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E3EF0">
      <w:pPr>
        <w:spacing w:after="100" w:afterAutospacing="1" w:line="360" w:lineRule="auto"/>
        <w:jc w:val="center"/>
        <w:outlineLvl w:val="1"/>
        <w:rPr>
          <w:rFonts w:ascii="宋体" w:hAnsi="宋体" w:cs="宋体"/>
          <w:b/>
          <w:color w:val="auto"/>
          <w:sz w:val="36"/>
          <w:szCs w:val="36"/>
          <w:highlight w:val="none"/>
        </w:rPr>
      </w:pPr>
      <w:bookmarkStart w:id="0" w:name="_Toc14207"/>
    </w:p>
    <w:p w14:paraId="0B35032C">
      <w:pPr>
        <w:pStyle w:val="17"/>
        <w:spacing w:line="360" w:lineRule="auto"/>
        <w:ind w:left="0" w:leftChars="0" w:firstLine="0" w:firstLineChars="0"/>
        <w:jc w:val="center"/>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晋城市疾病预防控制中心</w:t>
      </w:r>
      <w:r>
        <w:rPr>
          <w:rFonts w:hint="eastAsia" w:ascii="宋体" w:hAnsi="宋体" w:cs="宋体"/>
          <w:b/>
          <w:color w:val="auto"/>
          <w:sz w:val="48"/>
          <w:szCs w:val="48"/>
          <w:highlight w:val="none"/>
          <w:lang w:val="en-US" w:eastAsia="zh-CN"/>
        </w:rPr>
        <w:t>仪器设备</w:t>
      </w:r>
    </w:p>
    <w:p w14:paraId="278E5D4B">
      <w:pPr>
        <w:pStyle w:val="17"/>
        <w:spacing w:line="360" w:lineRule="auto"/>
        <w:ind w:left="0" w:leftChars="0" w:firstLine="0" w:firstLineChars="0"/>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8"/>
          <w:szCs w:val="48"/>
          <w:highlight w:val="none"/>
          <w:lang w:val="en-US" w:eastAsia="zh-CN"/>
        </w:rPr>
        <w:t>购置</w:t>
      </w:r>
      <w:r>
        <w:rPr>
          <w:rFonts w:hint="eastAsia" w:ascii="宋体" w:hAnsi="宋体" w:cs="宋体"/>
          <w:b/>
          <w:color w:val="auto"/>
          <w:sz w:val="48"/>
          <w:szCs w:val="48"/>
          <w:highlight w:val="none"/>
          <w:lang w:eastAsia="zh-CN"/>
        </w:rPr>
        <w:t>项目</w:t>
      </w:r>
    </w:p>
    <w:p w14:paraId="4EAD107C">
      <w:pPr>
        <w:pStyle w:val="17"/>
        <w:spacing w:line="360" w:lineRule="auto"/>
        <w:ind w:firstLine="643"/>
        <w:rPr>
          <w:rFonts w:ascii="宋体" w:hAnsi="宋体" w:cs="宋体"/>
          <w:b/>
          <w:color w:val="auto"/>
          <w:sz w:val="32"/>
          <w:szCs w:val="32"/>
          <w:highlight w:val="none"/>
        </w:rPr>
      </w:pPr>
    </w:p>
    <w:p w14:paraId="7507AFD6">
      <w:pPr>
        <w:pStyle w:val="17"/>
        <w:spacing w:line="360" w:lineRule="auto"/>
        <w:ind w:firstLine="643"/>
        <w:rPr>
          <w:rFonts w:ascii="宋体" w:hAnsi="宋体" w:cs="宋体"/>
          <w:b/>
          <w:color w:val="auto"/>
          <w:sz w:val="32"/>
          <w:szCs w:val="32"/>
          <w:highlight w:val="none"/>
        </w:rPr>
      </w:pPr>
    </w:p>
    <w:p w14:paraId="582B1DDC">
      <w:pPr>
        <w:pStyle w:val="17"/>
        <w:spacing w:line="360" w:lineRule="auto"/>
        <w:ind w:firstLine="643"/>
        <w:rPr>
          <w:rFonts w:ascii="宋体" w:hAnsi="宋体" w:cs="宋体"/>
          <w:b/>
          <w:color w:val="auto"/>
          <w:sz w:val="32"/>
          <w:szCs w:val="32"/>
          <w:highlight w:val="none"/>
        </w:rPr>
      </w:pPr>
    </w:p>
    <w:p w14:paraId="0BF108E5">
      <w:pPr>
        <w:pStyle w:val="17"/>
        <w:spacing w:line="360" w:lineRule="auto"/>
        <w:ind w:firstLine="643"/>
        <w:rPr>
          <w:rFonts w:ascii="宋体" w:hAnsi="宋体" w:cs="宋体"/>
          <w:b/>
          <w:color w:val="auto"/>
          <w:sz w:val="32"/>
          <w:szCs w:val="32"/>
          <w:highlight w:val="none"/>
        </w:rPr>
      </w:pPr>
    </w:p>
    <w:p w14:paraId="7DC4375D">
      <w:pPr>
        <w:pStyle w:val="17"/>
        <w:spacing w:line="360" w:lineRule="auto"/>
        <w:ind w:left="0" w:leftChars="0" w:firstLine="0" w:firstLineChars="0"/>
        <w:jc w:val="center"/>
        <w:rPr>
          <w:rFonts w:ascii="宋体" w:hAnsi="宋体" w:cs="宋体"/>
          <w:b/>
          <w:color w:val="auto"/>
          <w:sz w:val="96"/>
          <w:szCs w:val="96"/>
          <w:highlight w:val="none"/>
        </w:rPr>
      </w:pPr>
      <w:r>
        <w:rPr>
          <w:rFonts w:hint="eastAsia" w:ascii="宋体" w:hAnsi="宋体" w:cs="宋体"/>
          <w:b/>
          <w:color w:val="auto"/>
          <w:sz w:val="96"/>
          <w:szCs w:val="96"/>
          <w:highlight w:val="none"/>
        </w:rPr>
        <w:t>招标文件</w:t>
      </w:r>
    </w:p>
    <w:p w14:paraId="713544D6">
      <w:pPr>
        <w:pStyle w:val="17"/>
        <w:spacing w:line="360" w:lineRule="auto"/>
        <w:ind w:left="0" w:leftChars="0" w:firstLine="0" w:firstLineChars="0"/>
        <w:jc w:val="center"/>
        <w:rPr>
          <w:rFonts w:ascii="宋体" w:hAnsi="宋体" w:cs="宋体"/>
          <w:b/>
          <w:color w:val="auto"/>
          <w:sz w:val="32"/>
          <w:szCs w:val="32"/>
          <w:highlight w:val="none"/>
        </w:rPr>
      </w:pPr>
    </w:p>
    <w:p w14:paraId="02E4B69D">
      <w:pPr>
        <w:pStyle w:val="17"/>
        <w:spacing w:line="360" w:lineRule="auto"/>
        <w:ind w:left="0" w:leftChars="0" w:firstLine="0" w:firstLineChars="0"/>
        <w:jc w:val="center"/>
        <w:rPr>
          <w:rFonts w:ascii="宋体" w:hAnsi="宋体" w:cs="宋体"/>
          <w:b/>
          <w:color w:val="auto"/>
          <w:sz w:val="32"/>
          <w:szCs w:val="32"/>
          <w:highlight w:val="none"/>
        </w:rPr>
      </w:pPr>
    </w:p>
    <w:p w14:paraId="07A94553">
      <w:pPr>
        <w:pStyle w:val="17"/>
        <w:spacing w:line="360" w:lineRule="auto"/>
        <w:ind w:left="0" w:leftChars="0" w:firstLine="0" w:firstLineChars="0"/>
        <w:jc w:val="center"/>
        <w:rPr>
          <w:rFonts w:ascii="宋体" w:hAnsi="宋体" w:cs="宋体"/>
          <w:b/>
          <w:color w:val="auto"/>
          <w:sz w:val="32"/>
          <w:szCs w:val="32"/>
          <w:highlight w:val="none"/>
        </w:rPr>
      </w:pPr>
    </w:p>
    <w:p w14:paraId="21461E8B">
      <w:pPr>
        <w:pStyle w:val="17"/>
        <w:spacing w:line="360" w:lineRule="auto"/>
        <w:ind w:left="0" w:leftChars="0" w:firstLine="0" w:firstLineChars="0"/>
        <w:jc w:val="center"/>
        <w:rPr>
          <w:rFonts w:ascii="宋体" w:hAnsi="宋体" w:cs="宋体"/>
          <w:b/>
          <w:color w:val="auto"/>
          <w:sz w:val="32"/>
          <w:szCs w:val="32"/>
          <w:highlight w:val="none"/>
        </w:rPr>
      </w:pPr>
    </w:p>
    <w:p w14:paraId="25F8B332">
      <w:pPr>
        <w:pStyle w:val="17"/>
        <w:spacing w:line="360" w:lineRule="auto"/>
        <w:ind w:left="0" w:leftChars="0" w:firstLine="0" w:firstLineChars="0"/>
        <w:rPr>
          <w:rFonts w:ascii="宋体" w:hAnsi="宋体" w:cs="宋体"/>
          <w:b/>
          <w:color w:val="auto"/>
          <w:sz w:val="32"/>
          <w:szCs w:val="32"/>
          <w:highlight w:val="none"/>
        </w:rPr>
      </w:pPr>
    </w:p>
    <w:p w14:paraId="6334570F">
      <w:pPr>
        <w:pStyle w:val="17"/>
        <w:spacing w:line="360" w:lineRule="auto"/>
        <w:ind w:left="0" w:leftChars="0" w:firstLine="562"/>
        <w:jc w:val="left"/>
        <w:rPr>
          <w:rFonts w:ascii="宋体" w:hAnsi="宋体" w:cs="宋体"/>
          <w:b/>
          <w:color w:val="auto"/>
          <w:sz w:val="28"/>
          <w:szCs w:val="28"/>
          <w:highlight w:val="none"/>
        </w:rPr>
      </w:pPr>
      <w:r>
        <w:rPr>
          <w:rFonts w:hint="eastAsia" w:ascii="宋体" w:hAnsi="宋体" w:cs="宋体"/>
          <w:b/>
          <w:color w:val="auto"/>
          <w:sz w:val="28"/>
          <w:szCs w:val="28"/>
          <w:highlight w:val="none"/>
        </w:rPr>
        <w:t>招标人：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晋城市疾病预防控制中心</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（盖章）</w:t>
      </w:r>
    </w:p>
    <w:p w14:paraId="4A186601">
      <w:pPr>
        <w:pStyle w:val="17"/>
        <w:spacing w:line="480" w:lineRule="auto"/>
        <w:ind w:left="0" w:leftChars="0" w:firstLine="562"/>
        <w:jc w:val="left"/>
        <w:rPr>
          <w:rFonts w:ascii="宋体" w:hAnsi="宋体" w:cs="宋体"/>
          <w:b/>
          <w:color w:val="auto"/>
          <w:sz w:val="24"/>
          <w:szCs w:val="24"/>
          <w:highlight w:val="none"/>
        </w:rPr>
      </w:pPr>
      <w:r>
        <w:rPr>
          <w:rFonts w:hint="eastAsia" w:ascii="宋体" w:hAnsi="宋体" w:cs="宋体"/>
          <w:b/>
          <w:color w:val="auto"/>
          <w:sz w:val="28"/>
          <w:szCs w:val="28"/>
          <w:highlight w:val="none"/>
        </w:rPr>
        <w:t>招标代理机构：</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山西嘉创项目管理有限公司</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（盖章）</w:t>
      </w:r>
    </w:p>
    <w:p w14:paraId="55540F0F">
      <w:pPr>
        <w:spacing w:after="100" w:afterAutospacing="1" w:line="48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二〇二</w:t>
      </w:r>
      <w:r>
        <w:rPr>
          <w:rFonts w:hint="eastAsia" w:ascii="宋体" w:hAnsi="宋体" w:cs="宋体"/>
          <w:b/>
          <w:color w:val="auto"/>
          <w:sz w:val="28"/>
          <w:szCs w:val="28"/>
          <w:highlight w:val="none"/>
          <w:lang w:val="en-US" w:eastAsia="zh-CN"/>
        </w:rPr>
        <w:t>六</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rPr>
        <w:t>月</w:t>
      </w:r>
    </w:p>
    <w:p w14:paraId="65028C1C">
      <w:pPr>
        <w:pStyle w:val="22"/>
        <w:ind w:firstLine="420"/>
        <w:rPr>
          <w:color w:val="auto"/>
          <w:highlight w:val="none"/>
        </w:rPr>
      </w:pPr>
    </w:p>
    <w:p w14:paraId="53542108">
      <w:pPr>
        <w:spacing w:after="100" w:afterAutospacing="1" w:line="360" w:lineRule="auto"/>
        <w:outlineLvl w:val="1"/>
        <w:rPr>
          <w:rFonts w:ascii="宋体" w:hAnsi="宋体" w:cs="宋体"/>
          <w:b/>
          <w:color w:val="auto"/>
          <w:sz w:val="24"/>
          <w:szCs w:val="24"/>
          <w:highlight w:val="none"/>
        </w:rPr>
      </w:pPr>
    </w:p>
    <w:p w14:paraId="0439E568">
      <w:pPr>
        <w:spacing w:after="100" w:afterAutospacing="1" w:line="360" w:lineRule="auto"/>
        <w:jc w:val="center"/>
        <w:outlineLvl w:val="1"/>
        <w:rPr>
          <w:rFonts w:hint="eastAsia" w:ascii="宋体" w:hAnsi="宋体" w:cs="宋体"/>
          <w:b/>
          <w:color w:val="auto"/>
          <w:szCs w:val="21"/>
          <w:highlight w:val="none"/>
        </w:rPr>
        <w:sectPr>
          <w:headerReference r:id="rId3" w:type="default"/>
          <w:footerReference r:id="rId4" w:type="default"/>
          <w:pgSz w:w="11906" w:h="16838"/>
          <w:pgMar w:top="1474" w:right="1474" w:bottom="1474" w:left="1474" w:header="1020" w:footer="1020" w:gutter="0"/>
          <w:cols w:space="720" w:num="1"/>
          <w:docGrid w:type="linesAndChars" w:linePitch="316" w:charSpace="0"/>
        </w:sectPr>
      </w:pPr>
    </w:p>
    <w:p w14:paraId="2491A1FD">
      <w:pPr>
        <w:spacing w:after="100" w:afterAutospacing="1" w:line="360" w:lineRule="auto"/>
        <w:jc w:val="center"/>
        <w:outlineLvl w:val="1"/>
        <w:rPr>
          <w:rFonts w:ascii="宋体" w:hAnsi="宋体" w:cs="宋体"/>
          <w:b/>
          <w:color w:val="auto"/>
          <w:szCs w:val="21"/>
          <w:highlight w:val="none"/>
        </w:rPr>
      </w:pPr>
      <w:r>
        <w:rPr>
          <w:rFonts w:hint="eastAsia" w:ascii="宋体" w:hAnsi="宋体" w:cs="宋体"/>
          <w:b/>
          <w:color w:val="auto"/>
          <w:szCs w:val="21"/>
          <w:highlight w:val="none"/>
        </w:rPr>
        <w:t>※   温  馨  提  示   ※</w:t>
      </w:r>
    </w:p>
    <w:p w14:paraId="0666E6D8">
      <w:pPr>
        <w:spacing w:line="360" w:lineRule="auto"/>
        <w:rPr>
          <w:rFonts w:ascii="宋体" w:hAnsi="宋体" w:cs="宋体"/>
          <w:b/>
          <w:color w:val="auto"/>
          <w:szCs w:val="21"/>
          <w:highlight w:val="none"/>
        </w:rPr>
      </w:pPr>
      <w:r>
        <w:rPr>
          <w:rFonts w:hint="eastAsia" w:ascii="宋体" w:hAnsi="宋体" w:cs="宋体"/>
          <w:b/>
          <w:color w:val="auto"/>
          <w:szCs w:val="21"/>
          <w:highlight w:val="none"/>
        </w:rPr>
        <w:t>尊敬的投标人朋友们：</w:t>
      </w:r>
    </w:p>
    <w:p w14:paraId="7B39498E">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为了保证您们顺利参与本次采购，特别提示如下：</w:t>
      </w:r>
    </w:p>
    <w:p w14:paraId="3BAC8062">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一、您们的</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必须严格按照招标文件相关要求进行操作，请认真研读，避免由于操作失误造成投标文件无效。</w:t>
      </w:r>
    </w:p>
    <w:p w14:paraId="1853FB36">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二、投标人代表证明、投标函、报价一览表等关键部位必须按招标文件要求进行电子签章的加盖（包括法人电子签章和法定代表人电子签章）。</w:t>
      </w:r>
    </w:p>
    <w:p w14:paraId="25D690B0">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三、本次招标项目所需的“山西政府采购平台电子投标客户端”工具文件以及操作手册在“山西政府采购平台”中获取。</w:t>
      </w:r>
    </w:p>
    <w:p w14:paraId="3AA9CD1F">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四、开标前请确认以下内容：</w:t>
      </w:r>
    </w:p>
    <w:p w14:paraId="4C5D5307">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1、开标时推荐使用Chrome 浏览器；</w:t>
      </w:r>
    </w:p>
    <w:p w14:paraId="3E9EDD7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2、开标时请使用加密时的CA进行解密；</w:t>
      </w:r>
    </w:p>
    <w:p w14:paraId="5D77DC7D">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3、请确保开标时使用的电脑已经安装最新的CA驱动；</w:t>
      </w:r>
    </w:p>
    <w:p w14:paraId="64C85C99">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4、推荐使用制作生成电子标书的电脑进行解密；</w:t>
      </w:r>
    </w:p>
    <w:p w14:paraId="39E50A1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5、开标解密时需要使用CA的Pin码，请</w:t>
      </w:r>
      <w:r>
        <w:rPr>
          <w:rFonts w:hint="eastAsia" w:ascii="宋体" w:hAnsi="宋体" w:cs="宋体"/>
          <w:b/>
          <w:color w:val="auto"/>
          <w:szCs w:val="21"/>
          <w:highlight w:val="none"/>
          <w:lang w:eastAsia="zh-CN"/>
        </w:rPr>
        <w:t>确保</w:t>
      </w:r>
      <w:r>
        <w:rPr>
          <w:rFonts w:hint="eastAsia" w:ascii="宋体" w:hAnsi="宋体" w:cs="宋体"/>
          <w:b/>
          <w:color w:val="auto"/>
          <w:szCs w:val="21"/>
          <w:highlight w:val="none"/>
        </w:rPr>
        <w:t>开标人员已知晓正确的Pin码；</w:t>
      </w:r>
    </w:p>
    <w:p w14:paraId="0499979E">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6、开标解密路径：登录山西政府采购平台，进入【项目采购】—【开标评标】—【进入开标大厅】页面，找到开标的项目。</w:t>
      </w:r>
    </w:p>
    <w:p w14:paraId="31B77807">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五、招标文件中凡是“黑体字”的地方均为特别注意事项，请各投标人认真阅读。</w:t>
      </w:r>
    </w:p>
    <w:p w14:paraId="1F4266F1">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六、获取招标文件后如对招标文件中有疑义的地方以及认为需要修正的地方，请在规定的时间内以书面形式向我公司反映，以便统一更正。</w:t>
      </w:r>
    </w:p>
    <w:p w14:paraId="7A45FD1A">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七、您们认为招标文件、开标过程以及中标结果使自己的合法权益受到损害时，依法以书面形式向招标人、招标代理机构提出质疑。对质疑答复不满的，可以向同级财政部门提起投诉。</w:t>
      </w:r>
    </w:p>
    <w:p w14:paraId="4CD6C28A">
      <w:pPr>
        <w:pStyle w:val="23"/>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八、欢迎广大投标人朋友们积极参与、支持和配合我公司组织的各项政府采购活动，并对我们的工作提出宝贵意见。</w:t>
      </w:r>
    </w:p>
    <w:p w14:paraId="10BC19D8">
      <w:pPr>
        <w:pStyle w:val="6"/>
        <w:numPr>
          <w:ilvl w:val="0"/>
          <w:numId w:val="0"/>
        </w:numPr>
        <w:spacing w:line="360" w:lineRule="auto"/>
        <w:ind w:leftChars="200"/>
        <w:rPr>
          <w:rFonts w:ascii="宋体" w:hAnsi="宋体" w:eastAsia="宋体" w:cs="宋体"/>
          <w:color w:val="auto"/>
          <w:szCs w:val="21"/>
          <w:highlight w:val="none"/>
        </w:rPr>
      </w:pPr>
    </w:p>
    <w:bookmarkEnd w:id="0"/>
    <w:p w14:paraId="2C762450">
      <w:pPr>
        <w:pStyle w:val="13"/>
        <w:tabs>
          <w:tab w:val="right" w:leader="dot" w:pos="8958"/>
        </w:tabs>
        <w:jc w:val="center"/>
        <w:rPr>
          <w:rFonts w:hint="eastAsia" w:ascii="宋体" w:hAnsi="宋体" w:cs="宋体"/>
          <w:b/>
          <w:color w:val="auto"/>
          <w:spacing w:val="20"/>
          <w:szCs w:val="21"/>
          <w:highlight w:val="none"/>
        </w:rPr>
      </w:pPr>
    </w:p>
    <w:p w14:paraId="371B47C1">
      <w:pPr>
        <w:rPr>
          <w:rFonts w:hint="eastAsia"/>
          <w:color w:val="auto"/>
        </w:rPr>
      </w:pPr>
    </w:p>
    <w:p w14:paraId="4C3C9FFE">
      <w:pPr>
        <w:pStyle w:val="13"/>
        <w:tabs>
          <w:tab w:val="right" w:leader="dot" w:pos="8958"/>
        </w:tabs>
        <w:jc w:val="center"/>
        <w:rPr>
          <w:rFonts w:ascii="宋体" w:hAnsi="宋体" w:cs="宋体"/>
          <w:b/>
          <w:color w:val="auto"/>
          <w:spacing w:val="20"/>
          <w:szCs w:val="21"/>
          <w:highlight w:val="none"/>
        </w:rPr>
      </w:pPr>
      <w:r>
        <w:rPr>
          <w:rFonts w:hint="eastAsia" w:ascii="宋体" w:hAnsi="宋体" w:cs="宋体"/>
          <w:b/>
          <w:color w:val="auto"/>
          <w:spacing w:val="20"/>
          <w:szCs w:val="21"/>
          <w:highlight w:val="none"/>
        </w:rPr>
        <w:t>目    录</w:t>
      </w:r>
    </w:p>
    <w:p w14:paraId="2DE66541">
      <w:pPr>
        <w:pStyle w:val="13"/>
        <w:tabs>
          <w:tab w:val="right" w:leader="dot" w:pos="8958"/>
        </w:tabs>
        <w:rPr>
          <w:rFonts w:ascii="宋体" w:hAnsi="宋体" w:cs="宋体"/>
          <w:b/>
          <w:color w:val="auto"/>
          <w:spacing w:val="20"/>
          <w:szCs w:val="21"/>
          <w:highlight w:val="none"/>
        </w:rPr>
      </w:pPr>
    </w:p>
    <w:p w14:paraId="0A7BE521">
      <w:pPr>
        <w:pStyle w:val="13"/>
        <w:tabs>
          <w:tab w:val="right" w:leader="dot" w:pos="8958"/>
        </w:tabs>
        <w:spacing w:line="480" w:lineRule="auto"/>
        <w:rPr>
          <w:rFonts w:ascii="宋体" w:hAnsi="宋体" w:cs="宋体"/>
          <w:color w:val="auto"/>
          <w:szCs w:val="21"/>
          <w:highlight w:val="none"/>
        </w:rPr>
      </w:pPr>
      <w:r>
        <w:rPr>
          <w:rFonts w:hint="eastAsia" w:ascii="宋体" w:hAnsi="宋体" w:cs="宋体"/>
          <w:b/>
          <w:color w:val="auto"/>
          <w:spacing w:val="20"/>
          <w:szCs w:val="21"/>
          <w:highlight w:val="none"/>
        </w:rPr>
        <w:fldChar w:fldCharType="begin"/>
      </w:r>
      <w:r>
        <w:rPr>
          <w:rFonts w:hint="eastAsia" w:ascii="宋体" w:hAnsi="宋体" w:cs="宋体"/>
          <w:b/>
          <w:color w:val="auto"/>
          <w:spacing w:val="20"/>
          <w:szCs w:val="21"/>
          <w:highlight w:val="none"/>
        </w:rPr>
        <w:instrText xml:space="preserve">TOC \o "1-1" \u </w:instrText>
      </w:r>
      <w:r>
        <w:rPr>
          <w:rFonts w:hint="eastAsia" w:ascii="宋体" w:hAnsi="宋体" w:cs="宋体"/>
          <w:b/>
          <w:color w:val="auto"/>
          <w:spacing w:val="20"/>
          <w:szCs w:val="21"/>
          <w:highlight w:val="none"/>
        </w:rPr>
        <w:fldChar w:fldCharType="separate"/>
      </w:r>
      <w:r>
        <w:rPr>
          <w:rFonts w:hint="eastAsia" w:ascii="宋体" w:hAnsi="宋体" w:cs="宋体"/>
          <w:color w:val="auto"/>
          <w:spacing w:val="10"/>
          <w:szCs w:val="21"/>
          <w:highlight w:val="none"/>
        </w:rPr>
        <w:t>第一部分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_Toc19840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- 1 -</w:t>
      </w:r>
      <w:r>
        <w:rPr>
          <w:rFonts w:hint="eastAsia" w:ascii="宋体" w:hAnsi="宋体" w:cs="宋体"/>
          <w:color w:val="auto"/>
          <w:szCs w:val="21"/>
          <w:highlight w:val="none"/>
        </w:rPr>
        <w:fldChar w:fldCharType="end"/>
      </w:r>
    </w:p>
    <w:p w14:paraId="1B2D0CF3">
      <w:pPr>
        <w:pStyle w:val="13"/>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第二部分   投标人须知前附表</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_Toc31934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- 4 -</w:t>
      </w:r>
      <w:r>
        <w:rPr>
          <w:rFonts w:hint="eastAsia" w:ascii="宋体" w:hAnsi="宋体" w:cs="宋体"/>
          <w:color w:val="auto"/>
          <w:szCs w:val="21"/>
          <w:highlight w:val="none"/>
        </w:rPr>
        <w:fldChar w:fldCharType="end"/>
      </w:r>
    </w:p>
    <w:p w14:paraId="5278A6A6">
      <w:pPr>
        <w:pStyle w:val="13"/>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第三部分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_Toc12829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- 10 -</w:t>
      </w:r>
      <w:r>
        <w:rPr>
          <w:rFonts w:hint="eastAsia" w:ascii="宋体" w:hAnsi="宋体" w:cs="宋体"/>
          <w:color w:val="auto"/>
          <w:szCs w:val="21"/>
          <w:highlight w:val="none"/>
        </w:rPr>
        <w:fldChar w:fldCharType="end"/>
      </w:r>
    </w:p>
    <w:p w14:paraId="2ADBAA4E">
      <w:pPr>
        <w:pStyle w:val="13"/>
        <w:tabs>
          <w:tab w:val="right" w:leader="dot" w:pos="8958"/>
        </w:tabs>
        <w:spacing w:line="480" w:lineRule="auto"/>
        <w:rPr>
          <w:rFonts w:ascii="宋体" w:hAnsi="宋体" w:cs="宋体"/>
          <w:color w:val="auto"/>
          <w:szCs w:val="21"/>
          <w:highlight w:val="none"/>
        </w:rPr>
      </w:pPr>
      <w:r>
        <w:rPr>
          <w:rFonts w:hint="eastAsia" w:ascii="宋体" w:hAnsi="宋体" w:cs="宋体"/>
          <w:color w:val="auto"/>
          <w:spacing w:val="10"/>
          <w:kern w:val="0"/>
          <w:szCs w:val="21"/>
          <w:highlight w:val="none"/>
        </w:rPr>
        <w:t>第四部分  商务、技术要求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_Toc3751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- 21 -</w:t>
      </w:r>
      <w:r>
        <w:rPr>
          <w:rFonts w:hint="eastAsia" w:ascii="宋体" w:hAnsi="宋体" w:cs="宋体"/>
          <w:color w:val="auto"/>
          <w:szCs w:val="21"/>
          <w:highlight w:val="none"/>
        </w:rPr>
        <w:fldChar w:fldCharType="end"/>
      </w:r>
    </w:p>
    <w:p w14:paraId="4B304D1C">
      <w:pPr>
        <w:pStyle w:val="13"/>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第五部分   资格审查内容及标准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_Toc28999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- 42 -</w:t>
      </w:r>
      <w:r>
        <w:rPr>
          <w:rFonts w:hint="eastAsia" w:ascii="宋体" w:hAnsi="宋体" w:cs="宋体"/>
          <w:color w:val="auto"/>
          <w:szCs w:val="21"/>
          <w:highlight w:val="none"/>
        </w:rPr>
        <w:fldChar w:fldCharType="end"/>
      </w:r>
    </w:p>
    <w:p w14:paraId="7FE512CE">
      <w:pPr>
        <w:pStyle w:val="13"/>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第六部分   </w:t>
      </w:r>
      <w:r>
        <w:rPr>
          <w:rFonts w:hint="eastAsia" w:ascii="宋体" w:hAnsi="宋体" w:cs="宋体"/>
          <w:color w:val="auto"/>
          <w:szCs w:val="21"/>
          <w:highlight w:val="none"/>
          <w:lang w:eastAsia="zh-CN"/>
        </w:rPr>
        <w:t>评标标准和评分方法</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_Toc22045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- 43 -</w:t>
      </w:r>
      <w:r>
        <w:rPr>
          <w:rFonts w:hint="eastAsia" w:ascii="宋体" w:hAnsi="宋体" w:cs="宋体"/>
          <w:color w:val="auto"/>
          <w:szCs w:val="21"/>
          <w:highlight w:val="none"/>
        </w:rPr>
        <w:fldChar w:fldCharType="end"/>
      </w:r>
    </w:p>
    <w:p w14:paraId="54E86308">
      <w:pPr>
        <w:pStyle w:val="13"/>
        <w:tabs>
          <w:tab w:val="right" w:leader="dot" w:pos="8958"/>
        </w:tabs>
        <w:spacing w:line="480" w:lineRule="auto"/>
        <w:rPr>
          <w:rFonts w:ascii="宋体" w:hAnsi="宋体" w:cs="宋体"/>
          <w:color w:val="auto"/>
          <w:szCs w:val="21"/>
          <w:highlight w:val="none"/>
        </w:rPr>
      </w:pPr>
      <w:r>
        <w:rPr>
          <w:rFonts w:hint="eastAsia" w:ascii="宋体" w:hAnsi="宋体" w:cs="宋体"/>
          <w:bCs/>
          <w:color w:val="auto"/>
          <w:spacing w:val="10"/>
          <w:kern w:val="0"/>
          <w:szCs w:val="21"/>
          <w:highlight w:val="none"/>
        </w:rPr>
        <w:t>第七部分  政府采购合同</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_Toc24878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- 49 -</w:t>
      </w:r>
      <w:r>
        <w:rPr>
          <w:rFonts w:hint="eastAsia" w:ascii="宋体" w:hAnsi="宋体" w:cs="宋体"/>
          <w:color w:val="auto"/>
          <w:szCs w:val="21"/>
          <w:highlight w:val="none"/>
        </w:rPr>
        <w:fldChar w:fldCharType="end"/>
      </w:r>
    </w:p>
    <w:p w14:paraId="550234EE">
      <w:pPr>
        <w:pStyle w:val="13"/>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 xml:space="preserve">第八部分   </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内容要求及格式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_Toc13359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- 68 -</w:t>
      </w:r>
      <w:r>
        <w:rPr>
          <w:rFonts w:hint="eastAsia" w:ascii="宋体" w:hAnsi="宋体" w:cs="宋体"/>
          <w:color w:val="auto"/>
          <w:szCs w:val="21"/>
          <w:highlight w:val="none"/>
        </w:rPr>
        <w:fldChar w:fldCharType="end"/>
      </w:r>
    </w:p>
    <w:p w14:paraId="0B32DB63">
      <w:pPr>
        <w:pStyle w:val="13"/>
        <w:tabs>
          <w:tab w:val="right" w:leader="dot" w:pos="8958"/>
        </w:tabs>
        <w:spacing w:line="480" w:lineRule="auto"/>
        <w:rPr>
          <w:rFonts w:ascii="宋体" w:hAnsi="宋体" w:cs="宋体"/>
          <w:color w:val="auto"/>
          <w:szCs w:val="21"/>
          <w:highlight w:val="none"/>
        </w:rPr>
      </w:pPr>
      <w:r>
        <w:rPr>
          <w:rFonts w:hint="eastAsia" w:ascii="宋体" w:hAnsi="宋体" w:cs="宋体"/>
          <w:color w:val="auto"/>
          <w:szCs w:val="21"/>
          <w:highlight w:val="none"/>
        </w:rPr>
        <w:t>第九部分   附件</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_Toc15292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- 90 -</w:t>
      </w:r>
      <w:r>
        <w:rPr>
          <w:rFonts w:hint="eastAsia" w:ascii="宋体" w:hAnsi="宋体" w:cs="宋体"/>
          <w:color w:val="auto"/>
          <w:szCs w:val="21"/>
          <w:highlight w:val="none"/>
        </w:rPr>
        <w:fldChar w:fldCharType="end"/>
      </w:r>
    </w:p>
    <w:p w14:paraId="31ABE934">
      <w:pPr>
        <w:pStyle w:val="24"/>
        <w:spacing w:line="480" w:lineRule="auto"/>
        <w:ind w:left="0" w:leftChars="0" w:firstLine="0"/>
        <w:rPr>
          <w:rFonts w:ascii="宋体" w:hAnsi="宋体" w:eastAsia="宋体"/>
          <w:b/>
          <w:color w:val="auto"/>
          <w:spacing w:val="20"/>
          <w:sz w:val="21"/>
          <w:szCs w:val="21"/>
          <w:highlight w:val="none"/>
        </w:rPr>
        <w:sectPr>
          <w:pgSz w:w="11906" w:h="16838"/>
          <w:pgMar w:top="1474" w:right="1474" w:bottom="1474" w:left="1474" w:header="1020" w:footer="1020" w:gutter="0"/>
          <w:cols w:space="720" w:num="1"/>
          <w:docGrid w:type="linesAndChars" w:linePitch="316" w:charSpace="0"/>
        </w:sectPr>
      </w:pPr>
      <w:r>
        <w:rPr>
          <w:rFonts w:hint="eastAsia" w:ascii="宋体" w:hAnsi="宋体" w:eastAsia="宋体"/>
          <w:color w:val="auto"/>
          <w:spacing w:val="20"/>
          <w:sz w:val="21"/>
          <w:szCs w:val="21"/>
          <w:highlight w:val="none"/>
        </w:rPr>
        <w:fldChar w:fldCharType="end"/>
      </w:r>
    </w:p>
    <w:p w14:paraId="422BECC6">
      <w:pPr>
        <w:pStyle w:val="24"/>
        <w:spacing w:line="360" w:lineRule="auto"/>
        <w:ind w:left="0" w:leftChars="0" w:firstLine="0"/>
        <w:rPr>
          <w:rFonts w:ascii="宋体" w:hAnsi="宋体" w:eastAsia="宋体"/>
          <w:b/>
          <w:bCs w:val="0"/>
          <w:color w:val="auto"/>
          <w:spacing w:val="10"/>
          <w:sz w:val="21"/>
          <w:szCs w:val="21"/>
          <w:highlight w:val="none"/>
        </w:rPr>
      </w:pPr>
      <w:bookmarkStart w:id="1" w:name="_Toc9404"/>
      <w:bookmarkStart w:id="2" w:name="_Toc19840"/>
      <w:bookmarkStart w:id="3" w:name="_Toc13865"/>
      <w:r>
        <w:rPr>
          <w:rFonts w:hint="eastAsia" w:ascii="宋体" w:hAnsi="宋体" w:eastAsia="宋体"/>
          <w:b/>
          <w:bCs w:val="0"/>
          <w:color w:val="auto"/>
          <w:spacing w:val="10"/>
          <w:sz w:val="21"/>
          <w:szCs w:val="21"/>
          <w:highlight w:val="none"/>
        </w:rPr>
        <w:t>第一部</w:t>
      </w:r>
      <w:bookmarkStart w:id="171" w:name="_GoBack"/>
      <w:bookmarkEnd w:id="171"/>
      <w:r>
        <w:rPr>
          <w:rFonts w:hint="eastAsia" w:ascii="宋体" w:hAnsi="宋体" w:eastAsia="宋体"/>
          <w:b/>
          <w:bCs w:val="0"/>
          <w:color w:val="auto"/>
          <w:spacing w:val="10"/>
          <w:sz w:val="21"/>
          <w:szCs w:val="21"/>
          <w:highlight w:val="none"/>
        </w:rPr>
        <w:t>分  招标公告</w:t>
      </w:r>
      <w:bookmarkEnd w:id="1"/>
      <w:bookmarkEnd w:id="2"/>
      <w:bookmarkEnd w:id="3"/>
    </w:p>
    <w:p w14:paraId="0C8E57F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2FF1B94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晋城市疾病预防控制中心</w:t>
      </w:r>
      <w:r>
        <w:rPr>
          <w:rFonts w:hint="eastAsia" w:ascii="宋体" w:hAnsi="宋体" w:cs="宋体"/>
          <w:color w:val="auto"/>
          <w:szCs w:val="21"/>
          <w:highlight w:val="none"/>
          <w:lang w:val="en-US" w:eastAsia="zh-CN"/>
        </w:rPr>
        <w:t>仪器设备购置</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山西政府采购平台（http</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//www.ccgp-shanxi.gov.cn/home.html）</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06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rPr>
        <w:t>点</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bCs/>
          <w:color w:val="auto"/>
          <w:szCs w:val="21"/>
          <w:highlight w:val="none"/>
        </w:rPr>
        <w:t>（北京时间）前提交投标文件</w:t>
      </w:r>
      <w:r>
        <w:rPr>
          <w:rFonts w:hint="eastAsia" w:ascii="宋体" w:hAnsi="宋体" w:cs="宋体"/>
          <w:color w:val="auto"/>
          <w:szCs w:val="21"/>
          <w:highlight w:val="none"/>
        </w:rPr>
        <w:t>。</w:t>
      </w:r>
    </w:p>
    <w:p w14:paraId="42F3EBE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bookmarkStart w:id="4" w:name="_Toc35393798"/>
      <w:bookmarkStart w:id="5" w:name="_Toc28359089"/>
      <w:bookmarkStart w:id="6" w:name="_Toc28359012"/>
      <w:bookmarkStart w:id="7" w:name="_Toc35393629"/>
    </w:p>
    <w:p w14:paraId="7D5B754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一、项目基本情况</w:t>
      </w:r>
      <w:bookmarkEnd w:id="4"/>
      <w:bookmarkEnd w:id="5"/>
      <w:bookmarkEnd w:id="6"/>
      <w:bookmarkEnd w:id="7"/>
    </w:p>
    <w:p w14:paraId="7F5566C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bCs/>
          <w:color w:val="auto"/>
          <w:szCs w:val="21"/>
          <w:highlight w:val="none"/>
        </w:rPr>
      </w:pPr>
      <w:r>
        <w:rPr>
          <w:rFonts w:hint="eastAsia" w:ascii="宋体" w:hAnsi="宋体" w:cs="宋体"/>
          <w:color w:val="auto"/>
          <w:szCs w:val="21"/>
          <w:highlight w:val="none"/>
        </w:rPr>
        <w:t>1、项目编号：1405992026AGK00158</w:t>
      </w:r>
    </w:p>
    <w:p w14:paraId="5F09172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晋城市疾病预防控制中心</w:t>
      </w:r>
      <w:r>
        <w:rPr>
          <w:rFonts w:hint="eastAsia" w:ascii="宋体" w:hAnsi="宋体" w:cs="宋体"/>
          <w:color w:val="auto"/>
          <w:szCs w:val="21"/>
          <w:highlight w:val="none"/>
          <w:lang w:val="en-US" w:eastAsia="zh-CN"/>
        </w:rPr>
        <w:t>仪器设备购置</w:t>
      </w:r>
      <w:r>
        <w:rPr>
          <w:rFonts w:hint="eastAsia" w:ascii="宋体" w:hAnsi="宋体" w:cs="宋体"/>
          <w:color w:val="auto"/>
          <w:szCs w:val="21"/>
          <w:highlight w:val="none"/>
          <w:lang w:eastAsia="zh-CN"/>
        </w:rPr>
        <w:t>项目</w:t>
      </w:r>
    </w:p>
    <w:p w14:paraId="26AF310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3、招标方式：公开招标</w:t>
      </w:r>
    </w:p>
    <w:p w14:paraId="4C51C86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4800000</w:t>
      </w:r>
      <w:r>
        <w:rPr>
          <w:rFonts w:hint="eastAsia" w:ascii="宋体" w:hAnsi="宋体" w:cs="宋体"/>
          <w:color w:val="auto"/>
          <w:szCs w:val="21"/>
          <w:highlight w:val="none"/>
        </w:rPr>
        <w:t>元</w:t>
      </w:r>
    </w:p>
    <w:p w14:paraId="4D3B86D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4800000</w:t>
      </w:r>
      <w:r>
        <w:rPr>
          <w:rFonts w:hint="eastAsia" w:ascii="宋体" w:hAnsi="宋体" w:cs="宋体"/>
          <w:color w:val="auto"/>
          <w:szCs w:val="21"/>
          <w:highlight w:val="none"/>
        </w:rPr>
        <w:t>元</w:t>
      </w:r>
    </w:p>
    <w:p w14:paraId="78E87F5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6、招标需求：</w:t>
      </w:r>
    </w:p>
    <w:tbl>
      <w:tblPr>
        <w:tblStyle w:val="18"/>
        <w:tblpPr w:leftFromText="180" w:rightFromText="180" w:vertAnchor="text" w:horzAnchor="page" w:tblpX="2242" w:tblpY="129"/>
        <w:tblOverlap w:val="never"/>
        <w:tblW w:w="4443" w:type="pct"/>
        <w:tblInd w:w="0" w:type="dxa"/>
        <w:tblLayout w:type="autofit"/>
        <w:tblCellMar>
          <w:top w:w="0" w:type="dxa"/>
          <w:left w:w="108" w:type="dxa"/>
          <w:bottom w:w="0" w:type="dxa"/>
          <w:right w:w="108" w:type="dxa"/>
        </w:tblCellMar>
      </w:tblPr>
      <w:tblGrid>
        <w:gridCol w:w="1239"/>
        <w:gridCol w:w="6334"/>
      </w:tblGrid>
      <w:tr w14:paraId="347E5B27">
        <w:tblPrEx>
          <w:tblCellMar>
            <w:top w:w="0" w:type="dxa"/>
            <w:left w:w="108" w:type="dxa"/>
            <w:bottom w:w="0" w:type="dxa"/>
            <w:right w:w="108" w:type="dxa"/>
          </w:tblCellMar>
        </w:tblPrEx>
        <w:trPr>
          <w:trHeight w:val="90"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D1E6">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kern w:val="0"/>
                <w:szCs w:val="21"/>
                <w:lang w:bidi="ar"/>
              </w:rPr>
              <w:t>序号</w:t>
            </w:r>
          </w:p>
        </w:tc>
        <w:tc>
          <w:tcPr>
            <w:tcW w:w="4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EA62">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货物名称</w:t>
            </w:r>
          </w:p>
        </w:tc>
      </w:tr>
      <w:tr w14:paraId="09CEA94D">
        <w:tblPrEx>
          <w:tblCellMar>
            <w:top w:w="0" w:type="dxa"/>
            <w:left w:w="108" w:type="dxa"/>
            <w:bottom w:w="0" w:type="dxa"/>
            <w:right w:w="108" w:type="dxa"/>
          </w:tblCellMar>
        </w:tblPrEx>
        <w:trPr>
          <w:trHeight w:val="530"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9B09">
            <w:pPr>
              <w:widowControl/>
              <w:pBdr>
                <w:top w:val="none" w:color="auto" w:sz="0" w:space="1"/>
                <w:left w:val="none" w:color="auto" w:sz="0" w:space="4"/>
                <w:bottom w:val="none" w:color="auto" w:sz="0" w:space="1"/>
                <w:right w:val="none" w:color="auto" w:sz="0" w:space="4"/>
              </w:pBdr>
              <w:spacing w:line="360"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1</w:t>
            </w:r>
          </w:p>
        </w:tc>
        <w:tc>
          <w:tcPr>
            <w:tcW w:w="6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4918">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病原微生物基因组分析工作站</w:t>
            </w:r>
          </w:p>
        </w:tc>
      </w:tr>
      <w:tr w14:paraId="2F963025">
        <w:tblPrEx>
          <w:tblCellMar>
            <w:top w:w="0" w:type="dxa"/>
            <w:left w:w="108" w:type="dxa"/>
            <w:bottom w:w="0" w:type="dxa"/>
            <w:right w:w="108" w:type="dxa"/>
          </w:tblCellMar>
        </w:tblPrEx>
        <w:trPr>
          <w:trHeight w:val="476"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4F6C">
            <w:pPr>
              <w:widowControl/>
              <w:pBdr>
                <w:top w:val="none" w:color="auto" w:sz="0" w:space="1"/>
                <w:left w:val="none" w:color="auto" w:sz="0" w:space="4"/>
                <w:bottom w:val="none" w:color="auto" w:sz="0" w:space="1"/>
                <w:right w:val="none" w:color="auto" w:sz="0" w:space="4"/>
              </w:pBdr>
              <w:spacing w:line="360"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2</w:t>
            </w:r>
          </w:p>
        </w:tc>
        <w:tc>
          <w:tcPr>
            <w:tcW w:w="6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A493">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default" w:asciiTheme="minorEastAsia" w:hAnsiTheme="minorEastAsia" w:eastAsiaTheme="minorEastAsia" w:cstheme="minorEastAsia"/>
                <w:color w:val="auto"/>
                <w:kern w:val="0"/>
                <w:szCs w:val="21"/>
                <w:lang w:val="en-US" w:eastAsia="zh-CN" w:bidi="ar"/>
              </w:rPr>
              <w:t>全自动研磨离心一体机</w:t>
            </w:r>
          </w:p>
        </w:tc>
      </w:tr>
      <w:tr w14:paraId="6D498E75">
        <w:tblPrEx>
          <w:tblCellMar>
            <w:top w:w="0" w:type="dxa"/>
            <w:left w:w="108" w:type="dxa"/>
            <w:bottom w:w="0" w:type="dxa"/>
            <w:right w:w="108" w:type="dxa"/>
          </w:tblCellMar>
        </w:tblPrEx>
        <w:trPr>
          <w:trHeight w:val="476"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A5FC">
            <w:pPr>
              <w:widowControl/>
              <w:pBdr>
                <w:top w:val="none" w:color="auto" w:sz="0" w:space="1"/>
                <w:left w:val="none" w:color="auto" w:sz="0" w:space="4"/>
                <w:bottom w:val="none" w:color="auto" w:sz="0" w:space="1"/>
                <w:right w:val="none" w:color="auto" w:sz="0" w:space="4"/>
              </w:pBdr>
              <w:spacing w:line="360"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3</w:t>
            </w:r>
          </w:p>
        </w:tc>
        <w:tc>
          <w:tcPr>
            <w:tcW w:w="6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DBF7">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二代基因测序平台</w:t>
            </w:r>
          </w:p>
        </w:tc>
      </w:tr>
      <w:tr w14:paraId="245C1659">
        <w:tblPrEx>
          <w:tblCellMar>
            <w:top w:w="0" w:type="dxa"/>
            <w:left w:w="108" w:type="dxa"/>
            <w:bottom w:w="0" w:type="dxa"/>
            <w:right w:w="108" w:type="dxa"/>
          </w:tblCellMar>
        </w:tblPrEx>
        <w:trPr>
          <w:trHeight w:val="476"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C170">
            <w:pPr>
              <w:widowControl/>
              <w:pBdr>
                <w:top w:val="none" w:color="auto" w:sz="0" w:space="1"/>
                <w:left w:val="none" w:color="auto" w:sz="0" w:space="4"/>
                <w:bottom w:val="none" w:color="auto" w:sz="0" w:space="1"/>
                <w:right w:val="none" w:color="auto" w:sz="0" w:space="4"/>
              </w:pBdr>
              <w:spacing w:line="360"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4</w:t>
            </w:r>
          </w:p>
        </w:tc>
        <w:tc>
          <w:tcPr>
            <w:tcW w:w="6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445E">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高性能生物计算工业一体机</w:t>
            </w:r>
          </w:p>
        </w:tc>
      </w:tr>
      <w:tr w14:paraId="1A423C9C">
        <w:tblPrEx>
          <w:tblCellMar>
            <w:top w:w="0" w:type="dxa"/>
            <w:left w:w="108" w:type="dxa"/>
            <w:bottom w:w="0" w:type="dxa"/>
            <w:right w:w="108" w:type="dxa"/>
          </w:tblCellMar>
        </w:tblPrEx>
        <w:trPr>
          <w:trHeight w:val="476"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9DED">
            <w:pPr>
              <w:widowControl/>
              <w:pBdr>
                <w:top w:val="none" w:color="auto" w:sz="0" w:space="1"/>
                <w:left w:val="none" w:color="auto" w:sz="0" w:space="4"/>
                <w:bottom w:val="none" w:color="auto" w:sz="0" w:space="1"/>
                <w:right w:val="none" w:color="auto" w:sz="0" w:space="4"/>
              </w:pBdr>
              <w:spacing w:line="360"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5</w:t>
            </w:r>
          </w:p>
        </w:tc>
        <w:tc>
          <w:tcPr>
            <w:tcW w:w="6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3FB6">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离子色谱仪</w:t>
            </w:r>
          </w:p>
        </w:tc>
      </w:tr>
      <w:tr w14:paraId="5657B9FC">
        <w:tblPrEx>
          <w:tblCellMar>
            <w:top w:w="0" w:type="dxa"/>
            <w:left w:w="108" w:type="dxa"/>
            <w:bottom w:w="0" w:type="dxa"/>
            <w:right w:w="108" w:type="dxa"/>
          </w:tblCellMar>
        </w:tblPrEx>
        <w:trPr>
          <w:trHeight w:val="476"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E394">
            <w:pPr>
              <w:widowControl/>
              <w:pBdr>
                <w:top w:val="none" w:color="auto" w:sz="0" w:space="1"/>
                <w:left w:val="none" w:color="auto" w:sz="0" w:space="4"/>
                <w:bottom w:val="none" w:color="auto" w:sz="0" w:space="1"/>
                <w:right w:val="none" w:color="auto" w:sz="0" w:space="4"/>
              </w:pBdr>
              <w:spacing w:line="360"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6</w:t>
            </w:r>
          </w:p>
        </w:tc>
        <w:tc>
          <w:tcPr>
            <w:tcW w:w="6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DE50">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全自动固相萃取仪</w:t>
            </w:r>
          </w:p>
        </w:tc>
      </w:tr>
      <w:tr w14:paraId="47DEAB88">
        <w:tblPrEx>
          <w:tblCellMar>
            <w:top w:w="0" w:type="dxa"/>
            <w:left w:w="108" w:type="dxa"/>
            <w:bottom w:w="0" w:type="dxa"/>
            <w:right w:w="108" w:type="dxa"/>
          </w:tblCellMar>
        </w:tblPrEx>
        <w:trPr>
          <w:trHeight w:val="476" w:hRule="atLeast"/>
        </w:trPr>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CB4E">
            <w:pPr>
              <w:widowControl/>
              <w:pBdr>
                <w:top w:val="none" w:color="auto" w:sz="0" w:space="1"/>
                <w:left w:val="none" w:color="auto" w:sz="0" w:space="4"/>
                <w:bottom w:val="none" w:color="auto" w:sz="0" w:space="1"/>
                <w:right w:val="none" w:color="auto" w:sz="0" w:space="4"/>
              </w:pBdr>
              <w:spacing w:line="360"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7</w:t>
            </w:r>
          </w:p>
        </w:tc>
        <w:tc>
          <w:tcPr>
            <w:tcW w:w="6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BC89">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氮气发生器</w:t>
            </w:r>
          </w:p>
        </w:tc>
      </w:tr>
    </w:tbl>
    <w:p w14:paraId="3979AFBB">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本项目共一包，</w:t>
      </w:r>
      <w:r>
        <w:rPr>
          <w:rFonts w:hint="eastAsia" w:ascii="宋体" w:hAnsi="宋体" w:cs="宋体"/>
          <w:color w:val="auto"/>
          <w:szCs w:val="21"/>
          <w:highlight w:val="none"/>
          <w:lang w:val="en-US" w:eastAsia="zh-CN"/>
        </w:rPr>
        <w:t>为晋城市疾病预防控制中心采购一批仪器设备，</w:t>
      </w:r>
      <w:r>
        <w:rPr>
          <w:rFonts w:hint="eastAsia" w:ascii="宋体" w:hAnsi="宋体" w:cs="宋体"/>
          <w:color w:val="auto"/>
          <w:szCs w:val="21"/>
          <w:highlight w:val="none"/>
        </w:rPr>
        <w:t>具体招标需求、商务、技术服务要求及所应达到的其他具体要求，以本项目招标文件中商务、技术服务的相应规定为准。</w:t>
      </w:r>
    </w:p>
    <w:p w14:paraId="1BF893B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合同履行期限（交货时间）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自合同签订之日起30</w:t>
      </w:r>
      <w:r>
        <w:rPr>
          <w:rFonts w:hint="eastAsia" w:ascii="宋体" w:hAnsi="宋体" w:cs="宋体"/>
          <w:color w:val="auto"/>
          <w:szCs w:val="21"/>
          <w:highlight w:val="none"/>
          <w:lang w:val="en-US" w:eastAsia="zh-CN"/>
        </w:rPr>
        <w:t>个工作日完成供货</w:t>
      </w:r>
      <w:r>
        <w:rPr>
          <w:rFonts w:hint="eastAsia" w:ascii="宋体" w:hAnsi="宋体" w:cs="宋体"/>
          <w:color w:val="auto"/>
          <w:szCs w:val="21"/>
          <w:highlight w:val="none"/>
          <w:lang w:val="en-US" w:eastAsia="zh-CN"/>
        </w:rPr>
        <w:t>。</w:t>
      </w:r>
    </w:p>
    <w:p w14:paraId="7151772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8、本项目不接受联合体。</w:t>
      </w:r>
    </w:p>
    <w:p w14:paraId="6DB9EF4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bookmarkStart w:id="8" w:name="_Toc35393630"/>
      <w:bookmarkStart w:id="9" w:name="_Toc28359090"/>
      <w:bookmarkStart w:id="10" w:name="_Toc35393799"/>
      <w:bookmarkStart w:id="11" w:name="_Toc28359013"/>
      <w:r>
        <w:rPr>
          <w:rFonts w:hint="eastAsia" w:ascii="宋体" w:hAnsi="宋体" w:cs="宋体"/>
          <w:color w:val="auto"/>
          <w:szCs w:val="21"/>
          <w:highlight w:val="none"/>
        </w:rPr>
        <w:t>二、申请人的资格要求：</w:t>
      </w:r>
      <w:bookmarkEnd w:id="8"/>
      <w:bookmarkEnd w:id="9"/>
      <w:bookmarkEnd w:id="10"/>
      <w:bookmarkEnd w:id="11"/>
    </w:p>
    <w:p w14:paraId="6AE0C06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bookmarkStart w:id="12" w:name="_Toc28359014"/>
      <w:bookmarkStart w:id="13" w:name="_Toc28359091"/>
      <w:r>
        <w:rPr>
          <w:rFonts w:hint="eastAsia" w:ascii="宋体" w:hAnsi="宋体" w:cs="宋体"/>
          <w:color w:val="auto"/>
          <w:szCs w:val="21"/>
          <w:highlight w:val="none"/>
        </w:rPr>
        <w:t>满足《中华人民共和国政府采购法》第二十二条规定</w:t>
      </w:r>
    </w:p>
    <w:p w14:paraId="3637BF43">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无</w:t>
      </w:r>
    </w:p>
    <w:p w14:paraId="082DF10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bookmarkStart w:id="14" w:name="_Toc35393631"/>
      <w:bookmarkStart w:id="15" w:name="_Toc35393800"/>
      <w:r>
        <w:rPr>
          <w:rFonts w:hint="eastAsia" w:ascii="宋体" w:hAnsi="宋体"/>
          <w:color w:val="auto"/>
          <w:szCs w:val="21"/>
          <w:highlight w:val="none"/>
          <w:lang w:val="en-US" w:eastAsia="zh-CN"/>
        </w:rPr>
        <w:t>无</w:t>
      </w:r>
    </w:p>
    <w:p w14:paraId="3CE333A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三、获取招标文件</w:t>
      </w:r>
      <w:bookmarkEnd w:id="12"/>
      <w:bookmarkEnd w:id="13"/>
      <w:bookmarkEnd w:id="14"/>
      <w:bookmarkEnd w:id="15"/>
    </w:p>
    <w:p w14:paraId="500C12A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日至202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t>（北京时间）</w:t>
      </w:r>
    </w:p>
    <w:p w14:paraId="5199A5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方式：通过“山西省政府采购网”在线获取（招标公告下方选取“潜在投标人”处“获取</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”），投标人只有在“山西省政府采购网”完成获取招标文件申请并下载了招标文件后才视作依法获取招标文件；</w:t>
      </w:r>
    </w:p>
    <w:p w14:paraId="60810F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地点：山西省政府采购网（http</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//www.ccgp-shanxi.gov.cn/home.html）；</w:t>
      </w:r>
    </w:p>
    <w:p w14:paraId="69A050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招标文件售价：0元</w:t>
      </w:r>
    </w:p>
    <w:p w14:paraId="74CA914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四、投标文件提交：</w:t>
      </w:r>
    </w:p>
    <w:p w14:paraId="5F89E94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截止时间：202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时00分（北京时间）</w:t>
      </w:r>
      <w:r>
        <w:rPr>
          <w:rFonts w:hint="eastAsia" w:ascii="宋体" w:hAnsi="宋体" w:cs="宋体"/>
          <w:color w:val="auto"/>
          <w:szCs w:val="21"/>
          <w:highlight w:val="none"/>
          <w:lang w:val="en-US" w:eastAsia="zh-CN"/>
        </w:rPr>
        <w:t xml:space="preserve"> </w:t>
      </w:r>
    </w:p>
    <w:p w14:paraId="29C7912A">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递交地点：山西政府采购平台电子投标客户端 </w:t>
      </w:r>
    </w:p>
    <w:p w14:paraId="0BA3C48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五、投标文件开启：</w:t>
      </w:r>
    </w:p>
    <w:p w14:paraId="385C63D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开启时间：202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时00分（北京时间）</w:t>
      </w:r>
    </w:p>
    <w:p w14:paraId="6AEA06A8">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地点：山西政府采购平台电子投标客户端</w:t>
      </w:r>
    </w:p>
    <w:p w14:paraId="4D7859F4">
      <w:pPr>
        <w:keepNext w:val="0"/>
        <w:keepLines w:val="0"/>
        <w:pageBreakBefore w:val="0"/>
        <w:widowControl w:val="0"/>
        <w:kinsoku/>
        <w:wordWrap/>
        <w:overflowPunct/>
        <w:topLinePunct w:val="0"/>
        <w:autoSpaceDE/>
        <w:autoSpaceDN/>
        <w:bidi w:val="0"/>
        <w:snapToGrid w:val="0"/>
        <w:spacing w:line="360" w:lineRule="auto"/>
        <w:ind w:firstLine="840" w:firstLineChars="400"/>
        <w:textAlignment w:val="auto"/>
        <w:rPr>
          <w:rFonts w:ascii="宋体" w:hAnsi="宋体" w:cs="宋体"/>
          <w:color w:val="auto"/>
          <w:szCs w:val="21"/>
          <w:highlight w:val="none"/>
        </w:rPr>
      </w:pPr>
      <w:r>
        <w:rPr>
          <w:rFonts w:hint="eastAsia" w:ascii="宋体" w:hAnsi="宋体" w:cs="宋体"/>
          <w:color w:val="auto"/>
          <w:szCs w:val="21"/>
          <w:highlight w:val="none"/>
        </w:rPr>
        <w:t>六、公告期限：</w:t>
      </w:r>
    </w:p>
    <w:p w14:paraId="05BEE8A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bookmarkStart w:id="16" w:name="_Toc35393805"/>
      <w:bookmarkStart w:id="17" w:name="_Toc28359018"/>
      <w:bookmarkStart w:id="18" w:name="_Toc35393636"/>
      <w:bookmarkStart w:id="19" w:name="_Toc28359095"/>
      <w:r>
        <w:rPr>
          <w:rFonts w:hint="eastAsia" w:ascii="宋体" w:hAnsi="宋体" w:cs="宋体"/>
          <w:color w:val="auto"/>
          <w:szCs w:val="21"/>
          <w:highlight w:val="none"/>
        </w:rPr>
        <w:t>自本公告发布之日起5个工作日</w:t>
      </w:r>
    </w:p>
    <w:p w14:paraId="2621D05C">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七、其他补充事宜：</w:t>
      </w:r>
    </w:p>
    <w:p w14:paraId="0D2CCEC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认为招标文件使自己的权益受到损害的，可以自获取招标文件之日或者招标文件公告期限届满之日（公告期限届满后获取招标文件的，以公告期限届满之日为准）起7个工作日内，对招标文件需求的以书面形式向招标人提出质疑，对其他内容的以书面形式向招标代理机构提出质疑。质疑函范本、投诉书范本请到中国政府采购网下载专区下载。针对本项目的质疑需一次性提出，多次提出将不予受理。未按本项目公告规定获取招标文件的潜在投标人不得对招标文件提出质疑。</w:t>
      </w:r>
    </w:p>
    <w:p w14:paraId="2EAB204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2.其他事项：</w:t>
      </w:r>
    </w:p>
    <w:p w14:paraId="2A3CF98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2.1公告发布媒介：山西省政府采购网</w:t>
      </w:r>
    </w:p>
    <w:p w14:paraId="283DD34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2.2在线投标响应（电子投标）说明：</w:t>
      </w:r>
    </w:p>
    <w:p w14:paraId="2770CF5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1）本项目采用电子化交易；电子化交易流程操作指南：“&lt;山西省政府采购网&gt;下载专区”获取；</w:t>
      </w:r>
    </w:p>
    <w:p w14:paraId="1FA3BFE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2）投标人应在提交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前完成CA数字证书办理。（办理事项详见“&lt;山西省政府采购网&gt;下载专区”）；</w:t>
      </w:r>
    </w:p>
    <w:p w14:paraId="2E21D422">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3）投标人应安装“山西政府采购平台电子投标客户端”，请投标人自行前往“&lt;山西省政府采购网&gt;下载专区”获取并安装；</w:t>
      </w:r>
    </w:p>
    <w:p w14:paraId="6B010901">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4）如有疑问，可致电技术支持热线：95763。</w:t>
      </w:r>
    </w:p>
    <w:p w14:paraId="3015882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2.3本项目投标人需</w:t>
      </w:r>
      <w:r>
        <w:rPr>
          <w:rFonts w:hint="eastAsia" w:ascii="宋体" w:hAnsi="宋体" w:cs="宋体"/>
          <w:color w:val="auto"/>
          <w:szCs w:val="21"/>
          <w:highlight w:val="none"/>
          <w:lang w:val="en-US" w:eastAsia="zh-CN"/>
        </w:rPr>
        <w:t>线上</w:t>
      </w:r>
      <w:r>
        <w:rPr>
          <w:rFonts w:hint="eastAsia" w:ascii="宋体" w:hAnsi="宋体" w:cs="宋体"/>
          <w:color w:val="auto"/>
          <w:szCs w:val="21"/>
          <w:highlight w:val="none"/>
        </w:rPr>
        <w:t>准时参加，直至评标结束。开标时间起 30 分钟内投标人可登录“山西政府采购平台”，在“项目采购-开标评标”模块对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进行在线解密。若在规定时间内投标文件无法解密或解密失败，则投标无效。</w:t>
      </w:r>
    </w:p>
    <w:p w14:paraId="4D3ACC85">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2.4中标人应在合同签订前完成山西省政府采购网全部注册步骤并成为正式</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14:paraId="4233D197">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八、凡对本次采购提出询问，请按以下方式联系。</w:t>
      </w:r>
      <w:bookmarkEnd w:id="16"/>
      <w:bookmarkEnd w:id="17"/>
      <w:bookmarkEnd w:id="18"/>
      <w:bookmarkEnd w:id="19"/>
    </w:p>
    <w:p w14:paraId="7CBD5303">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bookmarkStart w:id="20" w:name="_Toc35393637"/>
      <w:bookmarkStart w:id="21" w:name="_Toc28359096"/>
      <w:bookmarkStart w:id="22" w:name="_Toc28359019"/>
      <w:bookmarkStart w:id="23" w:name="_Toc35393806"/>
      <w:r>
        <w:rPr>
          <w:rFonts w:hint="eastAsia" w:ascii="宋体" w:hAnsi="宋体" w:eastAsia="宋体" w:cs="宋体"/>
          <w:color w:val="auto"/>
          <w:szCs w:val="21"/>
          <w:highlight w:val="none"/>
          <w:lang w:eastAsia="zh-CN"/>
        </w:rPr>
        <w:t>1.招标人信息</w:t>
      </w:r>
      <w:bookmarkEnd w:id="20"/>
      <w:bookmarkEnd w:id="21"/>
      <w:bookmarkEnd w:id="22"/>
      <w:bookmarkEnd w:id="23"/>
    </w:p>
    <w:p w14:paraId="29ACA8AF">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名称：晋城市疾病预防控制中心 </w:t>
      </w:r>
    </w:p>
    <w:p w14:paraId="7195B6E3">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联系地址：晋城市瑞丰路1331号</w:t>
      </w:r>
    </w:p>
    <w:p w14:paraId="512B07BB">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lang w:eastAsia="zh-CN"/>
        </w:rPr>
        <w:t>联系电话：0356-20663</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eastAsia="zh-CN"/>
        </w:rPr>
        <w:t>　　</w:t>
      </w:r>
      <w:r>
        <w:rPr>
          <w:rFonts w:hint="eastAsia" w:ascii="宋体" w:hAnsi="宋体" w:cs="宋体"/>
          <w:color w:val="auto"/>
          <w:szCs w:val="21"/>
          <w:highlight w:val="none"/>
        </w:rPr>
        <w:t xml:space="preserve">　 </w:t>
      </w:r>
    </w:p>
    <w:p w14:paraId="4515EB6E">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ascii="宋体" w:hAnsi="宋体" w:cs="宋体"/>
          <w:color w:val="auto"/>
          <w:szCs w:val="21"/>
          <w:highlight w:val="none"/>
        </w:rPr>
      </w:pPr>
      <w:bookmarkStart w:id="24" w:name="_Toc35393638"/>
      <w:bookmarkStart w:id="25" w:name="_Toc28359020"/>
      <w:bookmarkStart w:id="26" w:name="_Toc28359097"/>
      <w:bookmarkStart w:id="27" w:name="_Toc35393807"/>
      <w:r>
        <w:rPr>
          <w:rFonts w:hint="eastAsia" w:ascii="宋体" w:hAnsi="宋体" w:cs="宋体"/>
          <w:color w:val="auto"/>
          <w:szCs w:val="21"/>
          <w:highlight w:val="none"/>
        </w:rPr>
        <w:t>2.招标代理机构信息</w:t>
      </w:r>
      <w:bookmarkEnd w:id="24"/>
      <w:bookmarkEnd w:id="25"/>
      <w:bookmarkEnd w:id="26"/>
      <w:bookmarkEnd w:id="27"/>
    </w:p>
    <w:p w14:paraId="15B84D29">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山西嘉创项目管理有限公司</w:t>
      </w:r>
    </w:p>
    <w:p w14:paraId="03A74F30">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山西省晋城市北大街507号嘉创项目管理院内2楼</w:t>
      </w:r>
    </w:p>
    <w:p w14:paraId="094FDD44">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w:t>
      </w:r>
      <w:r>
        <w:rPr>
          <w:rFonts w:hint="eastAsia" w:ascii="宋体" w:hAnsi="宋体" w:eastAsia="宋体" w:cs="宋体"/>
          <w:color w:val="auto"/>
          <w:szCs w:val="21"/>
          <w:highlight w:val="none"/>
          <w:lang w:eastAsia="zh-CN"/>
        </w:rPr>
        <w:t>式：13593304986　　　</w:t>
      </w:r>
    </w:p>
    <w:p w14:paraId="4E61F002">
      <w:pPr>
        <w:adjustRightInd w:val="0"/>
        <w:snapToGrid w:val="0"/>
        <w:spacing w:line="360" w:lineRule="auto"/>
        <w:jc w:val="center"/>
        <w:rPr>
          <w:rFonts w:hint="eastAsia" w:ascii="宋体" w:hAnsi="宋体" w:eastAsia="宋体" w:cs="宋体"/>
          <w:b/>
          <w:bCs w:val="0"/>
          <w:color w:val="auto"/>
          <w:sz w:val="21"/>
          <w:szCs w:val="21"/>
          <w:highlight w:val="none"/>
        </w:rPr>
      </w:pPr>
      <w:bookmarkStart w:id="28" w:name="_Toc1007"/>
      <w:bookmarkStart w:id="29" w:name="_Toc78559505"/>
      <w:bookmarkStart w:id="30" w:name="_Toc31934"/>
      <w:bookmarkStart w:id="31" w:name="_Toc16479"/>
      <w:bookmarkStart w:id="32" w:name="_Toc11308"/>
    </w:p>
    <w:p w14:paraId="703EB755">
      <w:pPr>
        <w:adjustRightInd w:val="0"/>
        <w:snapToGrid w:val="0"/>
        <w:spacing w:line="360" w:lineRule="auto"/>
        <w:jc w:val="center"/>
        <w:rPr>
          <w:rFonts w:hint="eastAsia" w:ascii="宋体" w:hAnsi="宋体" w:eastAsia="宋体" w:cs="宋体"/>
          <w:b/>
          <w:bCs w:val="0"/>
          <w:color w:val="auto"/>
          <w:sz w:val="21"/>
          <w:szCs w:val="21"/>
          <w:highlight w:val="none"/>
        </w:rPr>
      </w:pPr>
    </w:p>
    <w:p w14:paraId="4BED9A56">
      <w:pPr>
        <w:adjustRightInd w:val="0"/>
        <w:snapToGrid w:val="0"/>
        <w:spacing w:line="360" w:lineRule="auto"/>
        <w:jc w:val="center"/>
        <w:rPr>
          <w:rFonts w:hint="eastAsia" w:ascii="宋体" w:hAnsi="宋体" w:eastAsia="宋体" w:cs="宋体"/>
          <w:b/>
          <w:bCs w:val="0"/>
          <w:color w:val="auto"/>
          <w:sz w:val="21"/>
          <w:szCs w:val="21"/>
          <w:highlight w:val="none"/>
        </w:rPr>
      </w:pPr>
    </w:p>
    <w:p w14:paraId="757AE848">
      <w:pPr>
        <w:adjustRightInd w:val="0"/>
        <w:snapToGrid w:val="0"/>
        <w:spacing w:line="360" w:lineRule="auto"/>
        <w:jc w:val="center"/>
        <w:rPr>
          <w:rFonts w:hint="eastAsia" w:ascii="宋体" w:hAnsi="宋体" w:eastAsia="宋体" w:cs="宋体"/>
          <w:b/>
          <w:bCs w:val="0"/>
          <w:color w:val="auto"/>
          <w:sz w:val="21"/>
          <w:szCs w:val="21"/>
          <w:highlight w:val="none"/>
        </w:rPr>
      </w:pPr>
    </w:p>
    <w:p w14:paraId="22F42C7D">
      <w:pPr>
        <w:adjustRightInd w:val="0"/>
        <w:snapToGrid w:val="0"/>
        <w:spacing w:line="360" w:lineRule="auto"/>
        <w:jc w:val="center"/>
        <w:rPr>
          <w:rFonts w:hint="eastAsia" w:ascii="宋体" w:hAnsi="宋体" w:eastAsia="宋体" w:cs="宋体"/>
          <w:b/>
          <w:bCs w:val="0"/>
          <w:color w:val="auto"/>
          <w:sz w:val="21"/>
          <w:szCs w:val="21"/>
          <w:highlight w:val="none"/>
        </w:rPr>
      </w:pPr>
    </w:p>
    <w:p w14:paraId="56C14F21">
      <w:pPr>
        <w:adjustRightInd w:val="0"/>
        <w:snapToGrid w:val="0"/>
        <w:spacing w:line="360" w:lineRule="auto"/>
        <w:jc w:val="center"/>
        <w:rPr>
          <w:rFonts w:hint="eastAsia" w:ascii="宋体" w:hAnsi="宋体" w:eastAsia="宋体" w:cs="宋体"/>
          <w:b/>
          <w:bCs w:val="0"/>
          <w:color w:val="auto"/>
          <w:sz w:val="21"/>
          <w:szCs w:val="21"/>
          <w:highlight w:val="none"/>
        </w:rPr>
      </w:pPr>
    </w:p>
    <w:p w14:paraId="5C82F814">
      <w:pPr>
        <w:adjustRightInd w:val="0"/>
        <w:snapToGrid w:val="0"/>
        <w:spacing w:line="360" w:lineRule="auto"/>
        <w:jc w:val="center"/>
        <w:rPr>
          <w:rFonts w:hint="eastAsia" w:ascii="宋体" w:hAnsi="宋体" w:eastAsia="宋体" w:cs="宋体"/>
          <w:b/>
          <w:bCs w:val="0"/>
          <w:color w:val="auto"/>
          <w:sz w:val="21"/>
          <w:szCs w:val="21"/>
          <w:highlight w:val="none"/>
        </w:rPr>
      </w:pPr>
    </w:p>
    <w:p w14:paraId="277A633B">
      <w:pPr>
        <w:adjustRightInd w:val="0"/>
        <w:snapToGrid w:val="0"/>
        <w:spacing w:line="360" w:lineRule="auto"/>
        <w:jc w:val="center"/>
        <w:rPr>
          <w:rFonts w:hint="eastAsia" w:ascii="宋体" w:hAnsi="宋体" w:eastAsia="宋体" w:cs="宋体"/>
          <w:b/>
          <w:bCs w:val="0"/>
          <w:color w:val="auto"/>
          <w:sz w:val="21"/>
          <w:szCs w:val="21"/>
          <w:highlight w:val="none"/>
        </w:rPr>
      </w:pPr>
    </w:p>
    <w:p w14:paraId="3F652021">
      <w:pPr>
        <w:adjustRightInd w:val="0"/>
        <w:snapToGrid w:val="0"/>
        <w:spacing w:line="360" w:lineRule="auto"/>
        <w:jc w:val="center"/>
        <w:rPr>
          <w:rFonts w:hint="eastAsia" w:ascii="宋体" w:hAnsi="宋体" w:eastAsia="宋体" w:cs="宋体"/>
          <w:b/>
          <w:bCs w:val="0"/>
          <w:color w:val="auto"/>
          <w:sz w:val="21"/>
          <w:szCs w:val="21"/>
          <w:highlight w:val="none"/>
        </w:rPr>
      </w:pPr>
    </w:p>
    <w:p w14:paraId="263C0597">
      <w:pPr>
        <w:adjustRightInd w:val="0"/>
        <w:snapToGrid w:val="0"/>
        <w:spacing w:line="360" w:lineRule="auto"/>
        <w:jc w:val="center"/>
        <w:rPr>
          <w:rFonts w:hint="eastAsia" w:ascii="宋体" w:hAnsi="宋体" w:eastAsia="宋体" w:cs="宋体"/>
          <w:b/>
          <w:bCs w:val="0"/>
          <w:color w:val="auto"/>
          <w:sz w:val="21"/>
          <w:szCs w:val="21"/>
          <w:highlight w:val="none"/>
        </w:rPr>
      </w:pPr>
    </w:p>
    <w:p w14:paraId="6D884822">
      <w:pPr>
        <w:adjustRightInd w:val="0"/>
        <w:snapToGrid w:val="0"/>
        <w:spacing w:line="360" w:lineRule="auto"/>
        <w:jc w:val="center"/>
        <w:rPr>
          <w:rFonts w:hint="eastAsia" w:ascii="宋体" w:hAnsi="宋体" w:eastAsia="宋体" w:cs="宋体"/>
          <w:b/>
          <w:bCs w:val="0"/>
          <w:color w:val="auto"/>
          <w:sz w:val="21"/>
          <w:szCs w:val="21"/>
          <w:highlight w:val="none"/>
        </w:rPr>
      </w:pPr>
    </w:p>
    <w:p w14:paraId="08B66589">
      <w:pPr>
        <w:adjustRightInd w:val="0"/>
        <w:snapToGrid w:val="0"/>
        <w:spacing w:line="360" w:lineRule="auto"/>
        <w:jc w:val="center"/>
        <w:rPr>
          <w:rFonts w:hint="eastAsia" w:ascii="宋体" w:hAnsi="宋体" w:eastAsia="宋体" w:cs="宋体"/>
          <w:b/>
          <w:bCs w:val="0"/>
          <w:color w:val="auto"/>
          <w:sz w:val="21"/>
          <w:szCs w:val="21"/>
          <w:highlight w:val="none"/>
        </w:rPr>
      </w:pPr>
    </w:p>
    <w:p w14:paraId="32149279">
      <w:pPr>
        <w:adjustRightInd w:val="0"/>
        <w:snapToGrid w:val="0"/>
        <w:spacing w:line="360" w:lineRule="auto"/>
        <w:jc w:val="center"/>
        <w:rPr>
          <w:rFonts w:hint="eastAsia" w:ascii="宋体" w:hAnsi="宋体" w:eastAsia="宋体" w:cs="宋体"/>
          <w:b/>
          <w:bCs w:val="0"/>
          <w:color w:val="auto"/>
          <w:sz w:val="21"/>
          <w:szCs w:val="21"/>
          <w:highlight w:val="none"/>
        </w:rPr>
      </w:pPr>
    </w:p>
    <w:p w14:paraId="76224016">
      <w:pPr>
        <w:adjustRightInd w:val="0"/>
        <w:snapToGrid w:val="0"/>
        <w:spacing w:line="360" w:lineRule="auto"/>
        <w:jc w:val="center"/>
        <w:rPr>
          <w:rFonts w:hint="eastAsia" w:ascii="宋体" w:hAnsi="宋体" w:eastAsia="宋体" w:cs="宋体"/>
          <w:b/>
          <w:bCs w:val="0"/>
          <w:color w:val="auto"/>
          <w:sz w:val="21"/>
          <w:szCs w:val="21"/>
          <w:highlight w:val="none"/>
        </w:rPr>
      </w:pPr>
    </w:p>
    <w:p w14:paraId="595E1DB4">
      <w:pPr>
        <w:adjustRightInd w:val="0"/>
        <w:snapToGrid w:val="0"/>
        <w:spacing w:line="360" w:lineRule="auto"/>
        <w:jc w:val="center"/>
        <w:rPr>
          <w:rFonts w:hint="eastAsia" w:ascii="宋体" w:hAnsi="宋体" w:eastAsia="宋体" w:cs="宋体"/>
          <w:b/>
          <w:bCs w:val="0"/>
          <w:color w:val="auto"/>
          <w:sz w:val="21"/>
          <w:szCs w:val="21"/>
          <w:highlight w:val="none"/>
        </w:rPr>
      </w:pPr>
    </w:p>
    <w:p w14:paraId="38AA2C23">
      <w:pPr>
        <w:adjustRightInd w:val="0"/>
        <w:snapToGrid w:val="0"/>
        <w:spacing w:line="360" w:lineRule="auto"/>
        <w:jc w:val="center"/>
        <w:rPr>
          <w:rFonts w:hint="eastAsia" w:ascii="宋体" w:hAnsi="宋体" w:eastAsia="宋体" w:cs="宋体"/>
          <w:b/>
          <w:bCs w:val="0"/>
          <w:color w:val="auto"/>
          <w:sz w:val="21"/>
          <w:szCs w:val="21"/>
          <w:highlight w:val="none"/>
        </w:rPr>
      </w:pPr>
    </w:p>
    <w:p w14:paraId="74F25AB6">
      <w:pPr>
        <w:adjustRightInd w:val="0"/>
        <w:snapToGrid w:val="0"/>
        <w:spacing w:line="360" w:lineRule="auto"/>
        <w:jc w:val="center"/>
        <w:rPr>
          <w:rFonts w:hint="eastAsia" w:ascii="宋体" w:hAnsi="宋体" w:eastAsia="宋体" w:cs="宋体"/>
          <w:b/>
          <w:bCs w:val="0"/>
          <w:color w:val="auto"/>
          <w:sz w:val="21"/>
          <w:szCs w:val="21"/>
          <w:highlight w:val="none"/>
        </w:rPr>
      </w:pPr>
    </w:p>
    <w:p w14:paraId="361DCA04">
      <w:pPr>
        <w:adjustRightInd w:val="0"/>
        <w:snapToGrid w:val="0"/>
        <w:spacing w:line="360" w:lineRule="auto"/>
        <w:jc w:val="center"/>
        <w:rPr>
          <w:rFonts w:hint="eastAsia" w:ascii="宋体" w:hAnsi="宋体" w:eastAsia="宋体" w:cs="宋体"/>
          <w:b/>
          <w:bCs w:val="0"/>
          <w:color w:val="auto"/>
          <w:sz w:val="21"/>
          <w:szCs w:val="21"/>
          <w:highlight w:val="none"/>
        </w:rPr>
      </w:pPr>
    </w:p>
    <w:p w14:paraId="760ABC37">
      <w:pPr>
        <w:adjustRightInd w:val="0"/>
        <w:snapToGrid w:val="0"/>
        <w:spacing w:line="360" w:lineRule="auto"/>
        <w:jc w:val="center"/>
        <w:rPr>
          <w:rFonts w:hint="eastAsia" w:ascii="宋体" w:hAnsi="宋体" w:eastAsia="宋体" w:cs="宋体"/>
          <w:b/>
          <w:bCs w:val="0"/>
          <w:color w:val="auto"/>
          <w:sz w:val="21"/>
          <w:szCs w:val="21"/>
          <w:highlight w:val="none"/>
        </w:rPr>
      </w:pPr>
    </w:p>
    <w:p w14:paraId="63B4E86F">
      <w:pPr>
        <w:adjustRightInd w:val="0"/>
        <w:snapToGrid w:val="0"/>
        <w:spacing w:line="360" w:lineRule="auto"/>
        <w:jc w:val="center"/>
        <w:rPr>
          <w:rFonts w:hint="eastAsia" w:ascii="宋体" w:hAnsi="宋体" w:eastAsia="宋体" w:cs="宋体"/>
          <w:b/>
          <w:bCs w:val="0"/>
          <w:color w:val="auto"/>
          <w:sz w:val="21"/>
          <w:szCs w:val="21"/>
          <w:highlight w:val="none"/>
        </w:rPr>
      </w:pPr>
    </w:p>
    <w:p w14:paraId="2A8665FB">
      <w:pPr>
        <w:adjustRightInd w:val="0"/>
        <w:snapToGrid w:val="0"/>
        <w:spacing w:line="360" w:lineRule="auto"/>
        <w:jc w:val="center"/>
        <w:rPr>
          <w:rFonts w:hint="eastAsia" w:ascii="宋体" w:hAnsi="宋体" w:eastAsia="宋体" w:cs="宋体"/>
          <w:b/>
          <w:bCs w:val="0"/>
          <w:color w:val="auto"/>
          <w:sz w:val="21"/>
          <w:szCs w:val="21"/>
          <w:highlight w:val="none"/>
        </w:rPr>
      </w:pPr>
    </w:p>
    <w:p w14:paraId="75CED806">
      <w:pPr>
        <w:adjustRightInd w:val="0"/>
        <w:snapToGrid w:val="0"/>
        <w:spacing w:line="360" w:lineRule="auto"/>
        <w:jc w:val="center"/>
        <w:rPr>
          <w:rFonts w:hint="eastAsia" w:ascii="宋体" w:hAnsi="宋体" w:eastAsia="宋体" w:cs="宋体"/>
          <w:b/>
          <w:bCs w:val="0"/>
          <w:color w:val="auto"/>
          <w:sz w:val="21"/>
          <w:szCs w:val="21"/>
          <w:highlight w:val="none"/>
        </w:rPr>
      </w:pPr>
    </w:p>
    <w:p w14:paraId="576172D2">
      <w:pPr>
        <w:adjustRightInd w:val="0"/>
        <w:snapToGrid w:val="0"/>
        <w:spacing w:line="360" w:lineRule="auto"/>
        <w:jc w:val="center"/>
        <w:rPr>
          <w:rFonts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第二部分  投标人须知前附表</w:t>
      </w:r>
      <w:bookmarkEnd w:id="28"/>
      <w:bookmarkEnd w:id="29"/>
      <w:bookmarkEnd w:id="30"/>
      <w:bookmarkEnd w:id="31"/>
      <w:bookmarkEnd w:id="32"/>
    </w:p>
    <w:tbl>
      <w:tblPr>
        <w:tblStyle w:val="18"/>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769"/>
        <w:gridCol w:w="6843"/>
      </w:tblGrid>
      <w:tr w14:paraId="4E9C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646" w:type="dxa"/>
            <w:vAlign w:val="center"/>
          </w:tcPr>
          <w:p w14:paraId="7690659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69" w:type="dxa"/>
            <w:vAlign w:val="center"/>
          </w:tcPr>
          <w:p w14:paraId="3B8B2B9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c>
          <w:tcPr>
            <w:tcW w:w="6843" w:type="dxa"/>
            <w:vAlign w:val="center"/>
          </w:tcPr>
          <w:p w14:paraId="290E0EE3">
            <w:pPr>
              <w:pStyle w:val="10"/>
              <w:snapToGrid w:val="0"/>
              <w:spacing w:before="158" w:after="158" w:line="360" w:lineRule="auto"/>
              <w:jc w:val="center"/>
              <w:rPr>
                <w:rFonts w:hAnsi="宋体" w:cs="宋体"/>
                <w:b/>
                <w:color w:val="auto"/>
                <w:sz w:val="21"/>
                <w:szCs w:val="21"/>
                <w:highlight w:val="none"/>
              </w:rPr>
            </w:pPr>
            <w:r>
              <w:rPr>
                <w:rFonts w:hint="eastAsia" w:hAnsi="宋体" w:cs="宋体"/>
                <w:b/>
                <w:color w:val="auto"/>
                <w:kern w:val="0"/>
                <w:sz w:val="21"/>
                <w:szCs w:val="21"/>
                <w:highlight w:val="none"/>
              </w:rPr>
              <w:t>说明与要求</w:t>
            </w:r>
          </w:p>
        </w:tc>
      </w:tr>
      <w:tr w14:paraId="44E6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646" w:type="dxa"/>
            <w:vAlign w:val="center"/>
          </w:tcPr>
          <w:p w14:paraId="01E9B3A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769" w:type="dxa"/>
            <w:vAlign w:val="center"/>
          </w:tcPr>
          <w:p w14:paraId="1908A300">
            <w:pPr>
              <w:pStyle w:val="25"/>
              <w:tabs>
                <w:tab w:val="clear" w:pos="2880"/>
              </w:tabs>
              <w:snapToGrid w:val="0"/>
              <w:spacing w:line="360" w:lineRule="auto"/>
              <w:ind w:left="0" w:firstLine="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投标人应具备的资格要求</w:t>
            </w:r>
          </w:p>
        </w:tc>
        <w:tc>
          <w:tcPr>
            <w:tcW w:w="6843" w:type="dxa"/>
            <w:vAlign w:val="center"/>
          </w:tcPr>
          <w:p w14:paraId="1338593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（1）具备政府采购法第二十二条规定的条件；</w:t>
            </w:r>
          </w:p>
          <w:p w14:paraId="047B00D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（2）本包是否接受联合体参加：否</w:t>
            </w:r>
          </w:p>
          <w:p w14:paraId="122CDC4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（3）本包是否接受代理商参加：是</w:t>
            </w:r>
          </w:p>
          <w:p w14:paraId="0A11E60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（4）本包所需的其他特定资格条件：</w:t>
            </w:r>
            <w:r>
              <w:rPr>
                <w:rFonts w:hint="eastAsia" w:ascii="宋体" w:hAnsi="宋体"/>
                <w:color w:val="auto"/>
                <w:szCs w:val="21"/>
                <w:highlight w:val="none"/>
                <w:lang w:val="en-US" w:eastAsia="zh-CN"/>
              </w:rPr>
              <w:t>无</w:t>
            </w:r>
          </w:p>
        </w:tc>
      </w:tr>
      <w:tr w14:paraId="6901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46" w:type="dxa"/>
            <w:vAlign w:val="center"/>
          </w:tcPr>
          <w:p w14:paraId="40D6CC0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w:t>
            </w:r>
          </w:p>
        </w:tc>
        <w:tc>
          <w:tcPr>
            <w:tcW w:w="1769" w:type="dxa"/>
            <w:vAlign w:val="center"/>
          </w:tcPr>
          <w:p w14:paraId="5ACEB76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投标文件要求</w:t>
            </w:r>
          </w:p>
        </w:tc>
        <w:tc>
          <w:tcPr>
            <w:tcW w:w="6843" w:type="dxa"/>
            <w:vAlign w:val="center"/>
          </w:tcPr>
          <w:p w14:paraId="7CF8687F">
            <w:pPr>
              <w:pStyle w:val="8"/>
              <w:autoSpaceDE/>
              <w:autoSpaceDN/>
              <w:snapToGrid w:val="0"/>
              <w:spacing w:line="360" w:lineRule="auto"/>
              <w:rPr>
                <w:rFonts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投标人上传一份经投标人单位CA数字证书加密的.jmbs格式投标文件至“山西政府采购平台”。因投标人自身原因而导致投标文件无法导入“山西政府采购平台”电子开标、评标系统，该投标视为无效投标，投标人自行承担由此导致的全部责任。</w:t>
            </w:r>
          </w:p>
        </w:tc>
      </w:tr>
      <w:tr w14:paraId="5F46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53DB0E7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3</w:t>
            </w:r>
          </w:p>
        </w:tc>
        <w:tc>
          <w:tcPr>
            <w:tcW w:w="1769" w:type="dxa"/>
            <w:vAlign w:val="center"/>
          </w:tcPr>
          <w:p w14:paraId="30833C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投标文件（资格证明文件）</w:t>
            </w:r>
          </w:p>
        </w:tc>
        <w:tc>
          <w:tcPr>
            <w:tcW w:w="6843" w:type="dxa"/>
            <w:vAlign w:val="center"/>
          </w:tcPr>
          <w:p w14:paraId="1AC46848">
            <w:pPr>
              <w:adjustRightInd w:val="0"/>
              <w:snapToGrid w:val="0"/>
              <w:spacing w:line="360" w:lineRule="auto"/>
              <w:ind w:left="316" w:hanging="316" w:hangingChars="150"/>
              <w:jc w:val="left"/>
              <w:rPr>
                <w:rFonts w:ascii="宋体" w:hAnsi="宋体" w:cs="宋体"/>
                <w:b/>
                <w:color w:val="auto"/>
                <w:szCs w:val="21"/>
                <w:highlight w:val="none"/>
              </w:rPr>
            </w:pPr>
            <w:r>
              <w:rPr>
                <w:rFonts w:hint="eastAsia" w:ascii="宋体" w:hAnsi="宋体" w:cs="宋体"/>
                <w:b/>
                <w:color w:val="auto"/>
                <w:szCs w:val="21"/>
                <w:highlight w:val="none"/>
              </w:rPr>
              <w:t>1、投标人代表的证明</w:t>
            </w:r>
          </w:p>
          <w:p w14:paraId="21D0591B">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 xml:space="preserve">（1）法定代表人（负责人）参加投标的，提供“法定代表人（负责人）证明书”； </w:t>
            </w:r>
          </w:p>
          <w:p w14:paraId="32808AD9">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（2）委托代理人参加投标的，提供“法定代表人（负责人）证明书、法定代表人（负责人）授权委托书”；</w:t>
            </w:r>
          </w:p>
          <w:p w14:paraId="7D9E36F4">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（3）自然人参加投标的，提供个人身份证明扫描件；</w:t>
            </w:r>
          </w:p>
          <w:p w14:paraId="7BC01FE2">
            <w:pPr>
              <w:adjustRightInd w:val="0"/>
              <w:snapToGrid w:val="0"/>
              <w:spacing w:line="360" w:lineRule="auto"/>
              <w:ind w:left="2" w:leftChars="1" w:firstLine="310" w:firstLineChars="148"/>
              <w:rPr>
                <w:rFonts w:ascii="宋体" w:hAnsi="宋体" w:cs="宋体"/>
                <w:color w:val="auto"/>
                <w:szCs w:val="21"/>
                <w:highlight w:val="none"/>
              </w:rPr>
            </w:pPr>
            <w:r>
              <w:rPr>
                <w:rFonts w:hint="eastAsia" w:ascii="宋体" w:hAnsi="宋体" w:cs="宋体"/>
                <w:color w:val="auto"/>
                <w:szCs w:val="21"/>
                <w:highlight w:val="none"/>
              </w:rPr>
              <w:t>（格式见第八部分）</w:t>
            </w:r>
          </w:p>
          <w:p w14:paraId="644D6CE6">
            <w:pPr>
              <w:numPr>
                <w:ilvl w:val="0"/>
                <w:numId w:val="0"/>
              </w:numPr>
              <w:adjustRightInd w:val="0"/>
              <w:snapToGrid w:val="0"/>
              <w:spacing w:line="360" w:lineRule="auto"/>
              <w:jc w:val="left"/>
              <w:rPr>
                <w:rFonts w:ascii="宋体" w:hAnsi="宋体" w:cs="宋体"/>
                <w:b/>
                <w:color w:val="auto"/>
                <w:szCs w:val="21"/>
                <w:highlight w:val="none"/>
              </w:rPr>
            </w:pPr>
            <w:r>
              <w:rPr>
                <w:rFonts w:ascii="宋体" w:hAnsi="宋体" w:eastAsia="宋体" w:cs="宋体"/>
                <w:b/>
                <w:color w:val="auto"/>
                <w:kern w:val="2"/>
                <w:sz w:val="21"/>
                <w:szCs w:val="21"/>
                <w:highlight w:val="none"/>
                <w:lang w:val="en-US" w:eastAsia="zh-CN" w:bidi="ar-SA"/>
              </w:rPr>
              <w:t>2、</w:t>
            </w:r>
            <w:r>
              <w:rPr>
                <w:rFonts w:hint="eastAsia" w:ascii="宋体" w:hAnsi="宋体" w:cs="宋体"/>
                <w:b/>
                <w:color w:val="auto"/>
                <w:szCs w:val="21"/>
                <w:highlight w:val="none"/>
              </w:rPr>
              <w:t>投标函</w:t>
            </w:r>
          </w:p>
          <w:p w14:paraId="605C2796">
            <w:pPr>
              <w:numPr>
                <w:ilvl w:val="0"/>
                <w:numId w:val="0"/>
              </w:numPr>
              <w:adjustRightInd w:val="0"/>
              <w:snapToGrid w:val="0"/>
              <w:spacing w:line="360" w:lineRule="auto"/>
              <w:jc w:val="left"/>
              <w:rPr>
                <w:rFonts w:ascii="宋体" w:hAnsi="宋体" w:cs="宋体"/>
                <w:b/>
                <w:color w:val="auto"/>
                <w:szCs w:val="21"/>
                <w:highlight w:val="none"/>
              </w:rPr>
            </w:pPr>
            <w:r>
              <w:rPr>
                <w:rFonts w:ascii="宋体" w:hAnsi="宋体" w:eastAsia="宋体" w:cs="宋体"/>
                <w:b/>
                <w:color w:val="auto"/>
                <w:kern w:val="2"/>
                <w:sz w:val="21"/>
                <w:szCs w:val="21"/>
                <w:highlight w:val="none"/>
                <w:lang w:val="en-US" w:eastAsia="zh-CN" w:bidi="ar-SA"/>
              </w:rPr>
              <w:t>3、</w:t>
            </w:r>
            <w:r>
              <w:rPr>
                <w:rFonts w:hint="eastAsia" w:ascii="宋体" w:hAnsi="宋体" w:cs="宋体"/>
                <w:b/>
                <w:color w:val="auto"/>
                <w:szCs w:val="21"/>
                <w:highlight w:val="none"/>
              </w:rPr>
              <w:t>《政府采购投标人承诺书》</w:t>
            </w:r>
          </w:p>
          <w:p w14:paraId="33D80BD3">
            <w:pPr>
              <w:adjustRightInd w:val="0"/>
              <w:snapToGrid w:val="0"/>
              <w:spacing w:line="360" w:lineRule="auto"/>
              <w:ind w:left="316" w:hanging="316" w:hangingChars="150"/>
              <w:rPr>
                <w:rFonts w:ascii="宋体" w:hAnsi="宋体" w:cs="宋体"/>
                <w:b/>
                <w:color w:val="auto"/>
                <w:szCs w:val="21"/>
                <w:highlight w:val="none"/>
              </w:rPr>
            </w:pPr>
            <w:r>
              <w:rPr>
                <w:rFonts w:hint="eastAsia" w:ascii="宋体" w:hAnsi="宋体" w:cs="宋体"/>
                <w:b/>
                <w:color w:val="auto"/>
                <w:szCs w:val="21"/>
                <w:highlight w:val="none"/>
              </w:rPr>
              <w:t>4、本项目其他特定资格条件</w:t>
            </w:r>
          </w:p>
          <w:p w14:paraId="7DE4BFAB">
            <w:pPr>
              <w:adjustRightInd w:val="0"/>
              <w:snapToGrid w:val="0"/>
              <w:spacing w:line="360" w:lineRule="auto"/>
              <w:ind w:left="2" w:leftChars="1" w:firstLine="426" w:firstLineChars="203"/>
              <w:rPr>
                <w:rFonts w:ascii="宋体" w:hAnsi="宋体" w:cs="宋体"/>
                <w:color w:val="auto"/>
                <w:szCs w:val="21"/>
                <w:highlight w:val="none"/>
              </w:rPr>
            </w:pPr>
            <w:r>
              <w:rPr>
                <w:rFonts w:hint="eastAsia" w:ascii="宋体" w:hAnsi="宋体" w:cs="宋体"/>
                <w:color w:val="auto"/>
                <w:szCs w:val="21"/>
                <w:highlight w:val="none"/>
              </w:rPr>
              <w:t>按照本部分序号1“</w:t>
            </w:r>
            <w:r>
              <w:rPr>
                <w:rFonts w:hint="eastAsia" w:ascii="宋体" w:hAnsi="宋体" w:cs="宋体"/>
                <w:bCs/>
                <w:color w:val="auto"/>
                <w:szCs w:val="21"/>
                <w:highlight w:val="none"/>
              </w:rPr>
              <w:t>其他特定资格条件</w:t>
            </w:r>
            <w:r>
              <w:rPr>
                <w:rFonts w:hint="eastAsia" w:ascii="宋体" w:hAnsi="宋体" w:cs="宋体"/>
                <w:color w:val="auto"/>
                <w:szCs w:val="21"/>
                <w:highlight w:val="none"/>
              </w:rPr>
              <w:t>”规定提交相关证明文件；</w:t>
            </w:r>
          </w:p>
          <w:p w14:paraId="3B0022D6">
            <w:pPr>
              <w:adjustRightInd w:val="0"/>
              <w:snapToGrid w:val="0"/>
              <w:spacing w:line="360" w:lineRule="auto"/>
              <w:ind w:left="316" w:hanging="316" w:hangingChars="150"/>
              <w:rPr>
                <w:rFonts w:ascii="宋体" w:hAnsi="宋体" w:cs="宋体"/>
                <w:b/>
                <w:color w:val="auto"/>
                <w:szCs w:val="21"/>
                <w:highlight w:val="none"/>
              </w:rPr>
            </w:pPr>
            <w:r>
              <w:rPr>
                <w:rFonts w:hint="eastAsia" w:ascii="宋体" w:hAnsi="宋体" w:cs="宋体"/>
                <w:b/>
                <w:color w:val="auto"/>
                <w:szCs w:val="21"/>
                <w:highlight w:val="none"/>
              </w:rPr>
              <w:t>5、基本存款账户开户许可证</w:t>
            </w:r>
          </w:p>
          <w:p w14:paraId="1058C588">
            <w:pPr>
              <w:adjustRightInd w:val="0"/>
              <w:snapToGrid w:val="0"/>
              <w:spacing w:line="360" w:lineRule="auto"/>
              <w:ind w:left="2" w:leftChars="1" w:firstLine="426" w:firstLineChars="203"/>
              <w:rPr>
                <w:rFonts w:ascii="宋体" w:hAnsi="宋体" w:cs="宋体"/>
                <w:color w:val="auto"/>
                <w:szCs w:val="21"/>
                <w:highlight w:val="none"/>
              </w:rPr>
            </w:pPr>
            <w:r>
              <w:rPr>
                <w:rFonts w:hint="eastAsia" w:ascii="宋体" w:hAnsi="宋体" w:cs="宋体"/>
                <w:color w:val="auto"/>
                <w:szCs w:val="21"/>
                <w:highlight w:val="none"/>
              </w:rPr>
              <w:t>提供投标人基本存款账户开户许可证（或基本存款账户信息）。</w:t>
            </w:r>
          </w:p>
          <w:p w14:paraId="0CC47169">
            <w:pPr>
              <w:adjustRightInd w:val="0"/>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6、投标主体</w:t>
            </w:r>
          </w:p>
          <w:p w14:paraId="3533ED70">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本项目将根据投标人提供的上述文件进行资格审查，具体资格审查内容及标准见第五部分。</w:t>
            </w:r>
          </w:p>
        </w:tc>
      </w:tr>
      <w:tr w14:paraId="0729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646" w:type="dxa"/>
            <w:vAlign w:val="center"/>
          </w:tcPr>
          <w:p w14:paraId="1F948C6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4</w:t>
            </w:r>
          </w:p>
        </w:tc>
        <w:tc>
          <w:tcPr>
            <w:tcW w:w="1769" w:type="dxa"/>
            <w:vAlign w:val="center"/>
          </w:tcPr>
          <w:p w14:paraId="3781E11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（商务技术文件）</w:t>
            </w:r>
          </w:p>
        </w:tc>
        <w:tc>
          <w:tcPr>
            <w:tcW w:w="6843" w:type="dxa"/>
            <w:vAlign w:val="center"/>
          </w:tcPr>
          <w:p w14:paraId="62C148BC">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报价一览表</w:t>
            </w:r>
            <w:r>
              <w:rPr>
                <w:rFonts w:hint="eastAsia" w:ascii="宋体" w:hAnsi="宋体" w:eastAsia="宋体" w:cs="宋体"/>
                <w:color w:val="auto"/>
                <w:szCs w:val="21"/>
                <w:highlight w:val="none"/>
                <w:lang w:eastAsia="zh-CN"/>
              </w:rPr>
              <w:t>；</w:t>
            </w:r>
          </w:p>
          <w:p w14:paraId="0833BAF4">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2、对商务要求的响应内容；</w:t>
            </w:r>
          </w:p>
          <w:p w14:paraId="56FC8982">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3、对实质性要求的响应内容；</w:t>
            </w:r>
          </w:p>
          <w:p w14:paraId="00F9DB03">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4、对非实质性要求的响应内容；</w:t>
            </w:r>
          </w:p>
          <w:p w14:paraId="064A998B">
            <w:pPr>
              <w:adjustRightInd w:val="0"/>
              <w:snapToGrid w:val="0"/>
              <w:spacing w:line="360" w:lineRule="auto"/>
              <w:ind w:left="315" w:hanging="315" w:hangingChars="1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对服务要求的响应内容；</w:t>
            </w:r>
          </w:p>
          <w:p w14:paraId="214BC93A">
            <w:pPr>
              <w:adjustRightInd w:val="0"/>
              <w:snapToGrid w:val="0"/>
              <w:spacing w:line="360" w:lineRule="auto"/>
              <w:ind w:left="315" w:hanging="315" w:hangingChars="150"/>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lang w:eastAsia="zh-CN"/>
              </w:rPr>
              <w:t>要求的响应内容</w:t>
            </w:r>
            <w:r>
              <w:rPr>
                <w:rFonts w:hint="eastAsia" w:ascii="宋体" w:hAnsi="宋体" w:cs="宋体"/>
                <w:color w:val="auto"/>
                <w:szCs w:val="21"/>
                <w:highlight w:val="none"/>
              </w:rPr>
              <w:t>；</w:t>
            </w:r>
          </w:p>
          <w:p w14:paraId="3DE7EEA2">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、类似合同案例及相关证明资料；</w:t>
            </w:r>
          </w:p>
          <w:p w14:paraId="79CEC83C">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响应方案</w:t>
            </w:r>
            <w:r>
              <w:rPr>
                <w:rFonts w:hint="eastAsia" w:ascii="宋体" w:hAnsi="宋体" w:cs="宋体"/>
                <w:color w:val="auto"/>
                <w:szCs w:val="21"/>
                <w:highlight w:val="none"/>
              </w:rPr>
              <w:t>；</w:t>
            </w:r>
          </w:p>
          <w:p w14:paraId="5127F69C">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、投标人认为需要提供的其它文件。</w:t>
            </w:r>
          </w:p>
          <w:p w14:paraId="777731AC">
            <w:pPr>
              <w:adjustRightInd w:val="0"/>
              <w:snapToGrid w:val="0"/>
              <w:spacing w:line="360" w:lineRule="auto"/>
              <w:ind w:left="316" w:hanging="316" w:hangingChars="150"/>
              <w:rPr>
                <w:rFonts w:ascii="宋体" w:hAnsi="宋体" w:cs="宋体"/>
                <w:b/>
                <w:bCs/>
                <w:color w:val="auto"/>
                <w:szCs w:val="21"/>
                <w:highlight w:val="none"/>
              </w:rPr>
            </w:pPr>
            <w:r>
              <w:rPr>
                <w:rFonts w:hint="eastAsia" w:ascii="宋体" w:hAnsi="宋体" w:cs="宋体"/>
                <w:b/>
                <w:bCs/>
                <w:color w:val="auto"/>
                <w:szCs w:val="21"/>
                <w:highlight w:val="none"/>
              </w:rPr>
              <w:t>说明：以上内容涉及的格式资料详见第八部分；</w:t>
            </w:r>
          </w:p>
          <w:p w14:paraId="1344DB81">
            <w:pPr>
              <w:adjustRightInd w:val="0"/>
              <w:snapToGrid w:val="0"/>
              <w:spacing w:line="360" w:lineRule="auto"/>
              <w:ind w:left="315" w:leftChars="150" w:firstLine="316" w:firstLineChars="150"/>
              <w:rPr>
                <w:rFonts w:ascii="宋体" w:hAnsi="宋体" w:cs="宋体"/>
                <w:color w:val="auto"/>
                <w:szCs w:val="21"/>
                <w:highlight w:val="none"/>
              </w:rPr>
            </w:pPr>
            <w:r>
              <w:rPr>
                <w:rFonts w:hint="eastAsia" w:ascii="宋体" w:hAnsi="宋体" w:cs="宋体"/>
                <w:b/>
                <w:bCs/>
                <w:color w:val="auto"/>
                <w:szCs w:val="21"/>
                <w:highlight w:val="none"/>
              </w:rPr>
              <w:t>以上涉及相关要求的内容见本文件第四部分相对应内容。</w:t>
            </w:r>
          </w:p>
        </w:tc>
      </w:tr>
      <w:tr w14:paraId="2698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6" w:type="dxa"/>
            <w:vAlign w:val="center"/>
          </w:tcPr>
          <w:p w14:paraId="36BE76E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5</w:t>
            </w:r>
          </w:p>
        </w:tc>
        <w:tc>
          <w:tcPr>
            <w:tcW w:w="1769" w:type="dxa"/>
            <w:vAlign w:val="center"/>
          </w:tcPr>
          <w:p w14:paraId="2361435D">
            <w:pPr>
              <w:snapToGrid w:val="0"/>
              <w:spacing w:line="360" w:lineRule="auto"/>
              <w:ind w:firstLine="105" w:firstLineChars="50"/>
              <w:jc w:val="center"/>
              <w:rPr>
                <w:rFonts w:ascii="宋体" w:hAnsi="宋体" w:cs="宋体"/>
                <w:b/>
                <w:color w:val="auto"/>
                <w:szCs w:val="21"/>
                <w:highlight w:val="none"/>
              </w:rPr>
            </w:pPr>
            <w:r>
              <w:rPr>
                <w:rFonts w:hint="eastAsia" w:ascii="宋体" w:hAnsi="宋体" w:cs="宋体"/>
                <w:b/>
                <w:color w:val="auto"/>
                <w:szCs w:val="21"/>
                <w:highlight w:val="none"/>
              </w:rPr>
              <w:t>保证金金额</w:t>
            </w:r>
          </w:p>
        </w:tc>
        <w:tc>
          <w:tcPr>
            <w:tcW w:w="6843" w:type="dxa"/>
            <w:vAlign w:val="center"/>
          </w:tcPr>
          <w:p w14:paraId="1B428A1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本项目不收取保证金</w:t>
            </w:r>
          </w:p>
        </w:tc>
      </w:tr>
      <w:tr w14:paraId="5367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6" w:type="dxa"/>
            <w:vAlign w:val="center"/>
          </w:tcPr>
          <w:p w14:paraId="04B7122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6</w:t>
            </w:r>
          </w:p>
        </w:tc>
        <w:tc>
          <w:tcPr>
            <w:tcW w:w="1769" w:type="dxa"/>
            <w:vAlign w:val="center"/>
          </w:tcPr>
          <w:p w14:paraId="74094C41">
            <w:pPr>
              <w:snapToGrid w:val="0"/>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投标文件有效期</w:t>
            </w:r>
          </w:p>
        </w:tc>
        <w:tc>
          <w:tcPr>
            <w:tcW w:w="6843" w:type="dxa"/>
            <w:vAlign w:val="center"/>
          </w:tcPr>
          <w:p w14:paraId="6BAD7F4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90日历天（从提交</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之日起计算）</w:t>
            </w:r>
          </w:p>
        </w:tc>
      </w:tr>
      <w:tr w14:paraId="28A3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46" w:type="dxa"/>
            <w:vAlign w:val="center"/>
          </w:tcPr>
          <w:p w14:paraId="3B89342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7</w:t>
            </w:r>
          </w:p>
        </w:tc>
        <w:tc>
          <w:tcPr>
            <w:tcW w:w="1769" w:type="dxa"/>
            <w:vAlign w:val="center"/>
          </w:tcPr>
          <w:p w14:paraId="54395A1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政府采购相关政策要求（如涉及的话）</w:t>
            </w:r>
          </w:p>
        </w:tc>
        <w:tc>
          <w:tcPr>
            <w:tcW w:w="6843" w:type="dxa"/>
            <w:vAlign w:val="center"/>
          </w:tcPr>
          <w:p w14:paraId="50B1FE3B">
            <w:pPr>
              <w:adjustRightInd w:val="0"/>
              <w:snapToGrid w:val="0"/>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rPr>
              <w:t>1、本项目涉及进口产品的要求：</w:t>
            </w:r>
          </w:p>
          <w:p w14:paraId="7EA49525">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本项目采购标的物未特别注明“进口产品”（通过中国海关报关验放进入中国境内且产自境外的产品）字样的，均必须采购国产产品。</w:t>
            </w:r>
          </w:p>
          <w:p w14:paraId="3031B57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2、本项目涉及政府强制采购品目清单产品的要求： </w:t>
            </w:r>
          </w:p>
          <w:p w14:paraId="3DE4862D">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（1）本项目采购标的物中如包含国家政府强制采购品目清单中产品的，投标人必须投报获得有效产品认证证书的产品，并提供有效认证证书影印件。</w:t>
            </w:r>
          </w:p>
          <w:p w14:paraId="4747B484">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（2）投报产品中如包含政府强制采购品目清单产品的，投标人需将所有政府强制采购的节能产品如实填写到《政府强制采购产品明细表》（格式见第八部分）。</w:t>
            </w:r>
          </w:p>
          <w:p w14:paraId="5AB81B5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3、本项目涉及正版软件的要求：</w:t>
            </w:r>
          </w:p>
          <w:p w14:paraId="1C1D9D3F">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投标人需承诺投报的计算机产品预装正版操作系统，投报的硬件产品内的预装软件为正版软件。</w:t>
            </w:r>
          </w:p>
          <w:p w14:paraId="72AF1FD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4、本项目涉及信息安全产品的要求：</w:t>
            </w:r>
          </w:p>
          <w:p w14:paraId="7E32B7C7">
            <w:pPr>
              <w:adjustRightInd w:val="0"/>
              <w:snapToGrid w:val="0"/>
              <w:spacing w:line="360" w:lineRule="auto"/>
              <w:ind w:left="315" w:leftChars="150"/>
              <w:rPr>
                <w:rFonts w:ascii="宋体" w:hAnsi="宋体" w:cs="宋体"/>
                <w:color w:val="auto"/>
                <w:szCs w:val="21"/>
                <w:highlight w:val="none"/>
              </w:rPr>
            </w:pPr>
            <w:r>
              <w:rPr>
                <w:rFonts w:hint="eastAsia" w:ascii="宋体" w:hAnsi="宋体" w:cs="宋体"/>
                <w:color w:val="auto"/>
                <w:szCs w:val="21"/>
                <w:highlight w:val="none"/>
              </w:rPr>
              <w:t>投标货物中如含有财政部会同有关部门制定下发的《信息安全产品强制性认证目录》中的产品（8类13项），需提供中国信息安全认证中心按国家标准认证颁发的有效认证证书。</w:t>
            </w:r>
          </w:p>
          <w:p w14:paraId="2A808C8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5、小型、微型企业参加本项目投标要求：</w:t>
            </w:r>
          </w:p>
          <w:p w14:paraId="35A5DA8D">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27C732E4">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2）小、微企业只有提供本企业制造的货物或者服务，或者提供其他小、微企业制造的货物，享受投标货物的价格折扣。若有的话，如实填写《小微企业/残疾人福利性单位提供货物/服务明细表》（格式见第八部分）；</w:t>
            </w:r>
          </w:p>
          <w:p w14:paraId="2862B257">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（3）小、微型企业提供中型企业制造的货物，视同为中型企业。</w:t>
            </w:r>
          </w:p>
          <w:p w14:paraId="1D98926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6、残疾人福利性单位参加本项目投标的要求：</w:t>
            </w:r>
          </w:p>
          <w:p w14:paraId="5AD4CBAF">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（1）须根据财库【2017】141号《关于促进残疾人就业政府采购政策的通知》的要求，如实填写残疾人福利性单位声明函（格式见第八部分）。</w:t>
            </w:r>
          </w:p>
          <w:p w14:paraId="273F8ACD">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cs="宋体"/>
                <w:color w:val="auto"/>
                <w:szCs w:val="21"/>
                <w:highlight w:val="none"/>
              </w:rPr>
              <w:t>（2）投标人提供的《残疾人福利性单位声明函》与事实不符的，依照《</w:t>
            </w:r>
            <w:r>
              <w:rPr>
                <w:rFonts w:hint="eastAsia" w:ascii="宋体" w:hAnsi="宋体" w:cs="宋体"/>
                <w:color w:val="auto"/>
                <w:szCs w:val="21"/>
                <w:highlight w:val="none"/>
                <w:lang w:eastAsia="zh-CN"/>
              </w:rPr>
              <w:t>中华人民共和国</w:t>
            </w:r>
            <w:r>
              <w:rPr>
                <w:rFonts w:hint="eastAsia" w:ascii="宋体" w:hAnsi="宋体" w:cs="宋体"/>
                <w:color w:val="auto"/>
                <w:szCs w:val="21"/>
                <w:highlight w:val="none"/>
              </w:rPr>
              <w:t>政府采购法》第七十七条第一款的规定追究法律责任。</w:t>
            </w:r>
          </w:p>
          <w:p w14:paraId="3BFB120C">
            <w:pPr>
              <w:adjustRightInd w:val="0"/>
              <w:snapToGrid w:val="0"/>
              <w:spacing w:line="360" w:lineRule="auto"/>
              <w:ind w:left="315" w:leftChars="100" w:hanging="105" w:hangingChars="50"/>
              <w:rPr>
                <w:rFonts w:hint="eastAsia" w:ascii="宋体" w:hAnsi="宋体" w:cs="宋体"/>
                <w:color w:val="auto"/>
                <w:szCs w:val="21"/>
                <w:highlight w:val="none"/>
              </w:rPr>
            </w:pPr>
            <w:r>
              <w:rPr>
                <w:rFonts w:hint="eastAsia" w:ascii="宋体" w:hAnsi="宋体" w:cs="宋体"/>
                <w:color w:val="auto"/>
                <w:szCs w:val="21"/>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59C83E54">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7、实施本国产品标准及相关政策：</w:t>
            </w:r>
          </w:p>
          <w:p w14:paraId="7DC8FD82">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5E892A89">
            <w:pPr>
              <w:adjustRightInd w:val="0"/>
              <w:snapToGrid w:val="0"/>
              <w:spacing w:line="360" w:lineRule="auto"/>
              <w:ind w:firstLine="420" w:firstLineChars="200"/>
              <w:rPr>
                <w:color w:val="auto"/>
              </w:rPr>
            </w:pPr>
            <w:r>
              <w:rPr>
                <w:rFonts w:hint="eastAsia" w:ascii="宋体" w:hAnsi="宋体" w:eastAsia="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C19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6" w:type="dxa"/>
            <w:vAlign w:val="center"/>
          </w:tcPr>
          <w:p w14:paraId="12A816C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8</w:t>
            </w:r>
          </w:p>
        </w:tc>
        <w:tc>
          <w:tcPr>
            <w:tcW w:w="1769" w:type="dxa"/>
            <w:vAlign w:val="center"/>
          </w:tcPr>
          <w:p w14:paraId="745628FD">
            <w:pPr>
              <w:snapToGrid w:val="0"/>
              <w:spacing w:line="360" w:lineRule="auto"/>
              <w:jc w:val="center"/>
              <w:rPr>
                <w:rFonts w:ascii="宋体" w:hAnsi="宋体" w:cs="宋体"/>
                <w:bCs/>
                <w:color w:val="auto"/>
                <w:szCs w:val="21"/>
                <w:highlight w:val="none"/>
              </w:rPr>
            </w:pPr>
            <w:r>
              <w:rPr>
                <w:rFonts w:hint="eastAsia" w:ascii="宋体" w:hAnsi="宋体" w:cs="宋体"/>
                <w:b/>
                <w:color w:val="auto"/>
                <w:szCs w:val="21"/>
                <w:highlight w:val="none"/>
              </w:rPr>
              <w:t>本项目预算金额及最高限价</w:t>
            </w:r>
          </w:p>
        </w:tc>
        <w:tc>
          <w:tcPr>
            <w:tcW w:w="6843" w:type="dxa"/>
            <w:vAlign w:val="center"/>
          </w:tcPr>
          <w:p w14:paraId="3CC6D60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项目预算：人民币：</w:t>
            </w:r>
            <w:r>
              <w:rPr>
                <w:rFonts w:hint="eastAsia" w:ascii="宋体" w:hAnsi="宋体" w:cs="宋体"/>
                <w:color w:val="auto"/>
                <w:szCs w:val="21"/>
                <w:highlight w:val="none"/>
                <w:lang w:val="en-US" w:eastAsia="zh-CN"/>
              </w:rPr>
              <w:t>4800000</w:t>
            </w:r>
            <w:r>
              <w:rPr>
                <w:rFonts w:hint="eastAsia" w:ascii="宋体" w:hAnsi="宋体" w:cs="宋体"/>
                <w:color w:val="auto"/>
                <w:szCs w:val="21"/>
                <w:highlight w:val="none"/>
              </w:rPr>
              <w:t>元（大写：</w:t>
            </w:r>
            <w:r>
              <w:rPr>
                <w:rFonts w:hint="eastAsia" w:ascii="宋体" w:hAnsi="宋体" w:cs="宋体"/>
                <w:color w:val="auto"/>
                <w:szCs w:val="21"/>
                <w:highlight w:val="none"/>
                <w:lang w:val="en-US" w:eastAsia="zh-CN"/>
              </w:rPr>
              <w:t>肆佰捌拾万</w:t>
            </w:r>
            <w:r>
              <w:rPr>
                <w:rFonts w:hint="eastAsia" w:ascii="宋体" w:hAnsi="宋体" w:cs="宋体"/>
                <w:color w:val="auto"/>
                <w:szCs w:val="21"/>
                <w:highlight w:val="none"/>
              </w:rPr>
              <w:t>圆整）</w:t>
            </w:r>
          </w:p>
          <w:p w14:paraId="7EF2AF8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最高限价：人民币：</w:t>
            </w:r>
            <w:r>
              <w:rPr>
                <w:rFonts w:hint="eastAsia" w:ascii="宋体" w:hAnsi="宋体" w:cs="宋体"/>
                <w:color w:val="auto"/>
                <w:szCs w:val="21"/>
                <w:highlight w:val="none"/>
                <w:lang w:val="en-US" w:eastAsia="zh-CN"/>
              </w:rPr>
              <w:t>4800000</w:t>
            </w:r>
            <w:r>
              <w:rPr>
                <w:rFonts w:hint="eastAsia" w:ascii="宋体" w:hAnsi="宋体" w:cs="宋体"/>
                <w:color w:val="auto"/>
                <w:szCs w:val="21"/>
                <w:highlight w:val="none"/>
              </w:rPr>
              <w:t>元（大写：</w:t>
            </w:r>
            <w:r>
              <w:rPr>
                <w:rFonts w:hint="eastAsia" w:ascii="宋体" w:hAnsi="宋体" w:cs="宋体"/>
                <w:color w:val="auto"/>
                <w:szCs w:val="21"/>
                <w:highlight w:val="none"/>
                <w:lang w:val="en-US" w:eastAsia="zh-CN"/>
              </w:rPr>
              <w:t>肆佰捌拾万</w:t>
            </w:r>
            <w:r>
              <w:rPr>
                <w:rFonts w:hint="eastAsia" w:ascii="宋体" w:hAnsi="宋体" w:cs="宋体"/>
                <w:color w:val="auto"/>
                <w:szCs w:val="21"/>
                <w:highlight w:val="none"/>
              </w:rPr>
              <w:t>圆整）</w:t>
            </w:r>
          </w:p>
          <w:p w14:paraId="7774CB30">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注：投标</w:t>
            </w:r>
            <w:r>
              <w:rPr>
                <w:rFonts w:hint="eastAsia" w:ascii="宋体" w:hAnsi="宋体" w:cs="宋体"/>
                <w:i w:val="0"/>
                <w:iCs w:val="0"/>
                <w:color w:val="auto"/>
                <w:kern w:val="0"/>
                <w:sz w:val="21"/>
                <w:szCs w:val="21"/>
                <w:highlight w:val="none"/>
                <w:u w:val="none"/>
                <w:lang w:val="en-US" w:eastAsia="zh-CN" w:bidi="ar"/>
              </w:rPr>
              <w:t>报价包含货物的供应、运输、装卸、安装、调试、售后服务、培训服务、税金及设备所需各种配件等。</w:t>
            </w:r>
          </w:p>
        </w:tc>
      </w:tr>
      <w:tr w14:paraId="1F23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46" w:type="dxa"/>
            <w:vAlign w:val="center"/>
          </w:tcPr>
          <w:p w14:paraId="5CCBAC5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9</w:t>
            </w:r>
          </w:p>
        </w:tc>
        <w:tc>
          <w:tcPr>
            <w:tcW w:w="1769" w:type="dxa"/>
            <w:vAlign w:val="center"/>
          </w:tcPr>
          <w:p w14:paraId="4D2663C0">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现场勘查（或标前答疑会）</w:t>
            </w:r>
          </w:p>
        </w:tc>
        <w:tc>
          <w:tcPr>
            <w:tcW w:w="6843" w:type="dxa"/>
            <w:vAlign w:val="center"/>
          </w:tcPr>
          <w:p w14:paraId="1D5A72EA">
            <w:pPr>
              <w:adjustRightInd w:val="0"/>
              <w:snapToGrid w:val="0"/>
              <w:spacing w:line="360" w:lineRule="auto"/>
              <w:ind w:left="315" w:leftChars="100" w:hanging="105" w:hangingChars="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w:char="00A8"/>
            </w:r>
            <w:r>
              <w:rPr>
                <w:rFonts w:hint="eastAsia" w:ascii="宋体" w:hAnsi="宋体" w:eastAsia="宋体" w:cs="宋体"/>
                <w:color w:val="auto"/>
                <w:szCs w:val="21"/>
                <w:highlight w:val="none"/>
                <w:lang w:val="en-US" w:eastAsia="zh-CN"/>
              </w:rPr>
              <w:t>是</w:t>
            </w:r>
          </w:p>
          <w:p w14:paraId="2498BC4E">
            <w:pPr>
              <w:adjustRightInd w:val="0"/>
              <w:snapToGrid w:val="0"/>
              <w:spacing w:line="360" w:lineRule="auto"/>
              <w:ind w:left="315" w:leftChars="100" w:hanging="105" w:hangingChars="50"/>
              <w:rPr>
                <w:rFonts w:ascii="宋体" w:hAnsi="宋体" w:cs="宋体"/>
                <w:color w:val="auto"/>
                <w:szCs w:val="21"/>
                <w:highlight w:val="none"/>
              </w:rPr>
            </w:pPr>
            <w:r>
              <w:rPr>
                <w:rFonts w:hint="eastAsia" w:ascii="宋体" w:hAnsi="宋体" w:eastAsia="宋体" w:cs="宋体"/>
                <w:color w:val="auto"/>
                <w:szCs w:val="21"/>
                <w:highlight w:val="none"/>
                <w:lang w:val="en-US" w:eastAsia="zh-CN"/>
              </w:rPr>
              <w:sym w:font="Wingdings" w:char="00FE"/>
            </w:r>
            <w:r>
              <w:rPr>
                <w:rFonts w:hint="eastAsia" w:ascii="宋体" w:hAnsi="宋体" w:eastAsia="宋体" w:cs="宋体"/>
                <w:color w:val="auto"/>
                <w:szCs w:val="21"/>
                <w:highlight w:val="none"/>
                <w:lang w:val="en-US" w:eastAsia="zh-CN"/>
              </w:rPr>
              <w:t xml:space="preserve">否 </w:t>
            </w:r>
          </w:p>
        </w:tc>
      </w:tr>
      <w:tr w14:paraId="7E0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46" w:type="dxa"/>
            <w:vAlign w:val="center"/>
          </w:tcPr>
          <w:p w14:paraId="6DC4AA6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1769" w:type="dxa"/>
            <w:vAlign w:val="center"/>
          </w:tcPr>
          <w:p w14:paraId="3ADC77AE">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投标过程中根据投标情况可能实质性变动内容</w:t>
            </w:r>
          </w:p>
        </w:tc>
        <w:tc>
          <w:tcPr>
            <w:tcW w:w="6843" w:type="dxa"/>
            <w:vAlign w:val="center"/>
          </w:tcPr>
          <w:p w14:paraId="059D0BCA">
            <w:pPr>
              <w:pStyle w:val="26"/>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招标文件中第四部分采购需求中技术、服务要求等相关内容及第五部分合同条款中相关内容</w:t>
            </w:r>
          </w:p>
        </w:tc>
      </w:tr>
      <w:tr w14:paraId="1508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46" w:type="dxa"/>
            <w:vAlign w:val="center"/>
          </w:tcPr>
          <w:p w14:paraId="1E45F95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11</w:t>
            </w:r>
          </w:p>
        </w:tc>
        <w:tc>
          <w:tcPr>
            <w:tcW w:w="1769" w:type="dxa"/>
            <w:vAlign w:val="center"/>
          </w:tcPr>
          <w:p w14:paraId="6A0A814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样品</w:t>
            </w:r>
          </w:p>
        </w:tc>
        <w:tc>
          <w:tcPr>
            <w:tcW w:w="6843" w:type="dxa"/>
            <w:vAlign w:val="center"/>
          </w:tcPr>
          <w:p w14:paraId="56AFC1C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本项目不涉及</w:t>
            </w:r>
          </w:p>
          <w:p w14:paraId="4C366B93">
            <w:pPr>
              <w:pStyle w:val="6"/>
              <w:spacing w:line="360" w:lineRule="auto"/>
              <w:ind w:left="0" w:leftChars="0"/>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sym w:font="Wingdings" w:char="00A8"/>
            </w:r>
            <w:r>
              <w:rPr>
                <w:rFonts w:hint="eastAsia" w:ascii="宋体" w:hAnsi="宋体" w:eastAsia="宋体" w:cs="宋体"/>
                <w:color w:val="auto"/>
                <w:kern w:val="2"/>
                <w:sz w:val="21"/>
                <w:szCs w:val="21"/>
                <w:highlight w:val="none"/>
                <w:lang w:val="en-US" w:eastAsia="zh-CN" w:bidi="ar-SA"/>
              </w:rPr>
              <w:t>本项目需提供样品 （提供样品详见采购清单要求）</w:t>
            </w:r>
          </w:p>
        </w:tc>
      </w:tr>
      <w:tr w14:paraId="2B27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46" w:type="dxa"/>
            <w:vAlign w:val="center"/>
          </w:tcPr>
          <w:p w14:paraId="57DC744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12</w:t>
            </w:r>
          </w:p>
        </w:tc>
        <w:tc>
          <w:tcPr>
            <w:tcW w:w="1769" w:type="dxa"/>
            <w:vAlign w:val="center"/>
          </w:tcPr>
          <w:p w14:paraId="156C1544">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招标文件澄清发出的形式</w:t>
            </w:r>
          </w:p>
        </w:tc>
        <w:tc>
          <w:tcPr>
            <w:tcW w:w="6843" w:type="dxa"/>
            <w:vAlign w:val="center"/>
          </w:tcPr>
          <w:p w14:paraId="2A04458A">
            <w:pPr>
              <w:adjustRightInd w:val="0"/>
              <w:snapToGrid w:val="0"/>
              <w:spacing w:line="360" w:lineRule="auto"/>
              <w:ind w:left="-5" w:leftChars="-17" w:hanging="31" w:hangingChars="15"/>
              <w:jc w:val="left"/>
              <w:rPr>
                <w:rFonts w:ascii="宋体" w:hAnsi="宋体" w:cs="宋体"/>
                <w:color w:val="auto"/>
                <w:szCs w:val="21"/>
                <w:highlight w:val="none"/>
              </w:rPr>
            </w:pPr>
            <w:r>
              <w:rPr>
                <w:rFonts w:hint="eastAsia" w:ascii="宋体" w:hAnsi="宋体" w:cs="宋体"/>
                <w:color w:val="auto"/>
                <w:szCs w:val="21"/>
                <w:highlight w:val="none"/>
              </w:rPr>
              <w:t>通过“山西政府采购平台”在线发出。投标人应密切关注“山西政府采购平台”，如有招标文件的澄清必须及时登录查看。</w:t>
            </w:r>
          </w:p>
        </w:tc>
      </w:tr>
      <w:tr w14:paraId="3263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Align w:val="center"/>
          </w:tcPr>
          <w:p w14:paraId="1BFFA69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13</w:t>
            </w:r>
          </w:p>
        </w:tc>
        <w:tc>
          <w:tcPr>
            <w:tcW w:w="1769" w:type="dxa"/>
            <w:vAlign w:val="center"/>
          </w:tcPr>
          <w:p w14:paraId="61D2F7D8">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投标人确认收到招标文件澄清</w:t>
            </w:r>
          </w:p>
        </w:tc>
        <w:tc>
          <w:tcPr>
            <w:tcW w:w="6843" w:type="dxa"/>
            <w:vAlign w:val="center"/>
          </w:tcPr>
          <w:p w14:paraId="1A8101A3">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投标人无需单独确认，“山西政府采购平台”将记录投标人查看情况。</w:t>
            </w:r>
          </w:p>
        </w:tc>
      </w:tr>
      <w:tr w14:paraId="41C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46" w:type="dxa"/>
            <w:vAlign w:val="center"/>
          </w:tcPr>
          <w:p w14:paraId="662C883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14</w:t>
            </w:r>
          </w:p>
        </w:tc>
        <w:tc>
          <w:tcPr>
            <w:tcW w:w="1769" w:type="dxa"/>
            <w:vAlign w:val="center"/>
          </w:tcPr>
          <w:p w14:paraId="57508E6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招标文件修改发出的形式</w:t>
            </w:r>
          </w:p>
        </w:tc>
        <w:tc>
          <w:tcPr>
            <w:tcW w:w="6843" w:type="dxa"/>
            <w:vAlign w:val="center"/>
          </w:tcPr>
          <w:p w14:paraId="4330D3CB">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通过“山西政府采购平台”在线发出。</w:t>
            </w:r>
          </w:p>
          <w:p w14:paraId="4FE7607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投标人应密切关注“山西政府采购平台”，如有招标文件的修改必须及时登录查看。</w:t>
            </w:r>
          </w:p>
        </w:tc>
      </w:tr>
      <w:tr w14:paraId="510A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46" w:type="dxa"/>
            <w:vAlign w:val="center"/>
          </w:tcPr>
          <w:p w14:paraId="02490E5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15</w:t>
            </w:r>
          </w:p>
        </w:tc>
        <w:tc>
          <w:tcPr>
            <w:tcW w:w="1769" w:type="dxa"/>
            <w:vAlign w:val="center"/>
          </w:tcPr>
          <w:p w14:paraId="5EA448B1">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投标人确认收到招标文件修改</w:t>
            </w:r>
          </w:p>
        </w:tc>
        <w:tc>
          <w:tcPr>
            <w:tcW w:w="6843" w:type="dxa"/>
            <w:vAlign w:val="center"/>
          </w:tcPr>
          <w:p w14:paraId="78164CC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投标人无需单独确认，“山西政府采购平台”将记录投标人下载情况。因投标人自身原因未及时获知澄清内容而导致的任何后果将由投标人自行承担。</w:t>
            </w:r>
          </w:p>
        </w:tc>
      </w:tr>
      <w:tr w14:paraId="1E3B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3" w:hRule="atLeast"/>
        </w:trPr>
        <w:tc>
          <w:tcPr>
            <w:tcW w:w="646" w:type="dxa"/>
            <w:vAlign w:val="center"/>
          </w:tcPr>
          <w:p w14:paraId="178914F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16</w:t>
            </w:r>
          </w:p>
        </w:tc>
        <w:tc>
          <w:tcPr>
            <w:tcW w:w="1769" w:type="dxa"/>
            <w:vAlign w:val="center"/>
          </w:tcPr>
          <w:p w14:paraId="04003B9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投标文件的制作及签字盖章</w:t>
            </w:r>
          </w:p>
        </w:tc>
        <w:tc>
          <w:tcPr>
            <w:tcW w:w="6843" w:type="dxa"/>
            <w:vAlign w:val="center"/>
          </w:tcPr>
          <w:p w14:paraId="3761B28B">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rPr>
              <w:tab/>
            </w:r>
            <w:r>
              <w:rPr>
                <w:rFonts w:hint="eastAsia" w:ascii="宋体" w:hAnsi="宋体" w:cs="宋体"/>
                <w:color w:val="auto"/>
                <w:szCs w:val="21"/>
                <w:highlight w:val="none"/>
              </w:rPr>
              <w:t>投标文件的制作应满足以下规定：</w:t>
            </w:r>
          </w:p>
          <w:p w14:paraId="5C35A7D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（1）投标文件由投标人使用“山西政府采购平台”提供的“山西政府采购平台电子投标客户端”制作生成。</w:t>
            </w:r>
          </w:p>
          <w:p w14:paraId="1A88700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（2）投标人在编制投标文件时应按分级目录导入相关内容。</w:t>
            </w:r>
          </w:p>
          <w:p w14:paraId="48777D0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（3）投标文件中证明资料的“影印件”均为“原件的影印件”。</w:t>
            </w:r>
          </w:p>
          <w:p w14:paraId="6BAFE4F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第八部分“投标文件格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联合体协议书须由联合体各方按规定签署后生效）。</w:t>
            </w:r>
          </w:p>
          <w:p w14:paraId="2E9D6E4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（5）投标文件制作完成后，投标人应使用CA数字证书对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进行加密，形成加密的投标文件。</w:t>
            </w:r>
          </w:p>
          <w:p w14:paraId="0B694344">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（6）投标文件制作的具体方法详见“山西政府采购平台”中的帮助文档。</w:t>
            </w:r>
          </w:p>
        </w:tc>
      </w:tr>
      <w:tr w14:paraId="2C93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646" w:type="dxa"/>
            <w:vAlign w:val="center"/>
          </w:tcPr>
          <w:p w14:paraId="37A1131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17</w:t>
            </w:r>
          </w:p>
        </w:tc>
        <w:tc>
          <w:tcPr>
            <w:tcW w:w="1769" w:type="dxa"/>
            <w:vAlign w:val="center"/>
          </w:tcPr>
          <w:p w14:paraId="6B18D0D6">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投标文件的加密</w:t>
            </w:r>
          </w:p>
        </w:tc>
        <w:tc>
          <w:tcPr>
            <w:tcW w:w="6843" w:type="dxa"/>
            <w:vAlign w:val="center"/>
          </w:tcPr>
          <w:p w14:paraId="0514F213">
            <w:pPr>
              <w:adjustRightInd w:val="0"/>
              <w:snapToGrid w:val="0"/>
              <w:spacing w:line="360" w:lineRule="auto"/>
              <w:textAlignment w:val="baseline"/>
              <w:rPr>
                <w:rFonts w:ascii="宋体" w:hAnsi="宋体" w:cs="宋体"/>
                <w:color w:val="auto"/>
                <w:szCs w:val="21"/>
                <w:highlight w:val="none"/>
              </w:rPr>
            </w:pPr>
            <w:r>
              <w:rPr>
                <w:rFonts w:hint="eastAsia" w:ascii="宋体" w:hAnsi="宋体" w:cs="宋体"/>
                <w:color w:val="auto"/>
                <w:szCs w:val="21"/>
                <w:highlight w:val="none"/>
              </w:rPr>
              <w:t>电子投标文件要求使用“山西政府采购平台电子投标客户端”制作并加密，“山西政府采购平台”不接收未按要求加密的投标文件。</w:t>
            </w:r>
          </w:p>
        </w:tc>
      </w:tr>
      <w:tr w14:paraId="117F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46" w:type="dxa"/>
            <w:vAlign w:val="center"/>
          </w:tcPr>
          <w:p w14:paraId="4B59D52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18</w:t>
            </w:r>
          </w:p>
        </w:tc>
        <w:tc>
          <w:tcPr>
            <w:tcW w:w="1769" w:type="dxa"/>
            <w:vAlign w:val="center"/>
          </w:tcPr>
          <w:p w14:paraId="5F7E142A">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投标文件的递交</w:t>
            </w:r>
          </w:p>
        </w:tc>
        <w:tc>
          <w:tcPr>
            <w:tcW w:w="6843" w:type="dxa"/>
            <w:vAlign w:val="center"/>
          </w:tcPr>
          <w:p w14:paraId="5A456009">
            <w:pPr>
              <w:adjustRightInd w:val="0"/>
              <w:snapToGrid w:val="0"/>
              <w:spacing w:line="360" w:lineRule="auto"/>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61F5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646" w:type="dxa"/>
            <w:vAlign w:val="center"/>
          </w:tcPr>
          <w:p w14:paraId="123FC1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19</w:t>
            </w:r>
          </w:p>
        </w:tc>
        <w:tc>
          <w:tcPr>
            <w:tcW w:w="1769" w:type="dxa"/>
            <w:vAlign w:val="center"/>
          </w:tcPr>
          <w:p w14:paraId="30008C7B">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投标文件的修改与撤回</w:t>
            </w:r>
          </w:p>
        </w:tc>
        <w:tc>
          <w:tcPr>
            <w:tcW w:w="6843" w:type="dxa"/>
            <w:vAlign w:val="center"/>
          </w:tcPr>
          <w:p w14:paraId="2E33342E">
            <w:pPr>
              <w:adjustRightInd w:val="0"/>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在规定的投标截止时间前,投标人可以修改或撤回已递交的投标文件，投标人对加密的投标文件进行撤回的，应在“山西政府采购平台”直接进行撤回操作；投标人对加密的投标文件进行修改的，应在投标截止时间前完成上传。</w:t>
            </w:r>
          </w:p>
          <w:p w14:paraId="3E699789">
            <w:pPr>
              <w:adjustRightInd w:val="0"/>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rPr>
              <w:t>（2）投标人修改投标文件的，应使用“山西政府采购平台电子投标客户端”制作成完整的投标文件，并进行编制、加密和递交，以投标截止时间前最后完成上传的投标文件为准。</w:t>
            </w:r>
          </w:p>
        </w:tc>
      </w:tr>
      <w:tr w14:paraId="4B87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0" w:hRule="atLeast"/>
        </w:trPr>
        <w:tc>
          <w:tcPr>
            <w:tcW w:w="646" w:type="dxa"/>
            <w:vAlign w:val="center"/>
          </w:tcPr>
          <w:p w14:paraId="5BF008D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20</w:t>
            </w:r>
          </w:p>
        </w:tc>
        <w:tc>
          <w:tcPr>
            <w:tcW w:w="1769" w:type="dxa"/>
            <w:vAlign w:val="center"/>
          </w:tcPr>
          <w:p w14:paraId="0D4A4A5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是否采用电子招标投标</w:t>
            </w:r>
          </w:p>
        </w:tc>
        <w:tc>
          <w:tcPr>
            <w:tcW w:w="6843" w:type="dxa"/>
            <w:vAlign w:val="center"/>
          </w:tcPr>
          <w:p w14:paraId="7FE2D47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Cs w:val="21"/>
                <w:highlight w:val="none"/>
              </w:rPr>
              <w:t>是：本次开标采用远程在线开标方式，</w:t>
            </w:r>
            <w:r>
              <w:rPr>
                <w:rFonts w:hint="eastAsia" w:ascii="宋体" w:hAnsi="宋体" w:cs="宋体"/>
                <w:color w:val="auto"/>
                <w:kern w:val="0"/>
                <w:szCs w:val="21"/>
                <w:highlight w:val="none"/>
              </w:rPr>
              <w:t>投标人</w:t>
            </w:r>
            <w:r>
              <w:rPr>
                <w:rFonts w:hint="eastAsia" w:ascii="宋体" w:hAnsi="宋体" w:cs="宋体"/>
                <w:color w:val="auto"/>
                <w:szCs w:val="21"/>
                <w:highlight w:val="none"/>
              </w:rPr>
              <w:t>必须准备好CA数字证书准时参加在线开标，</w:t>
            </w:r>
            <w:r>
              <w:rPr>
                <w:rFonts w:hint="eastAsia" w:ascii="宋体" w:hAnsi="宋体" w:cs="宋体"/>
                <w:color w:val="auto"/>
                <w:kern w:val="0"/>
                <w:szCs w:val="21"/>
                <w:highlight w:val="none"/>
              </w:rPr>
              <w:t>投标人</w:t>
            </w:r>
            <w:r>
              <w:rPr>
                <w:rFonts w:hint="eastAsia" w:ascii="宋体" w:hAnsi="宋体" w:cs="宋体"/>
                <w:color w:val="auto"/>
                <w:szCs w:val="21"/>
                <w:highlight w:val="none"/>
              </w:rPr>
              <w:t>需使用CA数字证书在规定的时间内完成解密；因</w:t>
            </w:r>
            <w:r>
              <w:rPr>
                <w:rFonts w:hint="eastAsia" w:ascii="宋体" w:hAnsi="宋体" w:cs="宋体"/>
                <w:color w:val="auto"/>
                <w:kern w:val="0"/>
                <w:szCs w:val="21"/>
                <w:highlight w:val="none"/>
              </w:rPr>
              <w:t>投标人</w:t>
            </w:r>
            <w:r>
              <w:rPr>
                <w:rFonts w:hint="eastAsia" w:ascii="宋体" w:hAnsi="宋体" w:cs="宋体"/>
                <w:color w:val="auto"/>
                <w:szCs w:val="21"/>
                <w:highlight w:val="none"/>
              </w:rPr>
              <w:t>原因造成</w:t>
            </w:r>
            <w:r>
              <w:rPr>
                <w:rFonts w:hint="eastAsia" w:ascii="宋体" w:hAnsi="宋体" w:cs="宋体"/>
                <w:color w:val="auto"/>
                <w:kern w:val="0"/>
                <w:szCs w:val="21"/>
                <w:highlight w:val="none"/>
              </w:rPr>
              <w:t>投标</w:t>
            </w:r>
            <w:r>
              <w:rPr>
                <w:rFonts w:hint="eastAsia" w:ascii="宋体" w:hAnsi="宋体" w:cs="宋体"/>
                <w:color w:val="auto"/>
                <w:szCs w:val="21"/>
                <w:highlight w:val="none"/>
              </w:rPr>
              <w:t>文件未解密的，视为撤销其投标文件，造成的一切后果，由投标人自行承担。</w:t>
            </w:r>
          </w:p>
          <w:p w14:paraId="027A34AA">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部分投标人投标文件未解密的，其他投标文件的开标可以继续进行。电子开标过程出现故障时（因系统原因导致全部投标人无法解密或开标不能顺利进行），由招标代理机构另行通知开标时间。</w:t>
            </w:r>
          </w:p>
          <w:p w14:paraId="4488261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是：本次开标采用现场开标方式（投标人需自行准备电脑终端设备，电脑终端设备需具备IE11及以上的浏览器【推荐使用Chrome 浏览器】和CA数字证书驱动，同时自行解决所需网络），投标人必须准备好CA数字证书准时参加现场开标，投标人需使用CA数字证书在规定的时间内完成解密；因投标人原因造成投标文件未解密的，视为撤销其投标文件，造成的一切后果，由投标人自行承担。</w:t>
            </w:r>
          </w:p>
          <w:p w14:paraId="2D211FEC">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部分投标文件投标文件未解密的，其他投标文件的开标可以继续进行。电子开标过程出现故障时（因系统原因导致全部投标人商无法解密或开标不能顺利进行），由招标代理机构另行通知开标时间。</w:t>
            </w:r>
          </w:p>
          <w:p w14:paraId="34822AF3">
            <w:pPr>
              <w:adjustRightInd w:val="0"/>
              <w:snapToGrid w:val="0"/>
              <w:spacing w:line="360" w:lineRule="auto"/>
              <w:ind w:left="1050" w:hanging="105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tc>
      </w:tr>
      <w:tr w14:paraId="229A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46" w:type="dxa"/>
            <w:vAlign w:val="center"/>
          </w:tcPr>
          <w:p w14:paraId="094D296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21</w:t>
            </w:r>
          </w:p>
        </w:tc>
        <w:tc>
          <w:tcPr>
            <w:tcW w:w="1769" w:type="dxa"/>
            <w:vAlign w:val="center"/>
          </w:tcPr>
          <w:p w14:paraId="207CB0FB">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评标委员会小组构成</w:t>
            </w:r>
          </w:p>
        </w:tc>
        <w:tc>
          <w:tcPr>
            <w:tcW w:w="6843" w:type="dxa"/>
            <w:vAlign w:val="center"/>
          </w:tcPr>
          <w:p w14:paraId="164004B0">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评标委员会由招标人代表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人组成，共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58614E1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评标专家确定方式：山西省政府采购评标专家库随机抽取</w:t>
            </w:r>
          </w:p>
        </w:tc>
      </w:tr>
      <w:tr w14:paraId="0017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46" w:type="dxa"/>
            <w:vAlign w:val="center"/>
          </w:tcPr>
          <w:p w14:paraId="0A8F01A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21</w:t>
            </w:r>
          </w:p>
        </w:tc>
        <w:tc>
          <w:tcPr>
            <w:tcW w:w="1769" w:type="dxa"/>
            <w:vAlign w:val="center"/>
          </w:tcPr>
          <w:p w14:paraId="25DDEE3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其它</w:t>
            </w:r>
          </w:p>
        </w:tc>
        <w:tc>
          <w:tcPr>
            <w:tcW w:w="6843" w:type="dxa"/>
            <w:vAlign w:val="center"/>
          </w:tcPr>
          <w:p w14:paraId="381F4CA0">
            <w:pPr>
              <w:widowControl/>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获取招标文件后如对招标文件中认为有不合理、不清楚以及有疑义并需要修正的地方，请在开标规定日期前以书面形式告知，以便统一上网公告更正，如不提交书面材料视同完全同意招标文件所有条款。</w:t>
            </w:r>
          </w:p>
        </w:tc>
      </w:tr>
      <w:tr w14:paraId="5B4E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646" w:type="dxa"/>
            <w:vAlign w:val="center"/>
          </w:tcPr>
          <w:p w14:paraId="16CB81D4">
            <w:pPr>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22</w:t>
            </w:r>
          </w:p>
        </w:tc>
        <w:tc>
          <w:tcPr>
            <w:tcW w:w="1769" w:type="dxa"/>
            <w:vAlign w:val="center"/>
          </w:tcPr>
          <w:p w14:paraId="2D2B870A">
            <w:pPr>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所属行业</w:t>
            </w:r>
          </w:p>
        </w:tc>
        <w:tc>
          <w:tcPr>
            <w:tcW w:w="6843" w:type="dxa"/>
            <w:vAlign w:val="center"/>
          </w:tcPr>
          <w:p w14:paraId="395F33BE">
            <w:pPr>
              <w:widowControl/>
              <w:spacing w:line="360" w:lineRule="auto"/>
              <w:jc w:val="left"/>
              <w:rPr>
                <w:rFonts w:hint="eastAsia" w:ascii="宋体" w:hAnsi="宋体" w:cs="宋体"/>
                <w:color w:val="auto"/>
                <w:kern w:val="0"/>
                <w:szCs w:val="21"/>
                <w:highlight w:val="none"/>
                <w:lang w:bidi="ar"/>
              </w:rPr>
            </w:pPr>
            <w:r>
              <w:rPr>
                <w:rFonts w:hint="eastAsia" w:ascii="宋体" w:hAnsi="宋体" w:eastAsia="宋体" w:cs="宋体"/>
                <w:color w:val="auto"/>
                <w:kern w:val="0"/>
                <w:sz w:val="21"/>
                <w:szCs w:val="21"/>
                <w:highlight w:val="none"/>
                <w:lang w:bidi="ar"/>
              </w:rPr>
              <w:t>本项目采购标的对应的中小企业划分标准所属行业</w:t>
            </w:r>
            <w:r>
              <w:rPr>
                <w:rFonts w:hint="eastAsia" w:ascii="宋体" w:hAnsi="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u w:val="single"/>
                <w:lang w:val="en-US" w:eastAsia="zh-CN" w:bidi="ar"/>
              </w:rPr>
              <w:t>工业</w:t>
            </w:r>
            <w:r>
              <w:rPr>
                <w:rFonts w:hint="eastAsia" w:ascii="宋体" w:hAnsi="宋体" w:eastAsia="宋体" w:cs="宋体"/>
                <w:b/>
                <w:bCs/>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lang w:bidi="ar"/>
              </w:rPr>
              <w:t>根据《关于印发中小企业划型标准规定的通知》( 工信部联企业[2011] 300号)规定，行业包括</w:t>
            </w:r>
            <w:r>
              <w:rPr>
                <w:rFonts w:hint="eastAsia" w:ascii="宋体" w:hAnsi="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农、林、牧、渔业，工业(包括采矿业，制造业，电力、热力、燃气及水生产和供应业)，建筑业，批发业，</w:t>
            </w:r>
            <w:r>
              <w:rPr>
                <w:rFonts w:hint="eastAsia" w:ascii="宋体" w:hAnsi="宋体" w:cs="宋体"/>
                <w:color w:val="auto"/>
                <w:kern w:val="0"/>
                <w:sz w:val="21"/>
                <w:szCs w:val="21"/>
                <w:highlight w:val="none"/>
                <w:lang w:val="en-US" w:eastAsia="zh-CN" w:bidi="ar"/>
              </w:rPr>
              <w:t>零售</w:t>
            </w:r>
            <w:r>
              <w:rPr>
                <w:rFonts w:hint="eastAsia" w:ascii="宋体" w:hAnsi="宋体" w:eastAsia="宋体" w:cs="宋体"/>
                <w:color w:val="auto"/>
                <w:kern w:val="0"/>
                <w:sz w:val="21"/>
                <w:szCs w:val="21"/>
                <w:highlight w:val="none"/>
                <w:lang w:bidi="ar"/>
              </w:rPr>
              <w:t>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w:t>
            </w:r>
            <w:r>
              <w:rPr>
                <w:rFonts w:hint="eastAsia" w:ascii="宋体" w:hAnsi="宋体" w:eastAsia="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bidi="ar"/>
              </w:rPr>
              <w:t>。</w:t>
            </w:r>
          </w:p>
        </w:tc>
      </w:tr>
    </w:tbl>
    <w:p w14:paraId="3BBD88C8">
      <w:pPr>
        <w:spacing w:line="360" w:lineRule="auto"/>
        <w:rPr>
          <w:rFonts w:ascii="宋体" w:hAnsi="宋体" w:cs="宋体"/>
          <w:color w:val="auto"/>
          <w:szCs w:val="21"/>
          <w:highlight w:val="none"/>
        </w:rPr>
      </w:pPr>
      <w:r>
        <w:rPr>
          <w:rFonts w:hint="eastAsia" w:ascii="宋体" w:hAnsi="宋体" w:cs="宋体"/>
          <w:color w:val="auto"/>
          <w:szCs w:val="21"/>
          <w:highlight w:val="none"/>
        </w:rPr>
        <w:t>注：本表内容与投标人须知内容不一致的，以本表内容为准。</w:t>
      </w:r>
    </w:p>
    <w:p w14:paraId="0FF6A367">
      <w:pPr>
        <w:spacing w:line="360" w:lineRule="auto"/>
        <w:jc w:val="center"/>
        <w:outlineLvl w:val="0"/>
        <w:rPr>
          <w:rFonts w:hint="eastAsia" w:ascii="宋体" w:hAnsi="宋体" w:cs="宋体"/>
          <w:b/>
          <w:color w:val="auto"/>
          <w:szCs w:val="21"/>
          <w:highlight w:val="none"/>
        </w:rPr>
      </w:pPr>
      <w:bookmarkStart w:id="33" w:name="_Toc78559506"/>
      <w:bookmarkStart w:id="34" w:name="_Toc12829"/>
      <w:bookmarkStart w:id="35" w:name="_Toc26562_WPSOffice_Level1"/>
      <w:bookmarkStart w:id="36" w:name="_Toc22993"/>
      <w:bookmarkStart w:id="37" w:name="_Toc8697"/>
      <w:bookmarkStart w:id="38" w:name="_Toc10039"/>
      <w:bookmarkStart w:id="39" w:name="_Toc5517"/>
    </w:p>
    <w:p w14:paraId="2D124B48">
      <w:pPr>
        <w:spacing w:line="360" w:lineRule="auto"/>
        <w:jc w:val="center"/>
        <w:outlineLvl w:val="0"/>
        <w:rPr>
          <w:rFonts w:hint="eastAsia" w:ascii="宋体" w:hAnsi="宋体" w:cs="宋体"/>
          <w:b/>
          <w:color w:val="auto"/>
          <w:szCs w:val="21"/>
          <w:highlight w:val="none"/>
        </w:rPr>
      </w:pPr>
    </w:p>
    <w:p w14:paraId="3C82130F">
      <w:pPr>
        <w:spacing w:line="360" w:lineRule="auto"/>
        <w:jc w:val="center"/>
        <w:outlineLvl w:val="0"/>
        <w:rPr>
          <w:rFonts w:hint="eastAsia" w:ascii="宋体" w:hAnsi="宋体" w:cs="宋体"/>
          <w:b/>
          <w:color w:val="auto"/>
          <w:szCs w:val="21"/>
          <w:highlight w:val="none"/>
        </w:rPr>
      </w:pPr>
    </w:p>
    <w:p w14:paraId="268293D3">
      <w:pPr>
        <w:spacing w:line="360" w:lineRule="auto"/>
        <w:jc w:val="center"/>
        <w:outlineLvl w:val="0"/>
        <w:rPr>
          <w:rFonts w:hint="eastAsia" w:ascii="宋体" w:hAnsi="宋体" w:cs="宋体"/>
          <w:b/>
          <w:color w:val="auto"/>
          <w:szCs w:val="21"/>
          <w:highlight w:val="none"/>
        </w:rPr>
      </w:pPr>
    </w:p>
    <w:p w14:paraId="46414340">
      <w:pPr>
        <w:spacing w:line="360" w:lineRule="auto"/>
        <w:jc w:val="center"/>
        <w:outlineLvl w:val="0"/>
        <w:rPr>
          <w:rFonts w:hint="eastAsia" w:ascii="宋体" w:hAnsi="宋体" w:cs="宋体"/>
          <w:b/>
          <w:color w:val="auto"/>
          <w:szCs w:val="21"/>
          <w:highlight w:val="none"/>
        </w:rPr>
      </w:pPr>
    </w:p>
    <w:p w14:paraId="0AE442CC">
      <w:pPr>
        <w:spacing w:line="360" w:lineRule="auto"/>
        <w:jc w:val="center"/>
        <w:outlineLvl w:val="0"/>
        <w:rPr>
          <w:rFonts w:hint="eastAsia" w:ascii="宋体" w:hAnsi="宋体" w:cs="宋体"/>
          <w:b/>
          <w:color w:val="auto"/>
          <w:szCs w:val="21"/>
          <w:highlight w:val="none"/>
        </w:rPr>
      </w:pPr>
    </w:p>
    <w:p w14:paraId="709F6BCB">
      <w:pPr>
        <w:spacing w:line="360" w:lineRule="auto"/>
        <w:jc w:val="center"/>
        <w:outlineLvl w:val="0"/>
        <w:rPr>
          <w:rFonts w:hint="eastAsia" w:ascii="宋体" w:hAnsi="宋体" w:cs="宋体"/>
          <w:b/>
          <w:color w:val="auto"/>
          <w:szCs w:val="21"/>
          <w:highlight w:val="none"/>
        </w:rPr>
      </w:pPr>
    </w:p>
    <w:p w14:paraId="344E2C9F">
      <w:pPr>
        <w:spacing w:line="360" w:lineRule="auto"/>
        <w:jc w:val="center"/>
        <w:outlineLvl w:val="0"/>
        <w:rPr>
          <w:rFonts w:hint="eastAsia" w:ascii="宋体" w:hAnsi="宋体" w:cs="宋体"/>
          <w:b/>
          <w:color w:val="auto"/>
          <w:szCs w:val="21"/>
          <w:highlight w:val="none"/>
        </w:rPr>
      </w:pPr>
    </w:p>
    <w:p w14:paraId="6BD6711E">
      <w:pPr>
        <w:spacing w:line="360" w:lineRule="auto"/>
        <w:jc w:val="center"/>
        <w:outlineLvl w:val="0"/>
        <w:rPr>
          <w:rFonts w:hint="eastAsia" w:ascii="宋体" w:hAnsi="宋体" w:cs="宋体"/>
          <w:b/>
          <w:color w:val="auto"/>
          <w:szCs w:val="21"/>
          <w:highlight w:val="none"/>
        </w:rPr>
      </w:pPr>
    </w:p>
    <w:p w14:paraId="71801854">
      <w:pPr>
        <w:spacing w:line="360" w:lineRule="auto"/>
        <w:jc w:val="center"/>
        <w:outlineLvl w:val="0"/>
        <w:rPr>
          <w:rFonts w:hint="eastAsia" w:ascii="宋体" w:hAnsi="宋体" w:cs="宋体"/>
          <w:b/>
          <w:color w:val="auto"/>
          <w:szCs w:val="21"/>
          <w:highlight w:val="none"/>
        </w:rPr>
      </w:pPr>
    </w:p>
    <w:p w14:paraId="205D4B73">
      <w:pPr>
        <w:spacing w:line="360" w:lineRule="auto"/>
        <w:jc w:val="center"/>
        <w:outlineLvl w:val="0"/>
        <w:rPr>
          <w:rFonts w:hint="eastAsia" w:ascii="宋体" w:hAnsi="宋体" w:cs="宋体"/>
          <w:b/>
          <w:color w:val="auto"/>
          <w:szCs w:val="21"/>
          <w:highlight w:val="none"/>
        </w:rPr>
      </w:pPr>
    </w:p>
    <w:p w14:paraId="4E5DB889">
      <w:pPr>
        <w:spacing w:line="360" w:lineRule="auto"/>
        <w:jc w:val="center"/>
        <w:outlineLvl w:val="0"/>
        <w:rPr>
          <w:rFonts w:hint="eastAsia" w:ascii="宋体" w:hAnsi="宋体" w:cs="宋体"/>
          <w:b/>
          <w:color w:val="auto"/>
          <w:szCs w:val="21"/>
          <w:highlight w:val="none"/>
        </w:rPr>
      </w:pPr>
    </w:p>
    <w:p w14:paraId="5495B4D7">
      <w:pPr>
        <w:spacing w:line="360" w:lineRule="auto"/>
        <w:jc w:val="center"/>
        <w:outlineLvl w:val="0"/>
        <w:rPr>
          <w:rFonts w:hint="eastAsia" w:ascii="宋体" w:hAnsi="宋体" w:cs="宋体"/>
          <w:b/>
          <w:color w:val="auto"/>
          <w:szCs w:val="21"/>
          <w:highlight w:val="none"/>
        </w:rPr>
      </w:pPr>
    </w:p>
    <w:p w14:paraId="533BE18F">
      <w:pPr>
        <w:spacing w:line="360" w:lineRule="auto"/>
        <w:jc w:val="center"/>
        <w:outlineLvl w:val="0"/>
        <w:rPr>
          <w:rFonts w:hint="eastAsia" w:ascii="宋体" w:hAnsi="宋体" w:cs="宋体"/>
          <w:b/>
          <w:color w:val="auto"/>
          <w:szCs w:val="21"/>
          <w:highlight w:val="none"/>
        </w:rPr>
      </w:pPr>
    </w:p>
    <w:p w14:paraId="5D71F242">
      <w:pPr>
        <w:spacing w:line="360" w:lineRule="auto"/>
        <w:jc w:val="center"/>
        <w:outlineLvl w:val="0"/>
        <w:rPr>
          <w:rFonts w:hint="eastAsia" w:ascii="宋体" w:hAnsi="宋体" w:cs="宋体"/>
          <w:b/>
          <w:color w:val="auto"/>
          <w:szCs w:val="21"/>
          <w:highlight w:val="none"/>
        </w:rPr>
      </w:pPr>
    </w:p>
    <w:p w14:paraId="3BD3FEF2">
      <w:pPr>
        <w:spacing w:line="360" w:lineRule="auto"/>
        <w:jc w:val="center"/>
        <w:outlineLvl w:val="0"/>
        <w:rPr>
          <w:rFonts w:hint="eastAsia" w:ascii="宋体" w:hAnsi="宋体" w:cs="宋体"/>
          <w:b/>
          <w:color w:val="auto"/>
          <w:szCs w:val="21"/>
          <w:highlight w:val="none"/>
        </w:rPr>
      </w:pPr>
    </w:p>
    <w:p w14:paraId="484FCB89">
      <w:pPr>
        <w:spacing w:line="360" w:lineRule="auto"/>
        <w:jc w:val="center"/>
        <w:outlineLvl w:val="0"/>
        <w:rPr>
          <w:rFonts w:ascii="宋体" w:hAnsi="宋体" w:cs="宋体"/>
          <w:b/>
          <w:color w:val="auto"/>
          <w:szCs w:val="21"/>
          <w:highlight w:val="none"/>
        </w:rPr>
      </w:pPr>
      <w:r>
        <w:rPr>
          <w:rFonts w:hint="eastAsia" w:ascii="宋体" w:hAnsi="宋体" w:cs="宋体"/>
          <w:b/>
          <w:color w:val="auto"/>
          <w:szCs w:val="21"/>
          <w:highlight w:val="none"/>
        </w:rPr>
        <w:t>第三部分  投标人须知</w:t>
      </w:r>
      <w:bookmarkEnd w:id="33"/>
      <w:bookmarkEnd w:id="34"/>
      <w:bookmarkEnd w:id="35"/>
      <w:bookmarkEnd w:id="36"/>
      <w:bookmarkEnd w:id="37"/>
      <w:bookmarkEnd w:id="38"/>
      <w:bookmarkEnd w:id="39"/>
    </w:p>
    <w:p w14:paraId="699AB1AB">
      <w:pPr>
        <w:pStyle w:val="3"/>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0" w:name="_Toc27291"/>
      <w:bookmarkStart w:id="41" w:name="_Toc6517"/>
      <w:bookmarkStart w:id="42" w:name="_Toc78559507"/>
      <w:r>
        <w:rPr>
          <w:rFonts w:hint="eastAsia" w:ascii="宋体" w:hAnsi="宋体" w:eastAsia="宋体" w:cs="宋体"/>
          <w:color w:val="auto"/>
          <w:sz w:val="21"/>
          <w:szCs w:val="21"/>
          <w:highlight w:val="none"/>
        </w:rPr>
        <w:t>一、总则</w:t>
      </w:r>
      <w:bookmarkEnd w:id="40"/>
      <w:bookmarkEnd w:id="41"/>
      <w:bookmarkEnd w:id="42"/>
    </w:p>
    <w:p w14:paraId="4B038692">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 适用范围</w:t>
      </w:r>
    </w:p>
    <w:p w14:paraId="6503A503">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本招标文件仅适用于本次招投标活动。</w:t>
      </w:r>
    </w:p>
    <w:p w14:paraId="5293A085">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 定义</w:t>
      </w:r>
    </w:p>
    <w:p w14:paraId="0E652D2B">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”指本次招标活动的采购单位。</w:t>
      </w:r>
    </w:p>
    <w:p w14:paraId="7842E10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2.2“采购代理机构”指组织本次招标活动的执行机构。</w:t>
      </w:r>
    </w:p>
    <w:p w14:paraId="4710CE92">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2.3“投标人”指符合本招标文件规定并向采购代理机构提交投标文件的</w:t>
      </w:r>
      <w:r>
        <w:rPr>
          <w:rFonts w:hint="eastAsia" w:ascii="宋体" w:hAnsi="宋体" w:cs="宋体"/>
          <w:color w:val="auto"/>
          <w:szCs w:val="21"/>
          <w:highlight w:val="none"/>
          <w:lang w:eastAsia="zh-CN"/>
        </w:rPr>
        <w:t>投标人</w:t>
      </w:r>
    </w:p>
    <w:p w14:paraId="1EDD6CAE">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2.4“货物”指投标人按招标文件的规定，须向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提供的各种形态和种类的物品及其它有关技术资料和材料。</w:t>
      </w:r>
    </w:p>
    <w:p w14:paraId="49DA5A8D">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2.5“服务”指除货物以外由投标人承担的与货物有关的辅助服务，即招标文件中所表述的投标人须向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提供的服务和应当履行的承诺和义务。</w:t>
      </w:r>
    </w:p>
    <w:p w14:paraId="58EB51C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2.6“电子签章”指可通过电子签章客户端软件(如</w:t>
      </w:r>
      <w:r>
        <w:rPr>
          <w:rFonts w:hint="eastAsia" w:ascii="宋体" w:hAnsi="宋体" w:cs="宋体"/>
          <w:color w:val="auto"/>
          <w:szCs w:val="21"/>
          <w:highlight w:val="none"/>
          <w:lang w:eastAsia="zh-CN"/>
        </w:rPr>
        <w:t>：</w:t>
      </w:r>
      <w:r>
        <w:rPr>
          <w:rFonts w:hint="eastAsia" w:ascii="宋体" w:hAnsi="宋体" w:cs="宋体"/>
          <w:color w:val="auto"/>
          <w:szCs w:val="21"/>
          <w:highlight w:val="none"/>
        </w:rPr>
        <w:t>Winaip等)正确读取签章信息的电子签章，电子签章包含法人电子签章和法定代表人电子签章。</w:t>
      </w:r>
    </w:p>
    <w:p w14:paraId="2525125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2.7“影印件”指文件的复印件或扫描件。</w:t>
      </w:r>
    </w:p>
    <w:p w14:paraId="2D30E37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2.8本招标文件各部分规定的</w:t>
      </w:r>
      <w:r>
        <w:rPr>
          <w:rFonts w:hint="eastAsia" w:ascii="宋体" w:hAnsi="宋体" w:cs="宋体"/>
          <w:color w:val="auto"/>
          <w:szCs w:val="21"/>
          <w:highlight w:val="none"/>
          <w:lang w:val="en-US" w:eastAsia="zh-CN"/>
        </w:rPr>
        <w:t>期限</w:t>
      </w:r>
      <w:r>
        <w:rPr>
          <w:rFonts w:hint="eastAsia" w:ascii="宋体" w:hAnsi="宋体" w:cs="宋体"/>
          <w:color w:val="auto"/>
          <w:szCs w:val="21"/>
          <w:highlight w:val="none"/>
        </w:rPr>
        <w:t>以时、日、月、年计算。期间开始的时和日，不计算在期间内。</w:t>
      </w:r>
    </w:p>
    <w:p w14:paraId="5CDC6595">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2.9本须知中单独对货物/服务所描述的要求，只针对涉及采购货物/服务。</w:t>
      </w:r>
    </w:p>
    <w:p w14:paraId="3BAAB54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3. 合格的投标人</w:t>
      </w:r>
    </w:p>
    <w:p w14:paraId="47193B6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3.1 具有本项目生产、制造、供应及/或实施服务能力，符合、承认并承诺履行本招标文件各项规定的国内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p>
    <w:p w14:paraId="13B55A67">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3.2 投标人必须是已在中国境内依法登记注册，并持有符合法律法规规定的有效证件的投标人。</w:t>
      </w:r>
    </w:p>
    <w:p w14:paraId="6941105D">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 具备《中华人民共和国政府采购法》第二十二条第一款规定的条件和本项目所需的特定条件及有关法律、法规关于投标人的规定，有能力提供招标采购货物/服务的投标人。并按照《中华人民共和国政府采购法实施条例》第十七条的规定，提供资格证明文件，具体提供的材料详见投标人须知前附表序号1的要求。</w:t>
      </w:r>
    </w:p>
    <w:p w14:paraId="58725E2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 本次招标是否允许代理商参加，详见投标人须知前附表序号1的规定。</w:t>
      </w:r>
    </w:p>
    <w:p w14:paraId="6540210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591CC3E9">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 本次招标是否允许由两个以上投标人组成一个联合体以一个报价人身份共同参加投标，详见投标人须知前附表序号1的规定。</w:t>
      </w:r>
    </w:p>
    <w:p w14:paraId="728C576F">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3.6.1 联合体各方均应当符合《政府采购法》第二十二条规定的条件，联合体各方均应按照本部分3.3条的要求提供相关材料。</w:t>
      </w:r>
    </w:p>
    <w:p w14:paraId="5CC06142">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3.6.2 本项目的特殊要求规定投标人特定资格条件的，联合体各方的同类资质按照资质等级较低的确定联合体资质等级。联合体各方不得再单独参加或者与其他投标人另外组成联合体参加本项目同一包的投标。</w:t>
      </w:r>
    </w:p>
    <w:p w14:paraId="0E1A7D37">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3.6.3 联合体各方之间应当签订联合投标协议，明确约定联合体各方承担的工作和相应的责任，并将联合投标协议连同投标文件一并提交，联合投标协议格式见本招标文件第八部分。</w:t>
      </w:r>
    </w:p>
    <w:p w14:paraId="0C06712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3.6.4 多家代理商代理同一品牌参加报价的，按一家投标人计算报价投标人数量。若某包内包含多种产品的，主要产品或金额较大的产品以加※号来确定，如果加※号产品的品牌完全相同，则按一家投标人计算报价</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数量。</w:t>
      </w:r>
    </w:p>
    <w:p w14:paraId="127DC791">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4. 投标费用</w:t>
      </w:r>
    </w:p>
    <w:p w14:paraId="7717CBC6">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投标人应当承担参与本次招标活动发生的相关费用，招标代理机构和招标人在任何情况下均无义务和责任承担这些费用。</w:t>
      </w:r>
    </w:p>
    <w:p w14:paraId="173E7A9C">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5. 通知</w:t>
      </w:r>
      <w:r>
        <w:rPr>
          <w:rFonts w:hint="eastAsia" w:ascii="宋体" w:hAnsi="宋体" w:cs="宋体"/>
          <w:b/>
          <w:color w:val="auto"/>
          <w:spacing w:val="10"/>
          <w:szCs w:val="21"/>
          <w:highlight w:val="none"/>
        </w:rPr>
        <w:t>的告知及获取</w:t>
      </w:r>
    </w:p>
    <w:p w14:paraId="64BE60B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5.1通知的告知</w:t>
      </w:r>
    </w:p>
    <w:p w14:paraId="259E58DA">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对与本项目有关的通知，招标代理机构将以在本次招标公告刊登的媒体上发布公告的形式告知所有已获取了招标文件的投标人及潜在投标人。</w:t>
      </w:r>
    </w:p>
    <w:p w14:paraId="184BE656">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5.2通知的获取</w:t>
      </w:r>
    </w:p>
    <w:p w14:paraId="1403560E">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bookmarkStart w:id="43" w:name="_Toc8521"/>
      <w:r>
        <w:rPr>
          <w:rFonts w:hint="eastAsia" w:ascii="宋体" w:hAnsi="宋体" w:cs="宋体"/>
          <w:color w:val="auto"/>
          <w:szCs w:val="21"/>
          <w:highlight w:val="none"/>
        </w:rPr>
        <w:t>已获取了招标文件的投标人，可在本次招标公告刊登的媒体上查看已发布的通知，或登录“山西政府采购平台”成功后，查看获取相关通知。</w:t>
      </w:r>
    </w:p>
    <w:p w14:paraId="73B87F86">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未获取招标文件的潜在投标人可在本次招标公告刊登的媒体上查看获取已发布的通知。</w:t>
      </w:r>
    </w:p>
    <w:p w14:paraId="5B263EBB">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因线路故障导致通知延迟获取或无法获取，招标代理机构不因此承担任何责任，有关的招标活动可以继续有效地进行。</w:t>
      </w:r>
    </w:p>
    <w:p w14:paraId="77027027">
      <w:pPr>
        <w:pStyle w:val="3"/>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4" w:name="_Toc78559508"/>
      <w:bookmarkStart w:id="45" w:name="_Toc12630"/>
      <w:r>
        <w:rPr>
          <w:rFonts w:hint="eastAsia" w:ascii="宋体" w:hAnsi="宋体" w:eastAsia="宋体" w:cs="宋体"/>
          <w:color w:val="auto"/>
          <w:sz w:val="21"/>
          <w:szCs w:val="21"/>
          <w:highlight w:val="none"/>
        </w:rPr>
        <w:t>二、招标文件</w:t>
      </w:r>
      <w:bookmarkEnd w:id="43"/>
      <w:bookmarkEnd w:id="44"/>
      <w:bookmarkEnd w:id="45"/>
    </w:p>
    <w:p w14:paraId="292307B8">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6. 招标文件的内容</w:t>
      </w:r>
    </w:p>
    <w:p w14:paraId="5125A0B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6.1招标文件由下列</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部分内容组成：</w:t>
      </w:r>
    </w:p>
    <w:p w14:paraId="182520C4">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第一部分 招标公告；</w:t>
      </w:r>
    </w:p>
    <w:p w14:paraId="28DC281D">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第二部分 投标人须知前附表；</w:t>
      </w:r>
    </w:p>
    <w:p w14:paraId="769BD331">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第三部分 投标人须知； </w:t>
      </w:r>
    </w:p>
    <w:p w14:paraId="4E69D156">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第四部分 商务、技术要求； </w:t>
      </w:r>
    </w:p>
    <w:p w14:paraId="1ABCFAF8">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第五部分 资格审查内容及标准；</w:t>
      </w:r>
    </w:p>
    <w:p w14:paraId="40E5B423">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第六部分 评标标准和评分方法；</w:t>
      </w:r>
    </w:p>
    <w:p w14:paraId="74566C6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第七部分 合同文本；</w:t>
      </w:r>
    </w:p>
    <w:p w14:paraId="2CCB9DB8">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第八部分 投标文件内容要求及格式</w:t>
      </w:r>
    </w:p>
    <w:p w14:paraId="2923913E">
      <w:pPr>
        <w:pStyle w:val="16"/>
        <w:pBdr>
          <w:top w:val="none" w:color="auto" w:sz="0" w:space="0"/>
          <w:left w:val="none" w:color="auto" w:sz="0" w:space="0"/>
          <w:bottom w:val="none" w:color="auto" w:sz="0" w:space="0"/>
          <w:right w:val="none" w:color="auto" w:sz="0" w:space="0"/>
          <w:between w:val="none" w:color="auto" w:sz="0" w:space="0"/>
        </w:pBdr>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第九部分 附件</w:t>
      </w:r>
    </w:p>
    <w:p w14:paraId="4D77E294">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6.2 招标文件中落实政府采购政策的相关要求详见前附表序号7的规定。</w:t>
      </w:r>
    </w:p>
    <w:p w14:paraId="13C5CCA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6.3招标代理机构开标后对投标人的信用信息进行查询，查询渠道</w:t>
      </w:r>
      <w:r>
        <w:rPr>
          <w:rFonts w:hint="eastAsia" w:ascii="宋体" w:hAnsi="宋体" w:eastAsia="宋体" w:cs="宋体"/>
          <w:color w:val="auto"/>
          <w:szCs w:val="21"/>
          <w:highlight w:val="none"/>
          <w:lang w:val="en-US" w:eastAsia="zh-CN"/>
        </w:rPr>
        <w:t>为信用中国网（http：//www.creditchina.gov.cn）和中国政府采购网（h</w:t>
      </w:r>
      <w:r>
        <w:rPr>
          <w:rFonts w:hint="eastAsia" w:ascii="宋体" w:hAnsi="宋体" w:eastAsia="宋体" w:cs="宋体"/>
          <w:color w:val="auto"/>
          <w:szCs w:val="21"/>
          <w:highlight w:val="none"/>
        </w:rPr>
        <w:t>ttp：//www.ccgp.gov.cn）；截止时间为</w:t>
      </w:r>
      <w:r>
        <w:rPr>
          <w:rFonts w:hint="eastAsia" w:ascii="宋体" w:hAnsi="宋体" w:eastAsia="宋体" w:cs="宋体"/>
          <w:color w:val="auto"/>
          <w:szCs w:val="21"/>
          <w:highlight w:val="none"/>
          <w:lang w:val="en-US" w:eastAsia="zh-CN"/>
        </w:rPr>
        <w:t>解密</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当日；查询内容为信用中国网的失信被执行人、重大税收违法失信主体</w:t>
      </w:r>
      <w:r>
        <w:rPr>
          <w:rFonts w:hint="eastAsia" w:ascii="宋体" w:hAnsi="宋体" w:eastAsia="宋体" w:cs="宋体"/>
          <w:color w:val="auto"/>
          <w:szCs w:val="21"/>
          <w:highlight w:val="none"/>
          <w:lang w:val="en-US" w:eastAsia="zh-CN"/>
        </w:rPr>
        <w:t>名单</w:t>
      </w:r>
      <w:r>
        <w:rPr>
          <w:rFonts w:hint="eastAsia" w:ascii="宋体" w:hAnsi="宋体" w:eastAsia="宋体" w:cs="宋体"/>
          <w:color w:val="auto"/>
          <w:szCs w:val="21"/>
          <w:highlight w:val="none"/>
        </w:rPr>
        <w:t>；政府采购严重违法失信名单记录情况和中国政府采购网上的政府采购严重违法</w:t>
      </w:r>
      <w:r>
        <w:rPr>
          <w:rFonts w:hint="eastAsia" w:ascii="宋体" w:hAnsi="宋体" w:cs="宋体"/>
          <w:color w:val="auto"/>
          <w:szCs w:val="21"/>
          <w:highlight w:val="none"/>
        </w:rPr>
        <w:t>失信行为信息记录情况；查询后存在问题的将留存证据并对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做无效投标处理。</w:t>
      </w:r>
    </w:p>
    <w:p w14:paraId="3345EB36">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6.4 除非特殊要求，招标文件不单独提供项目使用地的自然环境、气候条件、公用设施情况，投标人被视为熟悉上述与履行合同有关的一切情况。</w:t>
      </w:r>
    </w:p>
    <w:p w14:paraId="7B1DAF39">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72" w:firstLineChars="225"/>
        <w:rPr>
          <w:rFonts w:ascii="宋体" w:hAnsi="宋体" w:cs="宋体"/>
          <w:color w:val="auto"/>
          <w:szCs w:val="21"/>
          <w:highlight w:val="none"/>
        </w:rPr>
      </w:pPr>
      <w:r>
        <w:rPr>
          <w:rFonts w:hint="eastAsia" w:ascii="宋体" w:hAnsi="宋体" w:cs="宋体"/>
          <w:color w:val="auto"/>
          <w:szCs w:val="21"/>
          <w:highlight w:val="none"/>
        </w:rPr>
        <w:t>6.5 招标文件的解释权归招标代理机构所有。当对一个问题有多种解释时以招标代理机构解释为准。</w:t>
      </w:r>
    </w:p>
    <w:p w14:paraId="0FC7B028">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6.6 招标文件未作须知明示，而又有法律、法规规定的，招标代理机构将依据法律法规的规定进行解释。</w:t>
      </w:r>
    </w:p>
    <w:p w14:paraId="7096B17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 招标文件的澄清和修改</w:t>
      </w:r>
    </w:p>
    <w:p w14:paraId="782BCC9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7.1投标文件提交的截止时间前，招标代理机构可以对已发出的招标文件进行必要的澄清或者修改，澄清或者修改在原公告发布媒体上发布澄清公告。澄清或者修改的内容为招标文件的组成部分，对所有投标人均具有约束作用。</w:t>
      </w:r>
    </w:p>
    <w:p w14:paraId="67945283">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7.2 澄清或修改的内容可能影响投标文件编制的，招标代理机构将在提交投标文件的截止时间15日前，以发布公告的形式通知所有获取到招标文件的投标人，不足15日的，将顺延投标文件提交的截止时间。</w:t>
      </w:r>
    </w:p>
    <w:p w14:paraId="0D01301E">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7.3投标人对招标文件有疑问，可要求答疑，需在“山西政府采购平台”内通知到招标代理机构。招标代理机构将视情况确定采用适当方式予以答复，并认为必要时，将不标明查询来源的答复在“山西政府采购平台”内通知已获取文件的所有潜在投标人。</w:t>
      </w:r>
    </w:p>
    <w:p w14:paraId="7EF1F444">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7.4 如延长提交投标文件截止时间或项目因故暂停，招标代理机构将在招标文件要求提交投标文件截止时间前，以发布公告的形式通知所有接收到招标文件的投标人。</w:t>
      </w:r>
    </w:p>
    <w:p w14:paraId="4C2F28CF">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 项目采用发布公告方式邀请投标人投标的，澄清或者修改的内容或提交投标文件截止时间的变化，还将在财政部门指定的政府采购信息发布媒体上用更正公告（或变更公告）的方式发布。</w:t>
      </w:r>
    </w:p>
    <w:p w14:paraId="1D6DC33A">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7.6招标代理机构将视情况确定是否进行现场勘查或召开标前答疑会，详细内容见第二部分投标人须知前附表序号9的要求。</w:t>
      </w:r>
    </w:p>
    <w:p w14:paraId="0718C4A2">
      <w:pPr>
        <w:pStyle w:val="3"/>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eastAsia="宋体" w:cs="宋体"/>
          <w:color w:val="auto"/>
          <w:sz w:val="21"/>
          <w:szCs w:val="21"/>
          <w:highlight w:val="none"/>
        </w:rPr>
      </w:pPr>
      <w:bookmarkStart w:id="46" w:name="_Toc13595"/>
      <w:bookmarkStart w:id="47" w:name="_Toc78559509"/>
      <w:bookmarkStart w:id="48" w:name="_Toc6557"/>
      <w:bookmarkStart w:id="49" w:name="_Toc16054"/>
      <w:r>
        <w:rPr>
          <w:rFonts w:hint="eastAsia" w:ascii="宋体" w:hAnsi="宋体" w:eastAsia="宋体" w:cs="宋体"/>
          <w:color w:val="auto"/>
          <w:sz w:val="21"/>
          <w:szCs w:val="21"/>
          <w:highlight w:val="none"/>
        </w:rPr>
        <w:t>三、投标文件</w:t>
      </w:r>
      <w:bookmarkEnd w:id="46"/>
      <w:bookmarkEnd w:id="47"/>
      <w:bookmarkEnd w:id="48"/>
    </w:p>
    <w:p w14:paraId="59C2CD73">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8. 投标文件的语言和计量单位</w:t>
      </w:r>
    </w:p>
    <w:p w14:paraId="7847ED5A">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8.1投标人提交的投标文件的资格证明文件、商务技术文件（包括技术文件和资料、图纸中的说明）以及投标人与招标代理机构就有关投标的所有来往函电均应使用中文简体字。外文资料必须提供中文译文，并保持与原文一致，否则，产生的不利后果由投标人承担。</w:t>
      </w:r>
    </w:p>
    <w:p w14:paraId="6221957E">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8.2投标文件所使用的计量单位，必须使用国家法定计量单位。</w:t>
      </w:r>
    </w:p>
    <w:p w14:paraId="2612C38B">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9. 投标文件的组成及相关要求</w:t>
      </w:r>
    </w:p>
    <w:p w14:paraId="0C7AA264">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 投标文件分为资格证明文件和商务、技术文件。</w:t>
      </w:r>
    </w:p>
    <w:p w14:paraId="4909C22F">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投标文件（资格证明文件）和投标文件（商务技术文件）按各自内容分别以系统要求的格式上传。 投标文件的编制、递交及要求按第一部分第六条规定执行。</w:t>
      </w:r>
    </w:p>
    <w:p w14:paraId="63DF642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 投标文件按照招标文件所规定的内容顺序，统一编目、编页码（投标文件中影印件及宣传 资料等均须与投标文件正文一起逐页编排页码）。由于编排混乱导致投标文件被误读或查找不到，其责任由投标人承担。</w:t>
      </w:r>
    </w:p>
    <w:p w14:paraId="67C0936C">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9.3 保证金交纳</w:t>
      </w:r>
    </w:p>
    <w:p w14:paraId="59B4ED03">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本项目是否要求投标人提交保证金，及要求投标人应提交的投标保证金金额及方式详见投标人 须知前附表序号 5 的相关规定。</w:t>
      </w:r>
    </w:p>
    <w:p w14:paraId="0B6E307C">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 投标报价</w:t>
      </w:r>
    </w:p>
    <w:p w14:paraId="1EE56D47">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9.4.1 所有投标报价均以人民币元为计算单位。只要投报了一个确定数额的总价，无论分项价格是否全部填报了相应的金额或免费字样，报价均被视为已经包含了但并不限于各项购买货物及其供应、运输、装卸、安装、调试、售后服务、培训服务、税金及设备所需各种配件等。在其它情况下，由于分项报价填报不完整、不清楚或存在其它任何失误，所导致的任何不利后果均应当由投标人自行承担。</w:t>
      </w:r>
    </w:p>
    <w:p w14:paraId="6FE1990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9.4.2 投标人投报多包的，应对每包分别报价并分别填报开标报价一览表。投标人报出的总价 为货物/服务全部完成交付的最终价格。</w:t>
      </w:r>
    </w:p>
    <w:p w14:paraId="1189995C">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9.4.3投标人必须整包进行投标，不得拆包分项投标</w:t>
      </w:r>
    </w:p>
    <w:p w14:paraId="08839DE0">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9.4.4本次招标不接受可选择或可调整的投标和报价。</w:t>
      </w:r>
    </w:p>
    <w:p w14:paraId="44733A1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9.4.5投标人应提供货物/服务的单价(包含货物的供应、运输、装卸、安装、调试、售后服务、培训服务、税金及设备所需各种配件等)、总价及其他事项。</w:t>
      </w:r>
    </w:p>
    <w:p w14:paraId="16D0388B">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9.4.6任何超出招标文件要求而额外赠送的货物、服务等其他形式的优惠，在评标时将不作为价格折算的必备条件。</w:t>
      </w:r>
    </w:p>
    <w:p w14:paraId="2851FD22">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9.4.7项目实施过程中需要主要辅材的项目，投标人自行设计表格，填写主要辅材清单，注明品牌、型号、产地、单价、数量等内容。</w:t>
      </w:r>
    </w:p>
    <w:p w14:paraId="148057CF">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10. 投标内容填写说明</w:t>
      </w:r>
    </w:p>
    <w:p w14:paraId="592CF38F">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投标人应详细阅读招标文件的全部内容，按照招标文件中的要求提供投标文件，并保证所提供的全部资料的真实性，对招标文件中的内容做出实质性和完整性的响应，否则，投标人须自行承担由此引起的风险和责任。</w:t>
      </w:r>
    </w:p>
    <w:p w14:paraId="6CA8A00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招标文件有固定格式要求的须按第八部分提供的统一格式逐项填写；无相应内容可填的项填写“无”、“未测试”、“没有相应指标”、 “/”等明确的回答。</w:t>
      </w:r>
    </w:p>
    <w:p w14:paraId="34DAF5D5">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报价一览表应按招标文件提供的格式统一填写，不得自行增减内容。</w:t>
      </w:r>
    </w:p>
    <w:p w14:paraId="46540AD2">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投标人必须保证投标文件所提供的全部资料真实可靠，并接受评标委员会对其中任何资料进一步审查的要求，且承担相应的法律责任。</w:t>
      </w:r>
    </w:p>
    <w:p w14:paraId="1CA569CB">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10.5因投标文件字迹潦草、提交资料不清晰或表达不清楚所引起的不利后果由投标人承担。</w:t>
      </w:r>
    </w:p>
    <w:p w14:paraId="0C827F0C">
      <w:pPr>
        <w:pBdr>
          <w:top w:val="none" w:color="auto" w:sz="0" w:space="0"/>
          <w:left w:val="none" w:color="auto" w:sz="0" w:space="0"/>
          <w:bottom w:val="none" w:color="auto" w:sz="0" w:space="0"/>
          <w:right w:val="none" w:color="auto" w:sz="0" w:space="0"/>
          <w:between w:val="none" w:color="auto" w:sz="0" w:space="0"/>
        </w:pBdr>
        <w:spacing w:line="360" w:lineRule="auto"/>
        <w:ind w:firstLine="434" w:firstLineChars="206"/>
        <w:rPr>
          <w:rFonts w:ascii="宋体" w:hAnsi="宋体" w:cs="宋体"/>
          <w:b/>
          <w:color w:val="auto"/>
          <w:szCs w:val="21"/>
          <w:highlight w:val="none"/>
        </w:rPr>
      </w:pPr>
      <w:r>
        <w:rPr>
          <w:rFonts w:hint="eastAsia" w:ascii="宋体" w:hAnsi="宋体" w:cs="宋体"/>
          <w:b/>
          <w:color w:val="auto"/>
          <w:szCs w:val="21"/>
          <w:highlight w:val="none"/>
        </w:rPr>
        <w:t>11. 投标文件的有效期</w:t>
      </w:r>
    </w:p>
    <w:p w14:paraId="27C009F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本项目投标文件的有效期详见投标人须知前附表序号6的规定。</w:t>
      </w:r>
    </w:p>
    <w:p w14:paraId="78FEFFBF">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17" w:firstLineChars="198"/>
        <w:rPr>
          <w:rFonts w:ascii="宋体" w:hAnsi="宋体" w:cs="宋体"/>
          <w:b/>
          <w:color w:val="auto"/>
          <w:szCs w:val="21"/>
          <w:highlight w:val="none"/>
        </w:rPr>
      </w:pPr>
      <w:r>
        <w:rPr>
          <w:rFonts w:hint="eastAsia" w:ascii="宋体" w:hAnsi="宋体" w:cs="宋体"/>
          <w:b/>
          <w:color w:val="auto"/>
          <w:szCs w:val="21"/>
          <w:highlight w:val="none"/>
        </w:rPr>
        <w:t>12. 投标文件的签署</w:t>
      </w:r>
    </w:p>
    <w:p w14:paraId="7C1FCF12">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12.1 组成投标文件的各种文件均应遵守本条规定。</w:t>
      </w:r>
    </w:p>
    <w:p w14:paraId="19EE0184">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12.2 投标人在投标文件及相关文件的签订、履行、通知等事项的书面文件中的“盖章”、“印章”、“公章”等处均仅指与当事人名称全称相一致的标准公章的电子签章，不得使用其它（如带有“专用章”等字样）印章，否则将做无效报价处理。</w:t>
      </w:r>
    </w:p>
    <w:p w14:paraId="7A26D923">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12.3 电子投标文件应在签章位置使用投标人单位山西CA数字证书进行电子签章。</w:t>
      </w:r>
    </w:p>
    <w:bookmarkEnd w:id="49"/>
    <w:p w14:paraId="66852134">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四、投标文件的递交</w:t>
      </w:r>
    </w:p>
    <w:p w14:paraId="623D803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2"/>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13.电子投标文件须按照招标文件第一部分投标邀请中规定的提交投标文件截止时间前在线递交。</w:t>
      </w:r>
    </w:p>
    <w:p w14:paraId="4DB6930B">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14.投标截止时间</w:t>
      </w:r>
    </w:p>
    <w:p w14:paraId="4D6A043D">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14.1电子投标文件须按照招标文件第一部分投标邀请中规定的投标解密时间进行解密。投标人在规定的时问未进行解密的，投标无效。</w:t>
      </w:r>
    </w:p>
    <w:p w14:paraId="496E68DA">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14.2采购代理机构根据本须知的规定，通过修改招标文件或自行决定延长投标截止日期的，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和投标人受投标截止日期制约的所有权利和义务均延长至新的截止日期。</w:t>
      </w:r>
    </w:p>
    <w:p w14:paraId="72F61C48">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15.投标文件的补充、修改和撤回</w:t>
      </w:r>
    </w:p>
    <w:p w14:paraId="249ADC8E">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15,1投标人在开标解密截止时问前，可以对电子投标文件进行补充、修改或者撤回。</w:t>
      </w:r>
    </w:p>
    <w:p w14:paraId="23E7C5DF">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15.2在招标文件要求的投标文件提交截止时问之后，投标人不得对其投标文件进行补充、修改或撤回。</w:t>
      </w:r>
    </w:p>
    <w:p w14:paraId="40E547B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五、开标</w:t>
      </w:r>
    </w:p>
    <w:p w14:paraId="152EA7C7">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16.开标及其有关事项</w:t>
      </w:r>
    </w:p>
    <w:p w14:paraId="373D5E1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16.1投标人不足三家的，不得开标。</w:t>
      </w:r>
    </w:p>
    <w:p w14:paraId="26F4B95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16.2开标时，投标人登录“山西政府采购平台电子投标客户端”在规定时间内解密电子投标文件，规定时间内未完成解密将导致投标无效。</w:t>
      </w:r>
    </w:p>
    <w:p w14:paraId="05AED20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16.3投标人在开标现场或登录“山西政府采购平台电子投标客户端"中自行查看开标结果，并进行确认，在规定时间内未进行确认的，系统默认为已确认开标结果。</w:t>
      </w:r>
    </w:p>
    <w:p w14:paraId="2A798CA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六、评标程序和要求</w:t>
      </w:r>
    </w:p>
    <w:p w14:paraId="1D4B494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17.项目组织</w:t>
      </w:r>
    </w:p>
    <w:p w14:paraId="36E321D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采购代理机构负责组织评标工作并履行相关职责。</w:t>
      </w:r>
    </w:p>
    <w:p w14:paraId="193623D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18.投标人资格审查</w:t>
      </w:r>
    </w:p>
    <w:p w14:paraId="7045C3E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公开招标采购项目开标结束后，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或采购代理机构按照招标文件第五部分中资格审查的内容及标准对投标人提交的投标文件(资格证明文件)进行资格审查，以确定投标人是否具备投标资格。审查后合格投标人不足3家的不得评标。</w:t>
      </w:r>
    </w:p>
    <w:p w14:paraId="1D76514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19.组建评标委员会</w:t>
      </w:r>
    </w:p>
    <w:p w14:paraId="5B39976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rPr>
        <w:t>19.1采购代理机构根据政府采购有关法律法规和木招标文件的规定，结合本招标项目的特点组建评标委员会，评标委员会由五人及以上单数组成，其中评审专家不少于成员总数的三分之二。</w:t>
      </w:r>
      <w:r>
        <w:rPr>
          <w:rFonts w:hint="eastAsia" w:ascii="宋体" w:hAnsi="宋体" w:cs="宋体"/>
          <w:color w:val="auto"/>
          <w:szCs w:val="21"/>
          <w:highlight w:val="none"/>
          <w:lang w:val="en-US" w:eastAsia="zh-CN"/>
        </w:rPr>
        <w:t xml:space="preserve">          </w:t>
      </w:r>
    </w:p>
    <w:p w14:paraId="4F16C2D3">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19.2评标委员会的组成人员为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或采购代理机构就招标文件征询过意见的专家，不得参加本项目评审。</w:t>
      </w:r>
    </w:p>
    <w:p w14:paraId="4908412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19.3评标委员会负责对符合资格的投标人的投标文件(商务技术文件)进行符合性审查和商务、技术部分的评标事务，出具经评标委员会签字的评标报告。</w:t>
      </w:r>
    </w:p>
    <w:p w14:paraId="55B854C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19.4采购代理机构负责组织项目的评标工作。</w:t>
      </w:r>
    </w:p>
    <w:p w14:paraId="629D6225">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20.投标文件（商务技术文件）符合性审查</w:t>
      </w:r>
    </w:p>
    <w:p w14:paraId="410E78D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评标委员会按照招标文件第六部分评标标准和评标办法中符合性审查的内容及标准对投标文件进行符合性审查，以确定投标文件是否对招标文件的商务、技术等实质性要求作出响应。</w:t>
      </w:r>
    </w:p>
    <w:p w14:paraId="6B31EA57">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21.评审中遵循的原则</w:t>
      </w:r>
    </w:p>
    <w:p w14:paraId="77D133B2">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21.1审查中，投标人存在下列情况之一的，投标无效</w:t>
      </w:r>
      <w:r>
        <w:rPr>
          <w:rFonts w:hint="eastAsia" w:ascii="宋体" w:hAnsi="宋体" w:cs="宋体"/>
          <w:color w:val="auto"/>
          <w:szCs w:val="21"/>
          <w:highlight w:val="none"/>
          <w:lang w:eastAsia="zh-CN"/>
        </w:rPr>
        <w:t>：</w:t>
      </w:r>
    </w:p>
    <w:p w14:paraId="614C68B9">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A、未按招标文件的规定提交投标保证金或保函的</w:t>
      </w:r>
      <w:r>
        <w:rPr>
          <w:rFonts w:hint="eastAsia" w:ascii="宋体" w:hAnsi="宋体" w:cs="宋体"/>
          <w:color w:val="auto"/>
          <w:szCs w:val="21"/>
          <w:highlight w:val="none"/>
          <w:lang w:eastAsia="zh-CN"/>
        </w:rPr>
        <w:t>；</w:t>
      </w:r>
    </w:p>
    <w:p w14:paraId="464220E7">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B、投标文件未按招标文件要求签署、盖章的</w:t>
      </w:r>
      <w:r>
        <w:rPr>
          <w:rFonts w:hint="eastAsia" w:ascii="宋体" w:hAnsi="宋体" w:cs="宋体"/>
          <w:color w:val="auto"/>
          <w:szCs w:val="21"/>
          <w:highlight w:val="none"/>
          <w:lang w:eastAsia="zh-CN"/>
        </w:rPr>
        <w:t>；</w:t>
      </w:r>
    </w:p>
    <w:p w14:paraId="763C441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C、不具备招标文件规定的资格要求的</w:t>
      </w:r>
      <w:r>
        <w:rPr>
          <w:rFonts w:hint="eastAsia" w:ascii="宋体" w:hAnsi="宋体" w:cs="宋体"/>
          <w:color w:val="auto"/>
          <w:szCs w:val="21"/>
          <w:highlight w:val="none"/>
          <w:lang w:eastAsia="zh-CN"/>
        </w:rPr>
        <w:t>；</w:t>
      </w:r>
    </w:p>
    <w:p w14:paraId="75B29E8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D、报价超过招标文件规定预算金额或者最高限价的</w:t>
      </w:r>
      <w:r>
        <w:rPr>
          <w:rFonts w:hint="eastAsia" w:ascii="宋体" w:hAnsi="宋体" w:cs="宋体"/>
          <w:color w:val="auto"/>
          <w:szCs w:val="21"/>
          <w:highlight w:val="none"/>
          <w:lang w:eastAsia="zh-CN"/>
        </w:rPr>
        <w:t>；</w:t>
      </w:r>
    </w:p>
    <w:p w14:paraId="3C3E8882">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E、投标文件含有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r>
        <w:rPr>
          <w:rFonts w:hint="eastAsia" w:ascii="宋体" w:hAnsi="宋体" w:cs="宋体"/>
          <w:color w:val="auto"/>
          <w:szCs w:val="21"/>
          <w:highlight w:val="none"/>
          <w:lang w:eastAsia="zh-CN"/>
        </w:rPr>
        <w:t>；</w:t>
      </w:r>
    </w:p>
    <w:p w14:paraId="64E7262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F、法律、法规和招标文件规定的其他无效情形的。</w:t>
      </w:r>
    </w:p>
    <w:p w14:paraId="61554CE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21.2在评标过程中发现投标人有下列情形的，评标委员会应认定其投标无效，并书面报告本级财政部门</w:t>
      </w:r>
      <w:r>
        <w:rPr>
          <w:rFonts w:hint="eastAsia" w:ascii="宋体" w:hAnsi="宋体" w:cs="宋体"/>
          <w:color w:val="auto"/>
          <w:szCs w:val="21"/>
          <w:highlight w:val="none"/>
          <w:lang w:eastAsia="zh-CN"/>
        </w:rPr>
        <w:t>：</w:t>
      </w:r>
    </w:p>
    <w:p w14:paraId="5BEA8F8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A、有恶意串通的</w:t>
      </w:r>
      <w:r>
        <w:rPr>
          <w:rFonts w:hint="eastAsia" w:ascii="宋体" w:hAnsi="宋体" w:cs="宋体"/>
          <w:color w:val="auto"/>
          <w:szCs w:val="21"/>
          <w:highlight w:val="none"/>
          <w:lang w:eastAsia="zh-CN"/>
        </w:rPr>
        <w:t>；</w:t>
      </w:r>
    </w:p>
    <w:p w14:paraId="7B7BEBC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B、有妨碍其他投标人的竞争行为的</w:t>
      </w:r>
      <w:r>
        <w:rPr>
          <w:rFonts w:hint="eastAsia" w:ascii="宋体" w:hAnsi="宋体" w:cs="宋体"/>
          <w:color w:val="auto"/>
          <w:szCs w:val="21"/>
          <w:highlight w:val="none"/>
          <w:lang w:eastAsia="zh-CN"/>
        </w:rPr>
        <w:t>；</w:t>
      </w:r>
    </w:p>
    <w:p w14:paraId="7916A71D">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C、有损害</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或者其他投标人的合法权益的。</w:t>
      </w:r>
    </w:p>
    <w:p w14:paraId="0ADCF29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21.3投标人有下列情形之一的，视为串通投标，其投标无效</w:t>
      </w:r>
      <w:r>
        <w:rPr>
          <w:rFonts w:hint="eastAsia" w:ascii="宋体" w:hAnsi="宋体" w:cs="宋体"/>
          <w:color w:val="auto"/>
          <w:szCs w:val="21"/>
          <w:highlight w:val="none"/>
          <w:lang w:eastAsia="zh-CN"/>
        </w:rPr>
        <w:t>：</w:t>
      </w:r>
    </w:p>
    <w:p w14:paraId="221FAF1F">
      <w:pPr>
        <w:pStyle w:val="26"/>
        <w:numPr>
          <w:ilvl w:val="0"/>
          <w:numId w:val="0"/>
        </w:num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A、</w:t>
      </w:r>
      <w:r>
        <w:rPr>
          <w:rFonts w:hint="eastAsia" w:ascii="宋体" w:hAnsi="宋体" w:cs="宋体"/>
          <w:color w:val="auto"/>
          <w:szCs w:val="21"/>
          <w:highlight w:val="none"/>
        </w:rPr>
        <w:t>不同投标人的投标文件由同一单位或者个人编制，或上传电子投标文件的PP地址一致的</w:t>
      </w:r>
      <w:r>
        <w:rPr>
          <w:rFonts w:hint="eastAsia" w:ascii="宋体" w:hAnsi="宋体" w:cs="宋体"/>
          <w:color w:val="auto"/>
          <w:szCs w:val="21"/>
          <w:highlight w:val="none"/>
          <w:lang w:eastAsia="zh-CN"/>
        </w:rPr>
        <w:t>；</w:t>
      </w:r>
    </w:p>
    <w:p w14:paraId="5240DF03">
      <w:pPr>
        <w:pStyle w:val="26"/>
        <w:numPr>
          <w:ilvl w:val="0"/>
          <w:numId w:val="0"/>
        </w:numPr>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B、不同投标人委托同一单位或者个人办理投标事宜</w:t>
      </w:r>
      <w:r>
        <w:rPr>
          <w:rFonts w:hint="eastAsia" w:ascii="宋体" w:hAnsi="宋体" w:cs="宋体"/>
          <w:color w:val="auto"/>
          <w:szCs w:val="21"/>
          <w:highlight w:val="none"/>
          <w:lang w:eastAsia="zh-CN"/>
        </w:rPr>
        <w:t>；</w:t>
      </w:r>
    </w:p>
    <w:p w14:paraId="4776FBB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C、不同投标人的投标文件载明的项目管理成员或者联系人为同一人</w:t>
      </w:r>
      <w:r>
        <w:rPr>
          <w:rFonts w:hint="eastAsia" w:ascii="宋体" w:hAnsi="宋体" w:cs="宋体"/>
          <w:color w:val="auto"/>
          <w:szCs w:val="21"/>
          <w:highlight w:val="none"/>
          <w:lang w:eastAsia="zh-CN"/>
        </w:rPr>
        <w:t>；</w:t>
      </w:r>
    </w:p>
    <w:p w14:paraId="75431E1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D、不同投标人的投标文件异常一致或者投标报价呈规律性差异</w:t>
      </w:r>
      <w:r>
        <w:rPr>
          <w:rFonts w:hint="eastAsia" w:ascii="宋体" w:hAnsi="宋体" w:cs="宋体"/>
          <w:color w:val="auto"/>
          <w:szCs w:val="21"/>
          <w:highlight w:val="none"/>
          <w:lang w:eastAsia="zh-CN"/>
        </w:rPr>
        <w:t>；</w:t>
      </w:r>
    </w:p>
    <w:p w14:paraId="759746C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E、不同投标人的投标文件相互混装</w:t>
      </w:r>
      <w:r>
        <w:rPr>
          <w:rFonts w:hint="eastAsia" w:ascii="宋体" w:hAnsi="宋体" w:cs="宋体"/>
          <w:color w:val="auto"/>
          <w:szCs w:val="21"/>
          <w:highlight w:val="none"/>
          <w:lang w:eastAsia="zh-CN"/>
        </w:rPr>
        <w:t>；</w:t>
      </w:r>
    </w:p>
    <w:p w14:paraId="202D111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F、不同投标人的投标保证金从同一单位或者个人的账户转出。</w:t>
      </w:r>
    </w:p>
    <w:p w14:paraId="42AFE67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21.4审查中，对明显的文字和计算错误按下述原则处理</w:t>
      </w:r>
      <w:r>
        <w:rPr>
          <w:rFonts w:hint="eastAsia" w:ascii="宋体" w:hAnsi="宋体" w:cs="宋体"/>
          <w:color w:val="auto"/>
          <w:szCs w:val="21"/>
          <w:highlight w:val="none"/>
          <w:lang w:eastAsia="zh-CN"/>
        </w:rPr>
        <w:t>：</w:t>
      </w:r>
    </w:p>
    <w:p w14:paraId="7265F623">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A、开标报价一览</w:t>
      </w:r>
      <w:r>
        <w:rPr>
          <w:rFonts w:hint="eastAsia" w:ascii="宋体" w:hAnsi="宋体" w:eastAsia="宋体" w:cs="宋体"/>
          <w:color w:val="auto"/>
          <w:szCs w:val="21"/>
          <w:highlight w:val="none"/>
        </w:rPr>
        <w:t>表内容与投标文件中相应内容不一致的，以开标报价一览表为准</w:t>
      </w:r>
      <w:r>
        <w:rPr>
          <w:rFonts w:hint="eastAsia" w:ascii="宋体" w:hAnsi="宋体" w:eastAsia="宋体" w:cs="宋体"/>
          <w:color w:val="auto"/>
          <w:szCs w:val="21"/>
          <w:highlight w:val="none"/>
          <w:lang w:eastAsia="zh-CN"/>
        </w:rPr>
        <w:t>；</w:t>
      </w:r>
    </w:p>
    <w:p w14:paraId="3D3578ED">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B、大写金额和小写金额不一致的，以大写金额为准</w:t>
      </w:r>
      <w:r>
        <w:rPr>
          <w:rFonts w:hint="eastAsia" w:ascii="宋体" w:hAnsi="宋体" w:eastAsia="宋体" w:cs="宋体"/>
          <w:color w:val="auto"/>
          <w:szCs w:val="21"/>
          <w:highlight w:val="none"/>
          <w:lang w:eastAsia="zh-CN"/>
        </w:rPr>
        <w:t>；</w:t>
      </w:r>
    </w:p>
    <w:p w14:paraId="76D6D115">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C、单价金额小数点或百分比有明显错误的，以开标报价一览表的总价为准，并修改单价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D、总价金额与按单价汇总金额不一致的，以单价金额计算结果为准。</w:t>
      </w:r>
    </w:p>
    <w:p w14:paraId="1F43F9D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评标委员会将要求投标人按上述原则在“政府集采交易系统/政采分散交易系统”内调整确认，确认方式为PDF加盖法人电子签章。投标人确认后的报价对投标人具有约束力，如果投标人不予确认，其投标无效。</w:t>
      </w:r>
    </w:p>
    <w:p w14:paraId="1781B40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21.5如果多个投标人所投核心产品全部为同一品牌的按下述原则处理</w:t>
      </w:r>
      <w:r>
        <w:rPr>
          <w:rFonts w:hint="eastAsia" w:ascii="宋体" w:hAnsi="宋体" w:eastAsia="宋体" w:cs="宋体"/>
          <w:color w:val="auto"/>
          <w:szCs w:val="21"/>
          <w:highlight w:val="none"/>
          <w:lang w:eastAsia="zh-CN"/>
        </w:rPr>
        <w:t>：</w:t>
      </w:r>
    </w:p>
    <w:p w14:paraId="5AFD3197">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A、采用最低评标价法的采购项目，提供相同品牌产品的不同投标人参加同一合同项下投标的，以其中通过资格审查、符合性审查且报价最低的参加评标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报价相同的采取随机抽取方式确定，其</w:t>
      </w:r>
    </w:p>
    <w:p w14:paraId="7398C24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他投标无效</w:t>
      </w:r>
      <w:r>
        <w:rPr>
          <w:rFonts w:hint="eastAsia" w:ascii="宋体" w:hAnsi="宋体" w:eastAsia="宋体" w:cs="宋体"/>
          <w:color w:val="auto"/>
          <w:szCs w:val="21"/>
          <w:highlight w:val="none"/>
          <w:lang w:eastAsia="zh-CN"/>
        </w:rPr>
        <w:t>；</w:t>
      </w:r>
    </w:p>
    <w:p w14:paraId="6B92323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使用综合评分法的采购项目，提供相同品牌产品且通过资格审查、符合性审查的不同投标人参加同一合同项下投标的，按一家投标人计算，评审后得分最高的同品牌投标人中标或获取中标人资格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评审得分相同的采取随机抽取方式确定，其他同品牌投标人不作为中标人或中标候选人</w:t>
      </w:r>
      <w:r>
        <w:rPr>
          <w:rFonts w:hint="eastAsia" w:ascii="宋体" w:hAnsi="宋体" w:eastAsia="宋体" w:cs="宋体"/>
          <w:color w:val="auto"/>
          <w:szCs w:val="21"/>
          <w:highlight w:val="none"/>
          <w:lang w:eastAsia="zh-CN"/>
        </w:rPr>
        <w:t>；</w:t>
      </w:r>
    </w:p>
    <w:p w14:paraId="3B342C8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C、非单一产品采购项目，技术需求书中标注“※”(若有的话)的产品为核心产品。多家投标人提供的核心产品品牌完全相同的，按前两款规定处理。</w:t>
      </w:r>
    </w:p>
    <w:p w14:paraId="2B51152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left="0" w:leftChars="0" w:firstLine="0" w:firstLineChars="0"/>
        <w:rPr>
          <w:rFonts w:ascii="宋体" w:hAnsi="宋体" w:cs="宋体"/>
          <w:color w:val="auto"/>
          <w:szCs w:val="21"/>
          <w:highlight w:val="none"/>
        </w:rPr>
      </w:pPr>
      <w:r>
        <w:rPr>
          <w:rFonts w:hint="eastAsia" w:ascii="宋体" w:hAnsi="宋体" w:cs="宋体"/>
          <w:b/>
          <w:bCs/>
          <w:color w:val="auto"/>
          <w:szCs w:val="21"/>
          <w:highlight w:val="none"/>
        </w:rPr>
        <w:t>22. 投标的澄清、说明或者补正</w:t>
      </w:r>
      <w:r>
        <w:rPr>
          <w:rFonts w:hint="eastAsia" w:ascii="宋体" w:hAnsi="宋体" w:cs="宋体"/>
          <w:color w:val="auto"/>
          <w:szCs w:val="21"/>
          <w:highlight w:val="none"/>
        </w:rPr>
        <w:t xml:space="preserve"> </w:t>
      </w:r>
    </w:p>
    <w:p w14:paraId="5C8D99D5">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cs="宋体"/>
          <w:color w:val="auto"/>
          <w:szCs w:val="21"/>
          <w:highlight w:val="none"/>
        </w:rPr>
        <w:t>22.1 对于投标文件中含义不明确、同类问题表述不一致或者有明显文字和计算错误的内容，评标委员会应要求投标人作出必</w:t>
      </w:r>
      <w:r>
        <w:rPr>
          <w:rFonts w:hint="eastAsia" w:ascii="宋体" w:hAnsi="宋体" w:eastAsia="宋体" w:cs="宋体"/>
          <w:color w:val="auto"/>
          <w:szCs w:val="21"/>
          <w:highlight w:val="none"/>
        </w:rPr>
        <w:t>要的澄清、说明或者补正。该澄清、说明或者补正应当采用PDF格式加盖法人电子签章形式。投标人的澄清、说明或者补正不得超出投标文件的范围或者改变投标文件的实质性内容。</w:t>
      </w:r>
    </w:p>
    <w:p w14:paraId="105DA81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委员会认为投标人的报价明显低于其他通过符合性审查投标人的报价，有可能影响产品质量或者不能诚信履约的，应当要求其在合理的时间内在系统中采用PDF加盖法人电子签章形式提供说明，必要时提交相关证明材料；投标人不能证明其报价合理性的，评标委员会应当将其作为无效投标处理。</w:t>
      </w:r>
    </w:p>
    <w:p w14:paraId="0D5D946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23. 比较与评价</w:t>
      </w:r>
      <w:r>
        <w:rPr>
          <w:rFonts w:hint="eastAsia" w:ascii="宋体" w:hAnsi="宋体" w:cs="宋体"/>
          <w:color w:val="auto"/>
          <w:szCs w:val="21"/>
          <w:highlight w:val="none"/>
        </w:rPr>
        <w:t xml:space="preserve">  </w:t>
      </w:r>
    </w:p>
    <w:p w14:paraId="3F0BBA4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23.1 评标委员会按照招标文件中第六部分规定的评标标准和评标办法，对符合性审查合格的投标文件（商务技术文件）进行商务和技术评估，综合比较和评价。</w:t>
      </w:r>
    </w:p>
    <w:p w14:paraId="7CCC1A9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23.2 采用综合评分法评审的应按照招标文件第六部分评标标准和评标办法中规定的评标方法、中标条件以及评分细则进行。</w:t>
      </w:r>
    </w:p>
    <w:p w14:paraId="71CBF62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24. 评审复核</w:t>
      </w:r>
      <w:r>
        <w:rPr>
          <w:rFonts w:hint="eastAsia" w:ascii="宋体" w:hAnsi="宋体" w:cs="宋体"/>
          <w:color w:val="auto"/>
          <w:szCs w:val="21"/>
          <w:highlight w:val="none"/>
        </w:rPr>
        <w:t xml:space="preserve">    </w:t>
      </w:r>
    </w:p>
    <w:p w14:paraId="6541047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24.1评标结果汇总完成后，除下列情形外，任何人不得修改评标结果：</w:t>
      </w:r>
    </w:p>
    <w:p w14:paraId="23DB7AB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A、分值汇总计算错误的；</w:t>
      </w:r>
    </w:p>
    <w:p w14:paraId="284829A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B、分项评分超出评分标准范围的；</w:t>
      </w:r>
    </w:p>
    <w:p w14:paraId="1428912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C、评标委员会成员对客观评审因素评分不一致的；</w:t>
      </w:r>
    </w:p>
    <w:p w14:paraId="02601E5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D、经评标委员会认定评分畸高、畸低的；</w:t>
      </w:r>
    </w:p>
    <w:p w14:paraId="704A4842">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24.2评标报告签署前，经复核发现存在以上情形之一的，评标委员会应当当场修改评标结果，并在评标报告中记载；评标报告签署后，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或者采购代理机构发现存在以上情形之一的，应当组织原评标委员会进行重新评审，重新评审改变评标结果的，书面报告本级财政部门。</w:t>
      </w:r>
    </w:p>
    <w:p w14:paraId="37F9595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25. 确定推荐中标人名单</w:t>
      </w:r>
    </w:p>
    <w:p w14:paraId="1DE2737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eastAsia="宋体" w:cs="宋体"/>
          <w:color w:val="auto"/>
          <w:szCs w:val="21"/>
          <w:highlight w:val="none"/>
        </w:rPr>
      </w:pPr>
      <w:r>
        <w:rPr>
          <w:rFonts w:hint="eastAsia" w:ascii="宋体" w:hAnsi="宋体" w:cs="宋体"/>
          <w:color w:val="auto"/>
          <w:szCs w:val="21"/>
          <w:highlight w:val="none"/>
        </w:rPr>
        <w:t>口招标文件第六部分规定采用最低评标价法评标的，评标结果按投标报价由低到高顺序排列，投标报价</w:t>
      </w:r>
      <w:r>
        <w:rPr>
          <w:rFonts w:hint="eastAsia" w:ascii="宋体" w:hAnsi="宋体" w:eastAsia="宋体" w:cs="宋体"/>
          <w:color w:val="auto"/>
          <w:szCs w:val="21"/>
          <w:highlight w:val="none"/>
        </w:rPr>
        <w:t>最低的投标人为中标人。投标报价相同的采取随机抽取的方式确定中标人。</w:t>
      </w:r>
    </w:p>
    <w:p w14:paraId="5C715BE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rPr>
        <w:t>招标文件第六部分规定采用综合评分法评标的，评标结果按评审后得分由高到低顺序排列，得分最高的投标人为中标人。得</w:t>
      </w:r>
      <w:r>
        <w:rPr>
          <w:rFonts w:hint="eastAsia" w:ascii="宋体" w:hAnsi="宋体" w:cs="宋体"/>
          <w:color w:val="auto"/>
          <w:szCs w:val="21"/>
          <w:highlight w:val="none"/>
        </w:rPr>
        <w:t>分相同的，按投标报价由低到高顺序排列。得分且投标报价相同的采取随机抽取的方式确定中标人。</w:t>
      </w:r>
    </w:p>
    <w:p w14:paraId="42A08649">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26. 编写评标报告</w:t>
      </w:r>
    </w:p>
    <w:p w14:paraId="2D388A1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评标委员会评审组长根据全体评标成员签字的原始评标记录和评标结果编写评标报告，并由全体评标成员共同签字确认。</w:t>
      </w:r>
    </w:p>
    <w:p w14:paraId="33836A7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rPr>
        <w:t xml:space="preserve">27. 评标过程保密  </w:t>
      </w:r>
      <w:r>
        <w:rPr>
          <w:rFonts w:hint="eastAsia" w:ascii="宋体" w:hAnsi="宋体" w:cs="宋体"/>
          <w:color w:val="auto"/>
          <w:szCs w:val="21"/>
          <w:highlight w:val="none"/>
        </w:rPr>
        <w:t xml:space="preserve">  </w:t>
      </w:r>
    </w:p>
    <w:p w14:paraId="37A7712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招标人、招标代理机构要采取必要措施，保证评标在严格保密的情况下进行。除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代表、评标现场组织人员外，招标人的其他工作人员以及与评标工作无关的人员不得进入评标现场。</w:t>
      </w:r>
    </w:p>
    <w:p w14:paraId="707F0EF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有关人员对评标情况以及在评标过程中获悉的国家秘密、商业秘密负有保密责任。</w:t>
      </w:r>
    </w:p>
    <w:p w14:paraId="5948B22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28. 采购项目废标</w:t>
      </w:r>
    </w:p>
    <w:p w14:paraId="6B930A7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28.1 在评标过程中，评标委员会发现有下列情形之一的，应对采购项目予以废标：</w:t>
      </w:r>
    </w:p>
    <w:p w14:paraId="7D4CDC95">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A、符合专业条件的投标人或者对招标文件作实质响应的投标人数量不足3家的；</w:t>
      </w:r>
    </w:p>
    <w:p w14:paraId="063D537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B、投标人的报价均超过采购预算或最高限价的；</w:t>
      </w:r>
    </w:p>
    <w:p w14:paraId="3F9D5C0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C、出现影响采购公正的违法、违规行为的；</w:t>
      </w:r>
    </w:p>
    <w:p w14:paraId="2E64ACF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D、因重大变故，采购任务取消的。</w:t>
      </w:r>
    </w:p>
    <w:p w14:paraId="1D2F010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采购项目废标后，评标委员会应做出书面报告。</w:t>
      </w:r>
    </w:p>
    <w:p w14:paraId="70401E27">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28.2 废标后，采购代理机构将在财政部门指定的媒体上发布废标结果公告。</w:t>
      </w:r>
    </w:p>
    <w:p w14:paraId="349E082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50" w:name="_Toc32242"/>
      <w:bookmarkStart w:id="51" w:name="_Toc24728"/>
      <w:bookmarkStart w:id="52" w:name="_Toc424378691"/>
      <w:r>
        <w:rPr>
          <w:rFonts w:hint="eastAsia" w:ascii="宋体" w:hAnsi="宋体" w:cs="宋体"/>
          <w:b/>
          <w:bCs/>
          <w:color w:val="auto"/>
          <w:szCs w:val="21"/>
          <w:highlight w:val="none"/>
        </w:rPr>
        <w:t>七、签订合同</w:t>
      </w:r>
      <w:bookmarkEnd w:id="50"/>
      <w:bookmarkEnd w:id="51"/>
      <w:bookmarkEnd w:id="52"/>
    </w:p>
    <w:p w14:paraId="6DBF0E6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29．中标通知</w:t>
      </w:r>
    </w:p>
    <w:p w14:paraId="7E1FABA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29.1中标人确定之日起2个工作日内，采购代理机构在刊登本次招标公告的媒体上发布中标公告，并以书面形式向中标人发出中标通知书，但该中标结果的有效性不依赖于未中标的投标人是否知道中标结果。中标通知书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和中标人具有同等法律效力。中标通知书发出以后，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改变中标结果或者中标人放弃中标，应当承担相应的法律责任。</w:t>
      </w:r>
    </w:p>
    <w:p w14:paraId="23E1053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29.2未通过资格审查的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，采购代理机构应当在评市结束前书面或者口头告知其未通过的原因</w:t>
      </w:r>
      <w:r>
        <w:rPr>
          <w:rFonts w:hint="eastAsia" w:ascii="宋体" w:hAnsi="宋体" w:cs="宋体"/>
          <w:color w:val="auto"/>
          <w:szCs w:val="21"/>
          <w:highlight w:val="none"/>
          <w:lang w:eastAsia="zh-CN"/>
        </w:rPr>
        <w:t>；</w:t>
      </w:r>
      <w:r>
        <w:rPr>
          <w:rFonts w:hint="eastAsia" w:ascii="宋体" w:hAnsi="宋体" w:cs="宋体"/>
          <w:color w:val="auto"/>
          <w:szCs w:val="21"/>
          <w:highlight w:val="none"/>
        </w:rPr>
        <w:t>对未中标的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，采购代理机构应当书面或者口头告知评市得分与排序。</w:t>
      </w:r>
    </w:p>
    <w:p w14:paraId="47CAA9A5">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hint="eastAsia" w:ascii="宋体" w:hAnsi="宋体" w:cs="宋体"/>
          <w:color w:val="auto"/>
          <w:szCs w:val="21"/>
          <w:highlight w:val="none"/>
        </w:rPr>
      </w:pPr>
      <w:r>
        <w:rPr>
          <w:rFonts w:hint="eastAsia" w:ascii="宋体" w:hAnsi="宋体" w:cs="宋体"/>
          <w:color w:val="auto"/>
          <w:szCs w:val="21"/>
          <w:highlight w:val="none"/>
        </w:rPr>
        <w:t>29.3中标通知书是合同的组成部分。</w:t>
      </w:r>
    </w:p>
    <w:p w14:paraId="79454B15">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30．签订合同</w:t>
      </w:r>
    </w:p>
    <w:p w14:paraId="4C192B4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30.1 招标人应当自中标通知书发出之日起10日内与中标人签订书面合同。</w:t>
      </w:r>
    </w:p>
    <w:p w14:paraId="7D5EB3B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30.2 中标人应按照招标文件、投标文件及评标过程中的有关澄清、说明或者补正文件的内容与招标人签订合同。中标人不得再与招标人签订背离合同实质性内容的其它协议或声明。</w:t>
      </w:r>
    </w:p>
    <w:p w14:paraId="04483C1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30.3本文件第四部分商务、技术要求商务条件中要求中标人提交履约保证金的，中标人须按照规定向招标人提交履约保证金。</w:t>
      </w:r>
    </w:p>
    <w:p w14:paraId="4D798CC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30.4 中标人应当自合同或补充合同签订之日起2个工作日内将合同提交招标代理机构进行合同备案。</w:t>
      </w:r>
    </w:p>
    <w:p w14:paraId="09D46153">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53" w:name="_Toc22226"/>
      <w:bookmarkStart w:id="54" w:name="_Toc18682"/>
      <w:bookmarkStart w:id="55" w:name="_Toc424378692"/>
      <w:bookmarkStart w:id="56" w:name="_Toc421716587"/>
      <w:r>
        <w:rPr>
          <w:rFonts w:hint="eastAsia" w:ascii="宋体" w:hAnsi="宋体" w:cs="宋体"/>
          <w:b/>
          <w:bCs/>
          <w:color w:val="auto"/>
          <w:szCs w:val="21"/>
          <w:highlight w:val="none"/>
        </w:rPr>
        <w:t>八、服务费</w:t>
      </w:r>
      <w:bookmarkEnd w:id="53"/>
      <w:bookmarkEnd w:id="54"/>
      <w:bookmarkEnd w:id="55"/>
      <w:bookmarkEnd w:id="56"/>
      <w:r>
        <w:rPr>
          <w:rFonts w:hint="eastAsia" w:ascii="宋体" w:hAnsi="宋体" w:cs="宋体"/>
          <w:b/>
          <w:bCs/>
          <w:color w:val="auto"/>
          <w:szCs w:val="21"/>
          <w:highlight w:val="none"/>
        </w:rPr>
        <w:t>　　</w:t>
      </w:r>
    </w:p>
    <w:p w14:paraId="6C2E3FD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31. 服务费</w:t>
      </w:r>
    </w:p>
    <w:p w14:paraId="164D8518">
      <w:pPr>
        <w:pStyle w:val="26"/>
        <w:pBdr>
          <w:top w:val="none" w:color="auto" w:sz="0" w:space="0"/>
          <w:left w:val="none" w:color="auto" w:sz="0" w:space="0"/>
          <w:bottom w:val="none" w:color="auto" w:sz="0" w:space="1"/>
          <w:right w:val="none" w:color="auto" w:sz="0" w:space="0"/>
          <w:between w:val="none" w:color="auto" w:sz="0" w:space="0"/>
        </w:pBdr>
        <w:tabs>
          <w:tab w:val="left" w:pos="1050"/>
        </w:tabs>
        <w:snapToGrid w:val="0"/>
        <w:spacing w:line="360" w:lineRule="auto"/>
        <w:ind w:firstLine="420"/>
        <w:rPr>
          <w:rFonts w:ascii="宋体" w:hAnsi="宋体" w:cs="宋体"/>
          <w:color w:val="auto"/>
          <w:szCs w:val="21"/>
          <w:highlight w:val="none"/>
        </w:rPr>
      </w:pPr>
      <w:bookmarkStart w:id="57" w:name="_Toc421716588"/>
      <w:bookmarkStart w:id="58" w:name="_Toc424378693"/>
      <w:bookmarkStart w:id="59" w:name="_Toc26993"/>
      <w:bookmarkStart w:id="60" w:name="_Toc29869"/>
      <w:r>
        <w:rPr>
          <w:rFonts w:hint="eastAsia" w:ascii="宋体" w:hAnsi="宋体" w:cs="宋体"/>
          <w:color w:val="auto"/>
          <w:szCs w:val="21"/>
          <w:highlight w:val="none"/>
        </w:rPr>
        <w:t>按计价格[2002]1980号和发改办价格[2003]857号文计算后作为最终中标服务费，包含在投标人报价中。中标人在领取“中标（成交）通知书”时应向代理机构缴纳中标服务费。请投标人在测算投标时充分考虑这一因素。</w:t>
      </w:r>
    </w:p>
    <w:p w14:paraId="691732B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九、保密和披露</w:t>
      </w:r>
      <w:bookmarkEnd w:id="57"/>
      <w:bookmarkEnd w:id="58"/>
      <w:bookmarkEnd w:id="59"/>
      <w:bookmarkEnd w:id="60"/>
    </w:p>
    <w:p w14:paraId="5070C26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32. 保密</w:t>
      </w:r>
    </w:p>
    <w:p w14:paraId="6DCC15F9">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投标人自领取招标文件之日起，须承诺承担本招标项目下的保密义务，不得将因本次招标获得的信息向第三人外传。</w:t>
      </w:r>
    </w:p>
    <w:p w14:paraId="388A459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33. 披露</w:t>
      </w:r>
    </w:p>
    <w:p w14:paraId="14AD0DF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33.1 招标代理机构有权将投标人提供的所有资料向有关政府部门或评审标书的有关人员披露。</w:t>
      </w:r>
    </w:p>
    <w:p w14:paraId="64CADA6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33.2 在招标代理机构认为适当时或国家机关调查、审查、审计时以及其他符合法律法规规定的情形下，招标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158B53A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bookmarkStart w:id="61" w:name="_Toc20833"/>
      <w:bookmarkStart w:id="62" w:name="_Toc6434"/>
      <w:r>
        <w:rPr>
          <w:rFonts w:hint="eastAsia" w:ascii="宋体" w:hAnsi="宋体" w:cs="宋体"/>
          <w:b/>
          <w:bCs/>
          <w:color w:val="auto"/>
          <w:szCs w:val="21"/>
          <w:highlight w:val="none"/>
        </w:rPr>
        <w:t>十、询问和质疑</w:t>
      </w:r>
      <w:bookmarkEnd w:id="61"/>
      <w:bookmarkEnd w:id="62"/>
    </w:p>
    <w:p w14:paraId="1B7C9B9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34.询问</w:t>
      </w:r>
    </w:p>
    <w:p w14:paraId="096D127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34.1投标人对招标文件有疑问的，可按第一部分投标邀请中载明的联系方式、地址，口头或书面形式向招标代理机构、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提出询问；进行质疑的，必须以书面形式提出质疑函。投标人对评审过程、评标结果有疑问的，可按中标（成交）公告中载明的联系方式、地址提出质疑。</w:t>
      </w:r>
    </w:p>
    <w:p w14:paraId="0690ABB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34.2询问事项若属于招标人提交的采购需求范畴的，询问方式为口头询问的，招标代理机构告知询问对象直接向招标人询问；询问方式为书面询问的，投标人须提供以下资料各2份，法定代表人身份证明书、法定代表人授权委托书、委托人和被委托人的身份证扫描件、询问函。在招标代理机构领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询问告知函》，投标人持《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询问告知函》向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进行询问。招标人须在法定时间内向询问投标人进行书面答复。</w:t>
      </w:r>
    </w:p>
    <w:p w14:paraId="5CF2EFD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35.质疑</w:t>
      </w:r>
    </w:p>
    <w:p w14:paraId="4BE89FB3">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35.1投标人认为招标文件、评标过程和评标结果使自己的权益受到损害，应当在法定质疑期限内以书面形式一次性提出针对同一采购程序环节的质疑，否则将不予答复。</w:t>
      </w:r>
    </w:p>
    <w:p w14:paraId="3B628D5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对可以质疑的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提出质疑的，在收到</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之日起七个工作日内提出；</w:t>
      </w:r>
    </w:p>
    <w:p w14:paraId="60DD2C64">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对采购过程提出质疑的，在各采购程序环节结束之日起七个工作日内提出；</w:t>
      </w:r>
    </w:p>
    <w:p w14:paraId="6090485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对中标结果提出质疑的，在中标公告期限届满之日起七个工作日内提出。</w:t>
      </w:r>
    </w:p>
    <w:p w14:paraId="03F273B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35.2质疑投标人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投标人领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时间的证明材料；质疑函原件。</w:t>
      </w:r>
    </w:p>
    <w:p w14:paraId="13E3752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投标人为自然人的，应当由本人签字；投标人为法人或者其他组织的，应当由法定代表人、主要负责人签字或者盖章，并加盖公章。</w:t>
      </w:r>
    </w:p>
    <w:p w14:paraId="60DB3EC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35.3投标人提出质疑应当提交质疑函和必要的证明材料。质疑函内容包括：</w:t>
      </w:r>
    </w:p>
    <w:p w14:paraId="69B9961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A.投标人的姓名或者名称、地址、邮编、联系人及联系电话；</w:t>
      </w:r>
    </w:p>
    <w:p w14:paraId="7203F9B6">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B.质疑项目的名称、编号；</w:t>
      </w:r>
    </w:p>
    <w:p w14:paraId="70C4226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C.具体、明确的质疑事项和与质疑事项相关的请求；</w:t>
      </w:r>
    </w:p>
    <w:p w14:paraId="4432BDA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D.事实依据；</w:t>
      </w:r>
    </w:p>
    <w:p w14:paraId="2E4F7402">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E.必要的法律依据；</w:t>
      </w:r>
    </w:p>
    <w:p w14:paraId="7C380E51">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F.提出质疑的日期。</w:t>
      </w:r>
    </w:p>
    <w:p w14:paraId="263C7E22">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35.4对招标文件编制内容（不包括采购需求）、评审过程、评标结果提出质疑的，由招标代理机构进行书面答复。</w:t>
      </w:r>
    </w:p>
    <w:p w14:paraId="4D8D730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对招标文件编制内容（不包括采购需求）提出质疑的，请按本文件第一部分招标公告“八、招标代理机构基本信息”中载明的单位名称、地址、联系人、联系方式进行沟通联系。</w:t>
      </w:r>
    </w:p>
    <w:p w14:paraId="099C9F5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对评审过程、评标结果提出质疑的，请按结果公告中载明的联系人、联系方式进行沟通联系，并提交 35.2、35.3要求提交的相关资料。</w:t>
      </w:r>
    </w:p>
    <w:p w14:paraId="4938DD8A">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对招标文件中采购需求提出质疑的，招标代理机构出具《投标人质疑告知函》（一式三份），投标人持《投标人质疑告知函》向招标人提出质疑。</w:t>
      </w:r>
    </w:p>
    <w:p w14:paraId="72CEF629">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35.5 招标代理机构、招标人将依据《中华人民共和国政府采购法实施条例》第五十二条第一款的规定时限对投标人的询问、质疑做出处理和答复。</w:t>
      </w:r>
    </w:p>
    <w:p w14:paraId="038BE57C">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质疑答复应当包括下列内容：</w:t>
      </w:r>
    </w:p>
    <w:p w14:paraId="3A3313EF">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A.质疑投标人的姓名或者名称；</w:t>
      </w:r>
    </w:p>
    <w:p w14:paraId="0BBB8940">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B.收到质疑函的日期、质疑项目名称及编号；</w:t>
      </w:r>
    </w:p>
    <w:p w14:paraId="3C128E13">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rPr>
        <w:t>C.质疑事项、质疑答复的具体</w:t>
      </w:r>
      <w:r>
        <w:rPr>
          <w:rFonts w:hint="eastAsia" w:ascii="宋体" w:hAnsi="宋体" w:eastAsia="宋体" w:cs="宋体"/>
          <w:color w:val="auto"/>
          <w:szCs w:val="21"/>
          <w:highlight w:val="none"/>
        </w:rPr>
        <w:t>内容、事实依据和法律依据；</w:t>
      </w:r>
    </w:p>
    <w:p w14:paraId="627F0F7E">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D.告知质疑投标人依法投诉的权利；</w:t>
      </w:r>
    </w:p>
    <w:p w14:paraId="5BD3BFF8">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E.质疑答复人名称；</w:t>
      </w:r>
    </w:p>
    <w:p w14:paraId="1DF1D1B9">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F.答复质疑的日期。质疑答复的内容不得涉及商业秘密。</w:t>
      </w:r>
    </w:p>
    <w:p w14:paraId="07D1786B">
      <w:pPr>
        <w:pStyle w:val="26"/>
        <w:pBdr>
          <w:top w:val="none" w:color="auto" w:sz="0" w:space="0"/>
          <w:left w:val="none" w:color="auto" w:sz="0" w:space="0"/>
          <w:bottom w:val="none" w:color="auto" w:sz="0" w:space="1"/>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35.6质疑投标人撤回质疑的，终止质疑处理；</w:t>
      </w:r>
    </w:p>
    <w:p w14:paraId="51902955">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B59AC89">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bookmarkStart w:id="63" w:name="_Toc6778"/>
      <w:bookmarkStart w:id="64" w:name="_Toc26722_WPSOffice_Level1"/>
    </w:p>
    <w:p w14:paraId="56BC14D5">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bookmarkStart w:id="65" w:name="_Toc11798"/>
      <w:bookmarkStart w:id="66" w:name="_Toc31448"/>
      <w:bookmarkStart w:id="67" w:name="_Toc15160"/>
      <w:bookmarkStart w:id="68" w:name="_Toc16663"/>
    </w:p>
    <w:p w14:paraId="2AC8893E">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1B1B2FEC">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775D9095">
      <w:pPr>
        <w:pStyle w:val="26"/>
        <w:pBdr>
          <w:top w:val="none" w:color="auto" w:sz="0" w:space="0"/>
          <w:left w:val="none" w:color="auto" w:sz="0" w:space="0"/>
          <w:bottom w:val="none" w:color="auto" w:sz="0" w:space="0"/>
          <w:right w:val="none" w:color="auto" w:sz="0" w:space="0"/>
          <w:between w:val="none" w:color="auto" w:sz="0" w:space="0"/>
        </w:pBdr>
        <w:snapToGrid w:val="0"/>
        <w:spacing w:line="360" w:lineRule="auto"/>
        <w:ind w:firstLine="420"/>
        <w:rPr>
          <w:rFonts w:hint="eastAsia" w:ascii="宋体" w:hAnsi="宋体" w:eastAsia="宋体" w:cs="宋体"/>
          <w:color w:val="auto"/>
          <w:szCs w:val="21"/>
          <w:highlight w:val="none"/>
        </w:rPr>
      </w:pPr>
    </w:p>
    <w:p w14:paraId="5F56ECC8">
      <w:pPr>
        <w:pStyle w:val="17"/>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1F0F6C3C">
      <w:pPr>
        <w:pStyle w:val="17"/>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4170E70A">
      <w:pPr>
        <w:pStyle w:val="17"/>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1AE495A8">
      <w:pPr>
        <w:pStyle w:val="17"/>
        <w:pBdr>
          <w:top w:val="none" w:color="auto" w:sz="0" w:space="0"/>
          <w:left w:val="none" w:color="auto" w:sz="0" w:space="0"/>
          <w:bottom w:val="none" w:color="auto" w:sz="0" w:space="0"/>
          <w:right w:val="none" w:color="auto" w:sz="0" w:space="0"/>
          <w:between w:val="none" w:color="auto" w:sz="0" w:space="0"/>
        </w:pBdr>
        <w:spacing w:line="360" w:lineRule="auto"/>
        <w:ind w:firstLine="462"/>
        <w:rPr>
          <w:rFonts w:ascii="宋体" w:hAnsi="宋体" w:cs="宋体"/>
          <w:b/>
          <w:color w:val="auto"/>
          <w:spacing w:val="10"/>
          <w:kern w:val="0"/>
          <w:szCs w:val="21"/>
          <w:highlight w:val="none"/>
        </w:rPr>
      </w:pPr>
    </w:p>
    <w:p w14:paraId="5878CF2E">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outlineLvl w:val="0"/>
        <w:rPr>
          <w:rFonts w:ascii="宋体" w:hAnsi="宋体" w:cs="宋体"/>
          <w:b/>
          <w:color w:val="auto"/>
          <w:szCs w:val="21"/>
          <w:highlight w:val="none"/>
        </w:rPr>
      </w:pPr>
      <w:bookmarkStart w:id="69" w:name="_Toc16469"/>
      <w:bookmarkStart w:id="70" w:name="_Toc7828"/>
      <w:bookmarkStart w:id="71" w:name="_Toc23934"/>
      <w:bookmarkStart w:id="72" w:name="_Toc3751"/>
      <w:r>
        <w:rPr>
          <w:rFonts w:hint="eastAsia" w:ascii="宋体" w:hAnsi="宋体" w:cs="宋体"/>
          <w:b/>
          <w:color w:val="auto"/>
          <w:spacing w:val="10"/>
          <w:kern w:val="0"/>
          <w:szCs w:val="21"/>
          <w:highlight w:val="none"/>
        </w:rPr>
        <w:t xml:space="preserve">第四部分  </w:t>
      </w:r>
      <w:bookmarkEnd w:id="65"/>
      <w:bookmarkEnd w:id="66"/>
      <w:bookmarkEnd w:id="67"/>
      <w:bookmarkEnd w:id="69"/>
      <w:bookmarkEnd w:id="70"/>
      <w:r>
        <w:rPr>
          <w:rFonts w:hint="eastAsia" w:ascii="宋体" w:hAnsi="宋体" w:cs="宋体"/>
          <w:b/>
          <w:color w:val="auto"/>
          <w:spacing w:val="10"/>
          <w:kern w:val="0"/>
          <w:szCs w:val="21"/>
          <w:highlight w:val="none"/>
        </w:rPr>
        <w:t>商务、技术要求</w:t>
      </w:r>
      <w:bookmarkEnd w:id="71"/>
      <w:bookmarkEnd w:id="72"/>
    </w:p>
    <w:bookmarkEnd w:id="68"/>
    <w:p w14:paraId="371C601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一、项目概述</w:t>
      </w:r>
    </w:p>
    <w:p w14:paraId="4C9CF293">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1.项目名称：</w:t>
      </w:r>
      <w:r>
        <w:rPr>
          <w:rFonts w:hint="eastAsia" w:ascii="宋体" w:hAnsi="宋体" w:cs="宋体"/>
          <w:color w:val="auto"/>
          <w:szCs w:val="21"/>
          <w:highlight w:val="none"/>
          <w:lang w:eastAsia="zh-CN"/>
        </w:rPr>
        <w:t>晋城市疾病预防控制中心仪器设备</w:t>
      </w:r>
      <w:r>
        <w:rPr>
          <w:rFonts w:hint="eastAsia" w:ascii="宋体" w:hAnsi="宋体" w:cs="宋体"/>
          <w:color w:val="auto"/>
          <w:szCs w:val="21"/>
          <w:highlight w:val="none"/>
          <w:lang w:val="en-US" w:eastAsia="zh-CN"/>
        </w:rPr>
        <w:t>购置</w:t>
      </w:r>
      <w:r>
        <w:rPr>
          <w:rFonts w:hint="eastAsia" w:ascii="宋体" w:hAnsi="宋体" w:cs="宋体"/>
          <w:color w:val="auto"/>
          <w:szCs w:val="21"/>
          <w:highlight w:val="none"/>
          <w:lang w:eastAsia="zh-CN"/>
        </w:rPr>
        <w:t>项目</w:t>
      </w:r>
    </w:p>
    <w:p w14:paraId="5D7F7CA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二、商务要求</w:t>
      </w:r>
    </w:p>
    <w:p w14:paraId="135EF82E">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合同履行期限（交货时间）</w:t>
      </w:r>
      <w:r>
        <w:rPr>
          <w:rFonts w:hint="eastAsia" w:ascii="宋体" w:hAnsi="宋体" w:cs="宋体"/>
          <w:color w:val="auto"/>
          <w:szCs w:val="21"/>
          <w:highlight w:val="none"/>
        </w:rPr>
        <w:t>：</w:t>
      </w:r>
      <w:r>
        <w:rPr>
          <w:rFonts w:hint="eastAsia" w:ascii="宋体" w:hAnsi="宋体" w:cs="宋体"/>
          <w:color w:val="auto"/>
          <w:szCs w:val="21"/>
          <w:highlight w:val="none"/>
          <w:lang w:eastAsia="zh-CN"/>
        </w:rPr>
        <w:t>自合同签订之日起30</w:t>
      </w:r>
      <w:r>
        <w:rPr>
          <w:rFonts w:hint="eastAsia" w:ascii="宋体" w:hAnsi="宋体" w:cs="宋体"/>
          <w:color w:val="auto"/>
          <w:szCs w:val="21"/>
          <w:highlight w:val="none"/>
          <w:lang w:val="en-US" w:eastAsia="zh-CN"/>
        </w:rPr>
        <w:t>个工作日完成供货</w:t>
      </w:r>
      <w:r>
        <w:rPr>
          <w:rFonts w:hint="eastAsia" w:ascii="宋体" w:hAnsi="宋体" w:cs="宋体"/>
          <w:color w:val="auto"/>
          <w:szCs w:val="21"/>
          <w:highlight w:val="none"/>
          <w:lang w:eastAsia="zh-CN"/>
        </w:rPr>
        <w:t>。</w:t>
      </w:r>
    </w:p>
    <w:p w14:paraId="332C7969">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交货地点：</w:t>
      </w:r>
      <w:r>
        <w:rPr>
          <w:rFonts w:hint="eastAsia" w:ascii="宋体" w:hAnsi="宋体" w:cs="宋体"/>
          <w:color w:val="auto"/>
          <w:szCs w:val="21"/>
          <w:highlight w:val="none"/>
          <w:lang w:val="en-US" w:eastAsia="zh-CN"/>
        </w:rPr>
        <w:t>晋城市疾病预防控制中心</w:t>
      </w:r>
    </w:p>
    <w:p w14:paraId="01F1B19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3.预算金额：</w:t>
      </w:r>
      <w:r>
        <w:rPr>
          <w:rFonts w:hint="eastAsia" w:ascii="宋体" w:hAnsi="宋体" w:cs="宋体"/>
          <w:color w:val="auto"/>
          <w:szCs w:val="21"/>
          <w:highlight w:val="none"/>
          <w:lang w:val="en-US" w:eastAsia="zh-CN"/>
        </w:rPr>
        <w:t>4800000</w:t>
      </w:r>
      <w:r>
        <w:rPr>
          <w:rFonts w:hint="eastAsia" w:ascii="宋体" w:hAnsi="宋体" w:cs="宋体"/>
          <w:color w:val="auto"/>
          <w:szCs w:val="21"/>
          <w:highlight w:val="none"/>
        </w:rPr>
        <w:t>元</w:t>
      </w:r>
    </w:p>
    <w:p w14:paraId="5F23001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4800000</w:t>
      </w:r>
      <w:r>
        <w:rPr>
          <w:rFonts w:hint="eastAsia" w:ascii="宋体" w:hAnsi="宋体" w:cs="宋体"/>
          <w:color w:val="auto"/>
          <w:szCs w:val="21"/>
          <w:highlight w:val="none"/>
        </w:rPr>
        <w:t>元</w:t>
      </w:r>
    </w:p>
    <w:p w14:paraId="6E1CD73B">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.付款方式：</w:t>
      </w:r>
      <w:r>
        <w:rPr>
          <w:rFonts w:hint="eastAsia" w:ascii="宋体" w:hAnsi="宋体" w:cs="宋体"/>
          <w:color w:val="auto"/>
          <w:szCs w:val="21"/>
          <w:highlight w:val="none"/>
          <w:lang w:val="en-US" w:eastAsia="zh-CN"/>
        </w:rPr>
        <w:t>合同签订之日起7日内预付合同金额的40%，验收合格后付合同金额的60%</w:t>
      </w:r>
      <w:r>
        <w:rPr>
          <w:rFonts w:hint="eastAsia" w:ascii="宋体" w:hAnsi="宋体" w:cs="宋体"/>
          <w:color w:val="auto"/>
          <w:szCs w:val="21"/>
          <w:highlight w:val="none"/>
          <w:lang w:val="en-US" w:eastAsia="zh-CN"/>
        </w:rPr>
        <w:t>。</w:t>
      </w:r>
    </w:p>
    <w:p w14:paraId="55C1A02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default" w:ascii="宋体" w:hAnsi="宋体" w:eastAsia="宋体" w:cs="宋体"/>
          <w:b/>
          <w:bCs/>
          <w:color w:val="auto"/>
          <w:sz w:val="21"/>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eastAsia="宋体" w:cs="宋体"/>
          <w:b w:val="0"/>
          <w:bCs/>
          <w:color w:val="auto"/>
          <w:kern w:val="0"/>
          <w:sz w:val="21"/>
          <w:szCs w:val="21"/>
          <w:highlight w:val="none"/>
          <w:lang w:val="en-US" w:eastAsia="zh-CN"/>
        </w:rPr>
        <w:t>质量要求：</w:t>
      </w:r>
      <w:r>
        <w:rPr>
          <w:rFonts w:hint="eastAsia" w:ascii="宋体" w:hAnsi="宋体" w:cs="宋体"/>
          <w:b w:val="0"/>
          <w:bCs/>
          <w:color w:val="auto"/>
          <w:kern w:val="0"/>
          <w:sz w:val="21"/>
          <w:szCs w:val="21"/>
          <w:highlight w:val="none"/>
          <w:lang w:val="en-US" w:eastAsia="zh-CN"/>
        </w:rPr>
        <w:t>符合国家及行业相关标准</w:t>
      </w:r>
      <w:r>
        <w:rPr>
          <w:rFonts w:hint="eastAsia" w:ascii="宋体" w:hAnsi="宋体" w:eastAsia="宋体" w:cs="宋体"/>
          <w:b w:val="0"/>
          <w:bCs/>
          <w:color w:val="auto"/>
          <w:kern w:val="0"/>
          <w:sz w:val="21"/>
          <w:szCs w:val="21"/>
          <w:highlight w:val="none"/>
          <w:lang w:val="en-US" w:eastAsia="zh-CN"/>
        </w:rPr>
        <w:t>。</w:t>
      </w:r>
    </w:p>
    <w:p w14:paraId="590F2314">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三、实质性要求</w:t>
      </w:r>
    </w:p>
    <w:p w14:paraId="67E06C7A">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政府强制采购品目清单中的产品。(若有的话)</w:t>
      </w:r>
    </w:p>
    <w:p w14:paraId="32DD3DAC">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《信息安全产品强制性认证目录》中(8类13项)的产品。(若有的话)</w:t>
      </w:r>
    </w:p>
    <w:p w14:paraId="76438C49">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正版软件承诺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承诺所投报的计算机预装正版操作系统，硬件产品内的预装软件为正版软件。(若有的话)</w:t>
      </w:r>
    </w:p>
    <w:p w14:paraId="1EF83CCF">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其他强制性要求或标准。</w:t>
      </w:r>
    </w:p>
    <w:p w14:paraId="5ABEF5A6">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四、非实质性要求</w:t>
      </w:r>
    </w:p>
    <w:p w14:paraId="4A9A2C6E">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应保证所提供</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不会出现因第三方提出侵犯其专利权、商标权或其它知识产权而引发法律或经济纠纷，否则由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承担全部责任。任何被</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用于未经授权的商业目的行为所造成的违约或侵权责任由</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08183560">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未按合同要求提供</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质量不能满足技术要求，且在规定时间内未使</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人满意的，</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人有权终止合同，同时报请政府采购监管部门对其违约行为进行追究。</w:t>
      </w:r>
    </w:p>
    <w:p w14:paraId="6AB5BFC6">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非强制采购节能产品、环保标志产品。(若有的话)</w:t>
      </w:r>
    </w:p>
    <w:p w14:paraId="1E56BBE9">
      <w:pPr>
        <w:pStyle w:val="14"/>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84"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五、服务要求</w:t>
      </w:r>
    </w:p>
    <w:p w14:paraId="29DB10A2">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bidi w:val="0"/>
        <w:snapToGrid/>
        <w:spacing w:line="384"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售后服务承诺：投标人需提供明确的售后响应方案，包括服务响应时间、问题处理流程、技术支持等。投标人应在接到招标人报修通知后2小时内响应，专业人员在48小时内到达现场，8小时内排除故障，如产品因故障48小时内不能恢复正常运作，投标人为招标人无偿提供同等档次的配品备用，直至投标人将设备维修好为止。在保修期内遇到两次大修后不能保证招标人使用，投标人无条件换货。</w:t>
      </w:r>
    </w:p>
    <w:p w14:paraId="40E51D21">
      <w:pPr>
        <w:keepNext w:val="0"/>
        <w:keepLines w:val="0"/>
        <w:pageBreakBefore w:val="0"/>
        <w:shd w:val="clear"/>
        <w:kinsoku/>
        <w:wordWrap/>
        <w:overflowPunct/>
        <w:topLinePunct w:val="0"/>
        <w:bidi w:val="0"/>
        <w:snapToGrid/>
        <w:spacing w:line="384"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lang w:val="en-US" w:eastAsia="zh-CN"/>
        </w:rPr>
        <w:t>服务保障措施：投标人需制定详细的培训方案，需配备优质的技术服务团队并免费培训操作维护人员。</w:t>
      </w:r>
    </w:p>
    <w:p w14:paraId="76F25FE5">
      <w:pPr>
        <w:pStyle w:val="14"/>
        <w:keepNext w:val="0"/>
        <w:keepLines w:val="0"/>
        <w:pageBreakBefore w:val="0"/>
        <w:numPr>
          <w:ilvl w:val="0"/>
          <w:numId w:val="2"/>
        </w:numPr>
        <w:kinsoku/>
        <w:wordWrap/>
        <w:overflowPunct/>
        <w:topLinePunct w:val="0"/>
        <w:bidi w:val="0"/>
        <w:snapToGrid/>
        <w:spacing w:line="384"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验收标准</w:t>
      </w:r>
    </w:p>
    <w:p w14:paraId="441BAAEE">
      <w:pPr>
        <w:keepNext w:val="0"/>
        <w:keepLines w:val="0"/>
        <w:pageBreakBefore w:val="0"/>
        <w:shd w:val="clear"/>
        <w:kinsoku/>
        <w:wordWrap/>
        <w:overflowPunct/>
        <w:topLinePunct w:val="0"/>
        <w:bidi w:val="0"/>
        <w:snapToGrid/>
        <w:spacing w:line="384"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（一）履约验收主体：使用科室相关人员</w:t>
      </w:r>
      <w:r>
        <w:rPr>
          <w:rFonts w:hint="eastAsia" w:ascii="宋体" w:hAnsi="宋体" w:cs="宋体"/>
          <w:b w:val="0"/>
          <w:bCs/>
          <w:color w:val="auto"/>
          <w:kern w:val="0"/>
          <w:sz w:val="21"/>
          <w:szCs w:val="21"/>
          <w:highlight w:val="none"/>
          <w:lang w:val="en-US" w:eastAsia="zh-CN"/>
        </w:rPr>
        <w:t>。</w:t>
      </w:r>
    </w:p>
    <w:p w14:paraId="6DE1207C">
      <w:pPr>
        <w:keepNext w:val="0"/>
        <w:keepLines w:val="0"/>
        <w:pageBreakBefore w:val="0"/>
        <w:shd w:val="clear"/>
        <w:kinsoku/>
        <w:wordWrap/>
        <w:overflowPunct/>
        <w:topLinePunct w:val="0"/>
        <w:bidi w:val="0"/>
        <w:snapToGrid/>
        <w:spacing w:line="384" w:lineRule="auto"/>
        <w:ind w:firstLine="420" w:firstLineChars="200"/>
        <w:jc w:val="left"/>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（二）履约验收时间</w:t>
      </w:r>
      <w:r>
        <w:rPr>
          <w:rFonts w:hint="eastAsia" w:ascii="宋体" w:hAnsi="宋体" w:cs="宋体"/>
          <w:b w:val="0"/>
          <w:bCs/>
          <w:color w:val="auto"/>
          <w:kern w:val="0"/>
          <w:sz w:val="21"/>
          <w:szCs w:val="21"/>
          <w:highlight w:val="none"/>
          <w:lang w:val="en-US" w:eastAsia="zh-CN"/>
        </w:rPr>
        <w:t>：另行安排。</w:t>
      </w:r>
    </w:p>
    <w:p w14:paraId="6A5CDB25">
      <w:pPr>
        <w:keepNext w:val="0"/>
        <w:keepLines w:val="0"/>
        <w:pageBreakBefore w:val="0"/>
        <w:shd w:val="clear"/>
        <w:kinsoku/>
        <w:wordWrap/>
        <w:overflowPunct/>
        <w:topLinePunct w:val="0"/>
        <w:bidi w:val="0"/>
        <w:snapToGrid/>
        <w:spacing w:line="384"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（三）履约验收方式：一次性验收，投标人提出验收申请之日起 5 个工作日内组织验收，且所有设备须现场实验验证。</w:t>
      </w:r>
    </w:p>
    <w:p w14:paraId="293D0F69">
      <w:pPr>
        <w:keepNext w:val="0"/>
        <w:keepLines w:val="0"/>
        <w:pageBreakBefore w:val="0"/>
        <w:shd w:val="clear"/>
        <w:kinsoku/>
        <w:wordWrap/>
        <w:overflowPunct/>
        <w:topLinePunct w:val="0"/>
        <w:bidi w:val="0"/>
        <w:snapToGrid/>
        <w:spacing w:line="384"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四</w:t>
      </w:r>
      <w:r>
        <w:rPr>
          <w:rFonts w:hint="eastAsia" w:ascii="宋体" w:hAnsi="宋体" w:eastAsia="宋体" w:cs="宋体"/>
          <w:b w:val="0"/>
          <w:bCs/>
          <w:color w:val="auto"/>
          <w:kern w:val="0"/>
          <w:sz w:val="21"/>
          <w:szCs w:val="21"/>
          <w:highlight w:val="none"/>
          <w:lang w:val="en-US" w:eastAsia="zh-CN"/>
        </w:rPr>
        <w:t>）履约验收程序：投标人交货、安装、调试完成后，在5个工作日内通知</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，由</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组织验收小组按照招、投标文件要求对每一项技术和商务要求的履约情况进行验收，验收结束后，根据验收结果填写验收单，并由双方共同签署确认。</w:t>
      </w:r>
    </w:p>
    <w:p w14:paraId="4ACD02DA">
      <w:pPr>
        <w:keepNext w:val="0"/>
        <w:keepLines w:val="0"/>
        <w:pageBreakBefore w:val="0"/>
        <w:shd w:val="clear"/>
        <w:kinsoku/>
        <w:wordWrap/>
        <w:overflowPunct/>
        <w:topLinePunct w:val="0"/>
        <w:bidi w:val="0"/>
        <w:snapToGrid/>
        <w:spacing w:line="384"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五</w:t>
      </w:r>
      <w:r>
        <w:rPr>
          <w:rFonts w:hint="eastAsia" w:ascii="宋体" w:hAnsi="宋体" w:eastAsia="宋体" w:cs="宋体"/>
          <w:b w:val="0"/>
          <w:bCs/>
          <w:color w:val="auto"/>
          <w:kern w:val="0"/>
          <w:sz w:val="21"/>
          <w:szCs w:val="21"/>
          <w:highlight w:val="none"/>
          <w:lang w:val="en-US" w:eastAsia="zh-CN"/>
        </w:rPr>
        <w:t>）履约验收内容：根据招标文件、投标文件和采购合同内容进行验收。</w:t>
      </w:r>
    </w:p>
    <w:p w14:paraId="1B3947C0">
      <w:pPr>
        <w:keepNext w:val="0"/>
        <w:keepLines w:val="0"/>
        <w:pageBreakBefore w:val="0"/>
        <w:shd w:val="clear"/>
        <w:kinsoku/>
        <w:wordWrap/>
        <w:overflowPunct/>
        <w:topLinePunct w:val="0"/>
        <w:bidi w:val="0"/>
        <w:snapToGrid/>
        <w:spacing w:line="384"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六</w:t>
      </w:r>
      <w:r>
        <w:rPr>
          <w:rFonts w:hint="eastAsia" w:ascii="宋体" w:hAnsi="宋体" w:eastAsia="宋体" w:cs="宋体"/>
          <w:b w:val="0"/>
          <w:bCs/>
          <w:color w:val="auto"/>
          <w:kern w:val="0"/>
          <w:sz w:val="21"/>
          <w:szCs w:val="21"/>
          <w:highlight w:val="none"/>
          <w:lang w:val="en-US" w:eastAsia="zh-CN"/>
        </w:rPr>
        <w:t>）履约验收标准：按照招、投标文件要求、采购合同内容对每一项技术和商务要求的履约情况进行验收。投标人所提供的产品应是全新、未使用过、完全符合质量标准的正品，产品技术指标应与投标文件的技术指标相一致；投标人提供和交付的产品技术标准（包括质量要求）按国家标准并不低于国家相关标准执行，具有该产品的出厂合格证明或国家相关规定的质量鉴定证书。产品的到货验收包括但不限于：数量、外观、质量、性能、随机备件、装箱单、产品安装使用说明书、操作卡、保修卡、出厂合格证明或国家相关规定的质量鉴定证书等资料。</w:t>
      </w:r>
    </w:p>
    <w:p w14:paraId="1A9DD766">
      <w:pPr>
        <w:keepNext w:val="0"/>
        <w:keepLines w:val="0"/>
        <w:pageBreakBefore w:val="0"/>
        <w:shd w:val="clear"/>
        <w:kinsoku/>
        <w:wordWrap/>
        <w:overflowPunct/>
        <w:topLinePunct w:val="0"/>
        <w:bidi w:val="0"/>
        <w:snapToGrid/>
        <w:spacing w:line="384" w:lineRule="auto"/>
        <w:ind w:firstLine="420" w:firstLineChars="200"/>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w:t>
      </w:r>
      <w:r>
        <w:rPr>
          <w:rFonts w:hint="eastAsia" w:ascii="宋体" w:hAnsi="宋体" w:cs="宋体"/>
          <w:b w:val="0"/>
          <w:bCs/>
          <w:color w:val="auto"/>
          <w:kern w:val="0"/>
          <w:sz w:val="21"/>
          <w:szCs w:val="21"/>
          <w:highlight w:val="none"/>
          <w:lang w:val="en-US" w:eastAsia="zh-CN"/>
        </w:rPr>
        <w:t>七</w:t>
      </w:r>
      <w:r>
        <w:rPr>
          <w:rFonts w:hint="eastAsia" w:ascii="宋体" w:hAnsi="宋体" w:eastAsia="宋体" w:cs="宋体"/>
          <w:b w:val="0"/>
          <w:bCs/>
          <w:color w:val="auto"/>
          <w:kern w:val="0"/>
          <w:sz w:val="21"/>
          <w:szCs w:val="21"/>
          <w:highlight w:val="none"/>
          <w:lang w:val="en-US" w:eastAsia="zh-CN"/>
        </w:rPr>
        <w:t>）履约验收其他事项：投标人保证所提供产品技术规范及参数符合投标文件，如验收中出现产品技术规范及参数不符合投标文件的情况，</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有权要求投标人免费更换与投标文件技术参数一致的产品，同时，投标人应按照产品金额的30%向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支付违约金。投标人拒绝按投标文件所列技术参数向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供货的，</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有权解除合同，并要求投标人按照合同总金额的20%向</w:t>
      </w:r>
      <w:r>
        <w:rPr>
          <w:rFonts w:hint="eastAsia" w:ascii="宋体" w:hAnsi="宋体" w:cs="宋体"/>
          <w:b w:val="0"/>
          <w:bCs/>
          <w:color w:val="auto"/>
          <w:kern w:val="0"/>
          <w:sz w:val="21"/>
          <w:szCs w:val="21"/>
          <w:highlight w:val="none"/>
          <w:lang w:val="en-US" w:eastAsia="zh-CN"/>
        </w:rPr>
        <w:t>招标人</w:t>
      </w:r>
      <w:r>
        <w:rPr>
          <w:rFonts w:hint="eastAsia" w:ascii="宋体" w:hAnsi="宋体" w:eastAsia="宋体" w:cs="宋体"/>
          <w:b w:val="0"/>
          <w:bCs/>
          <w:color w:val="auto"/>
          <w:kern w:val="0"/>
          <w:sz w:val="21"/>
          <w:szCs w:val="21"/>
          <w:highlight w:val="none"/>
          <w:lang w:val="en-US" w:eastAsia="zh-CN"/>
        </w:rPr>
        <w:t>支付违约金。</w:t>
      </w:r>
    </w:p>
    <w:p w14:paraId="205519A5">
      <w:pPr>
        <w:pStyle w:val="14"/>
        <w:keepNext w:val="0"/>
        <w:keepLines w:val="0"/>
        <w:pageBreakBefore w:val="0"/>
        <w:kinsoku/>
        <w:wordWrap/>
        <w:overflowPunct/>
        <w:topLinePunct w:val="0"/>
        <w:bidi w:val="0"/>
        <w:snapToGrid/>
        <w:spacing w:line="384" w:lineRule="auto"/>
        <w:rPr>
          <w:rFonts w:hint="eastAsia" w:ascii="宋体" w:hAnsi="宋体" w:cs="宋体"/>
          <w:b/>
          <w:bCs/>
          <w:color w:val="auto"/>
          <w:sz w:val="21"/>
          <w:szCs w:val="21"/>
          <w:highlight w:val="none"/>
        </w:rPr>
      </w:pPr>
    </w:p>
    <w:p w14:paraId="4F418920">
      <w:pPr>
        <w:pStyle w:val="14"/>
        <w:keepNext w:val="0"/>
        <w:keepLines w:val="0"/>
        <w:pageBreakBefore w:val="0"/>
        <w:kinsoku/>
        <w:wordWrap/>
        <w:overflowPunct/>
        <w:topLinePunct w:val="0"/>
        <w:bidi w:val="0"/>
        <w:snapToGrid/>
        <w:spacing w:line="384" w:lineRule="auto"/>
        <w:rPr>
          <w:rFonts w:hint="eastAsia" w:ascii="宋体" w:hAnsi="宋体" w:cs="宋体"/>
          <w:b/>
          <w:bCs/>
          <w:color w:val="auto"/>
          <w:sz w:val="21"/>
          <w:szCs w:val="21"/>
          <w:highlight w:val="none"/>
        </w:rPr>
      </w:pPr>
    </w:p>
    <w:p w14:paraId="421EAF44">
      <w:pPr>
        <w:pStyle w:val="14"/>
        <w:keepNext w:val="0"/>
        <w:keepLines w:val="0"/>
        <w:pageBreakBefore w:val="0"/>
        <w:kinsoku/>
        <w:wordWrap/>
        <w:overflowPunct/>
        <w:topLinePunct w:val="0"/>
        <w:bidi w:val="0"/>
        <w:snapToGrid/>
        <w:spacing w:line="384" w:lineRule="auto"/>
        <w:rPr>
          <w:rFonts w:hint="eastAsia" w:ascii="宋体" w:hAnsi="宋体" w:cs="宋体"/>
          <w:b/>
          <w:bCs/>
          <w:color w:val="auto"/>
          <w:sz w:val="21"/>
          <w:szCs w:val="21"/>
          <w:highlight w:val="none"/>
        </w:rPr>
      </w:pPr>
    </w:p>
    <w:p w14:paraId="2EDCFB5C">
      <w:pPr>
        <w:pStyle w:val="14"/>
        <w:keepNext w:val="0"/>
        <w:keepLines w:val="0"/>
        <w:pageBreakBefore w:val="0"/>
        <w:kinsoku/>
        <w:wordWrap/>
        <w:overflowPunct/>
        <w:topLinePunct w:val="0"/>
        <w:bidi w:val="0"/>
        <w:snapToGrid/>
        <w:spacing w:line="384" w:lineRule="auto"/>
        <w:rPr>
          <w:rFonts w:hint="eastAsia" w:ascii="宋体" w:hAnsi="宋体" w:cs="宋体"/>
          <w:b/>
          <w:bCs/>
          <w:color w:val="auto"/>
          <w:sz w:val="21"/>
          <w:szCs w:val="21"/>
          <w:highlight w:val="none"/>
        </w:rPr>
      </w:pPr>
    </w:p>
    <w:p w14:paraId="3F4DFDDE">
      <w:pPr>
        <w:pStyle w:val="14"/>
        <w:keepNext w:val="0"/>
        <w:keepLines w:val="0"/>
        <w:pageBreakBefore w:val="0"/>
        <w:kinsoku/>
        <w:wordWrap/>
        <w:overflowPunct/>
        <w:topLinePunct w:val="0"/>
        <w:bidi w:val="0"/>
        <w:snapToGrid/>
        <w:spacing w:line="384"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七、技术要求</w:t>
      </w:r>
    </w:p>
    <w:p w14:paraId="1D617965">
      <w:pPr>
        <w:keepNext w:val="0"/>
        <w:keepLines w:val="0"/>
        <w:pageBreakBefore w:val="0"/>
        <w:widowControl w:val="0"/>
        <w:numPr>
          <w:ilvl w:val="0"/>
          <w:numId w:val="0"/>
        </w:numPr>
        <w:kinsoku/>
        <w:wordWrap/>
        <w:overflowPunct/>
        <w:topLinePunct w:val="0"/>
        <w:bidi w:val="0"/>
        <w:snapToGrid/>
        <w:spacing w:line="384" w:lineRule="auto"/>
        <w:jc w:val="center"/>
        <w:rPr>
          <w:rFonts w:hint="eastAsia"/>
          <w:color w:val="auto"/>
        </w:rPr>
      </w:pPr>
      <w:r>
        <w:rPr>
          <w:rFonts w:hint="eastAsia" w:asciiTheme="minorEastAsia" w:hAnsiTheme="minorEastAsia" w:eastAsiaTheme="minorEastAsia" w:cstheme="minorEastAsia"/>
          <w:b/>
          <w:bCs/>
          <w:color w:val="auto"/>
          <w:szCs w:val="21"/>
        </w:rPr>
        <w:t>货物需求一览表</w:t>
      </w:r>
    </w:p>
    <w:tbl>
      <w:tblPr>
        <w:tblStyle w:val="18"/>
        <w:tblpPr w:leftFromText="180" w:rightFromText="180" w:vertAnchor="text" w:horzAnchor="page" w:tblpX="2242" w:tblpY="129"/>
        <w:tblOverlap w:val="never"/>
        <w:tblW w:w="4149" w:type="pct"/>
        <w:tblInd w:w="0" w:type="dxa"/>
        <w:tblLayout w:type="autofit"/>
        <w:tblCellMar>
          <w:top w:w="0" w:type="dxa"/>
          <w:left w:w="108" w:type="dxa"/>
          <w:bottom w:w="0" w:type="dxa"/>
          <w:right w:w="108" w:type="dxa"/>
        </w:tblCellMar>
      </w:tblPr>
      <w:tblGrid>
        <w:gridCol w:w="918"/>
        <w:gridCol w:w="3980"/>
        <w:gridCol w:w="1087"/>
        <w:gridCol w:w="1087"/>
      </w:tblGrid>
      <w:tr w14:paraId="395FC5BF">
        <w:tblPrEx>
          <w:tblCellMar>
            <w:top w:w="0" w:type="dxa"/>
            <w:left w:w="108" w:type="dxa"/>
            <w:bottom w:w="0" w:type="dxa"/>
            <w:right w:w="108" w:type="dxa"/>
          </w:tblCellMar>
        </w:tblPrEx>
        <w:trPr>
          <w:trHeight w:val="610"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323E">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kern w:val="0"/>
                <w:szCs w:val="21"/>
                <w:lang w:bidi="ar"/>
              </w:rPr>
              <w:t>序号</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ECBC">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货物名称</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7117">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eastAsia="zh-CN"/>
              </w:rPr>
              <w:t>单位</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9BB1">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eastAsia="zh-CN"/>
              </w:rPr>
              <w:t>数量</w:t>
            </w:r>
          </w:p>
        </w:tc>
      </w:tr>
      <w:tr w14:paraId="7EC065C0">
        <w:tblPrEx>
          <w:tblCellMar>
            <w:top w:w="0" w:type="dxa"/>
            <w:left w:w="108" w:type="dxa"/>
            <w:bottom w:w="0" w:type="dxa"/>
            <w:right w:w="108" w:type="dxa"/>
          </w:tblCellMar>
        </w:tblPrEx>
        <w:trPr>
          <w:trHeight w:val="595"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6583">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1</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3A3A">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病原微生物基因组分析工作站</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43B6">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4FEE">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w:t>
            </w:r>
          </w:p>
        </w:tc>
      </w:tr>
      <w:tr w14:paraId="79E6A1E6">
        <w:tblPrEx>
          <w:tblCellMar>
            <w:top w:w="0" w:type="dxa"/>
            <w:left w:w="108" w:type="dxa"/>
            <w:bottom w:w="0" w:type="dxa"/>
            <w:right w:w="108" w:type="dxa"/>
          </w:tblCellMar>
        </w:tblPrEx>
        <w:trPr>
          <w:trHeight w:val="572"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7905">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2</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6BD4">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default" w:asciiTheme="minorEastAsia" w:hAnsiTheme="minorEastAsia" w:eastAsiaTheme="minorEastAsia" w:cstheme="minorEastAsia"/>
                <w:color w:val="auto"/>
                <w:kern w:val="0"/>
                <w:szCs w:val="21"/>
                <w:lang w:val="en-US" w:eastAsia="zh-CN" w:bidi="ar"/>
              </w:rPr>
              <w:t>全自动研磨离心一体机</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8A89">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台</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BFD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1</w:t>
            </w:r>
          </w:p>
        </w:tc>
      </w:tr>
      <w:tr w14:paraId="70ADB418">
        <w:tblPrEx>
          <w:tblCellMar>
            <w:top w:w="0" w:type="dxa"/>
            <w:left w:w="108" w:type="dxa"/>
            <w:bottom w:w="0" w:type="dxa"/>
            <w:right w:w="108" w:type="dxa"/>
          </w:tblCellMar>
        </w:tblPrEx>
        <w:trPr>
          <w:trHeight w:val="572"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F57B">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3</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1CFD">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二代基因测序平台</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EB9B">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eastAsia="zh-CN"/>
              </w:rPr>
              <w:t>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2B2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1</w:t>
            </w:r>
          </w:p>
        </w:tc>
      </w:tr>
      <w:tr w14:paraId="1238F64B">
        <w:tblPrEx>
          <w:tblCellMar>
            <w:top w:w="0" w:type="dxa"/>
            <w:left w:w="108" w:type="dxa"/>
            <w:bottom w:w="0" w:type="dxa"/>
            <w:right w:w="108" w:type="dxa"/>
          </w:tblCellMar>
        </w:tblPrEx>
        <w:trPr>
          <w:trHeight w:val="572"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3010">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4</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6962">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高性能生物计算工业一体机</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93F7">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eastAsia="zh-CN"/>
              </w:rPr>
              <w:t>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015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1</w:t>
            </w:r>
          </w:p>
        </w:tc>
      </w:tr>
      <w:tr w14:paraId="19FE0925">
        <w:tblPrEx>
          <w:tblCellMar>
            <w:top w:w="0" w:type="dxa"/>
            <w:left w:w="108" w:type="dxa"/>
            <w:bottom w:w="0" w:type="dxa"/>
            <w:right w:w="108" w:type="dxa"/>
          </w:tblCellMar>
        </w:tblPrEx>
        <w:trPr>
          <w:trHeight w:val="572"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307D">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5</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782C5">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离子色谱仪</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24F0">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台</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47C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1</w:t>
            </w:r>
          </w:p>
        </w:tc>
      </w:tr>
      <w:tr w14:paraId="408997C4">
        <w:tblPrEx>
          <w:tblCellMar>
            <w:top w:w="0" w:type="dxa"/>
            <w:left w:w="108" w:type="dxa"/>
            <w:bottom w:w="0" w:type="dxa"/>
            <w:right w:w="108" w:type="dxa"/>
          </w:tblCellMar>
        </w:tblPrEx>
        <w:trPr>
          <w:trHeight w:val="572"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4A74">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6</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064A">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全自动固相萃取仪</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B547">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台</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CC9D">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1</w:t>
            </w:r>
          </w:p>
        </w:tc>
      </w:tr>
      <w:tr w14:paraId="213C4868">
        <w:tblPrEx>
          <w:tblCellMar>
            <w:top w:w="0" w:type="dxa"/>
            <w:left w:w="108" w:type="dxa"/>
            <w:bottom w:w="0" w:type="dxa"/>
            <w:right w:w="108" w:type="dxa"/>
          </w:tblCellMar>
        </w:tblPrEx>
        <w:trPr>
          <w:trHeight w:val="572" w:hRule="atLeast"/>
        </w:trPr>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F762">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7</w:t>
            </w:r>
          </w:p>
        </w:tc>
        <w:tc>
          <w:tcPr>
            <w:tcW w:w="2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476B9">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asciiTheme="minorEastAsia" w:hAnsiTheme="minorEastAsia" w:eastAsiaTheme="minorEastAsia" w:cstheme="minorEastAsia"/>
                <w:color w:val="auto"/>
                <w:kern w:val="0"/>
                <w:szCs w:val="21"/>
                <w:lang w:val="en-US" w:eastAsia="zh-CN" w:bidi="ar"/>
              </w:rPr>
            </w:pPr>
            <w:r>
              <w:rPr>
                <w:rFonts w:hint="eastAsia" w:asciiTheme="minorEastAsia" w:hAnsiTheme="minorEastAsia" w:eastAsiaTheme="minorEastAsia" w:cstheme="minorEastAsia"/>
                <w:color w:val="auto"/>
                <w:kern w:val="0"/>
                <w:szCs w:val="21"/>
                <w:lang w:bidi="ar"/>
              </w:rPr>
              <w:t>氮气发生器</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D793">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台</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4DF1">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lang w:val="en-US" w:eastAsia="zh-CN"/>
              </w:rPr>
              <w:t>1</w:t>
            </w:r>
          </w:p>
        </w:tc>
      </w:tr>
    </w:tbl>
    <w:p w14:paraId="08492FCC">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213CA3D2">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3E8A2831">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1DE9AC4D">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3270EF78">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258BE7ED">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2ADD4544">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44D3BFDD">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3CA69047">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4192DDA4">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287D5E64">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lang w:eastAsia="zh-CN"/>
        </w:rPr>
      </w:pPr>
    </w:p>
    <w:p w14:paraId="37646424">
      <w:pPr>
        <w:keepNext w:val="0"/>
        <w:keepLines w:val="0"/>
        <w:pageBreakBefore w:val="0"/>
        <w:kinsoku/>
        <w:wordWrap/>
        <w:overflowPunct/>
        <w:topLinePunct w:val="0"/>
        <w:bidi w:val="0"/>
        <w:snapToGrid/>
        <w:spacing w:line="384"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病原微生物基因组分析工作站技术参数</w:t>
      </w:r>
    </w:p>
    <w:p w14:paraId="39498BDB">
      <w:pPr>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一、设备用途</w:t>
      </w:r>
    </w:p>
    <w:p w14:paraId="7D2D719D">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用于对细菌、病毒、宏基因组、宏转录组数据管理、分析及基因组学研究。</w:t>
      </w:r>
      <w:r>
        <w:rPr>
          <w:rFonts w:hint="eastAsia" w:ascii="宋体" w:hAnsi="宋体" w:eastAsia="宋体" w:cs="宋体"/>
          <w:color w:val="auto"/>
          <w:sz w:val="21"/>
          <w:szCs w:val="21"/>
          <w:lang w:eastAsia="zh-CN"/>
        </w:rPr>
        <w:t>采用</w:t>
      </w:r>
      <w:r>
        <w:rPr>
          <w:rFonts w:hint="eastAsia" w:ascii="宋体" w:hAnsi="宋体" w:eastAsia="宋体" w:cs="宋体"/>
          <w:color w:val="auto"/>
          <w:sz w:val="21"/>
          <w:szCs w:val="21"/>
        </w:rPr>
        <w:t>软硬一体化的模式，实现本地化数据管理和分析。支持从原始测序数据开始，一站式完成样本的测序数据分析；并能够完成进化树构建及可视化展示，辅助进行溯源分析；不限制测序平台，如BGI、illumina、nanopore、pacbio等，一代拼接数据、二代、三代测序数据均可自动化分析，全中文操作系统。</w:t>
      </w:r>
    </w:p>
    <w:p w14:paraId="5FD0674D">
      <w:pPr>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二、技术参数</w:t>
      </w:r>
    </w:p>
    <w:p w14:paraId="17BF9859">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1.软件均</w:t>
      </w:r>
      <w:r>
        <w:rPr>
          <w:rFonts w:hint="eastAsia" w:ascii="宋体" w:hAnsi="宋体" w:eastAsia="宋体" w:cs="宋体"/>
          <w:color w:val="auto"/>
          <w:sz w:val="21"/>
          <w:szCs w:val="21"/>
          <w:lang w:eastAsia="zh-CN"/>
        </w:rPr>
        <w:t>须</w:t>
      </w:r>
      <w:r>
        <w:rPr>
          <w:rFonts w:hint="eastAsia" w:ascii="宋体" w:hAnsi="宋体" w:eastAsia="宋体" w:cs="宋体"/>
          <w:color w:val="auto"/>
          <w:sz w:val="21"/>
          <w:szCs w:val="21"/>
        </w:rPr>
        <w:t>提供图形操作界面，一键可完成所有分析；用于二代测序，三代测序等测序平台产生的数据，支持单样本、多样本测序数据自动化导入分析。支持样本数据的统一维护，包括样本信息的录入、编辑、删除，支持批量样本导入；支持基因组文件的批量导入，包含原始下机数据及组装基因组文件；根据不同模块筛选条件，批量导出样本基本数据及分析结果信息。</w:t>
      </w:r>
    </w:p>
    <w:p w14:paraId="77AC21C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2.可以进行病原菌、病毒的菌毒株基因组测序全流程分析、宏基因组、分箱分析、基于reads的未知病原识别分析。</w:t>
      </w:r>
    </w:p>
    <w:p w14:paraId="0B07E229">
      <w:pPr>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模块一：细菌基因组分析与监测系统</w:t>
      </w:r>
    </w:p>
    <w:p w14:paraId="070B7E0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3.提供细菌数据管理及自主产权研发的分析流程，支持从原始测序数据开始，一键完成数据质控、基因组拼接、物种鉴定、血清型分型、MLST分型、cgMLST分型、 SNP分析、耐药与毒力基因组注释、移动元件分析及相关耐药毒力基因注释，并根据样品及病原学鉴定结果进行物种溯源，生成可视化监测和预警图形。（提供分析软件截图、分析流程已发表自有产权的文献截图并盖章、提供不同物种测试报告）</w:t>
      </w:r>
    </w:p>
    <w:p w14:paraId="7E8A2E87">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4.病原比对参比数据库为国家级病原鉴定基因组数据库，要求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550种有明确感染史的病原菌，提供针对参比数据库的BLAST比对功能；MLST分型支持200种以上物种；自建cgMLST分型体系支持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110 种物种，血清型覆盖沙门氏菌、肺炎克雷伯菌、大肠杆菌、肺炎链球菌、副溶血性弧菌</w:t>
      </w:r>
      <w:r>
        <w:rPr>
          <w:rFonts w:hint="eastAsia" w:ascii="宋体" w:hAnsi="宋体" w:eastAsia="宋体" w:cs="宋体"/>
          <w:color w:val="auto"/>
          <w:sz w:val="21"/>
          <w:szCs w:val="21"/>
          <w:u w:val="none"/>
        </w:rPr>
        <w:t>、霍乱弧菌</w:t>
      </w:r>
      <w:r>
        <w:rPr>
          <w:rFonts w:hint="eastAsia" w:ascii="宋体" w:hAnsi="宋体" w:eastAsia="宋体" w:cs="宋体"/>
          <w:color w:val="auto"/>
          <w:sz w:val="21"/>
          <w:szCs w:val="21"/>
        </w:rPr>
        <w:t>、志贺菌、猪链球菌、流感嗜血杆菌、布鲁氏菌等10 个物种。（提供</w:t>
      </w:r>
      <w:bookmarkStart w:id="73" w:name="_Hlk196352628"/>
      <w:r>
        <w:rPr>
          <w:rFonts w:hint="eastAsia" w:ascii="宋体" w:hAnsi="宋体" w:eastAsia="宋体" w:cs="宋体"/>
          <w:color w:val="auto"/>
          <w:sz w:val="21"/>
          <w:szCs w:val="21"/>
        </w:rPr>
        <w:t>分析软件</w:t>
      </w:r>
      <w:bookmarkEnd w:id="73"/>
      <w:r>
        <w:rPr>
          <w:rFonts w:hint="eastAsia" w:ascii="宋体" w:hAnsi="宋体" w:eastAsia="宋体" w:cs="宋体"/>
          <w:color w:val="auto"/>
          <w:sz w:val="21"/>
          <w:szCs w:val="21"/>
        </w:rPr>
        <w:t>截图、cgMLST数据库拥有自主知识产权的已发表文章截图并盖章、提供不同物种测试报告）</w:t>
      </w:r>
    </w:p>
    <w:p w14:paraId="4066F5C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支持多组数据同时进行cgMLST、cgSNP、wgSNP分析时自动构建系统发育进化树，包含至少4种树图可视化方式；进化树图支持自定义可视化显示的内容，以及相关样式的修改，并且能够直接查看进化树上各数据之间的差异基因矩阵，并导出图谱及统计数据。</w:t>
      </w:r>
    </w:p>
    <w:p w14:paraId="5AB8CC9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6.细菌物种鉴定参考基因组与国家致病菌识别网</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rPr>
        <w:t>基因组相同，能批量导出.cpin格式的批量样本加密文件以及.cpin格式的基因组序列加密文件，文件可成功上传到国家致病菌识别网监测网络中。（提供操作系统截图、国家致病菌识别网上传成功截图、基因组序列的.cpin示例加密文件）</w:t>
      </w:r>
    </w:p>
    <w:p w14:paraId="508CCEAE">
      <w:pPr>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模块二：宏基因组分析系统</w:t>
      </w:r>
    </w:p>
    <w:p w14:paraId="48722C83">
      <w:pPr>
        <w:keepNext w:val="0"/>
        <w:keepLines w:val="0"/>
        <w:pageBreakBefore w:val="0"/>
        <w:widowControl w:val="0"/>
        <w:numPr>
          <w:ilvl w:val="0"/>
          <w:numId w:val="3"/>
        </w:numPr>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宏基因组模块利用自主研发流程，实现一步对宏基因组测序数据质控、物种分类、宏基因组序列组装、序列分箱、序列注释（对VF、Pfam、Swissprot、COG、KEGG-KO、CARD等数据库进行功能注释）；可对16S、18S、ITS扩增子测序数据的单样本物种分类，以及多组样本进行微生物多样性和差异化分析。比对数据库为国家级病原鉴定基因组数据库，可同时检测≥80000种物种信息条目。（需提供软件操作界面佐证，提供在相关文献上发表分析流程的截图）</w:t>
      </w:r>
    </w:p>
    <w:p w14:paraId="178EBB13">
      <w:pPr>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模块三：未知病原分析与监测系统（mNGS）</w:t>
      </w:r>
    </w:p>
    <w:p w14:paraId="467F06E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 未知病原鉴定分析与监测系统要求比对国家级病原鉴定基因组数据库，排除非感染相关微生物及定植菌进行病原鉴定，分析结果以细菌、真菌、DNA病毒、RNA病毒、其他病毒、寄生虫进行物种分类，并计算出每个属相对丰度、序列数，以及每个种的序列数、相对丰度、基因组覆盖度，根据人间感染名录及不同的感染部位，在报告中报出相应的可疑致病微生物；同时基于至少两个数据库注释出耐药基因，至少一个数据库注释出毒力基因；以上分析结果可直接导出excel及word格式报告。系统自动将全库的样本信息与病原微生物检出结果结合，生成血液、呼吸道等不同症候群的监测图谱，包括病原谱、抗生素谱、耐药谱，并自动对高危病原物种进行预警，监测预警至少包括地图、树图、饼图、桑基图、热图等。（提供分析软件截图、自有产权病原数据库已发表文献并盖章、分析流程相关文献文章截图）。</w:t>
      </w:r>
    </w:p>
    <w:p w14:paraId="41D85BC8">
      <w:pPr>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模块四：病毒基因组分析与监测系统</w:t>
      </w:r>
    </w:p>
    <w:p w14:paraId="7A8A00CC">
      <w:pPr>
        <w:keepNext w:val="0"/>
        <w:keepLines w:val="0"/>
        <w:pageBreakBefore w:val="0"/>
        <w:widowControl w:val="0"/>
        <w:numPr>
          <w:ilvl w:val="0"/>
          <w:numId w:val="4"/>
        </w:numPr>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病毒模块支持病毒数据从原始测序数据开始，一步完成测序数据质量控制、基因组数据组装拼接、亚型分析、SNP分析、谱系鉴定、基因功能注释；数据库支持不少于 13000种病毒分析，以及15000种亚种分析；至少6种功能数据库，包括KEGG、uniprot、refseq、genebank、emapper、pfam；内置病毒高质量公共数据库，可在本地服务器完成BLAST比对分析，并构建系统发育进化树。</w:t>
      </w:r>
    </w:p>
    <w:p w14:paraId="07836506">
      <w:pPr>
        <w:keepNext w:val="0"/>
        <w:keepLines w:val="0"/>
        <w:pageBreakBefore w:val="0"/>
        <w:widowControl w:val="0"/>
        <w:numPr>
          <w:ilvl w:val="0"/>
          <w:numId w:val="4"/>
        </w:numPr>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病毒分析中</w:t>
      </w:r>
      <w:r>
        <w:rPr>
          <w:rFonts w:hint="eastAsia" w:ascii="宋体" w:hAnsi="宋体" w:eastAsia="宋体" w:cs="宋体"/>
          <w:color w:val="auto"/>
          <w:sz w:val="21"/>
          <w:szCs w:val="21"/>
          <w:lang w:eastAsia="zh-CN"/>
        </w:rPr>
        <w:t>须</w:t>
      </w:r>
      <w:r>
        <w:rPr>
          <w:rFonts w:hint="eastAsia" w:ascii="宋体" w:hAnsi="宋体" w:eastAsia="宋体" w:cs="宋体"/>
          <w:color w:val="auto"/>
          <w:sz w:val="21"/>
          <w:szCs w:val="21"/>
        </w:rPr>
        <w:t>包含基孔肯雅病毒溯源分析模块，通过序列比对与系统发育树构建推断毒株间传播关系，数据库应包含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8000条CHIKV核苷酸序列（涵盖五大宿主类型）以及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00条蛋白质序列，可识别用户上传序列与参考序列之间的单核苷酸多态性变异，“物种概览”子页面提供生物学与生物信息学总结以及序列分布的时空可视化。</w:t>
      </w:r>
    </w:p>
    <w:p w14:paraId="4285BD7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病原基因组监测预警可视化系统自动统计细菌、未知病原等模块的数据总量，包括样本数据、菌毒株数据、基因组数据、宏基因组数据，并实时统计硬盘存储使用率；使用多级地图（包括世界地图、中国地图、省份地图、市级地图）监测不同维度的样本和基因组分布，并实时高亮显示预警信息；根据样本不同分离源进行分类统计与监测，包括病原检出率统计、抗生素耐药基因检出率统计、耐药基因变异频率，以及病原动态追踪；设置预警中心模块，汇总显示每个模块的预警事件，包括但不限于聚集性疫情、重点耐药基因预警、重点毒力预警等。实时预警当下检出率最高的病原微生物，并可以进一步追溯其与地区、生境、耐药等相关性。（需提供软件操作界面佐证）</w:t>
      </w:r>
    </w:p>
    <w:p w14:paraId="0E089C1A">
      <w:pPr>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通用功能：样本数据管理</w:t>
      </w:r>
    </w:p>
    <w:p w14:paraId="3C2BA12E">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每个分析系统模块要求都要有样本数据管理模块，要求支持样本数据的统一维护，包括样本相关基本信息的录入、编辑、删除，并且支持批量样本导入；支持基因组文件的批量导入，包含原始下机数据及组装基因组文件，不限测序平台类型，并与样本信息自动化建立关联关系；根据不同模块筛选条件，批量导出样本基本数据及分析结果信息。</w:t>
      </w:r>
    </w:p>
    <w:p w14:paraId="0DC33AB9">
      <w:pPr>
        <w:pStyle w:val="27"/>
        <w:keepNext w:val="0"/>
        <w:keepLines w:val="0"/>
        <w:pageBreakBefore w:val="0"/>
        <w:widowControl w:val="0"/>
        <w:kinsoku/>
        <w:wordWrap/>
        <w:overflowPunct/>
        <w:topLinePunct w:val="0"/>
        <w:autoSpaceDE/>
        <w:autoSpaceDN/>
        <w:bidi w:val="0"/>
        <w:adjustRightInd/>
        <w:snapToGrid/>
        <w:spacing w:line="384"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三、设备软硬件配置清单</w:t>
      </w:r>
    </w:p>
    <w:p w14:paraId="5196DBB0">
      <w:pPr>
        <w:pStyle w:val="27"/>
        <w:keepNext w:val="0"/>
        <w:keepLines w:val="0"/>
        <w:pageBreakBefore w:val="0"/>
        <w:widowControl w:val="0"/>
        <w:kinsoku/>
        <w:wordWrap/>
        <w:overflowPunct/>
        <w:topLinePunct w:val="0"/>
        <w:autoSpaceDE/>
        <w:autoSpaceDN/>
        <w:bidi w:val="0"/>
        <w:adjustRightInd/>
        <w:snapToGrid/>
        <w:spacing w:line="384" w:lineRule="auto"/>
        <w:ind w:left="479"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3.1病原微生物</w:t>
      </w:r>
      <w:r>
        <w:rPr>
          <w:rFonts w:hint="eastAsia" w:ascii="宋体" w:hAnsi="宋体" w:eastAsia="宋体" w:cs="宋体"/>
          <w:color w:val="auto"/>
          <w:sz w:val="21"/>
          <w:szCs w:val="21"/>
          <w:u w:val="none"/>
          <w:lang w:eastAsia="zh-CN"/>
        </w:rPr>
        <w:t>生信</w:t>
      </w:r>
      <w:r>
        <w:rPr>
          <w:rFonts w:hint="eastAsia" w:ascii="宋体" w:hAnsi="宋体" w:eastAsia="宋体" w:cs="宋体"/>
          <w:color w:val="auto"/>
          <w:sz w:val="21"/>
          <w:szCs w:val="21"/>
          <w:u w:val="none"/>
        </w:rPr>
        <w:t>分析</w:t>
      </w:r>
      <w:r>
        <w:rPr>
          <w:rFonts w:hint="eastAsia" w:ascii="宋体" w:hAnsi="宋体" w:cs="宋体"/>
          <w:color w:val="auto"/>
          <w:sz w:val="21"/>
          <w:szCs w:val="21"/>
          <w:u w:val="none"/>
          <w:lang w:eastAsia="zh-CN"/>
        </w:rPr>
        <w:t>设备</w:t>
      </w:r>
      <w:r>
        <w:rPr>
          <w:rFonts w:hint="eastAsia" w:ascii="宋体" w:hAnsi="宋体" w:eastAsia="宋体" w:cs="宋体"/>
          <w:color w:val="auto"/>
          <w:sz w:val="21"/>
          <w:szCs w:val="21"/>
          <w:u w:val="none"/>
        </w:rPr>
        <w:t>：1台；</w:t>
      </w:r>
    </w:p>
    <w:p w14:paraId="77DAC183">
      <w:pPr>
        <w:pStyle w:val="27"/>
        <w:keepNext w:val="0"/>
        <w:keepLines w:val="0"/>
        <w:pageBreakBefore w:val="0"/>
        <w:widowControl w:val="0"/>
        <w:kinsoku/>
        <w:wordWrap/>
        <w:overflowPunct/>
        <w:topLinePunct w:val="0"/>
        <w:autoSpaceDE/>
        <w:autoSpaceDN/>
        <w:bidi w:val="0"/>
        <w:adjustRightInd/>
        <w:snapToGrid/>
        <w:spacing w:line="384" w:lineRule="auto"/>
        <w:ind w:left="479"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3.2细菌基因组分析与监测系统：1 套；</w:t>
      </w:r>
    </w:p>
    <w:p w14:paraId="26142C8A">
      <w:pPr>
        <w:pStyle w:val="27"/>
        <w:keepNext w:val="0"/>
        <w:keepLines w:val="0"/>
        <w:pageBreakBefore w:val="0"/>
        <w:widowControl w:val="0"/>
        <w:kinsoku/>
        <w:wordWrap/>
        <w:overflowPunct/>
        <w:topLinePunct w:val="0"/>
        <w:autoSpaceDE/>
        <w:autoSpaceDN/>
        <w:bidi w:val="0"/>
        <w:adjustRightInd/>
        <w:snapToGrid/>
        <w:spacing w:line="384" w:lineRule="auto"/>
        <w:ind w:left="479"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3.3宏基因组多样性和差异化分析系统</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1套；</w:t>
      </w:r>
    </w:p>
    <w:p w14:paraId="6124FE56">
      <w:pPr>
        <w:pStyle w:val="27"/>
        <w:keepNext w:val="0"/>
        <w:keepLines w:val="0"/>
        <w:pageBreakBefore w:val="0"/>
        <w:widowControl w:val="0"/>
        <w:kinsoku/>
        <w:wordWrap/>
        <w:overflowPunct/>
        <w:topLinePunct w:val="0"/>
        <w:autoSpaceDE/>
        <w:autoSpaceDN/>
        <w:bidi w:val="0"/>
        <w:adjustRightInd/>
        <w:snapToGrid/>
        <w:spacing w:line="384" w:lineRule="auto"/>
        <w:ind w:left="479"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3.4未知病原分析与监测系统：1套；</w:t>
      </w:r>
    </w:p>
    <w:p w14:paraId="17D6B6DD">
      <w:pPr>
        <w:pStyle w:val="27"/>
        <w:keepNext w:val="0"/>
        <w:keepLines w:val="0"/>
        <w:pageBreakBefore w:val="0"/>
        <w:widowControl w:val="0"/>
        <w:kinsoku/>
        <w:wordWrap/>
        <w:overflowPunct/>
        <w:topLinePunct w:val="0"/>
        <w:autoSpaceDE/>
        <w:autoSpaceDN/>
        <w:bidi w:val="0"/>
        <w:adjustRightInd/>
        <w:snapToGrid/>
        <w:spacing w:line="384" w:lineRule="auto"/>
        <w:ind w:left="479"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3.5病毒基因组分析与监测系统：1套；</w:t>
      </w:r>
    </w:p>
    <w:p w14:paraId="3BACC0F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Cs w:val="21"/>
        </w:rPr>
        <w:t>★</w:t>
      </w:r>
      <w:r>
        <w:rPr>
          <w:rFonts w:hint="eastAsia" w:ascii="宋体" w:hAnsi="宋体" w:eastAsia="宋体" w:cs="宋体"/>
          <w:b/>
          <w:bCs/>
          <w:color w:val="auto"/>
          <w:sz w:val="21"/>
          <w:szCs w:val="21"/>
        </w:rPr>
        <w:t>四、</w:t>
      </w:r>
      <w:r>
        <w:rPr>
          <w:rFonts w:hint="eastAsia" w:ascii="宋体" w:hAnsi="宋体" w:eastAsia="宋体" w:cs="宋体"/>
          <w:b/>
          <w:bCs/>
          <w:color w:val="auto"/>
          <w:sz w:val="21"/>
          <w:szCs w:val="21"/>
          <w:lang w:eastAsia="zh-CN"/>
        </w:rPr>
        <w:t>质保期</w:t>
      </w:r>
    </w:p>
    <w:p w14:paraId="69198C4D">
      <w:pPr>
        <w:pStyle w:val="2"/>
        <w:keepNext w:val="0"/>
        <w:keepLines w:val="0"/>
        <w:pageBreakBefore w:val="0"/>
        <w:kinsoku/>
        <w:wordWrap/>
        <w:overflowPunct/>
        <w:topLinePunct w:val="0"/>
        <w:bidi w:val="0"/>
        <w:snapToGrid/>
        <w:spacing w:before="0" w:after="0" w:line="384" w:lineRule="auto"/>
        <w:ind w:firstLine="420" w:firstLineChars="20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自设备验收合格之日起计算，主机及相关配套设备质保期3年，软件及数据库免费维护及升级5年。质保期内设备免费保修，所需配件免费提供并更换。</w:t>
      </w:r>
    </w:p>
    <w:p w14:paraId="0EA165C9">
      <w:pPr>
        <w:keepNext w:val="0"/>
        <w:keepLines w:val="0"/>
        <w:pageBreakBefore w:val="0"/>
        <w:kinsoku/>
        <w:wordWrap/>
        <w:overflowPunct/>
        <w:topLinePunct w:val="0"/>
        <w:bidi w:val="0"/>
        <w:snapToGrid/>
        <w:spacing w:line="384" w:lineRule="auto"/>
        <w:ind w:firstLine="422" w:firstLineChars="200"/>
        <w:jc w:val="center"/>
        <w:textAlignment w:val="auto"/>
        <w:rPr>
          <w:rFonts w:hint="eastAsia" w:ascii="宋体" w:hAnsi="宋体" w:eastAsia="宋体" w:cs="宋体"/>
          <w:b/>
          <w:bCs/>
          <w:color w:val="auto"/>
          <w:kern w:val="2"/>
          <w:sz w:val="21"/>
          <w:szCs w:val="21"/>
          <w:highlight w:val="none"/>
          <w:lang w:val="en-US" w:eastAsia="zh-CN" w:bidi="ar-SA"/>
        </w:rPr>
      </w:pPr>
      <w:bookmarkStart w:id="74" w:name="_Hlk170809840"/>
    </w:p>
    <w:p w14:paraId="261E9513">
      <w:pPr>
        <w:keepNext w:val="0"/>
        <w:keepLines w:val="0"/>
        <w:pageBreakBefore w:val="0"/>
        <w:kinsoku/>
        <w:wordWrap/>
        <w:overflowPunct/>
        <w:topLinePunct w:val="0"/>
        <w:bidi w:val="0"/>
        <w:snapToGrid/>
        <w:spacing w:line="384" w:lineRule="auto"/>
        <w:ind w:firstLine="422" w:firstLineChars="20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二</w:t>
      </w:r>
      <w:r>
        <w:rPr>
          <w:rFonts w:hint="eastAsia" w:ascii="宋体" w:hAnsi="宋体" w:eastAsia="宋体" w:cs="宋体"/>
          <w:b/>
          <w:bCs/>
          <w:color w:val="auto"/>
          <w:kern w:val="2"/>
          <w:sz w:val="21"/>
          <w:szCs w:val="21"/>
          <w:highlight w:val="none"/>
          <w:lang w:val="en-US" w:eastAsia="zh-CN" w:bidi="ar-SA"/>
        </w:rPr>
        <w:t>）全自动研磨离心一体机技术参数</w:t>
      </w:r>
    </w:p>
    <w:p w14:paraId="3011ADCB">
      <w:pPr>
        <w:keepNext w:val="0"/>
        <w:keepLines w:val="0"/>
        <w:pageBreakBefore w:val="0"/>
        <w:kinsoku/>
        <w:wordWrap/>
        <w:overflowPunct/>
        <w:topLinePunct w:val="0"/>
        <w:autoSpaceDE w:val="0"/>
        <w:autoSpaceDN w:val="0"/>
        <w:bidi w:val="0"/>
        <w:adjustRightInd/>
        <w:snapToGrid/>
        <w:spacing w:line="384" w:lineRule="auto"/>
        <w:ind w:firstLine="422"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1.适用范围：</w:t>
      </w:r>
      <w:r>
        <w:rPr>
          <w:rFonts w:hint="eastAsia" w:ascii="宋体" w:hAnsi="宋体" w:eastAsia="宋体" w:cs="宋体"/>
          <w:b w:val="0"/>
          <w:bCs w:val="0"/>
          <w:color w:val="auto"/>
          <w:kern w:val="2"/>
          <w:sz w:val="21"/>
          <w:szCs w:val="21"/>
          <w:highlight w:val="none"/>
          <w:lang w:val="en-US" w:eastAsia="zh-CN" w:bidi="ar-SA"/>
        </w:rPr>
        <w:t>适用于生物样品研磨离心的预处理，可</w:t>
      </w:r>
      <w:r>
        <w:rPr>
          <w:rFonts w:hint="eastAsia" w:ascii="宋体" w:hAnsi="宋体" w:eastAsia="宋体" w:cs="宋体"/>
          <w:color w:val="auto"/>
          <w:kern w:val="2"/>
          <w:sz w:val="21"/>
          <w:szCs w:val="21"/>
          <w:highlight w:val="none"/>
          <w:lang w:val="en-US" w:eastAsia="zh-CN" w:bidi="ar-SA"/>
        </w:rPr>
        <w:t>短时间内完成样品破碎、细胞膜、细胞壁裂解。与此同时</w:t>
      </w:r>
      <w:r>
        <w:rPr>
          <w:rFonts w:hint="eastAsia" w:ascii="宋体" w:hAnsi="宋体" w:eastAsia="宋体" w:cs="宋体"/>
          <w:b w:val="0"/>
          <w:bCs w:val="0"/>
          <w:color w:val="auto"/>
          <w:kern w:val="2"/>
          <w:sz w:val="21"/>
          <w:szCs w:val="21"/>
          <w:highlight w:val="none"/>
          <w:lang w:val="en-US" w:eastAsia="zh-CN" w:bidi="ar-SA"/>
        </w:rPr>
        <w:t>兼有制冷及低速离心功能，</w:t>
      </w:r>
      <w:r>
        <w:rPr>
          <w:rFonts w:hint="eastAsia" w:ascii="宋体" w:hAnsi="宋体" w:eastAsia="宋体" w:cs="宋体"/>
          <w:color w:val="auto"/>
          <w:kern w:val="2"/>
          <w:sz w:val="21"/>
          <w:szCs w:val="21"/>
          <w:highlight w:val="none"/>
          <w:lang w:val="en-US" w:eastAsia="zh-CN" w:bidi="ar-SA"/>
        </w:rPr>
        <w:t>最大限度的避免核酸降解和蛋白变性。</w:t>
      </w:r>
    </w:p>
    <w:p w14:paraId="3F794C9F">
      <w:pPr>
        <w:keepNext w:val="0"/>
        <w:keepLines w:val="0"/>
        <w:pageBreakBefore w:val="0"/>
        <w:kinsoku/>
        <w:wordWrap/>
        <w:overflowPunct/>
        <w:topLinePunct w:val="0"/>
        <w:autoSpaceDE w:val="0"/>
        <w:autoSpaceDN w:val="0"/>
        <w:bidi w:val="0"/>
        <w:adjustRightInd/>
        <w:snapToGrid/>
        <w:spacing w:line="384" w:lineRule="auto"/>
        <w:ind w:firstLine="422"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color w:val="auto"/>
          <w:kern w:val="2"/>
          <w:sz w:val="21"/>
          <w:szCs w:val="21"/>
          <w:highlight w:val="none"/>
          <w:lang w:val="en-US" w:eastAsia="zh-CN" w:bidi="ar-SA"/>
        </w:rPr>
        <w:t>采用震荡破碎，低温、离心一体化技术，快速完成样本破碎和离心保证样本破碎时核酸的活性。</w:t>
      </w:r>
    </w:p>
    <w:p w14:paraId="059F7F9B">
      <w:pPr>
        <w:keepNext w:val="0"/>
        <w:keepLines w:val="0"/>
        <w:pageBreakBefore w:val="0"/>
        <w:kinsoku/>
        <w:wordWrap/>
        <w:overflowPunct/>
        <w:topLinePunct w:val="0"/>
        <w:autoSpaceDE w:val="0"/>
        <w:autoSpaceDN w:val="0"/>
        <w:bidi w:val="0"/>
        <w:adjustRightInd/>
        <w:snapToGrid/>
        <w:spacing w:line="384" w:lineRule="auto"/>
        <w:ind w:firstLine="422" w:firstLineChars="200"/>
        <w:jc w:val="both"/>
        <w:textAlignment w:val="auto"/>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lang w:val="en-US" w:eastAsia="zh-CN"/>
        </w:rPr>
        <w:t>3.振荡速度：</w:t>
      </w:r>
      <w:r>
        <w:rPr>
          <w:rFonts w:hint="eastAsia" w:ascii="宋体" w:hAnsi="宋体" w:eastAsia="宋体" w:cs="宋体"/>
          <w:b w:val="0"/>
          <w:bCs w:val="0"/>
          <w:color w:val="auto"/>
          <w:sz w:val="21"/>
          <w:szCs w:val="21"/>
          <w:highlight w:val="none"/>
          <w:shd w:val="clear" w:color="auto" w:fill="auto"/>
          <w:lang w:val="en-US" w:eastAsia="zh-CN"/>
        </w:rPr>
        <w:t>2-6.5m/s可调，步进调速设定可达0.05m/s；对于基因组DNA提取支持</w:t>
      </w:r>
      <w:r>
        <w:rPr>
          <w:rFonts w:hint="eastAsia" w:ascii="宋体" w:hAnsi="宋体" w:eastAsia="宋体" w:cs="宋体"/>
          <w:b w:val="0"/>
          <w:bCs w:val="0"/>
          <w:color w:val="auto"/>
          <w:kern w:val="2"/>
          <w:sz w:val="21"/>
          <w:szCs w:val="21"/>
          <w:highlight w:val="none"/>
          <w:shd w:val="clear" w:color="auto" w:fill="auto"/>
          <w:lang w:val="en-US" w:eastAsia="zh-CN" w:bidi="ar-SA"/>
        </w:rPr>
        <w:t>≤</w:t>
      </w:r>
      <w:r>
        <w:rPr>
          <w:rFonts w:hint="eastAsia" w:ascii="宋体" w:hAnsi="宋体" w:eastAsia="宋体" w:cs="宋体"/>
          <w:b w:val="0"/>
          <w:bCs w:val="0"/>
          <w:color w:val="auto"/>
          <w:sz w:val="21"/>
          <w:szCs w:val="21"/>
          <w:highlight w:val="none"/>
          <w:shd w:val="clear" w:color="auto" w:fill="auto"/>
          <w:lang w:val="en-US" w:eastAsia="zh-CN"/>
        </w:rPr>
        <w:t>2m/s连续低转速运行功能，保证基因组DNA的完整性。</w:t>
      </w:r>
    </w:p>
    <w:p w14:paraId="5B531A06">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4.控温范围：</w:t>
      </w:r>
      <w:r>
        <w:rPr>
          <w:rFonts w:hint="eastAsia" w:ascii="宋体" w:hAnsi="宋体" w:eastAsia="宋体" w:cs="宋体"/>
          <w:b w:val="0"/>
          <w:bCs w:val="0"/>
          <w:color w:val="auto"/>
          <w:kern w:val="2"/>
          <w:sz w:val="21"/>
          <w:szCs w:val="21"/>
          <w:highlight w:val="none"/>
          <w:shd w:val="clear" w:color="auto" w:fill="auto"/>
          <w:lang w:val="en-US" w:eastAsia="zh-CN" w:bidi="ar-SA"/>
        </w:rPr>
        <w:t>0℃-37℃，内置制冷系统，可适于RNA提取，无需额外的液氮冷却和辅助加热设备。</w:t>
      </w:r>
    </w:p>
    <w:p w14:paraId="2FD3FB07">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5.破碎时间：</w:t>
      </w:r>
      <w:r>
        <w:rPr>
          <w:rFonts w:hint="eastAsia" w:ascii="宋体" w:hAnsi="宋体" w:eastAsia="宋体" w:cs="宋体"/>
          <w:b w:val="0"/>
          <w:bCs w:val="0"/>
          <w:color w:val="auto"/>
          <w:kern w:val="2"/>
          <w:sz w:val="21"/>
          <w:szCs w:val="21"/>
          <w:highlight w:val="none"/>
          <w:shd w:val="clear" w:color="auto" w:fill="auto"/>
          <w:lang w:val="en-US" w:eastAsia="zh-CN" w:bidi="ar-SA"/>
        </w:rPr>
        <w:t>单次最长破碎时间≥99分钟，最大循环99次。</w:t>
      </w:r>
    </w:p>
    <w:p w14:paraId="38922385">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6.离心速度</w:t>
      </w:r>
      <w:r>
        <w:rPr>
          <w:rFonts w:hint="eastAsia" w:ascii="宋体" w:hAnsi="宋体" w:eastAsia="宋体" w:cs="宋体"/>
          <w:b/>
          <w:bCs/>
          <w:color w:val="auto"/>
          <w:kern w:val="2"/>
          <w:sz w:val="21"/>
          <w:szCs w:val="21"/>
          <w:highlight w:val="none"/>
          <w:shd w:val="clear" w:color="auto" w:fill="auto"/>
          <w:lang w:val="en-US" w:eastAsia="zh-CN" w:bidi="ar-SA"/>
        </w:rPr>
        <w:t>：</w:t>
      </w:r>
      <w:r>
        <w:rPr>
          <w:rFonts w:hint="eastAsia" w:ascii="宋体" w:hAnsi="宋体" w:eastAsia="宋体" w:cs="宋体"/>
          <w:b w:val="0"/>
          <w:bCs w:val="0"/>
          <w:color w:val="auto"/>
          <w:kern w:val="2"/>
          <w:sz w:val="21"/>
          <w:szCs w:val="21"/>
          <w:highlight w:val="none"/>
          <w:shd w:val="clear" w:color="auto" w:fill="auto"/>
          <w:lang w:val="en-US" w:eastAsia="zh-CN" w:bidi="ar-SA"/>
        </w:rPr>
        <w:t>≤6000rpm</w:t>
      </w:r>
      <w:r>
        <w:rPr>
          <w:rFonts w:hint="eastAsia" w:ascii="宋体" w:hAnsi="宋体" w:eastAsia="宋体" w:cs="宋体"/>
          <w:b w:val="0"/>
          <w:bCs w:val="0"/>
          <w:color w:val="auto"/>
          <w:sz w:val="21"/>
          <w:szCs w:val="21"/>
          <w:highlight w:val="none"/>
          <w:shd w:val="clear" w:color="auto" w:fill="auto"/>
          <w:lang w:val="en-US" w:eastAsia="zh-CN"/>
        </w:rPr>
        <w:t>。</w:t>
      </w:r>
    </w:p>
    <w:p w14:paraId="6D187C20">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7.样本通量：</w:t>
      </w:r>
      <w:r>
        <w:rPr>
          <w:rFonts w:hint="eastAsia" w:ascii="宋体" w:hAnsi="宋体" w:eastAsia="宋体" w:cs="宋体"/>
          <w:b w:val="0"/>
          <w:bCs w:val="0"/>
          <w:color w:val="auto"/>
          <w:kern w:val="2"/>
          <w:sz w:val="21"/>
          <w:szCs w:val="21"/>
          <w:highlight w:val="none"/>
          <w:shd w:val="clear" w:color="auto" w:fill="auto"/>
          <w:lang w:val="en-US" w:eastAsia="zh-CN" w:bidi="ar-SA"/>
        </w:rPr>
        <w:t>单次最多可支持≥24样本。</w:t>
      </w:r>
    </w:p>
    <w:p w14:paraId="155AF746">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8.程序可编辑</w:t>
      </w:r>
      <w:r>
        <w:rPr>
          <w:rFonts w:hint="eastAsia" w:ascii="宋体" w:hAnsi="宋体" w:eastAsia="宋体" w:cs="宋体"/>
          <w:b w:val="0"/>
          <w:bCs w:val="0"/>
          <w:color w:val="auto"/>
          <w:kern w:val="2"/>
          <w:sz w:val="21"/>
          <w:szCs w:val="21"/>
          <w:highlight w:val="none"/>
          <w:shd w:val="clear" w:color="auto" w:fill="auto"/>
          <w:lang w:val="en-US" w:eastAsia="zh-CN" w:bidi="ar-SA"/>
        </w:rPr>
        <w:t>：可设置保存多个程序，满足不同样本的粉碎需求。</w:t>
      </w:r>
    </w:p>
    <w:p w14:paraId="68529B9D">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9.安全性</w:t>
      </w:r>
      <w:r>
        <w:rPr>
          <w:rFonts w:hint="eastAsia" w:ascii="宋体" w:hAnsi="宋体" w:eastAsia="宋体" w:cs="宋体"/>
          <w:b w:val="0"/>
          <w:bCs w:val="0"/>
          <w:color w:val="auto"/>
          <w:kern w:val="2"/>
          <w:sz w:val="21"/>
          <w:szCs w:val="21"/>
          <w:highlight w:val="none"/>
          <w:shd w:val="clear" w:color="auto" w:fill="auto"/>
          <w:lang w:val="en-US" w:eastAsia="zh-CN" w:bidi="ar-SA"/>
        </w:rPr>
        <w:t>：采用安全可靠的ARM系统、电磁锁定功能、报警功能及故障智能诊断功能保证运行安全。</w:t>
      </w:r>
    </w:p>
    <w:p w14:paraId="72CDBB4F">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10.清洁维护：</w:t>
      </w:r>
      <w:r>
        <w:rPr>
          <w:rFonts w:hint="eastAsia" w:ascii="宋体" w:hAnsi="宋体" w:eastAsia="宋体" w:cs="宋体"/>
          <w:b w:val="0"/>
          <w:bCs w:val="0"/>
          <w:color w:val="auto"/>
          <w:kern w:val="2"/>
          <w:sz w:val="21"/>
          <w:szCs w:val="21"/>
          <w:highlight w:val="none"/>
          <w:shd w:val="clear" w:color="auto" w:fill="auto"/>
          <w:lang w:val="en-US" w:eastAsia="zh-CN" w:bidi="ar-SA"/>
        </w:rPr>
        <w:t>整体不锈钢内腔设计，易清洁、防污染；整机无易损件，易维护。</w:t>
      </w:r>
    </w:p>
    <w:p w14:paraId="2DC5A208">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11.低噪音：</w:t>
      </w:r>
      <w:r>
        <w:rPr>
          <w:rFonts w:hint="eastAsia" w:ascii="宋体" w:hAnsi="宋体" w:eastAsia="宋体" w:cs="宋体"/>
          <w:b w:val="0"/>
          <w:bCs w:val="0"/>
          <w:color w:val="auto"/>
          <w:kern w:val="2"/>
          <w:sz w:val="21"/>
          <w:szCs w:val="21"/>
          <w:highlight w:val="none"/>
          <w:shd w:val="clear" w:color="auto" w:fill="auto"/>
          <w:lang w:val="en-US" w:eastAsia="zh-CN" w:bidi="ar-SA"/>
        </w:rPr>
        <w:t>≤54db。</w:t>
      </w:r>
    </w:p>
    <w:p w14:paraId="1D9A4F68">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12.样本固定：</w:t>
      </w:r>
      <w:r>
        <w:rPr>
          <w:rFonts w:hint="eastAsia" w:ascii="宋体" w:hAnsi="宋体" w:eastAsia="宋体" w:cs="宋体"/>
          <w:b w:val="0"/>
          <w:bCs w:val="0"/>
          <w:color w:val="auto"/>
          <w:sz w:val="21"/>
          <w:szCs w:val="21"/>
          <w:highlight w:val="none"/>
          <w:lang w:val="en-US" w:eastAsia="zh-CN"/>
        </w:rPr>
        <w:t>采用</w:t>
      </w:r>
      <w:r>
        <w:rPr>
          <w:rFonts w:hint="eastAsia" w:ascii="宋体" w:hAnsi="宋体" w:eastAsia="宋体" w:cs="宋体"/>
          <w:b w:val="0"/>
          <w:bCs w:val="0"/>
          <w:color w:val="auto"/>
          <w:kern w:val="2"/>
          <w:sz w:val="21"/>
          <w:szCs w:val="21"/>
          <w:highlight w:val="none"/>
          <w:shd w:val="clear" w:color="auto" w:fill="auto"/>
          <w:lang w:val="en-US" w:eastAsia="zh-CN" w:bidi="ar-SA"/>
        </w:rPr>
        <w:t>卡扣压盖固定结构设计，可快速固定和开启样品。</w:t>
      </w:r>
    </w:p>
    <w:p w14:paraId="47D3556B">
      <w:pPr>
        <w:pStyle w:val="27"/>
        <w:keepNext w:val="0"/>
        <w:keepLines w:val="0"/>
        <w:pageBreakBefore w:val="0"/>
        <w:numPr>
          <w:ilvl w:val="0"/>
          <w:numId w:val="0"/>
        </w:numPr>
        <w:kinsoku/>
        <w:wordWrap/>
        <w:overflowPunct/>
        <w:topLinePunct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13.操作控制</w:t>
      </w:r>
      <w:r>
        <w:rPr>
          <w:rFonts w:hint="eastAsia" w:ascii="宋体" w:hAnsi="宋体" w:eastAsia="宋体" w:cs="宋体"/>
          <w:b w:val="0"/>
          <w:bCs w:val="0"/>
          <w:color w:val="auto"/>
          <w:kern w:val="2"/>
          <w:sz w:val="21"/>
          <w:szCs w:val="21"/>
          <w:highlight w:val="none"/>
          <w:shd w:val="clear" w:color="auto" w:fill="auto"/>
          <w:lang w:val="en-US" w:eastAsia="zh-CN" w:bidi="ar-SA"/>
        </w:rPr>
        <w:t>：采用先进的微处理技术控制，配置彩色触摸屏，方便设置操作。</w:t>
      </w:r>
    </w:p>
    <w:p w14:paraId="1F735BAE">
      <w:pPr>
        <w:keepNext w:val="0"/>
        <w:keepLines w:val="0"/>
        <w:pageBreakBefore w:val="0"/>
        <w:kinsoku/>
        <w:wordWrap/>
        <w:overflowPunct/>
        <w:topLinePunct w:val="0"/>
        <w:autoSpaceDE w:val="0"/>
        <w:autoSpaceDN w:val="0"/>
        <w:bidi w:val="0"/>
        <w:adjustRightInd/>
        <w:snapToGrid/>
        <w:spacing w:line="384" w:lineRule="auto"/>
        <w:ind w:firstLine="422" w:firstLineChars="200"/>
        <w:textAlignment w:val="auto"/>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eastAsia="宋体" w:cs="宋体"/>
          <w:b/>
          <w:bCs/>
          <w:color w:val="auto"/>
          <w:sz w:val="21"/>
          <w:szCs w:val="21"/>
          <w:highlight w:val="none"/>
          <w:lang w:val="en-US" w:eastAsia="zh-CN"/>
        </w:rPr>
        <w:t>14.安全认证：</w:t>
      </w:r>
      <w:r>
        <w:rPr>
          <w:rFonts w:hint="eastAsia" w:ascii="宋体" w:hAnsi="宋体" w:eastAsia="宋体" w:cs="宋体"/>
          <w:b w:val="0"/>
          <w:bCs w:val="0"/>
          <w:color w:val="auto"/>
          <w:kern w:val="2"/>
          <w:sz w:val="21"/>
          <w:szCs w:val="21"/>
          <w:highlight w:val="none"/>
          <w:shd w:val="clear" w:color="auto" w:fill="auto"/>
          <w:lang w:val="en-US" w:eastAsia="zh-CN" w:bidi="ar-SA"/>
        </w:rPr>
        <w:t>通过TUV，CE，EMC认证，符合RoHS标准。</w:t>
      </w:r>
    </w:p>
    <w:p w14:paraId="4D6FF4F6">
      <w:pPr>
        <w:pStyle w:val="15"/>
        <w:keepNext w:val="0"/>
        <w:keepLines w:val="0"/>
        <w:pageBreakBefore w:val="0"/>
        <w:widowControl/>
        <w:suppressLineNumbers w:val="0"/>
        <w:kinsoku/>
        <w:wordWrap/>
        <w:overflowPunct/>
        <w:topLinePunct w:val="0"/>
        <w:bidi w:val="0"/>
        <w:adjustRightInd/>
        <w:snapToGrid/>
        <w:spacing w:before="0" w:beforeAutospacing="0" w:after="0" w:afterAutospacing="0" w:line="384" w:lineRule="auto"/>
        <w:ind w:left="0" w:firstLine="48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w:t>
      </w:r>
      <w:r>
        <w:rPr>
          <w:rFonts w:hint="eastAsia" w:ascii="宋体" w:hAnsi="宋体" w:eastAsia="宋体" w:cs="宋体"/>
          <w:b/>
          <w:bCs/>
          <w:color w:val="auto"/>
          <w:kern w:val="2"/>
          <w:sz w:val="21"/>
          <w:szCs w:val="21"/>
          <w:lang w:val="en-US" w:eastAsia="zh-CN" w:bidi="ar-SA"/>
        </w:rPr>
        <w:t>15.质保期及售后服务：终身免费质保，质保期内设备免费保修，所需配件免费提供并更换</w:t>
      </w:r>
      <w:r>
        <w:rPr>
          <w:rFonts w:hint="eastAsia" w:cs="宋体"/>
          <w:b/>
          <w:bCs/>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售后支持快速响应，可提供7*24小时电话咨询服务，如有任何问题，保证2小时内进行快速应答响应，必要时可安排人员到场快速解决。</w:t>
      </w:r>
    </w:p>
    <w:p w14:paraId="2BD3B8D4">
      <w:pPr>
        <w:keepNext w:val="0"/>
        <w:keepLines w:val="0"/>
        <w:pageBreakBefore w:val="0"/>
        <w:shd w:val="clear"/>
        <w:kinsoku/>
        <w:wordWrap/>
        <w:overflowPunct/>
        <w:topLinePunct w:val="0"/>
        <w:autoSpaceDE/>
        <w:autoSpaceDN w:val="0"/>
        <w:bidi w:val="0"/>
        <w:adjustRightInd/>
        <w:snapToGrid/>
        <w:spacing w:line="384" w:lineRule="auto"/>
        <w:ind w:firstLine="422" w:firstLineChars="200"/>
        <w:textAlignment w:val="auto"/>
        <w:rPr>
          <w:rFonts w:hint="eastAsia" w:ascii="宋体" w:hAnsi="宋体" w:eastAsia="宋体" w:cs="宋体"/>
          <w:b/>
          <w:bCs/>
          <w:color w:val="auto"/>
          <w:sz w:val="21"/>
          <w:szCs w:val="21"/>
        </w:rPr>
      </w:pPr>
    </w:p>
    <w:p w14:paraId="6A91F2AD">
      <w:pPr>
        <w:keepNext w:val="0"/>
        <w:keepLines w:val="0"/>
        <w:pageBreakBefore w:val="0"/>
        <w:kinsoku/>
        <w:wordWrap/>
        <w:overflowPunct/>
        <w:topLinePunct w:val="0"/>
        <w:bidi w:val="0"/>
        <w:snapToGrid/>
        <w:spacing w:line="384" w:lineRule="auto"/>
        <w:ind w:firstLine="422"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（三）</w:t>
      </w:r>
      <w:r>
        <w:rPr>
          <w:rFonts w:hint="eastAsia" w:ascii="宋体" w:hAnsi="宋体" w:eastAsia="宋体" w:cs="宋体"/>
          <w:b/>
          <w:color w:val="auto"/>
          <w:sz w:val="21"/>
          <w:szCs w:val="21"/>
        </w:rPr>
        <w:t>二代基因测序平台</w:t>
      </w:r>
    </w:p>
    <w:p w14:paraId="177E434D">
      <w:pPr>
        <w:keepNext w:val="0"/>
        <w:keepLines w:val="0"/>
        <w:pageBreakBefore w:val="0"/>
        <w:kinsoku/>
        <w:wordWrap/>
        <w:overflowPunct/>
        <w:topLinePunct w:val="0"/>
        <w:bidi w:val="0"/>
        <w:snapToGrid/>
        <w:spacing w:line="384" w:lineRule="auto"/>
        <w:ind w:firstLine="422"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（高通量基因测序仪含微生物数据处理平台及配套设施、基因测序文库制备仪、普通PCR仪）技术参数</w:t>
      </w:r>
    </w:p>
    <w:bookmarkEnd w:id="74"/>
    <w:p w14:paraId="30CC4B7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一、高通量基因测序仪含微生物数据处理平台及配套设施</w:t>
      </w:r>
    </w:p>
    <w:p w14:paraId="320A7AC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1.</w:t>
      </w:r>
      <w:r>
        <w:rPr>
          <w:rFonts w:hint="eastAsia" w:ascii="宋体" w:hAnsi="宋体" w:eastAsia="宋体" w:cs="宋体"/>
          <w:bCs/>
          <w:color w:val="auto"/>
        </w:rPr>
        <w:t>可开展小样本量的肿瘤靶向测序、小型全基因组测序、低深度WGS测序、宏基因组测序、多重扩增或杂交捕获等靶向测序、个体识别等多种应用。</w:t>
      </w:r>
    </w:p>
    <w:p w14:paraId="0E554AB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w:t>
      </w:r>
      <w:r>
        <w:rPr>
          <w:rFonts w:hint="eastAsia" w:ascii="宋体" w:hAnsi="宋体" w:eastAsia="宋体" w:cs="宋体"/>
          <w:bCs/>
          <w:color w:val="auto"/>
          <w:kern w:val="2"/>
        </w:rPr>
        <w:t>2.</w:t>
      </w:r>
      <w:r>
        <w:rPr>
          <w:rFonts w:hint="eastAsia" w:ascii="宋体" w:hAnsi="宋体" w:eastAsia="宋体" w:cs="宋体"/>
          <w:bCs/>
          <w:color w:val="auto"/>
        </w:rPr>
        <w:t>采用线性扩增方式，每轮扩增均以原始文库分子为模板，有效减少由PCR引入的错误累积的影响。</w:t>
      </w:r>
    </w:p>
    <w:p w14:paraId="6FACCCA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3.</w:t>
      </w:r>
      <w:r>
        <w:rPr>
          <w:rFonts w:hint="eastAsia" w:ascii="宋体" w:hAnsi="宋体" w:eastAsia="宋体" w:cs="宋体"/>
          <w:bCs/>
          <w:color w:val="auto"/>
        </w:rPr>
        <w:t>通量范围：满足2-240 Gb数据产出范围。</w:t>
      </w:r>
    </w:p>
    <w:p w14:paraId="6FF5027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4.测序方式：自动化单端和自动化双端读取序列，读长≥600bp；可支持 1*100bp、1*400bp、2*150bp、2*300bp等多种读长，并支持以上读长范围内自定义读取长度。</w:t>
      </w:r>
    </w:p>
    <w:p w14:paraId="42B354F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w:t>
      </w:r>
      <w:r>
        <w:rPr>
          <w:rFonts w:hint="eastAsia" w:ascii="宋体" w:hAnsi="宋体" w:eastAsia="宋体" w:cs="宋体"/>
          <w:bCs/>
          <w:color w:val="auto"/>
          <w:kern w:val="2"/>
        </w:rPr>
        <w:t>5.</w:t>
      </w:r>
      <w:r>
        <w:rPr>
          <w:rFonts w:hint="eastAsia" w:ascii="宋体" w:hAnsi="宋体" w:eastAsia="宋体" w:cs="宋体"/>
          <w:bCs/>
          <w:color w:val="auto"/>
        </w:rPr>
        <w:t>操作模式：单台仪器配置双载片平台，支持单载片模式和双载片模式，单台仪器本身的双载片平台不仅拥有各自独立的控制平台而且可以各自相互独立运行互不干扰，每次运行支持灵活滚动上机。</w:t>
      </w:r>
    </w:p>
    <w:p w14:paraId="1268A3A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6.</w:t>
      </w:r>
      <w:r>
        <w:rPr>
          <w:rFonts w:hint="eastAsia" w:ascii="宋体" w:hAnsi="宋体" w:eastAsia="宋体" w:cs="宋体"/>
          <w:bCs/>
          <w:color w:val="auto"/>
        </w:rPr>
        <w:t>支持≥4种芯片规格，每张大载片每次运行可生成≥200M条片段序列（单端模式下）。</w:t>
      </w:r>
    </w:p>
    <w:p w14:paraId="3B1268C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★7.所有扩增反应（包括文库拷贝数扩增）均需在测序载片加载文库操作之前，测序载片加载文库后，不进行任何扩增操作，有效减少文库之间的交叉污染。</w:t>
      </w:r>
    </w:p>
    <w:p w14:paraId="16AF6FB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8.采用试剂预置设计，单端读长无需额外加入液体进试剂槽。</w:t>
      </w:r>
    </w:p>
    <w:p w14:paraId="6A3E342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9.</w:t>
      </w:r>
      <w:r>
        <w:rPr>
          <w:rFonts w:hint="eastAsia" w:ascii="宋体" w:hAnsi="宋体" w:eastAsia="宋体" w:cs="宋体"/>
          <w:bCs/>
          <w:color w:val="auto"/>
        </w:rPr>
        <w:t>加载系统：测序仪能满足外置样本加载系统的功能，完成样本加载。</w:t>
      </w:r>
    </w:p>
    <w:p w14:paraId="1169841A">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10.单边上机的测序试剂类别有≥14种选择。</w:t>
      </w:r>
    </w:p>
    <w:p w14:paraId="163DBD8A">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11.数据准确性：</w:t>
      </w:r>
    </w:p>
    <w:p w14:paraId="038C3E1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对于FCN，读长≤150bp时，测序Q30值&gt;90%。</w:t>
      </w:r>
    </w:p>
    <w:p w14:paraId="58EB885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对于FCS，100&lt;读长≤300bp时，测序Q30值&gt;90%。</w:t>
      </w:r>
    </w:p>
    <w:p w14:paraId="621E9634">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对于FCL，测序结果给出严格的Q30的数据质量评判，读长＜300bp时，测序Q30值&gt;90%。</w:t>
      </w:r>
    </w:p>
    <w:p w14:paraId="39D8785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对于FCU，测序结果给出严格的Q30的数据质量评判，读长≤100bp时，测序Q30值&gt;90%；100&lt;读长≤300bp时，测序Q30值&gt;85%。</w:t>
      </w:r>
    </w:p>
    <w:p w14:paraId="56A862C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12.数据准确性：测序结果给出严格的Q40的数据质量评判，读长≤300bp时，测序Q40值&gt;85%。</w:t>
      </w:r>
    </w:p>
    <w:p w14:paraId="72B98E7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13.</w:t>
      </w:r>
      <w:r>
        <w:rPr>
          <w:rFonts w:hint="eastAsia" w:ascii="宋体" w:hAnsi="宋体" w:eastAsia="宋体" w:cs="宋体"/>
          <w:bCs/>
          <w:color w:val="auto"/>
        </w:rPr>
        <w:t>样本标签序列≥9个碱基（bp），可提高样本识别的精确度。</w:t>
      </w:r>
    </w:p>
    <w:p w14:paraId="4EFFA5C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14.</w:t>
      </w:r>
      <w:r>
        <w:rPr>
          <w:rFonts w:hint="eastAsia" w:ascii="宋体" w:hAnsi="宋体" w:eastAsia="宋体" w:cs="宋体"/>
          <w:bCs/>
          <w:color w:val="auto"/>
        </w:rPr>
        <w:t>运行时间：对于FCN，SE100模式下，单次运行时间≤3小时；PE150模式下，单次运行时间≤7小时；PE300模式下，单次运行时间≤18小时，包括：测序、碱基识别和数据处理时间。</w:t>
      </w:r>
    </w:p>
    <w:p w14:paraId="2C3262A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★15.边测序边分析模式：在测序结束前，可不限制输出Fastq文件的节点，并传输到分析</w:t>
      </w:r>
      <w:r>
        <w:rPr>
          <w:rFonts w:hint="eastAsia" w:ascii="宋体" w:hAnsi="宋体" w:cs="宋体"/>
          <w:bCs/>
          <w:color w:val="auto"/>
          <w:lang w:eastAsia="zh-CN"/>
        </w:rPr>
        <w:t>设备</w:t>
      </w:r>
      <w:r>
        <w:rPr>
          <w:rFonts w:hint="eastAsia" w:ascii="宋体" w:hAnsi="宋体" w:eastAsia="宋体" w:cs="宋体"/>
          <w:bCs/>
          <w:color w:val="auto"/>
        </w:rPr>
        <w:t>进行生信分析。</w:t>
      </w:r>
    </w:p>
    <w:p w14:paraId="0C42C97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16.</w:t>
      </w:r>
      <w:r>
        <w:rPr>
          <w:rFonts w:hint="eastAsia" w:ascii="宋体" w:hAnsi="宋体" w:eastAsia="宋体" w:cs="宋体"/>
          <w:bCs/>
          <w:color w:val="auto"/>
        </w:rPr>
        <w:t>信息分析：测序同时能进行初步数据分析，并产生有质量打分的碱基序列。</w:t>
      </w:r>
    </w:p>
    <w:p w14:paraId="1DCC3DE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17.</w:t>
      </w:r>
      <w:r>
        <w:rPr>
          <w:rFonts w:hint="eastAsia" w:ascii="宋体" w:hAnsi="宋体" w:eastAsia="宋体" w:cs="宋体"/>
          <w:bCs/>
          <w:color w:val="auto"/>
        </w:rPr>
        <w:t>仪器维护：测序流程运行结束后可直接进行自动清洗，无需手动干预。</w:t>
      </w:r>
    </w:p>
    <w:p w14:paraId="5045E56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kern w:val="2"/>
        </w:rPr>
        <w:t>18.</w:t>
      </w:r>
      <w:r>
        <w:rPr>
          <w:rFonts w:hint="eastAsia" w:ascii="宋体" w:hAnsi="宋体" w:eastAsia="宋体" w:cs="宋体"/>
          <w:bCs/>
          <w:color w:val="auto"/>
        </w:rPr>
        <w:t>操作便利性：嵌入式操作系统，无需外部电脑即可独立工作。</w:t>
      </w:r>
    </w:p>
    <w:p w14:paraId="76283E6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19.实验室管理系统</w:t>
      </w:r>
    </w:p>
    <w:p w14:paraId="0DEFFB5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19.1支持开放集成；</w:t>
      </w:r>
    </w:p>
    <w:p w14:paraId="7411C32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19.2适配样本测序后自动分析、选择测序文件手动分析2种业务场景；可实现测序、生信分析这两个阶段生命周期管理；</w:t>
      </w:r>
    </w:p>
    <w:p w14:paraId="0A9FC5A9">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19.3 边测序边分析模式场景下，支持查看测序过程中的分析报告、分析结果文件；</w:t>
      </w:r>
    </w:p>
    <w:p w14:paraId="4D1CF265">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19.4支持分析报告批量下载；</w:t>
      </w:r>
    </w:p>
    <w:p w14:paraId="5298203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19.5针对测序仪可查看当前测序任务实时Cycle QC信息等；</w:t>
      </w:r>
    </w:p>
    <w:p w14:paraId="64501DE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19.6 技术路线支持配置产品与分析流程的对应关系；</w:t>
      </w:r>
    </w:p>
    <w:p w14:paraId="66E41C2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w:t>
      </w:r>
      <w:r>
        <w:rPr>
          <w:rFonts w:hint="eastAsia" w:ascii="宋体" w:hAnsi="宋体" w:eastAsia="宋体" w:cs="宋体"/>
          <w:bCs/>
          <w:color w:val="auto"/>
          <w:lang w:val="en-US" w:eastAsia="zh-CN"/>
        </w:rPr>
        <w:t>0</w:t>
      </w:r>
      <w:r>
        <w:rPr>
          <w:rFonts w:hint="eastAsia" w:ascii="宋体" w:hAnsi="宋体" w:eastAsia="宋体" w:cs="宋体"/>
          <w:bCs/>
          <w:color w:val="auto"/>
        </w:rPr>
        <w:t>.免费移机3次。</w:t>
      </w:r>
    </w:p>
    <w:p w14:paraId="31C0699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w:t>
      </w:r>
      <w:r>
        <w:rPr>
          <w:rFonts w:hint="eastAsia" w:ascii="宋体" w:hAnsi="宋体" w:eastAsia="宋体" w:cs="宋体"/>
          <w:bCs/>
          <w:color w:val="auto"/>
          <w:lang w:val="en-US" w:eastAsia="zh-CN"/>
        </w:rPr>
        <w:t>1</w:t>
      </w:r>
      <w:r>
        <w:rPr>
          <w:rFonts w:hint="eastAsia" w:ascii="宋体" w:hAnsi="宋体" w:eastAsia="宋体" w:cs="宋体"/>
          <w:bCs/>
          <w:color w:val="auto"/>
        </w:rPr>
        <w:t>. 微生物数据处理平台</w:t>
      </w:r>
    </w:p>
    <w:p w14:paraId="01308635">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w:t>
      </w:r>
      <w:r>
        <w:rPr>
          <w:rFonts w:hint="eastAsia" w:ascii="宋体" w:hAnsi="宋体" w:eastAsia="宋体" w:cs="宋体"/>
          <w:bCs/>
          <w:color w:val="auto"/>
          <w:lang w:val="en-US" w:eastAsia="zh-CN"/>
        </w:rPr>
        <w:t>1</w:t>
      </w:r>
      <w:r>
        <w:rPr>
          <w:rFonts w:hint="eastAsia" w:ascii="宋体" w:hAnsi="宋体" w:eastAsia="宋体" w:cs="宋体"/>
          <w:bCs/>
          <w:color w:val="auto"/>
        </w:rPr>
        <w:t>.1 配套</w:t>
      </w:r>
      <w:r>
        <w:rPr>
          <w:rFonts w:hint="eastAsia" w:ascii="宋体" w:hAnsi="宋体" w:cs="宋体"/>
          <w:bCs/>
          <w:color w:val="auto"/>
          <w:lang w:eastAsia="zh-CN"/>
        </w:rPr>
        <w:t>设备</w:t>
      </w:r>
      <w:r>
        <w:rPr>
          <w:rFonts w:hint="eastAsia" w:ascii="宋体" w:hAnsi="宋体" w:eastAsia="宋体" w:cs="宋体"/>
          <w:bCs/>
          <w:color w:val="auto"/>
        </w:rPr>
        <w:t>至少内置细菌基因组分析与监测系统、宏基因组多样性和差异化分析系统、未知病原分析与监测系统、病毒基因组分析与监测系统、病原微生物组装与溯源、微生物快速识别、组装溯源分析系统。提供完整的新冠病毒、细菌、宏基因组、猴痘病毒、登革病毒、呼吸道合胞病毒、基孔肯雅病毒、结核分析等检测整体方案（包括建库、测序、分析、结果报告等），同时兼容第三方在该系统开发的相应的方案。</w:t>
      </w:r>
    </w:p>
    <w:p w14:paraId="4201110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
          <w:color w:val="auto"/>
        </w:rPr>
      </w:pPr>
      <w:r>
        <w:rPr>
          <w:rFonts w:hint="eastAsia" w:ascii="宋体" w:hAnsi="宋体" w:eastAsia="宋体" w:cs="宋体"/>
          <w:bCs/>
          <w:color w:val="auto"/>
        </w:rPr>
        <w:t>2</w:t>
      </w:r>
      <w:r>
        <w:rPr>
          <w:rFonts w:hint="eastAsia" w:ascii="宋体" w:hAnsi="宋体" w:eastAsia="宋体" w:cs="宋体"/>
          <w:bCs/>
          <w:color w:val="auto"/>
          <w:lang w:val="en-US" w:eastAsia="zh-CN"/>
        </w:rPr>
        <w:t>1</w:t>
      </w:r>
      <w:r>
        <w:rPr>
          <w:rFonts w:hint="eastAsia" w:ascii="宋体" w:hAnsi="宋体" w:eastAsia="宋体" w:cs="宋体"/>
          <w:bCs/>
          <w:color w:val="auto"/>
        </w:rPr>
        <w:t>.</w:t>
      </w:r>
      <w:r>
        <w:rPr>
          <w:rFonts w:hint="eastAsia" w:ascii="宋体" w:hAnsi="宋体" w:eastAsia="宋体" w:cs="宋体"/>
          <w:bCs/>
          <w:color w:val="auto"/>
          <w:lang w:val="en-US" w:eastAsia="zh-CN"/>
        </w:rPr>
        <w:t>2</w:t>
      </w:r>
      <w:r>
        <w:rPr>
          <w:rFonts w:hint="eastAsia" w:ascii="宋体" w:hAnsi="宋体" w:eastAsia="宋体" w:cs="宋体"/>
          <w:bCs/>
          <w:color w:val="auto"/>
        </w:rPr>
        <w:t xml:space="preserve"> 数据库终身免费维护及升级。</w:t>
      </w:r>
    </w:p>
    <w:p w14:paraId="0EC127E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w:t>
      </w:r>
      <w:r>
        <w:rPr>
          <w:rFonts w:hint="eastAsia" w:ascii="宋体" w:hAnsi="宋体" w:eastAsia="宋体" w:cs="宋体"/>
          <w:bCs/>
          <w:color w:val="auto"/>
          <w:lang w:val="en-US" w:eastAsia="zh-CN"/>
        </w:rPr>
        <w:t>2</w:t>
      </w:r>
      <w:r>
        <w:rPr>
          <w:rFonts w:hint="eastAsia" w:ascii="宋体" w:hAnsi="宋体" w:eastAsia="宋体" w:cs="宋体"/>
          <w:bCs/>
          <w:color w:val="auto"/>
        </w:rPr>
        <w:t>.数据处理终端：配套设备完成终端数据处理和输出。</w:t>
      </w:r>
    </w:p>
    <w:p w14:paraId="1B16199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二、基因测序文库制备仪</w:t>
      </w:r>
    </w:p>
    <w:p w14:paraId="69EDE4E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1.用于NGS自动化建库，可精准、灵活、快速、高度自动地完成核酸提取及纯化、文库制备、文库pooling、单链分离、环化和最终制备DNA纳米球等建库工序，与测序仪的无缝对接。</w:t>
      </w:r>
    </w:p>
    <w:p w14:paraId="5F3429E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2.支持样本类型：血浆，gDNA，FFPE，唾液、WGA产物、杂交产物等；</w:t>
      </w:r>
    </w:p>
    <w:p w14:paraId="53C071B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3.模块：可配备≥8通道自动化移液系统，自动PCR模块，高效磁力架，温控模块，内置紫外消毒模块等功能模块；</w:t>
      </w:r>
    </w:p>
    <w:p w14:paraId="40442CE9">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4.可兼容第三方建库试剂，定制化实验流程。</w:t>
      </w:r>
    </w:p>
    <w:p w14:paraId="52DC6FF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5.工作空间封闭，内置UV灯和高效过滤器，有效减少污染。</w:t>
      </w:r>
    </w:p>
    <w:p w14:paraId="601C313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6.提供图形化拖拽式可编程的控制平台，允许用户进行实验流程的定制；</w:t>
      </w:r>
    </w:p>
    <w:p w14:paraId="0AFC01A9">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7.支持拓展蛋白组学、细胞组学、药物筛选领域的液体自动化处理。</w:t>
      </w:r>
    </w:p>
    <w:p w14:paraId="06136E0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8.提供具有导引功能的界面，指引用户进行试剂、耗材和样本的添加，防呆防错。</w:t>
      </w:r>
    </w:p>
    <w:p w14:paraId="173E414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9.提供试剂和样本的信息录入功能，记录实验过程中的试剂和样本信息，进行实验追溯。</w:t>
      </w:r>
    </w:p>
    <w:p w14:paraId="6DF1B304">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10.仪器厂家可提供自主研发和生产配套使用的多类别文库制备试剂，包含但不限于RNA类和DNA类整体建库方案。</w:t>
      </w:r>
    </w:p>
    <w:p w14:paraId="6102349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11.主要配置</w:t>
      </w:r>
    </w:p>
    <w:p w14:paraId="2ED8E96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主机（含控制平台）1套；自动PCR模块1个；≥8通道移液机械臂1个；纯化模块1个；温控模块1个。</w:t>
      </w:r>
    </w:p>
    <w:p w14:paraId="5E5087F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三、普通PCR仪</w:t>
      </w:r>
    </w:p>
    <w:p w14:paraId="483A3D6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1、样本容量：96孔</w:t>
      </w:r>
    </w:p>
    <w:p w14:paraId="732D21E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2、反应体系：5-100μl</w:t>
      </w:r>
    </w:p>
    <w:p w14:paraId="4CD2695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3、控温模式：</w:t>
      </w:r>
      <w:r>
        <w:rPr>
          <w:rFonts w:hint="eastAsia" w:ascii="宋体" w:hAnsi="宋体" w:eastAsia="宋体" w:cs="宋体"/>
          <w:bCs/>
          <w:color w:val="auto"/>
        </w:rPr>
        <w:tab/>
      </w:r>
      <w:r>
        <w:rPr>
          <w:rFonts w:hint="eastAsia" w:ascii="宋体" w:hAnsi="宋体" w:eastAsia="宋体" w:cs="宋体"/>
          <w:bCs/>
          <w:color w:val="auto"/>
        </w:rPr>
        <w:t>管内Tube 模式&amp;基座Block模式</w:t>
      </w:r>
    </w:p>
    <w:p w14:paraId="5A55B53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 xml:space="preserve">4、模块加热技术：Peltier </w:t>
      </w:r>
    </w:p>
    <w:p w14:paraId="57A8A40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5、基座温度范围：30-99.9℃</w:t>
      </w:r>
    </w:p>
    <w:p w14:paraId="4F80C7D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6、最大升降温速度：5.5℃/S</w:t>
      </w:r>
    </w:p>
    <w:p w14:paraId="7B27B8D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7、温度精度：±0.1℃</w:t>
      </w:r>
    </w:p>
    <w:p w14:paraId="2E41812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8、温度均匀性：±0.2℃</w:t>
      </w:r>
    </w:p>
    <w:p w14:paraId="28161B8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9、温度梯度：一次可实现12个梯度温度；</w:t>
      </w:r>
    </w:p>
    <w:p w14:paraId="3AA2D9D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10、热盖温度范围：40~110℃，自压式热盖设计，无需调节热盖高度，可适应各种耗材</w:t>
      </w:r>
    </w:p>
    <w:p w14:paraId="1FAD567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11、递增</w:t>
      </w:r>
      <w:r>
        <w:rPr>
          <w:rFonts w:hint="eastAsia" w:ascii="宋体" w:hAnsi="宋体" w:eastAsia="宋体" w:cs="宋体"/>
          <w:bCs/>
          <w:color w:val="auto"/>
          <w:lang w:eastAsia="zh-CN"/>
        </w:rPr>
        <w:t>、</w:t>
      </w:r>
      <w:r>
        <w:rPr>
          <w:rFonts w:hint="eastAsia" w:ascii="宋体" w:hAnsi="宋体" w:eastAsia="宋体" w:cs="宋体"/>
          <w:bCs/>
          <w:color w:val="auto"/>
        </w:rPr>
        <w:t>递减功能：具有-60秒</w:t>
      </w:r>
      <w:r>
        <w:rPr>
          <w:rFonts w:hint="eastAsia" w:ascii="宋体" w:hAnsi="宋体" w:eastAsia="宋体" w:cs="宋体"/>
          <w:bCs/>
          <w:color w:val="auto"/>
          <w:lang w:eastAsia="zh-CN"/>
        </w:rPr>
        <w:t>至</w:t>
      </w:r>
      <w:r>
        <w:rPr>
          <w:rFonts w:hint="eastAsia" w:ascii="宋体" w:hAnsi="宋体" w:eastAsia="宋体" w:cs="宋体"/>
          <w:bCs/>
          <w:color w:val="auto"/>
        </w:rPr>
        <w:t>60秒的时间递增</w:t>
      </w:r>
      <w:r>
        <w:rPr>
          <w:rFonts w:hint="eastAsia" w:ascii="宋体" w:hAnsi="宋体" w:eastAsia="宋体" w:cs="宋体"/>
          <w:bCs/>
          <w:color w:val="auto"/>
          <w:lang w:eastAsia="zh-CN"/>
        </w:rPr>
        <w:t>、</w:t>
      </w:r>
      <w:r>
        <w:rPr>
          <w:rFonts w:hint="eastAsia" w:ascii="宋体" w:hAnsi="宋体" w:eastAsia="宋体" w:cs="宋体"/>
          <w:bCs/>
          <w:color w:val="auto"/>
        </w:rPr>
        <w:t>递减功能；具有0-15℃的温度递增</w:t>
      </w:r>
      <w:r>
        <w:rPr>
          <w:rFonts w:hint="eastAsia" w:ascii="宋体" w:hAnsi="宋体" w:eastAsia="宋体" w:cs="宋体"/>
          <w:bCs/>
          <w:color w:val="auto"/>
          <w:lang w:eastAsia="zh-CN"/>
        </w:rPr>
        <w:t>、</w:t>
      </w:r>
      <w:r>
        <w:rPr>
          <w:rFonts w:hint="eastAsia" w:ascii="宋体" w:hAnsi="宋体" w:eastAsia="宋体" w:cs="宋体"/>
          <w:bCs/>
          <w:color w:val="auto"/>
        </w:rPr>
        <w:t>递减功能；</w:t>
      </w:r>
    </w:p>
    <w:p w14:paraId="7B4090A4">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12、操作显示界面：≥7寸彩色液晶触摸屏；</w:t>
      </w:r>
    </w:p>
    <w:p w14:paraId="3BF58A2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13、程序存储：支持USB扩展，＞10000条；</w:t>
      </w:r>
    </w:p>
    <w:p w14:paraId="1CCA345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14、断电保护：具有断电再通电时自动恢复实验功能；</w:t>
      </w:r>
    </w:p>
    <w:p w14:paraId="3134D985">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15、快捷方式：可将常用实验程序设置为快捷方式置于主界面，一键启动。</w:t>
      </w:r>
    </w:p>
    <w:p w14:paraId="595C4FC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b/>
          <w:color w:val="auto"/>
          <w:sz w:val="21"/>
          <w:szCs w:val="21"/>
          <w:lang w:eastAsia="zh-CN"/>
        </w:rPr>
      </w:pPr>
      <w:r>
        <w:rPr>
          <w:rFonts w:hint="eastAsia" w:ascii="宋体" w:hAnsi="宋体" w:eastAsia="宋体" w:cs="宋体"/>
          <w:color w:val="auto"/>
          <w:szCs w:val="21"/>
        </w:rPr>
        <w:t>★</w:t>
      </w:r>
      <w:r>
        <w:rPr>
          <w:rFonts w:hint="eastAsia" w:ascii="宋体" w:hAnsi="宋体" w:eastAsia="宋体" w:cs="宋体"/>
          <w:bCs/>
          <w:color w:val="auto"/>
          <w:lang w:eastAsia="zh-CN"/>
        </w:rPr>
        <w:t>四、质保期：</w:t>
      </w:r>
      <w:r>
        <w:rPr>
          <w:rFonts w:hint="eastAsia" w:ascii="宋体" w:hAnsi="宋体" w:eastAsia="宋体" w:cs="宋体"/>
          <w:b w:val="0"/>
          <w:bCs w:val="0"/>
          <w:color w:val="auto"/>
          <w:kern w:val="2"/>
          <w:sz w:val="21"/>
          <w:szCs w:val="21"/>
          <w:lang w:val="en-US" w:eastAsia="zh-CN" w:bidi="ar-SA"/>
        </w:rPr>
        <w:t>自设备验收合格之日起计算，</w:t>
      </w:r>
      <w:r>
        <w:rPr>
          <w:rFonts w:hint="eastAsia" w:ascii="宋体" w:hAnsi="宋体" w:eastAsia="宋体" w:cs="宋体"/>
          <w:bCs/>
          <w:color w:val="auto"/>
        </w:rPr>
        <w:t>主机及相关</w:t>
      </w:r>
      <w:r>
        <w:rPr>
          <w:rFonts w:hint="eastAsia" w:ascii="宋体" w:hAnsi="宋体" w:eastAsia="宋体" w:cs="宋体"/>
          <w:bCs/>
          <w:color w:val="auto"/>
          <w:lang w:eastAsia="zh-CN"/>
        </w:rPr>
        <w:t>配套</w:t>
      </w:r>
      <w:r>
        <w:rPr>
          <w:rFonts w:hint="eastAsia" w:ascii="宋体" w:hAnsi="宋体" w:eastAsia="宋体" w:cs="宋体"/>
          <w:bCs/>
          <w:color w:val="auto"/>
        </w:rPr>
        <w:t>设备</w:t>
      </w:r>
      <w:r>
        <w:rPr>
          <w:rFonts w:hint="eastAsia" w:ascii="宋体" w:hAnsi="宋体" w:eastAsia="宋体" w:cs="宋体"/>
          <w:bCs/>
          <w:color w:val="auto"/>
          <w:lang w:eastAsia="zh-CN"/>
        </w:rPr>
        <w:t>质保</w:t>
      </w:r>
      <w:r>
        <w:rPr>
          <w:rFonts w:hint="eastAsia" w:ascii="宋体" w:hAnsi="宋体" w:eastAsia="宋体" w:cs="宋体"/>
          <w:bCs/>
          <w:color w:val="auto"/>
        </w:rPr>
        <w:t>期3年</w:t>
      </w:r>
      <w:r>
        <w:rPr>
          <w:rFonts w:hint="eastAsia" w:ascii="宋体" w:hAnsi="宋体" w:eastAsia="宋体" w:cs="宋体"/>
          <w:bCs/>
          <w:color w:val="auto"/>
          <w:lang w:eastAsia="zh-CN"/>
        </w:rPr>
        <w:t>，</w:t>
      </w:r>
      <w:r>
        <w:rPr>
          <w:rFonts w:hint="eastAsia" w:ascii="宋体" w:hAnsi="宋体" w:eastAsia="宋体" w:cs="宋体"/>
          <w:b w:val="0"/>
          <w:bCs w:val="0"/>
          <w:color w:val="auto"/>
          <w:kern w:val="2"/>
          <w:sz w:val="21"/>
          <w:szCs w:val="21"/>
          <w:lang w:val="en-US" w:eastAsia="zh-CN" w:bidi="ar-SA"/>
        </w:rPr>
        <w:t>质保期内设备免费保修，</w:t>
      </w:r>
      <w:r>
        <w:rPr>
          <w:rFonts w:hint="eastAsia" w:ascii="宋体" w:hAnsi="宋体" w:eastAsia="宋体" w:cs="宋体"/>
          <w:b w:val="0"/>
          <w:bCs w:val="0"/>
          <w:color w:val="auto"/>
          <w:kern w:val="2"/>
          <w:sz w:val="21"/>
          <w:szCs w:val="21"/>
          <w:lang w:val="en-US" w:eastAsia="zh-CN" w:bidi="ar-SA"/>
        </w:rPr>
        <w:t>所需配件免费提供并更换</w:t>
      </w:r>
      <w:r>
        <w:rPr>
          <w:rFonts w:hint="eastAsia" w:ascii="宋体" w:hAnsi="宋体" w:cs="宋体"/>
          <w:b w:val="0"/>
          <w:bCs w:val="0"/>
          <w:color w:val="auto"/>
          <w:kern w:val="2"/>
          <w:sz w:val="21"/>
          <w:szCs w:val="21"/>
          <w:lang w:val="en-US" w:eastAsia="zh-CN" w:bidi="ar-SA"/>
        </w:rPr>
        <w:t>。</w:t>
      </w:r>
    </w:p>
    <w:p w14:paraId="6B830666">
      <w:pPr>
        <w:keepNext w:val="0"/>
        <w:keepLines w:val="0"/>
        <w:pageBreakBefore w:val="0"/>
        <w:widowControl w:val="0"/>
        <w:kinsoku/>
        <w:wordWrap/>
        <w:overflowPunct/>
        <w:topLinePunct w:val="0"/>
        <w:autoSpaceDE/>
        <w:autoSpaceDN/>
        <w:bidi w:val="0"/>
        <w:adjustRightInd/>
        <w:snapToGrid/>
        <w:spacing w:line="384" w:lineRule="auto"/>
        <w:ind w:firstLine="422" w:firstLineChars="200"/>
        <w:jc w:val="center"/>
        <w:textAlignment w:val="auto"/>
        <w:rPr>
          <w:rFonts w:hint="eastAsia" w:ascii="宋体" w:hAnsi="宋体" w:eastAsia="宋体" w:cs="宋体"/>
          <w:b/>
          <w:color w:val="auto"/>
          <w:sz w:val="21"/>
          <w:szCs w:val="21"/>
          <w:lang w:eastAsia="zh-CN"/>
        </w:rPr>
      </w:pPr>
    </w:p>
    <w:p w14:paraId="14D99224">
      <w:pPr>
        <w:keepNext w:val="0"/>
        <w:keepLines w:val="0"/>
        <w:pageBreakBefore w:val="0"/>
        <w:widowControl w:val="0"/>
        <w:kinsoku/>
        <w:wordWrap/>
        <w:overflowPunct/>
        <w:topLinePunct w:val="0"/>
        <w:autoSpaceDE/>
        <w:autoSpaceDN/>
        <w:bidi w:val="0"/>
        <w:adjustRightInd/>
        <w:snapToGrid/>
        <w:spacing w:line="384" w:lineRule="auto"/>
        <w:ind w:firstLine="422"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（四）</w:t>
      </w:r>
      <w:r>
        <w:rPr>
          <w:rFonts w:hint="eastAsia" w:ascii="宋体" w:hAnsi="宋体" w:eastAsia="宋体" w:cs="宋体"/>
          <w:b/>
          <w:color w:val="auto"/>
          <w:sz w:val="21"/>
          <w:szCs w:val="21"/>
        </w:rPr>
        <w:t>高性能生物计算工业一体机技术参数</w:t>
      </w:r>
    </w:p>
    <w:p w14:paraId="6BE27F45">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lang w:val="en-US" w:eastAsia="zh-CN"/>
        </w:rPr>
        <w:t>1</w:t>
      </w:r>
      <w:r>
        <w:rPr>
          <w:rFonts w:hint="eastAsia" w:ascii="宋体" w:hAnsi="宋体" w:eastAsia="宋体" w:cs="宋体"/>
          <w:bCs/>
          <w:color w:val="auto"/>
        </w:rPr>
        <w:t>、设备用途</w:t>
      </w:r>
    </w:p>
    <w:p w14:paraId="799891E5">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1.1可实现可识别、可编辑PFGE产生图谱条带，并能生成符合数据上报DNA指纹图谱，从而实现菌株的鉴别、分型和溯源。</w:t>
      </w:r>
    </w:p>
    <w:p w14:paraId="7852DF04">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1.2 可在本地化实现基因组海量数据质控，拼接、注释预测等分析功能，可实在在本地化可实现基因组预处理，并能生成适合于基因组分析结果上报的加密文件。</w:t>
      </w:r>
    </w:p>
    <w:p w14:paraId="6C64C07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1.3 可实现样本菌株数据管理，实现海量样本数据安全管理可视化解决方案；海量菌种数据安全管理可视化解决方案； 批量数据导入定制化解决方案；批量标准格式结果导出定制化解决方案；</w:t>
      </w:r>
    </w:p>
    <w:p w14:paraId="2CEED5F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lang w:val="en-US" w:eastAsia="zh-CN"/>
        </w:rPr>
        <w:t>2</w:t>
      </w:r>
      <w:r>
        <w:rPr>
          <w:rFonts w:hint="eastAsia" w:ascii="宋体" w:hAnsi="宋体" w:eastAsia="宋体" w:cs="宋体"/>
          <w:bCs/>
          <w:color w:val="auto"/>
        </w:rPr>
        <w:t xml:space="preserve">、软件参数 </w:t>
      </w:r>
    </w:p>
    <w:p w14:paraId="14B410A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2.1支持PFGE DNA指纹谱图分析模块：</w:t>
      </w:r>
    </w:p>
    <w:p w14:paraId="4756749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可用于PFGE指纹图谱条带识别分析，针对PFGE（脉冲场凝胶电泳）条带图谱进行在线分析识别，包括泳道识别、泳道确认、校正、条带标定（识别样本条带）、分型结果生成等条带图谱识别功能。可生成指纹图谱结果文件符合国家致病菌识别网质控标准数据格式。</w:t>
      </w:r>
    </w:p>
    <w:p w14:paraId="25397E84">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 xml:space="preserve">2.2 支持基因组分析功能模块： </w:t>
      </w:r>
    </w:p>
    <w:p w14:paraId="1DC1B7A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（1）支持基因组原始数据质控分析（2）支持基因组数据组装分析（3）支持基因组数据预测分析（4）支持16S rDNA 菌株鉴定分析</w:t>
      </w:r>
    </w:p>
    <w:p w14:paraId="1B06082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2.3支持智能样本管理系统（样本菌种库）：</w:t>
      </w:r>
    </w:p>
    <w:p w14:paraId="21858B6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支持样本数据管理、支持菌毒株数据管理、支持本地化数据可视化统计分析、支持数据批量导入与导出、支持系统设置和用户管理。</w:t>
      </w:r>
    </w:p>
    <w:p w14:paraId="0D92202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2.4 支持基因组分析预处理模块可导出基因组拼接文件.cpin加密文件；支持智能样本管理系统能批量导出样本、菌毒株、分析结果等信息的.cpin格式加密数据；所有生成的加密数据要求符合国家致病菌识别网质控标准数据格式。</w:t>
      </w:r>
    </w:p>
    <w:p w14:paraId="38E5C70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lang w:val="en-US" w:eastAsia="zh-CN"/>
        </w:rPr>
        <w:t>3</w:t>
      </w:r>
      <w:r>
        <w:rPr>
          <w:rFonts w:hint="eastAsia" w:ascii="宋体" w:hAnsi="宋体" w:eastAsia="宋体" w:cs="宋体"/>
          <w:bCs/>
          <w:color w:val="auto"/>
        </w:rPr>
        <w:t>、设备软硬件配置清单</w:t>
      </w:r>
    </w:p>
    <w:p w14:paraId="05FB5CE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lang w:val="en-US" w:eastAsia="zh-CN"/>
        </w:rPr>
        <w:t>包含</w:t>
      </w:r>
      <w:r>
        <w:rPr>
          <w:rFonts w:hint="eastAsia" w:ascii="宋体" w:hAnsi="宋体" w:eastAsia="宋体" w:cs="宋体"/>
          <w:bCs/>
          <w:color w:val="auto"/>
        </w:rPr>
        <w:t xml:space="preserve">病原数据处理终端仪器 </w:t>
      </w:r>
      <w:r>
        <w:rPr>
          <w:rFonts w:hint="eastAsia" w:ascii="宋体" w:hAnsi="宋体" w:eastAsia="宋体" w:cs="宋体"/>
          <w:bCs/>
          <w:color w:val="auto"/>
          <w:lang w:eastAsia="zh-CN"/>
        </w:rPr>
        <w:t>、</w:t>
      </w:r>
      <w:r>
        <w:rPr>
          <w:rFonts w:hint="eastAsia" w:ascii="宋体" w:hAnsi="宋体" w:eastAsia="宋体" w:cs="宋体"/>
          <w:bCs/>
          <w:color w:val="auto"/>
        </w:rPr>
        <w:t xml:space="preserve">PFGE DNA指纹谱图分析系统 </w:t>
      </w:r>
      <w:r>
        <w:rPr>
          <w:rFonts w:hint="eastAsia" w:ascii="宋体" w:hAnsi="宋体" w:eastAsia="宋体" w:cs="宋体"/>
          <w:bCs/>
          <w:color w:val="auto"/>
          <w:lang w:eastAsia="zh-CN"/>
        </w:rPr>
        <w:t>、</w:t>
      </w:r>
      <w:r>
        <w:rPr>
          <w:rFonts w:hint="eastAsia" w:ascii="宋体" w:hAnsi="宋体" w:eastAsia="宋体" w:cs="宋体"/>
          <w:bCs/>
          <w:color w:val="auto"/>
        </w:rPr>
        <w:t>基因组数据分析分析系统</w:t>
      </w:r>
      <w:r>
        <w:rPr>
          <w:rFonts w:hint="eastAsia" w:ascii="宋体" w:hAnsi="宋体" w:eastAsia="宋体" w:cs="宋体"/>
          <w:bCs/>
          <w:color w:val="auto"/>
          <w:lang w:eastAsia="zh-CN"/>
        </w:rPr>
        <w:t>、</w:t>
      </w:r>
      <w:r>
        <w:rPr>
          <w:rFonts w:hint="eastAsia" w:ascii="宋体" w:hAnsi="宋体" w:eastAsia="宋体" w:cs="宋体"/>
          <w:bCs/>
          <w:color w:val="auto"/>
        </w:rPr>
        <w:t>智能样本管理系统</w:t>
      </w:r>
    </w:p>
    <w:p w14:paraId="2753955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lang w:eastAsia="zh-CN"/>
        </w:rPr>
      </w:pPr>
      <w:r>
        <w:rPr>
          <w:rFonts w:hint="eastAsia" w:ascii="宋体" w:hAnsi="宋体" w:eastAsia="宋体" w:cs="宋体"/>
          <w:bCs/>
          <w:color w:val="auto"/>
        </w:rPr>
        <w:t>★</w:t>
      </w:r>
      <w:r>
        <w:rPr>
          <w:rFonts w:hint="eastAsia" w:ascii="宋体" w:hAnsi="宋体" w:cs="宋体"/>
          <w:bCs/>
          <w:color w:val="auto"/>
          <w:lang w:val="en-US" w:eastAsia="zh-CN"/>
        </w:rPr>
        <w:t>4</w:t>
      </w:r>
      <w:r>
        <w:rPr>
          <w:rFonts w:hint="eastAsia" w:ascii="宋体" w:hAnsi="宋体" w:eastAsia="宋体" w:cs="宋体"/>
          <w:bCs/>
          <w:color w:val="auto"/>
        </w:rPr>
        <w:t>、</w:t>
      </w:r>
      <w:r>
        <w:rPr>
          <w:rFonts w:hint="eastAsia" w:ascii="宋体" w:hAnsi="宋体" w:eastAsia="宋体" w:cs="宋体"/>
          <w:bCs/>
          <w:color w:val="auto"/>
          <w:lang w:eastAsia="zh-CN"/>
        </w:rPr>
        <w:t>质保期</w:t>
      </w:r>
    </w:p>
    <w:p w14:paraId="60DC02C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both"/>
        <w:textAlignment w:val="auto"/>
        <w:rPr>
          <w:rFonts w:hint="eastAsia" w:ascii="宋体" w:hAnsi="宋体" w:eastAsia="宋体" w:cs="宋体"/>
          <w:bCs/>
          <w:color w:val="auto"/>
        </w:rPr>
      </w:pPr>
      <w:r>
        <w:rPr>
          <w:rFonts w:hint="eastAsia" w:ascii="宋体" w:hAnsi="宋体" w:eastAsia="宋体" w:cs="宋体"/>
          <w:bCs/>
          <w:color w:val="auto"/>
        </w:rPr>
        <w:t>自设备验收合格之日起计算</w:t>
      </w:r>
      <w:r>
        <w:rPr>
          <w:rFonts w:hint="eastAsia" w:ascii="宋体" w:hAnsi="宋体" w:eastAsia="宋体" w:cs="宋体"/>
          <w:bCs/>
          <w:color w:val="auto"/>
          <w:lang w:eastAsia="zh-CN"/>
        </w:rPr>
        <w:t>，</w:t>
      </w:r>
      <w:r>
        <w:rPr>
          <w:rFonts w:hint="eastAsia" w:ascii="宋体" w:hAnsi="宋体" w:eastAsia="宋体" w:cs="宋体"/>
          <w:bCs/>
          <w:color w:val="auto"/>
        </w:rPr>
        <w:t>主机及相关配套设备</w:t>
      </w:r>
      <w:r>
        <w:rPr>
          <w:rFonts w:hint="eastAsia" w:ascii="宋体" w:hAnsi="宋体" w:eastAsia="宋体" w:cs="宋体"/>
          <w:bCs/>
          <w:color w:val="auto"/>
          <w:lang w:eastAsia="zh-CN"/>
        </w:rPr>
        <w:t>质保</w:t>
      </w:r>
      <w:r>
        <w:rPr>
          <w:rFonts w:hint="eastAsia" w:ascii="宋体" w:hAnsi="宋体" w:eastAsia="宋体" w:cs="宋体"/>
          <w:bCs/>
          <w:color w:val="auto"/>
        </w:rPr>
        <w:t>期3年，软件及数据库免费维护及升级3年</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质保期内设备免费保修，</w:t>
      </w:r>
      <w:r>
        <w:rPr>
          <w:rFonts w:hint="eastAsia" w:ascii="宋体" w:hAnsi="宋体" w:eastAsia="宋体" w:cs="宋体"/>
          <w:b w:val="0"/>
          <w:bCs w:val="0"/>
          <w:color w:val="auto"/>
          <w:kern w:val="2"/>
          <w:sz w:val="21"/>
          <w:szCs w:val="21"/>
          <w:lang w:val="en-US" w:eastAsia="zh-CN" w:bidi="ar-SA"/>
        </w:rPr>
        <w:t>所需配件免费提供并更换</w:t>
      </w:r>
      <w:r>
        <w:rPr>
          <w:rFonts w:hint="eastAsia" w:ascii="宋体" w:hAnsi="宋体" w:eastAsia="宋体" w:cs="宋体"/>
          <w:bCs/>
          <w:color w:val="auto"/>
        </w:rPr>
        <w:t>。</w:t>
      </w:r>
    </w:p>
    <w:p w14:paraId="430F32E8">
      <w:pPr>
        <w:keepNext w:val="0"/>
        <w:keepLines w:val="0"/>
        <w:pageBreakBefore w:val="0"/>
        <w:kinsoku/>
        <w:wordWrap/>
        <w:overflowPunct/>
        <w:topLinePunct w:val="0"/>
        <w:bidi w:val="0"/>
        <w:snapToGrid/>
        <w:spacing w:line="384" w:lineRule="auto"/>
        <w:jc w:val="both"/>
        <w:textAlignment w:val="auto"/>
        <w:rPr>
          <w:rFonts w:hint="eastAsia" w:ascii="宋体" w:hAnsi="宋体" w:eastAsia="宋体" w:cs="宋体"/>
          <w:b/>
          <w:bCs/>
          <w:color w:val="auto"/>
          <w:sz w:val="21"/>
          <w:szCs w:val="21"/>
          <w:lang w:eastAsia="zh-CN"/>
        </w:rPr>
      </w:pPr>
    </w:p>
    <w:p w14:paraId="7298035C">
      <w:pPr>
        <w:keepNext w:val="0"/>
        <w:keepLines w:val="0"/>
        <w:pageBreakBefore w:val="0"/>
        <w:kinsoku/>
        <w:wordWrap/>
        <w:overflowPunct/>
        <w:topLinePunct w:val="0"/>
        <w:bidi w:val="0"/>
        <w:snapToGrid/>
        <w:spacing w:line="384" w:lineRule="auto"/>
        <w:ind w:firstLine="422" w:firstLineChars="20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（五）</w:t>
      </w:r>
      <w:r>
        <w:rPr>
          <w:rFonts w:hint="eastAsia" w:ascii="宋体" w:hAnsi="宋体" w:eastAsia="宋体" w:cs="宋体"/>
          <w:b/>
          <w:bCs/>
          <w:color w:val="auto"/>
          <w:sz w:val="21"/>
          <w:szCs w:val="21"/>
        </w:rPr>
        <w:t>离子色谱仪</w:t>
      </w:r>
      <w:r>
        <w:rPr>
          <w:rFonts w:hint="eastAsia" w:ascii="宋体" w:hAnsi="宋体" w:eastAsia="宋体" w:cs="宋体"/>
          <w:b/>
          <w:color w:val="auto"/>
          <w:sz w:val="21"/>
          <w:szCs w:val="21"/>
        </w:rPr>
        <w:t>技术参数</w:t>
      </w:r>
    </w:p>
    <w:p w14:paraId="263E132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一、技术要求：</w:t>
      </w:r>
    </w:p>
    <w:p w14:paraId="5A69EB4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总体要求：具备</w:t>
      </w:r>
      <w:r>
        <w:rPr>
          <w:rFonts w:hint="eastAsia" w:ascii="宋体" w:hAnsi="宋体" w:eastAsia="宋体" w:cs="宋体"/>
          <w:color w:val="auto"/>
          <w:szCs w:val="21"/>
        </w:rPr>
        <w:t>耐6000psi压力的PEEK高压泵</w:t>
      </w:r>
      <w:r>
        <w:rPr>
          <w:rFonts w:hint="eastAsia" w:ascii="宋体" w:hAnsi="宋体" w:eastAsia="宋体" w:cs="宋体"/>
          <w:color w:val="auto"/>
          <w:szCs w:val="21"/>
          <w:lang w:eastAsia="zh-CN"/>
        </w:rPr>
        <w:t>；</w:t>
      </w:r>
      <w:r>
        <w:rPr>
          <w:rFonts w:hint="eastAsia" w:ascii="宋体" w:hAnsi="宋体" w:eastAsia="宋体" w:cs="宋体"/>
          <w:color w:val="auto"/>
          <w:szCs w:val="21"/>
        </w:rPr>
        <w:t>在线电解淋洗液发生器</w:t>
      </w:r>
      <w:r>
        <w:rPr>
          <w:rFonts w:hint="eastAsia" w:ascii="宋体" w:hAnsi="宋体" w:eastAsia="宋体" w:cs="宋体"/>
          <w:color w:val="auto"/>
          <w:szCs w:val="21"/>
          <w:lang w:eastAsia="zh-CN"/>
        </w:rPr>
        <w:t>；</w:t>
      </w:r>
      <w:r>
        <w:rPr>
          <w:rFonts w:hint="eastAsia" w:ascii="宋体" w:hAnsi="宋体" w:eastAsia="宋体" w:cs="宋体"/>
          <w:color w:val="auto"/>
          <w:szCs w:val="21"/>
        </w:rPr>
        <w:t>内置电动六通阀</w:t>
      </w:r>
      <w:r>
        <w:rPr>
          <w:rFonts w:hint="eastAsia" w:ascii="宋体" w:hAnsi="宋体" w:eastAsia="宋体" w:cs="宋体"/>
          <w:color w:val="auto"/>
          <w:szCs w:val="21"/>
          <w:lang w:eastAsia="zh-CN"/>
        </w:rPr>
        <w:t>；</w:t>
      </w:r>
      <w:r>
        <w:rPr>
          <w:rFonts w:hint="eastAsia" w:ascii="宋体" w:hAnsi="宋体" w:eastAsia="宋体" w:cs="宋体"/>
          <w:color w:val="auto"/>
          <w:szCs w:val="21"/>
        </w:rPr>
        <w:t>可升降温且能同时容纳四根以上色谱柱的柱温箱</w:t>
      </w:r>
      <w:r>
        <w:rPr>
          <w:rFonts w:hint="eastAsia" w:ascii="宋体" w:hAnsi="宋体" w:eastAsia="宋体" w:cs="宋体"/>
          <w:color w:val="auto"/>
          <w:szCs w:val="21"/>
          <w:lang w:eastAsia="zh-CN"/>
        </w:rPr>
        <w:t>；</w:t>
      </w:r>
      <w:r>
        <w:rPr>
          <w:rFonts w:hint="eastAsia" w:ascii="宋体" w:hAnsi="宋体" w:eastAsia="宋体" w:cs="宋体"/>
          <w:color w:val="auto"/>
          <w:szCs w:val="21"/>
        </w:rPr>
        <w:t>无需通过增加模块即可在仪器主机内部同时安装阴、阳离子双抑制器</w:t>
      </w:r>
      <w:r>
        <w:rPr>
          <w:rFonts w:hint="eastAsia" w:ascii="宋体" w:hAnsi="宋体" w:eastAsia="宋体" w:cs="宋体"/>
          <w:color w:val="auto"/>
          <w:szCs w:val="21"/>
          <w:lang w:eastAsia="zh-CN"/>
        </w:rPr>
        <w:t>；</w:t>
      </w:r>
      <w:r>
        <w:rPr>
          <w:rFonts w:hint="eastAsia" w:ascii="宋体" w:hAnsi="宋体" w:eastAsia="宋体" w:cs="宋体"/>
          <w:color w:val="auto"/>
          <w:szCs w:val="21"/>
        </w:rPr>
        <w:t>可同时安装两套电导检测器或安培检测器，及4μm小粒径快速色谱柱</w:t>
      </w:r>
      <w:r>
        <w:rPr>
          <w:rFonts w:hint="eastAsia" w:ascii="宋体" w:hAnsi="宋体" w:eastAsia="宋体" w:cs="宋体"/>
          <w:color w:val="auto"/>
          <w:szCs w:val="21"/>
          <w:lang w:eastAsia="zh-CN"/>
        </w:rPr>
        <w:t>；</w:t>
      </w:r>
      <w:r>
        <w:rPr>
          <w:rFonts w:hint="eastAsia" w:ascii="宋体" w:hAnsi="宋体" w:eastAsia="宋体" w:cs="宋体"/>
          <w:color w:val="auto"/>
          <w:szCs w:val="21"/>
        </w:rPr>
        <w:t>传感器</w:t>
      </w:r>
      <w:r>
        <w:rPr>
          <w:rFonts w:hint="eastAsia" w:ascii="宋体" w:hAnsi="宋体" w:eastAsia="宋体" w:cs="宋体"/>
          <w:color w:val="auto"/>
          <w:szCs w:val="21"/>
          <w:lang w:val="en-US" w:eastAsia="zh-CN"/>
        </w:rPr>
        <w:t>具备</w:t>
      </w:r>
      <w:r>
        <w:rPr>
          <w:rFonts w:hint="eastAsia" w:ascii="宋体" w:hAnsi="宋体" w:eastAsia="宋体" w:cs="宋体"/>
          <w:color w:val="auto"/>
          <w:szCs w:val="21"/>
        </w:rPr>
        <w:t>漏液</w:t>
      </w:r>
      <w:r>
        <w:rPr>
          <w:rFonts w:hint="eastAsia" w:ascii="宋体" w:hAnsi="宋体" w:eastAsia="宋体" w:cs="宋体"/>
          <w:color w:val="auto"/>
          <w:szCs w:val="21"/>
          <w:lang w:val="en-US" w:eastAsia="zh-CN"/>
        </w:rPr>
        <w:t>提示功能</w:t>
      </w:r>
      <w:r>
        <w:rPr>
          <w:rFonts w:hint="eastAsia" w:ascii="宋体" w:hAnsi="宋体" w:eastAsia="宋体" w:cs="宋体"/>
          <w:color w:val="auto"/>
          <w:szCs w:val="21"/>
        </w:rPr>
        <w:t>，能实时监控泵、色谱柱、六通阀、检测器及管路的连接状态</w:t>
      </w:r>
      <w:r>
        <w:rPr>
          <w:rFonts w:hint="eastAsia" w:ascii="宋体" w:hAnsi="宋体" w:eastAsia="宋体" w:cs="宋体"/>
          <w:color w:val="auto"/>
          <w:szCs w:val="21"/>
          <w:lang w:eastAsia="zh-CN"/>
        </w:rPr>
        <w:t>；</w:t>
      </w:r>
      <w:r>
        <w:rPr>
          <w:rFonts w:hint="eastAsia" w:ascii="宋体" w:hAnsi="宋体" w:eastAsia="宋体" w:cs="宋体"/>
          <w:color w:val="auto"/>
          <w:szCs w:val="21"/>
        </w:rPr>
        <w:t>兼容恒矩自紧式接头及管线。</w:t>
      </w:r>
    </w:p>
    <w:p w14:paraId="39B56FFB">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泵</w:t>
      </w:r>
    </w:p>
    <w:p w14:paraId="58C6A2CB">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1.1梯度泵：高压双柱塞泵，泵头所有部件含泵外壳、单向阀外壳、单向阀阀芯及管路均为化学惰性非金属PEEK材质，具有真空脱气及淋洗液截止阀，适合pH为0～14的淋洗液及反相有机溶剂。</w:t>
      </w:r>
    </w:p>
    <w:p w14:paraId="0E714E1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 最大耐压：≥6000psi（PEEK材质，需现场验收）</w:t>
      </w:r>
    </w:p>
    <w:p w14:paraId="5E77532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1.3流速设定值误差：&lt;0.1%。</w:t>
      </w:r>
    </w:p>
    <w:p w14:paraId="1BDFA0A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1.4 流速稳定性误差：&lt;0.1%。</w:t>
      </w:r>
    </w:p>
    <w:p w14:paraId="0B1D14AB">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1.5梯度精度和准确度：≤±0.5%。</w:t>
      </w:r>
    </w:p>
    <w:p w14:paraId="03F8693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1.6 压力波动：＜1%。</w:t>
      </w:r>
    </w:p>
    <w:p w14:paraId="131DCAC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1.7梯度产生曲率：1～9，任意数值可选。</w:t>
      </w:r>
    </w:p>
    <w:p w14:paraId="0BB6D80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1.8密封圈清洗：为了减少密封圈的磨损，延长泵的使用周期，配有在线密封圈清洗系统。</w:t>
      </w:r>
    </w:p>
    <w:p w14:paraId="73D5D61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1.9流速范围：0.000～10.000mL/min（无需更换泵头），流量增幅：0.001mL/min。</w:t>
      </w:r>
    </w:p>
    <w:p w14:paraId="34583099">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1.10梯度产生方式：使用四相机械式混合的梯度单泵产生多阶淋洗梯度，不可为使用多组泵产生多阶淋洗梯度。</w:t>
      </w:r>
    </w:p>
    <w:p w14:paraId="345240A7">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1.11泵废液阀需集成在泵内部，泵和废液阀不能通过管路链接。</w:t>
      </w:r>
    </w:p>
    <w:p w14:paraId="3932B74F">
      <w:pPr>
        <w:keepNext w:val="0"/>
        <w:keepLines w:val="0"/>
        <w:pageBreakBefore w:val="0"/>
        <w:widowControl w:val="0"/>
        <w:numPr>
          <w:ilvl w:val="0"/>
          <w:numId w:val="5"/>
        </w:numPr>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柱温箱</w:t>
      </w:r>
    </w:p>
    <w:p w14:paraId="205B998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2.1温控范围：10～70℃。</w:t>
      </w:r>
    </w:p>
    <w:p w14:paraId="65DBB0D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2.2具有升降温和加热块预加热功能。</w:t>
      </w:r>
    </w:p>
    <w:p w14:paraId="0B3FFCFE">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2.3温度控制稳定性：＜0.05℃。</w:t>
      </w:r>
    </w:p>
    <w:p w14:paraId="651E18D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2.4可同时容纳四根以上色谱柱和保护柱。</w:t>
      </w:r>
    </w:p>
    <w:p w14:paraId="407937B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2.5耗材识别监控：可识别并监控抑制器、淋洗液发生罐、捕获柱等耗材的使用状况。</w:t>
      </w:r>
    </w:p>
    <w:p w14:paraId="1D5A037D">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自动电解连续再生微膜抑制器</w:t>
      </w:r>
    </w:p>
    <w:p w14:paraId="22FA1A1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3.1 抑制背景总电导</w:t>
      </w:r>
      <w:r>
        <w:rPr>
          <w:rFonts w:hint="eastAsia" w:ascii="宋体" w:hAnsi="宋体" w:eastAsia="宋体" w:cs="宋体"/>
          <w:color w:val="auto"/>
          <w:szCs w:val="21"/>
        </w:rPr>
        <w:t>小于5.0μS。</w:t>
      </w:r>
    </w:p>
    <w:p w14:paraId="778D5DD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3.2无需外加酸（包括但不限于硫酸、硝酸、盐酸、甲基磺酸等）进行化学再生。</w:t>
      </w:r>
    </w:p>
    <w:p w14:paraId="11F6C6C9">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 无需其他任何加液装置进行清洗和再生。</w:t>
      </w:r>
    </w:p>
    <w:p w14:paraId="1FDA171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 抑制器容量 200mM氢氧化钠或氢氧化钾，1.0mL/min流速，至少持续30min，抑制后流出液pH在5～7之间</w:t>
      </w:r>
      <w:r>
        <w:rPr>
          <w:rFonts w:hint="eastAsia" w:ascii="宋体" w:hAnsi="宋体" w:eastAsia="宋体" w:cs="宋体"/>
          <w:color w:val="auto"/>
          <w:szCs w:val="21"/>
          <w:lang w:eastAsia="zh-CN"/>
        </w:rPr>
        <w:t>，</w:t>
      </w:r>
      <w:r>
        <w:rPr>
          <w:rFonts w:hint="eastAsia" w:ascii="宋体" w:hAnsi="宋体" w:eastAsia="宋体" w:cs="宋体"/>
          <w:color w:val="auto"/>
          <w:szCs w:val="21"/>
        </w:rPr>
        <w:t>保证低电导背景。</w:t>
      </w:r>
    </w:p>
    <w:p w14:paraId="4DE1C2DC">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3.5抑制器配有外部温控。</w:t>
      </w:r>
    </w:p>
    <w:p w14:paraId="23A402C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在线电解淋洗液发生器</w:t>
      </w:r>
    </w:p>
    <w:p w14:paraId="48A9BE2D">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★4.1 淋洗液发生器耐压&gt;4800psi，用于高压快速色谱柱。（需现场验收&gt;4800psi运行10分钟信号）</w:t>
      </w:r>
    </w:p>
    <w:p w14:paraId="23D6C183">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4.2</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梯度产生：高压梯度，梯度产生在泵后高压区。</w:t>
      </w:r>
    </w:p>
    <w:p w14:paraId="274AEF54">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4.3</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梯度精度：≤0.2%。</w:t>
      </w:r>
    </w:p>
    <w:p w14:paraId="226D09AB">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4.4</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梯度准确度：≤0.2%。</w:t>
      </w:r>
    </w:p>
    <w:p w14:paraId="2EA41325">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4.5 需提供等度和高压多步梯度。</w:t>
      </w:r>
    </w:p>
    <w:p w14:paraId="2870A77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4.6</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产生方式：利用电解产生的H</w:t>
      </w:r>
      <w:r>
        <w:rPr>
          <w:rFonts w:hint="eastAsia" w:ascii="宋体" w:hAnsi="宋体" w:eastAsia="宋体" w:cs="宋体"/>
          <w:color w:val="auto"/>
          <w:szCs w:val="21"/>
          <w:vertAlign w:val="superscript"/>
        </w:rPr>
        <w:t>+</w:t>
      </w:r>
      <w:r>
        <w:rPr>
          <w:rFonts w:hint="eastAsia" w:ascii="宋体" w:hAnsi="宋体" w:eastAsia="宋体" w:cs="宋体"/>
          <w:color w:val="auto"/>
          <w:szCs w:val="21"/>
        </w:rPr>
        <w:t>或OH</w:t>
      </w:r>
      <w:r>
        <w:rPr>
          <w:rFonts w:hint="eastAsia" w:ascii="宋体" w:hAnsi="宋体" w:eastAsia="宋体" w:cs="宋体"/>
          <w:color w:val="auto"/>
          <w:szCs w:val="21"/>
          <w:vertAlign w:val="superscript"/>
        </w:rPr>
        <w:t>-</w:t>
      </w:r>
      <w:r>
        <w:rPr>
          <w:rFonts w:hint="eastAsia" w:ascii="宋体" w:hAnsi="宋体" w:eastAsia="宋体" w:cs="宋体"/>
          <w:color w:val="auto"/>
          <w:szCs w:val="21"/>
        </w:rPr>
        <w:t>在线生成酸性或碱性淋洗液，而非通过加液单元进行不同溶液间的在线混合或稀释产生。</w:t>
      </w:r>
    </w:p>
    <w:p w14:paraId="05E6CC47">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4.7 支持同时安装两个淋洗液罐供双系统使用，或两淋洗液罐串联使用。</w:t>
      </w:r>
    </w:p>
    <w:p w14:paraId="067E8095">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4.8</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连续电解自动再生捕获柱进一步净化淋洗液。</w:t>
      </w:r>
    </w:p>
    <w:p w14:paraId="4361146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4.9</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高压自动脱气装置进行淋洗液脱气。</w:t>
      </w:r>
    </w:p>
    <w:p w14:paraId="442FF6E9">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4.10软件控制：在软件中直接输入所需淋洗液浓度，而非编写百分比等其他非浓度参数。</w:t>
      </w:r>
    </w:p>
    <w:p w14:paraId="6BD5263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 色谱分析柱</w:t>
      </w:r>
    </w:p>
    <w:p w14:paraId="5FEAFF6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5.1 乙基乙烯基苯/二乙烯基苯聚合物填料，键和烷醇季铵基官能团。</w:t>
      </w:r>
    </w:p>
    <w:p w14:paraId="7A604CB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5.2 兼容氢氧根淋洗液梯度洗脱。</w:t>
      </w:r>
    </w:p>
    <w:p w14:paraId="46D7F48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5.3 耐受0～14的pH工作范围。</w:t>
      </w:r>
    </w:p>
    <w:p w14:paraId="78773BD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5.4 最大耐压不小于3000psi。</w:t>
      </w:r>
    </w:p>
    <w:p w14:paraId="25833ED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5.5 耐受2.0mL/min及以上的流速。</w:t>
      </w:r>
    </w:p>
    <w:p w14:paraId="1AC6B76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5.6</w:t>
      </w:r>
      <w:r>
        <w:rPr>
          <w:rFonts w:hint="eastAsia" w:ascii="宋体" w:hAnsi="宋体" w:eastAsia="宋体" w:cs="宋体"/>
          <w:color w:val="auto"/>
          <w:szCs w:val="21"/>
        </w:rPr>
        <w:t xml:space="preserve"> 柱容量不小于200μeq/根。</w:t>
      </w:r>
    </w:p>
    <w:p w14:paraId="21F78E7B">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5.7</w:t>
      </w:r>
      <w:r>
        <w:rPr>
          <w:rFonts w:hint="eastAsia" w:ascii="宋体" w:hAnsi="宋体" w:eastAsia="宋体" w:cs="宋体"/>
          <w:color w:val="auto"/>
          <w:szCs w:val="21"/>
          <w:lang w:val="en-US" w:eastAsia="zh-CN"/>
        </w:rPr>
        <w:t xml:space="preserve"> 在</w:t>
      </w:r>
      <w:r>
        <w:rPr>
          <w:rFonts w:hint="eastAsia" w:ascii="宋体" w:hAnsi="宋体" w:eastAsia="宋体" w:cs="宋体"/>
          <w:color w:val="auto"/>
          <w:szCs w:val="21"/>
        </w:rPr>
        <w:t>0～14的pH工作范围，最大耐压不小于3000psi，且耐受2.0mL/min及以上的流速。</w:t>
      </w:r>
    </w:p>
    <w:p w14:paraId="19F3C04E">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5.8 Cl</w:t>
      </w:r>
      <w:r>
        <w:rPr>
          <w:rFonts w:hint="eastAsia" w:ascii="宋体" w:hAnsi="宋体" w:eastAsia="宋体" w:cs="宋体"/>
          <w:color w:val="auto"/>
          <w:szCs w:val="21"/>
          <w:vertAlign w:val="superscript"/>
        </w:rPr>
        <w:t>-</w:t>
      </w:r>
      <w:r>
        <w:rPr>
          <w:rFonts w:hint="eastAsia" w:ascii="宋体" w:hAnsi="宋体" w:eastAsia="宋体" w:cs="宋体"/>
          <w:color w:val="auto"/>
          <w:szCs w:val="21"/>
        </w:rPr>
        <w:t>：BrO</w:t>
      </w:r>
      <w:r>
        <w:rPr>
          <w:rFonts w:hint="eastAsia" w:ascii="宋体" w:hAnsi="宋体" w:eastAsia="宋体" w:cs="宋体"/>
          <w:color w:val="auto"/>
          <w:szCs w:val="21"/>
          <w:vertAlign w:val="superscript"/>
        </w:rPr>
        <w:t>3-</w:t>
      </w:r>
      <w:r>
        <w:rPr>
          <w:rFonts w:hint="eastAsia" w:ascii="宋体" w:hAnsi="宋体" w:eastAsia="宋体" w:cs="宋体"/>
          <w:color w:val="auto"/>
          <w:szCs w:val="21"/>
        </w:rPr>
        <w:t>的分离能力可达到6000:1，适用于高氯基体样品中溴酸盐的分析。</w:t>
      </w:r>
    </w:p>
    <w:p w14:paraId="36A0E754">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★5.9</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一针进样同时检测五种消毒副产物离子：溴酸、亚氯酸、氯酸、二氯乙酸、三氯乙酸，且一针样品分析时间不大于20分钟，五种离子均可达到基线分离，分离度均大于1.5。(现场验收)</w:t>
      </w:r>
    </w:p>
    <w:p w14:paraId="6F6223D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★5.10</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最低检测质量浓度：二氯乙酸需小于3.7μg/L、三氯乙酸4.4μg/L和高氯酸检出限需小于5.0μg/L。（现场验收）</w:t>
      </w:r>
    </w:p>
    <w:p w14:paraId="6464718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电导检测器</w:t>
      </w:r>
    </w:p>
    <w:p w14:paraId="213D3499">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6.1</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类型：输出值应为直接的电导信号，当检测μg/L级到g/L级不同浓度的离子时，输出信号可直接数字拓展，无需调整量程。</w:t>
      </w:r>
    </w:p>
    <w:p w14:paraId="64C2A5E3">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6.2</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控温范围：</w:t>
      </w:r>
      <w:r>
        <w:rPr>
          <w:rFonts w:hint="eastAsia" w:ascii="宋体" w:hAnsi="宋体" w:eastAsia="宋体" w:cs="宋体"/>
          <w:color w:val="auto"/>
          <w:szCs w:val="21"/>
        </w:rPr>
        <w:t>5℃～60℃</w:t>
      </w:r>
    </w:p>
    <w:p w14:paraId="5F930FE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6.3</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温度稳定性：&lt;0.001℃</w:t>
      </w:r>
    </w:p>
    <w:p w14:paraId="1EA8F697">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6.4</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电极材料：钝化316不锈钢</w:t>
      </w:r>
    </w:p>
    <w:p w14:paraId="4C6BAABA">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6.5</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电导池材料：化学惰性聚合材料</w:t>
      </w:r>
    </w:p>
    <w:p w14:paraId="2127AFF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6.6</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全程信号输出范围：0～16000μS/cm，无需调整量程。</w:t>
      </w:r>
    </w:p>
    <w:p w14:paraId="57805B9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6.6</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电导池体积：≤0.7μL。</w:t>
      </w:r>
    </w:p>
    <w:p w14:paraId="6A6F744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6.6</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检测器分辨率：≤0.003nS/cm。</w:t>
      </w:r>
    </w:p>
    <w:p w14:paraId="310D8F73">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6.6</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检测器耐受最大压力：≥8Mpa。</w:t>
      </w:r>
    </w:p>
    <w:p w14:paraId="08335A2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6.7</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具有配有外部温控。</w:t>
      </w:r>
    </w:p>
    <w:p w14:paraId="1A0CC408">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7. </w:t>
      </w:r>
      <w:r>
        <w:rPr>
          <w:rFonts w:hint="eastAsia" w:ascii="宋体" w:hAnsi="宋体" w:eastAsia="宋体" w:cs="宋体"/>
          <w:color w:val="auto"/>
          <w:szCs w:val="21"/>
        </w:rPr>
        <w:t>自动进样器</w:t>
      </w:r>
    </w:p>
    <w:p w14:paraId="5569D48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.1</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样品位数：</w:t>
      </w:r>
      <w:r>
        <w:rPr>
          <w:rFonts w:hint="eastAsia" w:ascii="宋体" w:hAnsi="宋体" w:eastAsia="宋体" w:cs="宋体"/>
          <w:color w:val="auto"/>
          <w:szCs w:val="21"/>
        </w:rPr>
        <w:t>＞40位</w:t>
      </w:r>
    </w:p>
    <w:p w14:paraId="5670B76C">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.2 上样速度：0.1～5.0mL/min。</w:t>
      </w:r>
    </w:p>
    <w:p w14:paraId="1EE8AFD3">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.3带有样品盘保护罩，降低外界环境对样品的影响。</w:t>
      </w:r>
    </w:p>
    <w:p w14:paraId="2BAB412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.4带有样品过滤功能，去除不溶性颗粒。</w:t>
      </w:r>
    </w:p>
    <w:p w14:paraId="00982E65">
      <w:pPr>
        <w:keepNext w:val="0"/>
        <w:keepLines w:val="0"/>
        <w:pageBreakBefore w:val="0"/>
        <w:widowControl w:val="0"/>
        <w:numPr>
          <w:ilvl w:val="0"/>
          <w:numId w:val="6"/>
        </w:numPr>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软件</w:t>
      </w:r>
    </w:p>
    <w:p w14:paraId="38244C0F">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.1 操作界面模拟Microsoft®office操作系统。</w:t>
      </w:r>
    </w:p>
    <w:p w14:paraId="545E5973">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.2</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支持仪器相关耗材运行状况的审计追踪和溯源，包含但不限于电解淋洗液发生器、抑制器等。</w:t>
      </w:r>
    </w:p>
    <w:p w14:paraId="7C34544B">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.3 具有虚拟柱软件技术，</w:t>
      </w:r>
      <w:r>
        <w:rPr>
          <w:rFonts w:hint="eastAsia" w:ascii="宋体" w:hAnsi="宋体" w:eastAsia="宋体" w:cs="宋体"/>
          <w:color w:val="auto"/>
          <w:szCs w:val="21"/>
          <w:lang w:val="en-US" w:eastAsia="zh-CN"/>
        </w:rPr>
        <w:t>可</w:t>
      </w:r>
      <w:r>
        <w:rPr>
          <w:rFonts w:hint="eastAsia" w:ascii="宋体" w:hAnsi="宋体" w:eastAsia="宋体" w:cs="宋体"/>
          <w:color w:val="auto"/>
          <w:szCs w:val="21"/>
        </w:rPr>
        <w:t>帮助进行快速方法开发及辅助未知物定性。</w:t>
      </w:r>
    </w:p>
    <w:p w14:paraId="0949765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.4 提供耗材安装指南和故障排除知识库。</w:t>
      </w:r>
    </w:p>
    <w:p w14:paraId="7339217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8</w:t>
      </w:r>
      <w:r>
        <w:rPr>
          <w:rFonts w:hint="eastAsia" w:ascii="宋体" w:hAnsi="宋体" w:eastAsia="宋体" w:cs="宋体"/>
          <w:color w:val="auto"/>
          <w:szCs w:val="21"/>
        </w:rPr>
        <w:t>.5</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可升级至网络版软件，操控第三方气相色谱和液相色谱仪器。</w:t>
      </w:r>
    </w:p>
    <w:p w14:paraId="1C9A72B9">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9. 质保期：</w:t>
      </w:r>
      <w:r>
        <w:rPr>
          <w:rFonts w:hint="eastAsia" w:ascii="宋体" w:hAnsi="宋体" w:eastAsia="宋体" w:cs="宋体"/>
          <w:color w:val="auto"/>
          <w:szCs w:val="21"/>
        </w:rPr>
        <w:t>自设备验收合格之日起计算，</w:t>
      </w:r>
      <w:r>
        <w:rPr>
          <w:rFonts w:hint="eastAsia" w:ascii="宋体" w:hAnsi="宋体" w:eastAsia="宋体" w:cs="宋体"/>
          <w:color w:val="auto"/>
          <w:szCs w:val="21"/>
          <w:lang w:eastAsia="zh-CN"/>
        </w:rPr>
        <w:t>质保</w:t>
      </w:r>
      <w:r>
        <w:rPr>
          <w:rFonts w:hint="eastAsia" w:ascii="宋体" w:hAnsi="宋体" w:eastAsia="宋体" w:cs="宋体"/>
          <w:color w:val="auto"/>
          <w:szCs w:val="21"/>
        </w:rPr>
        <w:t>期</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质保期内设备免费保修，</w:t>
      </w:r>
      <w:r>
        <w:rPr>
          <w:rFonts w:hint="eastAsia" w:ascii="宋体" w:hAnsi="宋体" w:eastAsia="宋体" w:cs="宋体"/>
          <w:b w:val="0"/>
          <w:bCs w:val="0"/>
          <w:color w:val="auto"/>
          <w:kern w:val="2"/>
          <w:sz w:val="21"/>
          <w:szCs w:val="21"/>
          <w:lang w:val="en-US" w:eastAsia="zh-CN" w:bidi="ar-SA"/>
        </w:rPr>
        <w:t>所需配件免费提供并更换</w:t>
      </w:r>
      <w:r>
        <w:rPr>
          <w:rFonts w:hint="eastAsia" w:ascii="宋体" w:hAnsi="宋体" w:eastAsia="宋体" w:cs="宋体"/>
          <w:color w:val="auto"/>
          <w:szCs w:val="21"/>
        </w:rPr>
        <w:t>。</w:t>
      </w:r>
    </w:p>
    <w:p w14:paraId="085726A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二、配置要求： </w:t>
      </w:r>
    </w:p>
    <w:p w14:paraId="347509C6">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离子色谱仪主机1套</w:t>
      </w:r>
    </w:p>
    <w:p w14:paraId="772EF42B">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2.带脱气四元梯度泵1套</w:t>
      </w:r>
    </w:p>
    <w:p w14:paraId="0810CF7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3.带温控电导检测器1套</w:t>
      </w:r>
    </w:p>
    <w:p w14:paraId="22803FA2">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4.带温控柱温箱1套</w:t>
      </w:r>
    </w:p>
    <w:p w14:paraId="1BB01133">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5.高压电解淋洗液发生器1套</w:t>
      </w:r>
    </w:p>
    <w:p w14:paraId="089EB74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6.电解抑制器1套</w:t>
      </w:r>
    </w:p>
    <w:p w14:paraId="2316E903">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7.自动进样器1套</w:t>
      </w:r>
    </w:p>
    <w:p w14:paraId="3047DB9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8.软件1套</w:t>
      </w:r>
    </w:p>
    <w:p w14:paraId="74731E91">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9.快速色谱柱2套</w:t>
      </w:r>
    </w:p>
    <w:p w14:paraId="231CBB3C">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10.保护柱2套</w:t>
      </w:r>
    </w:p>
    <w:p w14:paraId="6DFAEF06">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11.</w:t>
      </w:r>
      <w:r>
        <w:rPr>
          <w:rFonts w:hint="eastAsia" w:ascii="宋体" w:hAnsi="宋体" w:eastAsia="宋体" w:cs="宋体"/>
          <w:color w:val="auto"/>
          <w:szCs w:val="21"/>
          <w:lang w:val="en-US" w:eastAsia="zh-CN"/>
        </w:rPr>
        <w:t>二氧化碳</w:t>
      </w:r>
      <w:r>
        <w:rPr>
          <w:rFonts w:hint="eastAsia" w:ascii="宋体" w:hAnsi="宋体" w:eastAsia="宋体" w:cs="宋体"/>
          <w:color w:val="auto"/>
          <w:szCs w:val="21"/>
        </w:rPr>
        <w:t>去除装置1套</w:t>
      </w:r>
    </w:p>
    <w:p w14:paraId="7EBC283C">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12.其他备件</w:t>
      </w:r>
      <w:r>
        <w:rPr>
          <w:rFonts w:hint="eastAsia" w:ascii="宋体" w:hAnsi="宋体" w:eastAsia="宋体" w:cs="宋体"/>
          <w:color w:val="auto"/>
          <w:szCs w:val="21"/>
          <w:lang w:eastAsia="zh-CN"/>
        </w:rPr>
        <w:t>：</w:t>
      </w:r>
      <w:r>
        <w:rPr>
          <w:rFonts w:hint="eastAsia" w:ascii="宋体" w:hAnsi="宋体" w:eastAsia="宋体" w:cs="宋体"/>
          <w:color w:val="auto"/>
          <w:szCs w:val="21"/>
        </w:rPr>
        <w:t>2L溶剂瓶4个；气体调节阀1个；过滤头10个；样品瓶和盖1000个；样品支架2个；25μL、50μL、100μL、250μL、500μL、1000μL定量环各1个；大小接头20个；标液1套。</w:t>
      </w:r>
    </w:p>
    <w:p w14:paraId="1ED594DB">
      <w:pPr>
        <w:keepNext w:val="0"/>
        <w:keepLines w:val="0"/>
        <w:pageBreakBefore w:val="0"/>
        <w:kinsoku/>
        <w:wordWrap/>
        <w:overflowPunct/>
        <w:topLinePunct w:val="0"/>
        <w:bidi w:val="0"/>
        <w:snapToGrid/>
        <w:spacing w:line="384" w:lineRule="auto"/>
        <w:ind w:firstLine="422" w:firstLineChars="20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eastAsia="zh-CN"/>
        </w:rPr>
        <w:t>（六）</w:t>
      </w:r>
      <w:r>
        <w:rPr>
          <w:rFonts w:hint="eastAsia" w:ascii="宋体" w:hAnsi="宋体" w:eastAsia="宋体" w:cs="宋体"/>
          <w:b/>
          <w:color w:val="auto"/>
          <w:sz w:val="21"/>
          <w:szCs w:val="21"/>
        </w:rPr>
        <w:t>全自动固相萃取仪技术参数</w:t>
      </w:r>
    </w:p>
    <w:p w14:paraId="3DC60FFC">
      <w:pPr>
        <w:keepNext w:val="0"/>
        <w:keepLines w:val="0"/>
        <w:pageBreakBefore w:val="0"/>
        <w:widowControl w:val="0"/>
        <w:kinsoku/>
        <w:wordWrap/>
        <w:overflowPunct/>
        <w:topLinePunct w:val="0"/>
        <w:autoSpaceDE/>
        <w:autoSpaceDN/>
        <w:bidi w:val="0"/>
        <w:adjustRightInd/>
        <w:snapToGrid/>
        <w:spacing w:line="384" w:lineRule="auto"/>
        <w:ind w:firstLine="422" w:firstLineChars="20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一、工作条件：</w:t>
      </w:r>
    </w:p>
    <w:p w14:paraId="711CCB8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1、工作温度：4~40℃</w:t>
      </w:r>
    </w:p>
    <w:p w14:paraId="3D017D44">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2、工作电压：AC  220V±10%，50Hz 功率：500W</w:t>
      </w:r>
    </w:p>
    <w:p w14:paraId="6012DEA9">
      <w:pPr>
        <w:keepNext w:val="0"/>
        <w:keepLines w:val="0"/>
        <w:pageBreakBefore w:val="0"/>
        <w:widowControl w:val="0"/>
        <w:kinsoku/>
        <w:wordWrap/>
        <w:overflowPunct/>
        <w:topLinePunct w:val="0"/>
        <w:autoSpaceDE/>
        <w:autoSpaceDN/>
        <w:bidi w:val="0"/>
        <w:adjustRightInd/>
        <w:snapToGrid/>
        <w:spacing w:line="384" w:lineRule="auto"/>
        <w:ind w:firstLine="422" w:firstLineChars="20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二、技术参数要求：</w:t>
      </w:r>
    </w:p>
    <w:p w14:paraId="5F4DC0E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1、应用范围：</w:t>
      </w:r>
    </w:p>
    <w:p w14:paraId="52693CB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用于地表水、地下水、污水、饮用水、提取液等液体样品中半挥发有机物或难挥发性有机物的富集和浓缩，能够达到GB 5749-2022《生活饮用水卫生标准》、CJ/T 141-2018《城市供水水质标准检验方法》中检测项目的要求。</w:t>
      </w:r>
    </w:p>
    <w:p w14:paraId="7372099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2、技术要求：</w:t>
      </w:r>
    </w:p>
    <w:p w14:paraId="18359EE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自动化程度：实验前放置好样品、溶剂、固相萃取柱或膜、无水硫酸钠脱水柱后，仪器能自动完成柱活化、柱上样、柱淋洗、柱干燥、柱洗脱、洗脱液在线无水硫酸钠脱水以及洗脱液的加热浓缩等步骤，整个过程无须人工介入。</w:t>
      </w:r>
    </w:p>
    <w:p w14:paraId="5DC5304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 通道数：六通道或以上。固相萃取主机必须自带浓缩系统，避免中途需要人工转移收集试管至其他浓缩设备。上样或上溶剂必须是所有通道同时并列进行，以确保实验的重复性。</w:t>
      </w:r>
    </w:p>
    <w:p w14:paraId="14C6F2F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2.3仪器有多柱串联功能：为了满足复杂基质样品的净化和富集，仪器最少能实现2根固相萃取柱或者2个25mm、47mm膜的竖直串联使用，也能膜柱竖直串联使用，且各自能分开洗脱，方便摸索穿透实验。（提供仪器上所有通道摆放6ml固相萃取柱与47mm固相萃取膜串联放置的实物图）。</w:t>
      </w:r>
    </w:p>
    <w:p w14:paraId="7DBE0460">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2.4兼容固相萃取柱和膜种类：</w:t>
      </w:r>
    </w:p>
    <w:p w14:paraId="521C72CA">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2.4.1至少可使用3ml、6ml等规格固相萃取柱和25mm、47mm萃取膜。</w:t>
      </w:r>
    </w:p>
    <w:p w14:paraId="55AF557D">
      <w:pPr>
        <w:keepNext w:val="0"/>
        <w:keepLines w:val="0"/>
        <w:pageBreakBefore w:val="0"/>
        <w:widowControl w:val="0"/>
        <w:kinsoku/>
        <w:wordWrap/>
        <w:overflowPunct/>
        <w:topLinePunct w:val="0"/>
        <w:autoSpaceDE/>
        <w:autoSpaceDN/>
        <w:bidi w:val="0"/>
        <w:adjustRightInd/>
        <w:snapToGrid/>
        <w:spacing w:line="38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2.4.2使用25和47mm膜萃取时，无需拆装主机上的任何零部件就可将6个膜模块直接安装在主机套件上，且不同规格的柱膜可串联和并联使用，不能通过管线将主机相关端口与外置膜模块连接，避免管路延长造成死体积增大和浪费清洗溶剂。（提供仪器上3ml柱、6ml柱、25mm膜和47mm膜同时并列在线使用的实物图）。</w:t>
      </w:r>
    </w:p>
    <w:p w14:paraId="6476725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2.4.3无论是使用固相萃取柱还是固相萃取膜，都可以实现6个通道的并列操作。</w:t>
      </w:r>
    </w:p>
    <w:p w14:paraId="50F3ADE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2.4.4固相萃取柱密封方式：柱塞密封式。柱塞采用旋转方式插入固相萃取柱密封，不得竖直插入固相萃取柱密封，避免强力挤压密封圈造成密封圈寿命减短。</w:t>
      </w:r>
    </w:p>
    <w:p w14:paraId="4C951A6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2.5 使用25mm膜萃取1L水样时，可在1小时内完成整个萃取步骤，并确保洗脱液不带有水分。</w:t>
      </w:r>
    </w:p>
    <w:p w14:paraId="27D612B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2.6 柱上样：</w:t>
      </w:r>
    </w:p>
    <w:p w14:paraId="502052A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2.6.1一次样品处理量：20ml-20L。</w:t>
      </w:r>
    </w:p>
    <w:p w14:paraId="6A16839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2.6.2上样流速范围：1ml/min～80ml/min。</w:t>
      </w:r>
    </w:p>
    <w:p w14:paraId="3DA94CC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★2.6.3取样方式：采用正压泵上样，全部实验样品能连续无间断过柱，且所有通道并列移取。</w:t>
      </w:r>
    </w:p>
    <w:p w14:paraId="6C2F4D2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2.6.4 上样流速误差：±1.0%。</w:t>
      </w:r>
    </w:p>
    <w:p w14:paraId="0759AEF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2.6.5泵耐流体反压测试≥0.6MPa，确保少量颗粒样品能过柱。</w:t>
      </w:r>
    </w:p>
    <w:p w14:paraId="327F21E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2.7柱活化、柱淋洗：</w:t>
      </w:r>
    </w:p>
    <w:p w14:paraId="5D4D07FA">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2.7.1每个通道都对应有独立的正压泵，移取任何体积的溶剂都可实现连续无间断过柱，提高活化、淋洗、洗脱等步骤效率。</w:t>
      </w:r>
    </w:p>
    <w:p w14:paraId="4EB7B4A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2.7.2溶剂流速：1ml/min～60ml/min。</w:t>
      </w:r>
    </w:p>
    <w:p w14:paraId="262CB5E1">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2.7.3溶剂数量：至少6种，任何用于HPLC级溶剂都可以使用，包括丙酮。</w:t>
      </w:r>
    </w:p>
    <w:p w14:paraId="371ED9C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2.8柱干燥：</w:t>
      </w:r>
    </w:p>
    <w:p w14:paraId="400AF7B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2.8.1柱干燥方式：真空泵吸引、氮气吹扫与真空泵吸引相结合方式，二种方式可任意选用。</w:t>
      </w:r>
    </w:p>
    <w:p w14:paraId="5987F5C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2.8.2干燥端口和废液端口独立设计，运行柱干燥和排放废液步骤时，固相萃取柱可以插到不同的端口实现柱干燥和排废功能，废溶剂和废水也可以分开排放，有利于环保。</w:t>
      </w:r>
    </w:p>
    <w:p w14:paraId="52AC662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2.9柱洗脱：</w:t>
      </w:r>
    </w:p>
    <w:p w14:paraId="7144911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2.9.1有浸泡洗脱功能：洗脱溶剂按少量多次注入固相萃取柱。每次注入洗脱溶剂时, 溶剂能按照软件设定的时间和体积静止在填料中不会掉下来，让溶剂和填料充分交换，提高回收率和重现性。</w:t>
      </w:r>
    </w:p>
    <w:p w14:paraId="6E54AF1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2.9.2有专门放置无水硫酸钠柱的端口，无水硫酸钠柱不得直接放置于收集试管口上端，避免交叉污染和占用收集试管容量。（提供仪器上放置无水硫酸钠柱的六个端口实物图）。</w:t>
      </w:r>
    </w:p>
    <w:p w14:paraId="1D78EBE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2.9.3具有两排或两排以上可自动移动的收集管放置位置，仪器无需暂停就能实现分步洗脱。</w:t>
      </w:r>
    </w:p>
    <w:p w14:paraId="33C1D83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2.10洗脱液的浓缩：</w:t>
      </w:r>
    </w:p>
    <w:p w14:paraId="6D45733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2.10.1洗脱液在线浓缩方式：采用加热+斜吹式涡旋氮气流吹扫相结合方式。</w:t>
      </w:r>
    </w:p>
    <w:p w14:paraId="78CA21F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2.10.2洗脱液浓缩温度：30～60℃。</w:t>
      </w:r>
    </w:p>
    <w:p w14:paraId="25B8B09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2.10.3浓缩用的氮气嘴可以根据洗脱液的体积多少实时调节成不同的吹扫角度，而不是固定一个角度吹扫，以便提高浓缩效率。</w:t>
      </w:r>
    </w:p>
    <w:p w14:paraId="6B08E8E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2.10.4浓缩用的氮气压力可阶梯式上升（提供梯度设置界面）。</w:t>
      </w:r>
    </w:p>
    <w:p w14:paraId="624DEAE9">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2.11 收集管：收集管需有带0.5ml以及1ml刻度，方便定容。</w:t>
      </w:r>
    </w:p>
    <w:p w14:paraId="290E5D1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2.12 接触溶剂和样品的材料：特氟隆和玻璃，不能有不锈钢接触，防止酸化的水样腐蚀。</w:t>
      </w:r>
    </w:p>
    <w:p w14:paraId="40C071F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2.13样品管路可用甲醇、丙酮、乙酸乙酯、二氯甲烷等任何色谱醇溶剂清洗，所有管路均为无氟材质，适用于全氟化合物和微塑料成分的测定的样品前处理。</w:t>
      </w:r>
    </w:p>
    <w:p w14:paraId="2689A76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bookmarkStart w:id="75" w:name="_Hlk38634916"/>
      <w:r>
        <w:rPr>
          <w:rFonts w:hint="eastAsia" w:ascii="宋体" w:hAnsi="宋体" w:eastAsia="宋体" w:cs="宋体"/>
          <w:color w:val="auto"/>
          <w:szCs w:val="21"/>
        </w:rPr>
        <w:t>2.14废液排放：废液从固相萃取柱流出，经过废液接受装置后可自由流落至废液收集瓶，无需靠移液泵将废液从接收装置吸走。废液接受装置左右二侧都有排废口，便于根据通风柜的水槽位置自由选择排废口，接受装置离实验台面距离不少于30cm。</w:t>
      </w:r>
      <w:bookmarkEnd w:id="75"/>
    </w:p>
    <w:p w14:paraId="39ED8F4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2.15仪器操作：</w:t>
      </w:r>
    </w:p>
    <w:p w14:paraId="3053CF43">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2.15.1仪器采用主机上内嵌的触摸屏操作，可直接在触摸屏上编辑整个固相萃取方法。</w:t>
      </w:r>
    </w:p>
    <w:p w14:paraId="14D6ED8A">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2.15.2 也可电脑辅助编辑固相萃取方法。</w:t>
      </w:r>
    </w:p>
    <w:p w14:paraId="65AD5D3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2.16 有氮气压力红色报警功能以及氮气发生器联动功能，可控制氮气发生的开关，延长氮气发生器寿命，当实际氮气压力小于程序设定压力值时，仪器自动发出红色警报。</w:t>
      </w:r>
    </w:p>
    <w:p w14:paraId="2E6EE7B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2.17有叠机功能：上一批洗脱液在浓缩时，仪器也可做下一批样品的活化、上样、淋洗等步骤。</w:t>
      </w:r>
    </w:p>
    <w:p w14:paraId="602294F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2.18仪器断电或出现故障时，仪器会自动记录中断前实验进行到哪一步，精确记录已经进了多少体积的溶剂或样品，重启仪器时能接着做之前未完成的实验，无需重头开始。</w:t>
      </w:r>
    </w:p>
    <w:p w14:paraId="09EA2E0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2.19具有双次加样功能，样品瓶里的水样上完后，仪器能自动喷淋瓶壁，喷洗流速要求达500ml/min（50ml清洗液6秒喷洗完），</w:t>
      </w:r>
      <w:r>
        <w:rPr>
          <w:rFonts w:hint="eastAsia" w:ascii="宋体" w:hAnsi="宋体" w:eastAsia="宋体" w:cs="宋体"/>
          <w:color w:val="auto"/>
          <w:szCs w:val="21"/>
        </w:rPr>
        <w:t>自动清洗样品瓶壁后，清洗液能自动转移到固相萃取柱或膜上。</w:t>
      </w:r>
    </w:p>
    <w:p w14:paraId="3D42484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2.20有定时开机功能，仪器可在指定的时间自动开机。</w:t>
      </w:r>
    </w:p>
    <w:p w14:paraId="1A78239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2.21显示屏有显示运行方法和运行剩余时间功能，运行完成后有声音提示。</w:t>
      </w:r>
    </w:p>
    <w:p w14:paraId="2A8627C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2.22质控管理：仪器能自动计算泵的使用次数和阀的使用次数，以便日常的维护和故障的排查。</w:t>
      </w:r>
    </w:p>
    <w:p w14:paraId="0A3F3484">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2.23紧急情况暂停功能：当发生紧急情况时，操作人员直接打开操作面的安全防护门或侧门，仪器可立即暂停运行；待情况处理完毕后，关上防护门或侧门即可继续运行。</w:t>
      </w:r>
    </w:p>
    <w:p w14:paraId="37B8ADB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2.24整机运行采用龙门架结构和闭环步进电机，不采用传送带。</w:t>
      </w:r>
    </w:p>
    <w:p w14:paraId="7B1158C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2.25可升级自动反洗功能：即仪器在不停机的状态下自动将固相萃取柱倒转，洗脱溶剂从与柱子进样方向相反的那端进入固相萃取柱洗脱，完成反向洗脱操作。（提供反冲洗功能软件截图，验收时需提供升级后自动反洗的视频）。</w:t>
      </w:r>
    </w:p>
    <w:p w14:paraId="2D9F2D9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★3、回收率要求：</w:t>
      </w:r>
    </w:p>
    <w:p w14:paraId="0009768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3.1 实验方法《HJ 716—2014 水质 硝基苯类化合物的测定 气相色谱-质谱法》，加标量0.1ug/L ,2.5ug/L回收率要求70%-110%之间；</w:t>
      </w:r>
    </w:p>
    <w:p w14:paraId="31B3014D">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3.2 实验方法《HJ 699-2014 水质 有机氯农药和氯苯类化合物的测定 气相色谱-质谱法》，加标量0.25ug/L，1ug/L有机氯八种农药（六六六，滴滴涕）要求70%-110%之间，氯苯类回收要求在50%-110%。</w:t>
      </w:r>
    </w:p>
    <w:p w14:paraId="4FDD26B5">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3.3 实验方法《HJ 478—2009 水质 多环芳烃的测定 液液萃取和固相萃取高效液相色谱法》，加标量0.5ug/L，回收率要求60%-110%之间。</w:t>
      </w:r>
    </w:p>
    <w:p w14:paraId="672C9DE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★4、本底要求：</w:t>
      </w:r>
    </w:p>
    <w:p w14:paraId="01C7D7D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4.1 实验方法《GB/T5750.8-2023 生活饮用水标准检验方法 第8部分：有机物指标》中的15.1项检测项目邻苯二甲酸二己酯，本底要求低于该方法的检出限。</w:t>
      </w:r>
    </w:p>
    <w:p w14:paraId="19FDE2A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4.2 实验方法《GB/T5750.8-2023 生活饮用水标准检验方法 第8部分：有机物指标》中的75项检测项目双酚A，本底要求低于该方法的检出限。</w:t>
      </w:r>
    </w:p>
    <w:p w14:paraId="13300F07">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4.3 实验方法《HJ 1192—2021水质 9 种烷基酚类化合物和双酚A 的测定固相萃取/高效液相色谱法》，本底要求低于该方法的检出限。</w:t>
      </w:r>
    </w:p>
    <w:p w14:paraId="43BC9C6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4.4 实验方法《GB/T5750.8-2023 生活饮用水标准检验方法 第8部分：有机物指标》中的84、85项检测项目全氟辛酸和全氟辛烷磺酸，本底要求低于该方法的检出限。</w:t>
      </w:r>
    </w:p>
    <w:p w14:paraId="39561D3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质保期：</w:t>
      </w:r>
      <w:r>
        <w:rPr>
          <w:rFonts w:hint="eastAsia" w:ascii="宋体" w:hAnsi="宋体" w:eastAsia="宋体" w:cs="宋体"/>
          <w:color w:val="auto"/>
          <w:szCs w:val="21"/>
        </w:rPr>
        <w:t>自设备验收合格之日起计算，</w:t>
      </w:r>
      <w:r>
        <w:rPr>
          <w:rFonts w:hint="eastAsia" w:ascii="宋体" w:hAnsi="宋体" w:eastAsia="宋体" w:cs="宋体"/>
          <w:color w:val="auto"/>
          <w:szCs w:val="21"/>
          <w:lang w:eastAsia="zh-CN"/>
        </w:rPr>
        <w:t>质保</w:t>
      </w:r>
      <w:r>
        <w:rPr>
          <w:rFonts w:hint="eastAsia" w:ascii="宋体" w:hAnsi="宋体" w:eastAsia="宋体" w:cs="宋体"/>
          <w:color w:val="auto"/>
          <w:szCs w:val="21"/>
        </w:rPr>
        <w:t>期</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质保期内设备免费保修，</w:t>
      </w:r>
      <w:r>
        <w:rPr>
          <w:rFonts w:hint="eastAsia" w:ascii="宋体" w:hAnsi="宋体" w:eastAsia="宋体" w:cs="宋体"/>
          <w:b w:val="0"/>
          <w:bCs w:val="0"/>
          <w:color w:val="auto"/>
          <w:kern w:val="2"/>
          <w:sz w:val="21"/>
          <w:szCs w:val="21"/>
          <w:lang w:val="en-US" w:eastAsia="zh-CN" w:bidi="ar-SA"/>
        </w:rPr>
        <w:t>所需配件免费提供并更换</w:t>
      </w:r>
      <w:r>
        <w:rPr>
          <w:rFonts w:hint="eastAsia" w:ascii="宋体" w:hAnsi="宋体" w:eastAsia="宋体" w:cs="宋体"/>
          <w:color w:val="auto"/>
          <w:szCs w:val="21"/>
        </w:rPr>
        <w:t>。</w:t>
      </w:r>
    </w:p>
    <w:p w14:paraId="091278AA">
      <w:pPr>
        <w:keepNext w:val="0"/>
        <w:keepLines w:val="0"/>
        <w:pageBreakBefore w:val="0"/>
        <w:widowControl w:val="0"/>
        <w:kinsoku/>
        <w:wordWrap/>
        <w:overflowPunct/>
        <w:topLinePunct w:val="0"/>
        <w:autoSpaceDE/>
        <w:autoSpaceDN/>
        <w:bidi w:val="0"/>
        <w:adjustRightInd/>
        <w:snapToGrid/>
        <w:spacing w:line="384" w:lineRule="auto"/>
        <w:ind w:firstLine="422" w:firstLineChars="200"/>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三、配置要求，不得少于以下内容：</w:t>
      </w:r>
    </w:p>
    <w:p w14:paraId="42A8FBB9">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1、六通道全自动固相萃取主机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1台</w:t>
      </w:r>
    </w:p>
    <w:p w14:paraId="2D874CF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2、溶剂瓶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7个</w:t>
      </w:r>
    </w:p>
    <w:p w14:paraId="3898A10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3、10ml带磨口带盖透明浓缩收集管（带0.5&amp;1ml刻度）</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6个</w:t>
      </w:r>
    </w:p>
    <w:p w14:paraId="708ADD86">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4、编辑软件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1套</w:t>
      </w:r>
    </w:p>
    <w:p w14:paraId="5A744218">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5、样品架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1个</w:t>
      </w:r>
    </w:p>
    <w:p w14:paraId="2380E4BA">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6、USB存储器（2G）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1个</w:t>
      </w:r>
    </w:p>
    <w:p w14:paraId="474A30D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7、真空泵（连接干燥用）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1台</w:t>
      </w:r>
    </w:p>
    <w:p w14:paraId="1FB96DCE">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8、特氟龙(Teflon)涂层管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5米</w:t>
      </w:r>
    </w:p>
    <w:p w14:paraId="0015C11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9、操作说明书（电子版和书本）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1套</w:t>
      </w:r>
    </w:p>
    <w:p w14:paraId="72E8EB80">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10、M4六角扳手</w:t>
      </w:r>
      <w:r>
        <w:rPr>
          <w:rFonts w:hint="eastAsia" w:ascii="宋体" w:hAnsi="宋体" w:eastAsia="宋体" w:cs="宋体"/>
          <w:color w:val="auto"/>
          <w:szCs w:val="21"/>
        </w:rPr>
        <w:tab/>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1套</w:t>
      </w:r>
    </w:p>
    <w:p w14:paraId="483E8D65">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11、HLB固相萃取膜，25mm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1包</w:t>
      </w:r>
    </w:p>
    <w:p w14:paraId="742C46CC">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12、</w:t>
      </w:r>
      <w:bookmarkStart w:id="76" w:name="_Hlk36806480"/>
      <w:r>
        <w:rPr>
          <w:rFonts w:hint="eastAsia" w:ascii="宋体" w:hAnsi="宋体" w:eastAsia="宋体" w:cs="宋体"/>
          <w:color w:val="auto"/>
          <w:szCs w:val="21"/>
        </w:rPr>
        <w:t xml:space="preserve">HLB固相萃取柱，6ml/200mg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2盒</w:t>
      </w:r>
      <w:bookmarkEnd w:id="76"/>
    </w:p>
    <w:p w14:paraId="379F454F">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13、C18固相萃取柱，6ml/500mg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2盒</w:t>
      </w:r>
    </w:p>
    <w:p w14:paraId="69562B6B">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 xml:space="preserve">14、椰壳活性炭固相萃取柱，6ml/500mg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6盒</w:t>
      </w:r>
    </w:p>
    <w:p w14:paraId="26666D92">
      <w:pPr>
        <w:keepNext w:val="0"/>
        <w:keepLines w:val="0"/>
        <w:pageBreakBefore w:val="0"/>
        <w:widowControl w:val="0"/>
        <w:kinsoku/>
        <w:wordWrap/>
        <w:overflowPunct/>
        <w:topLinePunct w:val="0"/>
        <w:autoSpaceDE/>
        <w:autoSpaceDN/>
        <w:bidi w:val="0"/>
        <w:adjustRightInd/>
        <w:snapToGrid/>
        <w:spacing w:line="384" w:lineRule="auto"/>
        <w:ind w:firstLine="420" w:firstLineChars="200"/>
        <w:jc w:val="left"/>
        <w:textAlignment w:val="auto"/>
        <w:rPr>
          <w:rFonts w:hint="eastAsia" w:ascii="宋体" w:hAnsi="宋体"/>
          <w:color w:val="auto"/>
          <w:szCs w:val="21"/>
        </w:rPr>
      </w:pPr>
      <w:r>
        <w:rPr>
          <w:rFonts w:hint="eastAsia" w:ascii="宋体" w:hAnsi="宋体" w:eastAsia="宋体" w:cs="宋体"/>
          <w:color w:val="auto"/>
          <w:szCs w:val="21"/>
        </w:rPr>
        <w:t xml:space="preserve">15、自动洗瓶模块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 xml:space="preserve">  1套</w:t>
      </w:r>
    </w:p>
    <w:p w14:paraId="68535EB3">
      <w:pPr>
        <w:pStyle w:val="2"/>
        <w:keepNext w:val="0"/>
        <w:keepLines w:val="0"/>
        <w:pageBreakBefore w:val="0"/>
        <w:kinsoku/>
        <w:wordWrap/>
        <w:overflowPunct/>
        <w:topLinePunct w:val="0"/>
        <w:bidi w:val="0"/>
        <w:snapToGrid/>
        <w:spacing w:before="0" w:after="0" w:line="384" w:lineRule="auto"/>
        <w:ind w:firstLine="422"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氮气发生器技术参数</w:t>
      </w:r>
    </w:p>
    <w:p w14:paraId="67619591">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1、用途</w:t>
      </w:r>
    </w:p>
    <w:p w14:paraId="7BAFD376">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专用于大流量用气设备的氮气气源，充分满足设备的持续、安全运行要求。</w:t>
      </w:r>
    </w:p>
    <w:p w14:paraId="5DCE9AFD">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2、工作条件</w:t>
      </w:r>
    </w:p>
    <w:p w14:paraId="05D016B7">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2.1 工作电压：220～250V，50/60Hz，10A  </w:t>
      </w:r>
    </w:p>
    <w:p w14:paraId="0A269756">
      <w:pPr>
        <w:keepNext w:val="0"/>
        <w:keepLines w:val="0"/>
        <w:pageBreakBefore w:val="0"/>
        <w:widowControl/>
        <w:shd w:val="clear" w:color="auto"/>
        <w:kinsoku/>
        <w:wordWrap/>
        <w:overflowPunct/>
        <w:topLinePunct w:val="0"/>
        <w:autoSpaceDE/>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 温度：0-40℃</w:t>
      </w:r>
    </w:p>
    <w:p w14:paraId="6CB11A2C">
      <w:pPr>
        <w:keepNext w:val="0"/>
        <w:keepLines w:val="0"/>
        <w:pageBreakBefore w:val="0"/>
        <w:widowControl/>
        <w:shd w:val="clear" w:color="auto"/>
        <w:kinsoku/>
        <w:wordWrap/>
        <w:overflowPunct/>
        <w:topLinePunct w:val="0"/>
        <w:autoSpaceDE/>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 湿度：30-80%</w:t>
      </w:r>
    </w:p>
    <w:p w14:paraId="593FD673">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3、技术指标</w:t>
      </w:r>
    </w:p>
    <w:p w14:paraId="3A8DF2AB">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 采用超细化中空纤维膜分离技术，氮气膜、干燥膜双重提纯，所产氮气纯度（N</w:t>
      </w:r>
      <w:r>
        <w:rPr>
          <w:rFonts w:hint="eastAsia" w:ascii="宋体" w:hAnsi="宋体" w:eastAsia="宋体" w:cs="宋体"/>
          <w:color w:val="auto"/>
          <w:sz w:val="21"/>
          <w:szCs w:val="21"/>
          <w:vertAlign w:val="subscript"/>
        </w:rPr>
        <w:t>2</w:t>
      </w:r>
      <w:r>
        <w:rPr>
          <w:rFonts w:hint="eastAsia" w:ascii="宋体" w:hAnsi="宋体" w:eastAsia="宋体" w:cs="宋体"/>
          <w:color w:val="auto"/>
          <w:sz w:val="21"/>
          <w:szCs w:val="21"/>
        </w:rPr>
        <w:t>≥99.5%）；</w:t>
      </w:r>
    </w:p>
    <w:p w14:paraId="51AADA9F">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 膜分离器采用螺旋卷式分离结构，以增加膜比表面积，提高氮气发生器分离效率；</w:t>
      </w:r>
    </w:p>
    <w:p w14:paraId="69F2DF38">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3.3 输出压力0~116psi范围可调节，能够完全满足多级质谱气源要求；</w:t>
      </w:r>
    </w:p>
    <w:p w14:paraId="52D19322">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★3.4 氮气流速：高纯氮气≥75L/min；</w:t>
      </w:r>
    </w:p>
    <w:p w14:paraId="334B7638">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3.5 内置多台大功率高性能空气压缩机系统，实现空压机智能启停，具备低能耗节能模式，后端不用气空压机自动待机，更节能稳定；</w:t>
      </w:r>
    </w:p>
    <w:p w14:paraId="2DB17E51">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3.6 采用热交换双联除水技术，提供更好的除水效率，无悬浮液体，无邻苯二甲酸酯；</w:t>
      </w:r>
    </w:p>
    <w:p w14:paraId="20597A06">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3.7 根据空气动力学，内置多个大功率风扇，包括PWM信号发生器联动风扇连接，有效降低机箱温度，双腔体散热风道设计致仪器正面留有曲面凹槽，减轻空压机负担，延长氮气发生器使用寿命；</w:t>
      </w:r>
    </w:p>
    <w:p w14:paraId="0715349D">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3.8 内置消音器及隔音机箱，系统（包括主机和压缩机）噪音水平：不高于60分贝；</w:t>
      </w:r>
    </w:p>
    <w:p w14:paraId="7C3ABA13">
      <w:pPr>
        <w:keepNext w:val="0"/>
        <w:keepLines w:val="0"/>
        <w:pageBreakBefore w:val="0"/>
        <w:shd w:val="clear"/>
        <w:kinsoku/>
        <w:wordWrap/>
        <w:overflowPunct/>
        <w:topLinePunct w:val="0"/>
        <w:autoSpaceDE/>
        <w:autoSpaceDN w:val="0"/>
        <w:bidi w:val="0"/>
        <w:adjustRightInd/>
        <w:snapToGrid/>
        <w:spacing w:line="384" w:lineRule="auto"/>
        <w:ind w:left="12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3.9 配置液滴监控装置，实时持续监控气体管路，实现液滴报警，可触发二级排水功能，避免仪器管路进水损坏，保障设备正常运转；</w:t>
      </w:r>
    </w:p>
    <w:p w14:paraId="6B78939B">
      <w:pPr>
        <w:keepNext w:val="0"/>
        <w:keepLines w:val="0"/>
        <w:pageBreakBefore w:val="0"/>
        <w:shd w:val="clear"/>
        <w:kinsoku/>
        <w:wordWrap/>
        <w:overflowPunct/>
        <w:topLinePunct w:val="0"/>
        <w:autoSpaceDE/>
        <w:autoSpaceDN w:val="0"/>
        <w:bidi w:val="0"/>
        <w:adjustRightInd/>
        <w:snapToGrid/>
        <w:spacing w:line="384" w:lineRule="auto"/>
        <w:ind w:left="12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3.10 仪器标配7寸触摸屏；配备压力传感器及温度传感器，并且针对系统压力故障、温度故障等情况及时灯和弹窗报警，屏幕在仪器上部并带有报警日志，易于操作查看，可溯源；</w:t>
      </w:r>
    </w:p>
    <w:p w14:paraId="397644B5">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3.11 空压机和氮气发生器连接方式为空压机内置式；</w:t>
      </w:r>
    </w:p>
    <w:p w14:paraId="6406A587">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3.12 能满足24小时/天，365天运行要求； </w:t>
      </w:r>
    </w:p>
    <w:p w14:paraId="41EBCCC1">
      <w:pPr>
        <w:keepNext w:val="0"/>
        <w:keepLines w:val="0"/>
        <w:pageBreakBefore w:val="0"/>
        <w:shd w:val="clear"/>
        <w:kinsoku/>
        <w:wordWrap/>
        <w:overflowPunct/>
        <w:topLinePunct w:val="0"/>
        <w:autoSpaceDE/>
        <w:autoSpaceDN w:val="0"/>
        <w:bidi w:val="0"/>
        <w:adjustRightInd/>
        <w:snapToGrid/>
        <w:spacing w:line="384"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3.13 氮气发生器底部具承重轮及锁扣设计，安放平稳，移动方便；</w:t>
      </w:r>
    </w:p>
    <w:p w14:paraId="17C289C5">
      <w:pPr>
        <w:keepNext w:val="0"/>
        <w:keepLines w:val="0"/>
        <w:pageBreakBefore w:val="0"/>
        <w:shd w:val="clear"/>
        <w:kinsoku/>
        <w:wordWrap/>
        <w:overflowPunct/>
        <w:topLinePunct w:val="0"/>
        <w:autoSpaceDE/>
        <w:autoSpaceDN w:val="0"/>
        <w:bidi w:val="0"/>
        <w:adjustRightInd/>
        <w:snapToGrid/>
        <w:spacing w:line="384"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3.14 配备该设备正常运转所必备的工具包及所需的零配件；</w:t>
      </w:r>
    </w:p>
    <w:p w14:paraId="1B9B2687">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3.15 整机采用模块化分区设计，能够尽快排除故障且方便维修。</w:t>
      </w:r>
    </w:p>
    <w:p w14:paraId="42A7DB42">
      <w:pPr>
        <w:keepNext w:val="0"/>
        <w:keepLines w:val="0"/>
        <w:pageBreakBefore w:val="0"/>
        <w:shd w:val="clear"/>
        <w:kinsoku/>
        <w:wordWrap/>
        <w:overflowPunct/>
        <w:topLinePunct w:val="0"/>
        <w:autoSpaceDE/>
        <w:autoSpaceDN w:val="0"/>
        <w:bidi w:val="0"/>
        <w:adjustRightInd/>
        <w:snapToGrid/>
        <w:spacing w:line="384" w:lineRule="auto"/>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★4、</w:t>
      </w:r>
      <w:r>
        <w:rPr>
          <w:rFonts w:hint="eastAsia" w:ascii="宋体" w:hAnsi="宋体" w:cs="宋体"/>
          <w:color w:val="auto"/>
          <w:sz w:val="21"/>
          <w:szCs w:val="21"/>
          <w:lang w:eastAsia="zh-CN"/>
        </w:rPr>
        <w:t>质保期：</w:t>
      </w:r>
      <w:r>
        <w:rPr>
          <w:rFonts w:hint="eastAsia" w:ascii="宋体" w:hAnsi="宋体" w:eastAsia="宋体" w:cs="宋体"/>
          <w:color w:val="auto"/>
          <w:sz w:val="21"/>
          <w:szCs w:val="21"/>
        </w:rPr>
        <w:t>自设备验收合格之日起计算，</w:t>
      </w:r>
      <w:r>
        <w:rPr>
          <w:rFonts w:hint="eastAsia" w:ascii="宋体" w:hAnsi="宋体" w:eastAsia="宋体" w:cs="宋体"/>
          <w:color w:val="auto"/>
          <w:sz w:val="21"/>
          <w:szCs w:val="21"/>
          <w:lang w:eastAsia="zh-CN"/>
        </w:rPr>
        <w:t>质保期</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kern w:val="2"/>
          <w:sz w:val="21"/>
          <w:szCs w:val="21"/>
          <w:lang w:val="en-US" w:eastAsia="zh-CN" w:bidi="ar-SA"/>
        </w:rPr>
        <w:t>质保期内设备免费保修，所需配件免费提供并更换</w:t>
      </w:r>
      <w:r>
        <w:rPr>
          <w:rFonts w:hint="eastAsia" w:ascii="宋体" w:hAnsi="宋体" w:eastAsia="宋体" w:cs="宋体"/>
          <w:color w:val="auto"/>
          <w:sz w:val="21"/>
          <w:szCs w:val="21"/>
        </w:rPr>
        <w:t>。</w:t>
      </w:r>
    </w:p>
    <w:p w14:paraId="39BBF169">
      <w:pPr>
        <w:keepNext w:val="0"/>
        <w:keepLines w:val="0"/>
        <w:pageBreakBefore w:val="0"/>
        <w:kinsoku/>
        <w:wordWrap/>
        <w:overflowPunct/>
        <w:topLinePunct w:val="0"/>
        <w:bidi w:val="0"/>
        <w:snapToGrid/>
        <w:spacing w:line="384" w:lineRule="auto"/>
        <w:ind w:firstLine="422" w:firstLineChars="20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说明：</w:t>
      </w:r>
    </w:p>
    <w:p w14:paraId="217CE814">
      <w:pPr>
        <w:keepNext w:val="0"/>
        <w:keepLines w:val="0"/>
        <w:pageBreakBefore w:val="0"/>
        <w:kinsoku/>
        <w:wordWrap/>
        <w:overflowPunct/>
        <w:topLinePunct w:val="0"/>
        <w:bidi w:val="0"/>
        <w:snapToGrid/>
        <w:spacing w:line="384" w:lineRule="auto"/>
        <w:ind w:firstLine="422" w:firstLineChars="200"/>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技术参数前加“★”号的参数指标为主要技术指标(符合性审查内容)，投标人所投产品必须满足或优于这些指标；未加“★”号的</w:t>
      </w:r>
      <w:r>
        <w:rPr>
          <w:rFonts w:hint="eastAsia" w:ascii="宋体" w:hAnsi="宋体" w:cs="宋体"/>
          <w:b/>
          <w:bCs/>
          <w:color w:val="auto"/>
          <w:kern w:val="2"/>
          <w:sz w:val="21"/>
          <w:szCs w:val="21"/>
          <w:lang w:val="en-US" w:eastAsia="zh-CN" w:bidi="ar-SA"/>
        </w:rPr>
        <w:t>技术</w:t>
      </w:r>
      <w:r>
        <w:rPr>
          <w:rFonts w:hint="eastAsia" w:ascii="宋体" w:hAnsi="宋体" w:eastAsia="宋体" w:cs="宋体"/>
          <w:b/>
          <w:bCs/>
          <w:color w:val="auto"/>
          <w:kern w:val="2"/>
          <w:sz w:val="21"/>
          <w:szCs w:val="21"/>
          <w:lang w:val="en-US" w:eastAsia="zh-CN" w:bidi="ar-SA"/>
        </w:rPr>
        <w:t>参数指标为一般性技术指标(评分考量内容)</w:t>
      </w:r>
      <w:r>
        <w:rPr>
          <w:rFonts w:hint="eastAsia" w:ascii="宋体" w:hAnsi="宋体" w:cs="宋体"/>
          <w:b/>
          <w:bCs/>
          <w:color w:val="auto"/>
          <w:kern w:val="2"/>
          <w:sz w:val="21"/>
          <w:szCs w:val="21"/>
          <w:lang w:val="en-US" w:eastAsia="zh-CN" w:bidi="ar-SA"/>
        </w:rPr>
        <w:t>，评标委员会将按照评标标准和方法对一般性技术指标响应情况进行评审</w:t>
      </w:r>
      <w:r>
        <w:rPr>
          <w:rFonts w:hint="eastAsia" w:ascii="宋体" w:hAnsi="宋体" w:eastAsia="宋体" w:cs="宋体"/>
          <w:b/>
          <w:bCs/>
          <w:color w:val="auto"/>
          <w:kern w:val="2"/>
          <w:sz w:val="21"/>
          <w:szCs w:val="21"/>
          <w:lang w:val="en-US" w:eastAsia="zh-CN" w:bidi="ar-SA"/>
        </w:rPr>
        <w:t>。</w:t>
      </w:r>
    </w:p>
    <w:p w14:paraId="065B5FB1">
      <w:pPr>
        <w:pStyle w:val="2"/>
        <w:ind w:left="630"/>
        <w:jc w:val="center"/>
        <w:rPr>
          <w:rFonts w:hint="eastAsia" w:ascii="宋体" w:hAnsi="宋体" w:eastAsia="宋体" w:cs="宋体"/>
          <w:b/>
          <w:bCs w:val="0"/>
          <w:color w:val="auto"/>
          <w:sz w:val="21"/>
          <w:szCs w:val="21"/>
          <w:highlight w:val="none"/>
        </w:rPr>
      </w:pPr>
      <w:bookmarkStart w:id="77" w:name="_Toc28999"/>
      <w:bookmarkStart w:id="78" w:name="_Toc24883"/>
      <w:bookmarkStart w:id="79" w:name="_Toc14763"/>
      <w:bookmarkStart w:id="80" w:name="_Toc2722"/>
    </w:p>
    <w:p w14:paraId="0419AA8C">
      <w:pPr>
        <w:pStyle w:val="2"/>
        <w:ind w:left="630"/>
        <w:jc w:val="center"/>
        <w:rPr>
          <w:rFonts w:hint="eastAsia" w:ascii="宋体" w:hAnsi="宋体" w:eastAsia="宋体" w:cs="宋体"/>
          <w:b/>
          <w:bCs w:val="0"/>
          <w:color w:val="auto"/>
          <w:sz w:val="21"/>
          <w:szCs w:val="21"/>
          <w:highlight w:val="none"/>
        </w:rPr>
      </w:pPr>
    </w:p>
    <w:p w14:paraId="6F4ECE79">
      <w:pPr>
        <w:pStyle w:val="2"/>
        <w:ind w:left="630"/>
        <w:jc w:val="center"/>
        <w:rPr>
          <w:rFonts w:hint="eastAsia" w:ascii="宋体" w:hAnsi="宋体" w:eastAsia="宋体" w:cs="宋体"/>
          <w:b/>
          <w:bCs w:val="0"/>
          <w:color w:val="auto"/>
          <w:sz w:val="21"/>
          <w:szCs w:val="21"/>
          <w:highlight w:val="none"/>
        </w:rPr>
      </w:pPr>
    </w:p>
    <w:p w14:paraId="05F7BF5B">
      <w:pPr>
        <w:pStyle w:val="2"/>
        <w:ind w:left="630"/>
        <w:jc w:val="center"/>
        <w:rPr>
          <w:rFonts w:hint="eastAsia" w:ascii="宋体" w:hAnsi="宋体" w:eastAsia="宋体" w:cs="宋体"/>
          <w:b/>
          <w:bCs w:val="0"/>
          <w:color w:val="auto"/>
          <w:sz w:val="21"/>
          <w:szCs w:val="21"/>
          <w:highlight w:val="none"/>
        </w:rPr>
      </w:pPr>
    </w:p>
    <w:p w14:paraId="5B39CF9C">
      <w:pPr>
        <w:pStyle w:val="2"/>
        <w:ind w:left="630"/>
        <w:jc w:val="center"/>
        <w:rPr>
          <w:rFonts w:hint="eastAsia" w:ascii="宋体" w:hAnsi="宋体" w:eastAsia="宋体" w:cs="宋体"/>
          <w:b/>
          <w:bCs w:val="0"/>
          <w:color w:val="auto"/>
          <w:sz w:val="21"/>
          <w:szCs w:val="21"/>
          <w:highlight w:val="none"/>
        </w:rPr>
      </w:pPr>
    </w:p>
    <w:p w14:paraId="109FF4B5">
      <w:pPr>
        <w:pStyle w:val="2"/>
        <w:ind w:left="630"/>
        <w:jc w:val="center"/>
        <w:rPr>
          <w:rFonts w:hint="eastAsia" w:ascii="宋体" w:hAnsi="宋体" w:eastAsia="宋体" w:cs="宋体"/>
          <w:b/>
          <w:bCs w:val="0"/>
          <w:color w:val="auto"/>
          <w:sz w:val="21"/>
          <w:szCs w:val="21"/>
          <w:highlight w:val="none"/>
        </w:rPr>
      </w:pPr>
    </w:p>
    <w:p w14:paraId="47DA1868">
      <w:pPr>
        <w:pStyle w:val="2"/>
        <w:ind w:left="630"/>
        <w:jc w:val="center"/>
        <w:rPr>
          <w:rFonts w:hint="eastAsia" w:ascii="宋体" w:hAnsi="宋体" w:eastAsia="宋体" w:cs="宋体"/>
          <w:b/>
          <w:bCs w:val="0"/>
          <w:color w:val="auto"/>
          <w:sz w:val="21"/>
          <w:szCs w:val="21"/>
          <w:highlight w:val="none"/>
        </w:rPr>
      </w:pPr>
    </w:p>
    <w:p w14:paraId="5E6D784D">
      <w:pPr>
        <w:pStyle w:val="2"/>
        <w:ind w:left="630"/>
        <w:jc w:val="center"/>
        <w:rPr>
          <w:rFonts w:hint="eastAsia" w:ascii="宋体" w:hAnsi="宋体" w:eastAsia="宋体" w:cs="宋体"/>
          <w:b/>
          <w:bCs w:val="0"/>
          <w:color w:val="auto"/>
          <w:sz w:val="21"/>
          <w:szCs w:val="21"/>
          <w:highlight w:val="none"/>
        </w:rPr>
      </w:pPr>
    </w:p>
    <w:p w14:paraId="3D1865DF">
      <w:pPr>
        <w:pStyle w:val="2"/>
        <w:ind w:left="630"/>
        <w:jc w:val="center"/>
        <w:rPr>
          <w:rFonts w:hint="eastAsia" w:ascii="宋体" w:hAnsi="宋体" w:eastAsia="宋体" w:cs="宋体"/>
          <w:b/>
          <w:bCs w:val="0"/>
          <w:color w:val="auto"/>
          <w:sz w:val="21"/>
          <w:szCs w:val="21"/>
          <w:highlight w:val="none"/>
        </w:rPr>
      </w:pPr>
    </w:p>
    <w:p w14:paraId="6B602C5A">
      <w:pPr>
        <w:pStyle w:val="2"/>
        <w:ind w:left="630"/>
        <w:jc w:val="center"/>
        <w:rPr>
          <w:rFonts w:hint="eastAsia" w:ascii="宋体" w:hAnsi="宋体" w:eastAsia="宋体" w:cs="宋体"/>
          <w:b/>
          <w:bCs w:val="0"/>
          <w:color w:val="auto"/>
          <w:sz w:val="21"/>
          <w:szCs w:val="21"/>
          <w:highlight w:val="none"/>
        </w:rPr>
      </w:pPr>
    </w:p>
    <w:p w14:paraId="14FF49C4">
      <w:pPr>
        <w:pStyle w:val="2"/>
        <w:ind w:left="630"/>
        <w:jc w:val="center"/>
        <w:rPr>
          <w:rFonts w:hint="eastAsia" w:ascii="宋体" w:hAnsi="宋体" w:eastAsia="宋体" w:cs="宋体"/>
          <w:b/>
          <w:bCs w:val="0"/>
          <w:color w:val="auto"/>
          <w:sz w:val="21"/>
          <w:szCs w:val="21"/>
          <w:highlight w:val="none"/>
        </w:rPr>
      </w:pPr>
    </w:p>
    <w:p w14:paraId="5441CDF4">
      <w:pPr>
        <w:pStyle w:val="2"/>
        <w:ind w:left="630"/>
        <w:jc w:val="center"/>
        <w:rPr>
          <w:rFonts w:hint="eastAsia" w:ascii="宋体" w:hAnsi="宋体" w:eastAsia="宋体" w:cs="宋体"/>
          <w:b/>
          <w:bCs w:val="0"/>
          <w:color w:val="auto"/>
          <w:sz w:val="21"/>
          <w:szCs w:val="21"/>
          <w:highlight w:val="none"/>
        </w:rPr>
      </w:pPr>
    </w:p>
    <w:p w14:paraId="1A36B398">
      <w:pPr>
        <w:pStyle w:val="2"/>
        <w:ind w:left="630"/>
        <w:jc w:val="center"/>
        <w:rPr>
          <w:rFonts w:hint="eastAsia" w:ascii="宋体" w:hAnsi="宋体" w:eastAsia="宋体" w:cs="宋体"/>
          <w:b/>
          <w:bCs w:val="0"/>
          <w:color w:val="auto"/>
          <w:sz w:val="21"/>
          <w:szCs w:val="21"/>
          <w:highlight w:val="none"/>
        </w:rPr>
      </w:pPr>
    </w:p>
    <w:p w14:paraId="56506222">
      <w:pPr>
        <w:pStyle w:val="2"/>
        <w:ind w:left="630"/>
        <w:jc w:val="center"/>
        <w:rPr>
          <w:rFonts w:hint="eastAsia" w:ascii="宋体" w:hAnsi="宋体" w:eastAsia="宋体" w:cs="宋体"/>
          <w:b/>
          <w:bCs w:val="0"/>
          <w:color w:val="auto"/>
          <w:sz w:val="21"/>
          <w:szCs w:val="21"/>
          <w:highlight w:val="none"/>
        </w:rPr>
      </w:pPr>
    </w:p>
    <w:p w14:paraId="52A2A14F">
      <w:pPr>
        <w:pStyle w:val="2"/>
        <w:ind w:left="630"/>
        <w:jc w:val="center"/>
        <w:rPr>
          <w:rFonts w:hint="eastAsia" w:ascii="宋体" w:hAnsi="宋体" w:eastAsia="宋体" w:cs="宋体"/>
          <w:b/>
          <w:bCs w:val="0"/>
          <w:color w:val="auto"/>
          <w:sz w:val="21"/>
          <w:szCs w:val="21"/>
          <w:highlight w:val="none"/>
        </w:rPr>
      </w:pPr>
    </w:p>
    <w:p w14:paraId="44CFFD45">
      <w:pPr>
        <w:pStyle w:val="2"/>
        <w:ind w:left="630"/>
        <w:jc w:val="center"/>
        <w:rPr>
          <w:rFonts w:hint="eastAsia" w:ascii="宋体" w:hAnsi="宋体" w:eastAsia="宋体" w:cs="宋体"/>
          <w:b/>
          <w:bCs w:val="0"/>
          <w:color w:val="auto"/>
          <w:sz w:val="21"/>
          <w:szCs w:val="21"/>
          <w:highlight w:val="none"/>
        </w:rPr>
      </w:pPr>
    </w:p>
    <w:p w14:paraId="4F9BF453">
      <w:pPr>
        <w:pStyle w:val="2"/>
        <w:ind w:left="630"/>
        <w:jc w:val="center"/>
        <w:rPr>
          <w:rFonts w:hint="eastAsia" w:ascii="宋体" w:hAnsi="宋体" w:eastAsia="宋体" w:cs="宋体"/>
          <w:b/>
          <w:bCs w:val="0"/>
          <w:color w:val="auto"/>
          <w:sz w:val="21"/>
          <w:szCs w:val="21"/>
          <w:highlight w:val="none"/>
        </w:rPr>
      </w:pPr>
    </w:p>
    <w:p w14:paraId="6C562890">
      <w:pPr>
        <w:rPr>
          <w:rFonts w:hint="eastAsia"/>
          <w:color w:val="auto"/>
        </w:rPr>
      </w:pPr>
    </w:p>
    <w:p w14:paraId="6D6D578E">
      <w:pPr>
        <w:pStyle w:val="2"/>
        <w:ind w:left="630"/>
        <w:jc w:val="center"/>
        <w:rPr>
          <w:rFonts w:hint="eastAsia" w:ascii="宋体" w:hAnsi="宋体" w:eastAsia="宋体" w:cs="宋体"/>
          <w:b/>
          <w:bCs w:val="0"/>
          <w:color w:val="auto"/>
          <w:sz w:val="21"/>
          <w:szCs w:val="21"/>
          <w:highlight w:val="none"/>
        </w:rPr>
      </w:pPr>
    </w:p>
    <w:p w14:paraId="539F1490">
      <w:pPr>
        <w:pStyle w:val="2"/>
        <w:ind w:left="630"/>
        <w:jc w:val="center"/>
        <w:rPr>
          <w:rFonts w:hint="eastAsia" w:ascii="宋体" w:hAnsi="宋体" w:eastAsia="宋体" w:cs="宋体"/>
          <w:b/>
          <w:bCs w:val="0"/>
          <w:color w:val="auto"/>
          <w:sz w:val="21"/>
          <w:szCs w:val="21"/>
          <w:highlight w:val="none"/>
        </w:rPr>
      </w:pPr>
    </w:p>
    <w:p w14:paraId="6DAD3CE4">
      <w:pPr>
        <w:pStyle w:val="2"/>
        <w:ind w:left="630"/>
        <w:jc w:val="center"/>
        <w:rPr>
          <w:rFonts w:hint="eastAsia" w:ascii="宋体" w:hAnsi="宋体" w:eastAsia="宋体" w:cs="宋体"/>
          <w:b/>
          <w:bCs w:val="0"/>
          <w:color w:val="auto"/>
          <w:sz w:val="21"/>
          <w:szCs w:val="21"/>
          <w:highlight w:val="none"/>
        </w:rPr>
      </w:pPr>
    </w:p>
    <w:p w14:paraId="445A4B60">
      <w:pPr>
        <w:pStyle w:val="2"/>
        <w:ind w:left="630"/>
        <w:jc w:val="center"/>
        <w:rPr>
          <w:rFonts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第五部分  资格审查内容及标准</w:t>
      </w:r>
      <w:bookmarkEnd w:id="77"/>
      <w:bookmarkEnd w:id="78"/>
      <w:bookmarkEnd w:id="79"/>
      <w:bookmarkEnd w:id="80"/>
    </w:p>
    <w:tbl>
      <w:tblPr>
        <w:tblStyle w:val="18"/>
        <w:tblW w:w="8938" w:type="dxa"/>
        <w:tblInd w:w="-2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3"/>
        <w:gridCol w:w="1635"/>
        <w:gridCol w:w="6520"/>
      </w:tblGrid>
      <w:tr w14:paraId="4A0F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83" w:type="dxa"/>
            <w:vAlign w:val="center"/>
          </w:tcPr>
          <w:p w14:paraId="4168B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35" w:type="dxa"/>
            <w:vAlign w:val="center"/>
          </w:tcPr>
          <w:p w14:paraId="775496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6520" w:type="dxa"/>
          </w:tcPr>
          <w:p w14:paraId="090F3D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标准</w:t>
            </w:r>
          </w:p>
        </w:tc>
      </w:tr>
      <w:tr w14:paraId="04193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83" w:type="dxa"/>
            <w:vAlign w:val="center"/>
          </w:tcPr>
          <w:p w14:paraId="18010B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635" w:type="dxa"/>
            <w:vAlign w:val="center"/>
          </w:tcPr>
          <w:p w14:paraId="686BAB8E">
            <w:pPr>
              <w:spacing w:line="360" w:lineRule="auto"/>
              <w:rPr>
                <w:rFonts w:ascii="宋体" w:hAnsi="宋体" w:cs="宋体"/>
                <w:color w:val="auto"/>
                <w:szCs w:val="21"/>
                <w:highlight w:val="none"/>
              </w:rPr>
            </w:pPr>
            <w:r>
              <w:rPr>
                <w:rFonts w:hint="eastAsia" w:ascii="宋体" w:hAnsi="宋体" w:cs="宋体"/>
                <w:color w:val="auto"/>
                <w:szCs w:val="21"/>
                <w:highlight w:val="none"/>
              </w:rPr>
              <w:t>投标函</w:t>
            </w:r>
          </w:p>
        </w:tc>
        <w:tc>
          <w:tcPr>
            <w:tcW w:w="6520" w:type="dxa"/>
            <w:vAlign w:val="center"/>
          </w:tcPr>
          <w:p w14:paraId="32B426C7">
            <w:pPr>
              <w:spacing w:line="360" w:lineRule="auto"/>
              <w:rPr>
                <w:rFonts w:ascii="宋体" w:hAnsi="宋体" w:cs="宋体"/>
                <w:color w:val="auto"/>
                <w:szCs w:val="21"/>
                <w:highlight w:val="none"/>
              </w:rPr>
            </w:pPr>
            <w:r>
              <w:rPr>
                <w:rFonts w:hint="eastAsia" w:ascii="宋体" w:hAnsi="宋体" w:cs="宋体"/>
                <w:color w:val="auto"/>
                <w:szCs w:val="21"/>
                <w:highlight w:val="none"/>
              </w:rPr>
              <w:t>内容齐全，签署和印章使用完整、清晰、符合要求。</w:t>
            </w:r>
          </w:p>
        </w:tc>
      </w:tr>
      <w:tr w14:paraId="08F6E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22" w:hRule="atLeast"/>
        </w:trPr>
        <w:tc>
          <w:tcPr>
            <w:tcW w:w="783" w:type="dxa"/>
            <w:vAlign w:val="center"/>
          </w:tcPr>
          <w:p w14:paraId="775BDF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635" w:type="dxa"/>
            <w:vAlign w:val="center"/>
          </w:tcPr>
          <w:p w14:paraId="7A8DA96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投标人代表证明</w:t>
            </w:r>
          </w:p>
        </w:tc>
        <w:tc>
          <w:tcPr>
            <w:tcW w:w="6520" w:type="dxa"/>
          </w:tcPr>
          <w:p w14:paraId="0989D68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1、法定代表人（负责人）参加投标的，仅提供“法定代表人（负责人）证明书”，委托代理人参加投标的，还须提供“法定代表人（负责人）授权委托书”； </w:t>
            </w:r>
          </w:p>
          <w:p w14:paraId="3B12311E">
            <w:pPr>
              <w:spacing w:line="360" w:lineRule="auto"/>
              <w:rPr>
                <w:rFonts w:ascii="宋体" w:hAnsi="宋体" w:cs="宋体"/>
                <w:color w:val="auto"/>
                <w:szCs w:val="21"/>
                <w:highlight w:val="none"/>
              </w:rPr>
            </w:pPr>
            <w:r>
              <w:rPr>
                <w:rFonts w:hint="eastAsia" w:ascii="宋体" w:hAnsi="宋体" w:cs="宋体"/>
                <w:color w:val="auto"/>
                <w:szCs w:val="21"/>
                <w:highlight w:val="none"/>
              </w:rPr>
              <w:t>2、自然人参加投标的，提供个人身份证明影印件</w:t>
            </w:r>
          </w:p>
          <w:p w14:paraId="0526E91A">
            <w:pPr>
              <w:spacing w:line="360" w:lineRule="auto"/>
              <w:rPr>
                <w:rFonts w:ascii="宋体" w:hAnsi="宋体" w:cs="宋体"/>
                <w:color w:val="auto"/>
                <w:szCs w:val="21"/>
                <w:highlight w:val="none"/>
              </w:rPr>
            </w:pPr>
            <w:r>
              <w:rPr>
                <w:rFonts w:hint="eastAsia" w:ascii="宋体" w:hAnsi="宋体" w:cs="宋体"/>
                <w:color w:val="auto"/>
                <w:szCs w:val="21"/>
                <w:highlight w:val="none"/>
              </w:rPr>
              <w:t>内容齐全，签署和印章使用完整、清晰、符合要求。</w:t>
            </w:r>
          </w:p>
        </w:tc>
      </w:tr>
      <w:tr w14:paraId="7B024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0" w:hRule="atLeast"/>
        </w:trPr>
        <w:tc>
          <w:tcPr>
            <w:tcW w:w="783" w:type="dxa"/>
            <w:vAlign w:val="center"/>
          </w:tcPr>
          <w:p w14:paraId="25A01C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635" w:type="dxa"/>
            <w:vAlign w:val="center"/>
          </w:tcPr>
          <w:p w14:paraId="319D32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投标人承诺函</w:t>
            </w:r>
          </w:p>
        </w:tc>
        <w:tc>
          <w:tcPr>
            <w:tcW w:w="6520" w:type="dxa"/>
            <w:vAlign w:val="center"/>
          </w:tcPr>
          <w:p w14:paraId="15C48D4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内容有效，签署和印章使用完整、清晰、符合要求。</w:t>
            </w:r>
          </w:p>
        </w:tc>
      </w:tr>
      <w:tr w14:paraId="43D1A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8" w:hRule="atLeast"/>
        </w:trPr>
        <w:tc>
          <w:tcPr>
            <w:tcW w:w="783" w:type="dxa"/>
            <w:vAlign w:val="center"/>
          </w:tcPr>
          <w:p w14:paraId="0476AF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635" w:type="dxa"/>
            <w:vAlign w:val="center"/>
          </w:tcPr>
          <w:p w14:paraId="586EE0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本项目要求的其他资格条件</w:t>
            </w:r>
          </w:p>
        </w:tc>
        <w:tc>
          <w:tcPr>
            <w:tcW w:w="6520" w:type="dxa"/>
            <w:vAlign w:val="center"/>
          </w:tcPr>
          <w:p w14:paraId="5A099C99">
            <w:pPr>
              <w:spacing w:line="360" w:lineRule="auto"/>
              <w:rPr>
                <w:rFonts w:ascii="宋体" w:hAnsi="宋体" w:cs="宋体"/>
                <w:color w:val="auto"/>
                <w:szCs w:val="21"/>
                <w:highlight w:val="none"/>
              </w:rPr>
            </w:pPr>
            <w:r>
              <w:rPr>
                <w:rFonts w:hint="eastAsia" w:ascii="宋体" w:hAnsi="宋体" w:cs="宋体"/>
                <w:color w:val="auto"/>
                <w:szCs w:val="21"/>
                <w:highlight w:val="none"/>
              </w:rPr>
              <w:t>证明文件清晰、符合要求。</w:t>
            </w:r>
          </w:p>
        </w:tc>
      </w:tr>
      <w:tr w14:paraId="541F4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8" w:hRule="atLeast"/>
        </w:trPr>
        <w:tc>
          <w:tcPr>
            <w:tcW w:w="783" w:type="dxa"/>
            <w:vAlign w:val="center"/>
          </w:tcPr>
          <w:p w14:paraId="2EA1D4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635" w:type="dxa"/>
            <w:vAlign w:val="center"/>
          </w:tcPr>
          <w:p w14:paraId="67422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基本存款账户开户许可证</w:t>
            </w:r>
          </w:p>
        </w:tc>
        <w:tc>
          <w:tcPr>
            <w:tcW w:w="6520" w:type="dxa"/>
            <w:vAlign w:val="center"/>
          </w:tcPr>
          <w:p w14:paraId="0EC8A70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提供基本存款账户开户许可证或基本存款账户信息</w:t>
            </w:r>
          </w:p>
        </w:tc>
      </w:tr>
      <w:tr w14:paraId="71FDF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9" w:hRule="atLeast"/>
        </w:trPr>
        <w:tc>
          <w:tcPr>
            <w:tcW w:w="783" w:type="dxa"/>
            <w:vAlign w:val="center"/>
          </w:tcPr>
          <w:p w14:paraId="49B91F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635" w:type="dxa"/>
            <w:vAlign w:val="center"/>
          </w:tcPr>
          <w:p w14:paraId="41CF90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投标主体</w:t>
            </w:r>
          </w:p>
        </w:tc>
        <w:tc>
          <w:tcPr>
            <w:tcW w:w="6520" w:type="dxa"/>
          </w:tcPr>
          <w:p w14:paraId="6BBEA58D">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对是否允许代理商参加投标进行审查</w:t>
            </w:r>
          </w:p>
          <w:p w14:paraId="48872B1D">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对是否允许联合体参加投标进行审查，如果允许联合体参加，须对联合体各方签订的联合体协议进行审查，审查的标准为：内容齐全，签署符合要求。</w:t>
            </w:r>
          </w:p>
        </w:tc>
      </w:tr>
    </w:tbl>
    <w:p w14:paraId="77072A47">
      <w:pPr>
        <w:pStyle w:val="2"/>
        <w:ind w:left="630"/>
        <w:jc w:val="center"/>
        <w:rPr>
          <w:rFonts w:ascii="宋体" w:hAnsi="宋体" w:eastAsia="宋体" w:cs="宋体"/>
          <w:b/>
          <w:bCs w:val="0"/>
          <w:color w:val="auto"/>
          <w:sz w:val="21"/>
          <w:szCs w:val="21"/>
          <w:highlight w:val="none"/>
        </w:rPr>
      </w:pPr>
      <w:bookmarkStart w:id="81" w:name="_Toc22944"/>
      <w:bookmarkStart w:id="82" w:name="_Toc32228"/>
      <w:bookmarkStart w:id="83" w:name="_Toc9300"/>
      <w:bookmarkStart w:id="84" w:name="_Toc31663"/>
    </w:p>
    <w:p w14:paraId="40BAF04C">
      <w:pPr>
        <w:rPr>
          <w:rFonts w:ascii="宋体" w:hAnsi="宋体" w:cs="宋体"/>
          <w:b/>
          <w:color w:val="auto"/>
          <w:szCs w:val="21"/>
          <w:highlight w:val="none"/>
        </w:rPr>
      </w:pPr>
    </w:p>
    <w:p w14:paraId="7DAACA90">
      <w:pPr>
        <w:pStyle w:val="22"/>
        <w:ind w:firstLine="422"/>
        <w:rPr>
          <w:rFonts w:ascii="宋体" w:hAnsi="宋体" w:cs="宋体"/>
          <w:b/>
          <w:color w:val="auto"/>
          <w:szCs w:val="21"/>
          <w:highlight w:val="none"/>
        </w:rPr>
      </w:pPr>
    </w:p>
    <w:p w14:paraId="59C3F303">
      <w:pPr>
        <w:pStyle w:val="22"/>
        <w:ind w:firstLine="422"/>
        <w:rPr>
          <w:rFonts w:ascii="宋体" w:hAnsi="宋体" w:cs="宋体"/>
          <w:b/>
          <w:color w:val="auto"/>
          <w:szCs w:val="21"/>
          <w:highlight w:val="none"/>
        </w:rPr>
      </w:pPr>
    </w:p>
    <w:p w14:paraId="1574E16D">
      <w:pPr>
        <w:pStyle w:val="22"/>
        <w:ind w:firstLine="422"/>
        <w:rPr>
          <w:rFonts w:ascii="宋体" w:hAnsi="宋体" w:cs="宋体"/>
          <w:b/>
          <w:color w:val="auto"/>
          <w:szCs w:val="21"/>
          <w:highlight w:val="none"/>
        </w:rPr>
      </w:pPr>
    </w:p>
    <w:p w14:paraId="75F32F3E">
      <w:pPr>
        <w:pStyle w:val="22"/>
        <w:ind w:firstLine="422"/>
        <w:rPr>
          <w:rFonts w:ascii="宋体" w:hAnsi="宋体" w:cs="宋体"/>
          <w:b/>
          <w:color w:val="auto"/>
          <w:szCs w:val="21"/>
          <w:highlight w:val="none"/>
        </w:rPr>
      </w:pPr>
    </w:p>
    <w:p w14:paraId="4B6A9301">
      <w:pPr>
        <w:pStyle w:val="22"/>
        <w:ind w:firstLine="422"/>
        <w:rPr>
          <w:rFonts w:ascii="宋体" w:hAnsi="宋体" w:cs="宋体"/>
          <w:b/>
          <w:color w:val="auto"/>
          <w:szCs w:val="21"/>
          <w:highlight w:val="none"/>
        </w:rPr>
      </w:pPr>
    </w:p>
    <w:p w14:paraId="1303497E">
      <w:pPr>
        <w:pStyle w:val="22"/>
        <w:ind w:firstLine="422"/>
        <w:rPr>
          <w:rFonts w:ascii="宋体" w:hAnsi="宋体" w:cs="宋体"/>
          <w:b/>
          <w:color w:val="auto"/>
          <w:szCs w:val="21"/>
          <w:highlight w:val="none"/>
        </w:rPr>
      </w:pPr>
    </w:p>
    <w:p w14:paraId="3234F0E9">
      <w:pPr>
        <w:pStyle w:val="22"/>
        <w:ind w:firstLine="422"/>
        <w:rPr>
          <w:rFonts w:ascii="宋体" w:hAnsi="宋体" w:cs="宋体"/>
          <w:b/>
          <w:color w:val="auto"/>
          <w:szCs w:val="21"/>
          <w:highlight w:val="none"/>
        </w:rPr>
      </w:pPr>
    </w:p>
    <w:p w14:paraId="5302C8CF">
      <w:pPr>
        <w:pStyle w:val="22"/>
        <w:ind w:firstLine="422"/>
        <w:rPr>
          <w:rFonts w:ascii="宋体" w:hAnsi="宋体" w:cs="宋体"/>
          <w:b/>
          <w:color w:val="auto"/>
          <w:szCs w:val="21"/>
          <w:highlight w:val="none"/>
        </w:rPr>
      </w:pPr>
    </w:p>
    <w:p w14:paraId="5098823A">
      <w:pPr>
        <w:pStyle w:val="22"/>
        <w:ind w:firstLine="422"/>
        <w:rPr>
          <w:rFonts w:ascii="宋体" w:hAnsi="宋体" w:cs="宋体"/>
          <w:b/>
          <w:color w:val="auto"/>
          <w:szCs w:val="21"/>
          <w:highlight w:val="none"/>
        </w:rPr>
      </w:pPr>
    </w:p>
    <w:p w14:paraId="764EC622">
      <w:pPr>
        <w:pStyle w:val="22"/>
        <w:ind w:firstLine="422"/>
        <w:rPr>
          <w:rFonts w:ascii="宋体" w:hAnsi="宋体" w:cs="宋体"/>
          <w:b/>
          <w:color w:val="auto"/>
          <w:szCs w:val="21"/>
          <w:highlight w:val="none"/>
        </w:rPr>
      </w:pPr>
    </w:p>
    <w:p w14:paraId="2A3DB1B8">
      <w:pPr>
        <w:pStyle w:val="22"/>
        <w:ind w:firstLine="422"/>
        <w:rPr>
          <w:rFonts w:ascii="宋体" w:hAnsi="宋体" w:cs="宋体"/>
          <w:b/>
          <w:color w:val="auto"/>
          <w:szCs w:val="21"/>
          <w:highlight w:val="none"/>
        </w:rPr>
      </w:pPr>
    </w:p>
    <w:p w14:paraId="7E73D791">
      <w:pPr>
        <w:pStyle w:val="22"/>
        <w:ind w:firstLine="422"/>
        <w:rPr>
          <w:rFonts w:ascii="宋体" w:hAnsi="宋体" w:cs="宋体"/>
          <w:b/>
          <w:color w:val="auto"/>
          <w:szCs w:val="21"/>
          <w:highlight w:val="none"/>
        </w:rPr>
      </w:pPr>
    </w:p>
    <w:p w14:paraId="6005AEA0">
      <w:pPr>
        <w:pStyle w:val="2"/>
        <w:ind w:left="630"/>
        <w:jc w:val="center"/>
        <w:rPr>
          <w:rFonts w:hint="eastAsia" w:ascii="宋体" w:hAnsi="宋体" w:eastAsia="宋体" w:cs="宋体"/>
          <w:b/>
          <w:bCs w:val="0"/>
          <w:color w:val="auto"/>
          <w:sz w:val="21"/>
          <w:szCs w:val="21"/>
          <w:highlight w:val="none"/>
          <w:lang w:eastAsia="zh-CN"/>
        </w:rPr>
      </w:pPr>
      <w:bookmarkStart w:id="85" w:name="_Toc22045"/>
      <w:bookmarkStart w:id="86" w:name="_Toc18938"/>
      <w:r>
        <w:rPr>
          <w:rFonts w:hint="eastAsia" w:ascii="宋体" w:hAnsi="宋体" w:eastAsia="宋体" w:cs="宋体"/>
          <w:b/>
          <w:bCs w:val="0"/>
          <w:color w:val="auto"/>
          <w:sz w:val="21"/>
          <w:szCs w:val="21"/>
          <w:highlight w:val="none"/>
        </w:rPr>
        <w:t xml:space="preserve">第六部分  </w:t>
      </w:r>
      <w:bookmarkEnd w:id="81"/>
      <w:bookmarkEnd w:id="82"/>
      <w:bookmarkEnd w:id="83"/>
      <w:bookmarkEnd w:id="84"/>
      <w:bookmarkEnd w:id="85"/>
      <w:bookmarkEnd w:id="86"/>
      <w:r>
        <w:rPr>
          <w:rFonts w:hint="eastAsia" w:ascii="宋体" w:hAnsi="宋体" w:eastAsia="宋体" w:cs="宋体"/>
          <w:b/>
          <w:bCs w:val="0"/>
          <w:color w:val="auto"/>
          <w:sz w:val="21"/>
          <w:szCs w:val="21"/>
          <w:highlight w:val="none"/>
          <w:lang w:eastAsia="zh-CN"/>
        </w:rPr>
        <w:t>评标标准和评分方法</w:t>
      </w:r>
    </w:p>
    <w:p w14:paraId="2D73B7F7">
      <w:pPr>
        <w:widowControl/>
        <w:numPr>
          <w:ilvl w:val="0"/>
          <w:numId w:val="7"/>
        </w:numPr>
        <w:spacing w:after="160" w:line="360" w:lineRule="auto"/>
        <w:ind w:left="663" w:hanging="454"/>
        <w:jc w:val="left"/>
        <w:rPr>
          <w:rFonts w:ascii="宋体" w:hAnsi="宋体" w:cs="宋体"/>
          <w:b/>
          <w:bCs/>
          <w:color w:val="auto"/>
          <w:szCs w:val="21"/>
          <w:highlight w:val="none"/>
        </w:rPr>
      </w:pPr>
      <w:bookmarkStart w:id="87" w:name="_Toc19292"/>
      <w:r>
        <w:rPr>
          <w:rFonts w:hint="eastAsia" w:ascii="宋体" w:hAnsi="宋体" w:cs="宋体"/>
          <w:b/>
          <w:bCs/>
          <w:color w:val="auto"/>
          <w:szCs w:val="21"/>
          <w:highlight w:val="none"/>
        </w:rPr>
        <w:t>投标文件的有效性、完整性、响应程度检查的内容及标准</w:t>
      </w:r>
      <w:bookmarkEnd w:id="87"/>
    </w:p>
    <w:tbl>
      <w:tblPr>
        <w:tblStyle w:val="18"/>
        <w:tblW w:w="85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2"/>
        <w:gridCol w:w="2323"/>
        <w:gridCol w:w="5574"/>
      </w:tblGrid>
      <w:tr w14:paraId="1C827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7" w:hRule="atLeast"/>
        </w:trPr>
        <w:tc>
          <w:tcPr>
            <w:tcW w:w="622" w:type="dxa"/>
            <w:vAlign w:val="center"/>
          </w:tcPr>
          <w:p w14:paraId="5401FA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323" w:type="dxa"/>
            <w:vAlign w:val="center"/>
          </w:tcPr>
          <w:p w14:paraId="5232E1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5574" w:type="dxa"/>
            <w:vAlign w:val="center"/>
          </w:tcPr>
          <w:p w14:paraId="064D65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标准</w:t>
            </w:r>
          </w:p>
        </w:tc>
      </w:tr>
      <w:tr w14:paraId="4A703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1" w:hRule="atLeast"/>
        </w:trPr>
        <w:tc>
          <w:tcPr>
            <w:tcW w:w="622" w:type="dxa"/>
            <w:vMerge w:val="restart"/>
            <w:vAlign w:val="center"/>
          </w:tcPr>
          <w:p w14:paraId="279F4F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323" w:type="dxa"/>
            <w:vAlign w:val="center"/>
          </w:tcPr>
          <w:p w14:paraId="08EED96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1.1投标文件的报价</w:t>
            </w:r>
          </w:p>
        </w:tc>
        <w:tc>
          <w:tcPr>
            <w:tcW w:w="5574" w:type="dxa"/>
            <w:vAlign w:val="center"/>
          </w:tcPr>
          <w:p w14:paraId="26555C0C">
            <w:pPr>
              <w:numPr>
                <w:ilvl w:val="0"/>
                <w:numId w:val="0"/>
              </w:numPr>
              <w:spacing w:line="360" w:lineRule="auto"/>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rPr>
              <w:t>所有投标报价均以人民币/元为计算单位。</w:t>
            </w:r>
          </w:p>
          <w:p w14:paraId="0B783413">
            <w:pPr>
              <w:numPr>
                <w:ilvl w:val="0"/>
                <w:numId w:val="0"/>
              </w:numPr>
              <w:spacing w:line="360" w:lineRule="auto"/>
              <w:jc w:val="left"/>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rPr>
              <w:t>不接受可选择或可调整的投标和报价。</w:t>
            </w:r>
          </w:p>
          <w:p w14:paraId="0C9B72EF">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、不接受超出本项目预算金额或最高限价的报价</w:t>
            </w:r>
            <w:r>
              <w:rPr>
                <w:rFonts w:hint="eastAsia" w:ascii="宋体" w:hAnsi="宋体" w:cs="宋体"/>
                <w:color w:val="auto"/>
                <w:szCs w:val="21"/>
                <w:highlight w:val="none"/>
                <w:lang w:eastAsia="zh-CN"/>
              </w:rPr>
              <w:t>。</w:t>
            </w:r>
          </w:p>
        </w:tc>
      </w:tr>
      <w:tr w14:paraId="7D8E7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1" w:hRule="atLeast"/>
        </w:trPr>
        <w:tc>
          <w:tcPr>
            <w:tcW w:w="622" w:type="dxa"/>
            <w:vMerge w:val="continue"/>
            <w:vAlign w:val="center"/>
          </w:tcPr>
          <w:p w14:paraId="7328E162">
            <w:pPr>
              <w:spacing w:line="360" w:lineRule="auto"/>
              <w:jc w:val="left"/>
              <w:rPr>
                <w:color w:val="auto"/>
              </w:rPr>
            </w:pPr>
          </w:p>
        </w:tc>
        <w:tc>
          <w:tcPr>
            <w:tcW w:w="2323" w:type="dxa"/>
            <w:vAlign w:val="center"/>
          </w:tcPr>
          <w:p w14:paraId="21B25D59">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1.2异常低价评审</w:t>
            </w:r>
          </w:p>
        </w:tc>
        <w:tc>
          <w:tcPr>
            <w:tcW w:w="5574" w:type="dxa"/>
            <w:vAlign w:val="center"/>
          </w:tcPr>
          <w:p w14:paraId="32A51284">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（一）评审中出现下列情形之一的，评标委员会应当启动异常低价投标（响应）审查程序： </w:t>
            </w:r>
          </w:p>
          <w:p w14:paraId="406B76AA">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1、投标（响应）报价低于全部通过符合性审查投标人投标（响应）报价平均值50%的，即投标（响应）报价＜全部通过符合性审查投标人投标（响应）报价平均值×50%； </w:t>
            </w:r>
          </w:p>
          <w:p w14:paraId="15E8ACCC">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2、投标（响应）报价低于通过符合性审查的次低报价投标人投标（响应）报价50%的，即投标（响应）报价＜通过符合性审查的次低报价投标人投标（响应）报价×50%； </w:t>
            </w:r>
          </w:p>
          <w:p w14:paraId="78347BF8">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3、投标（响应）报价低于采购项目最高限价45%的，即投标（响应）报价＜采购项目最高限价×45%； </w:t>
            </w:r>
          </w:p>
          <w:p w14:paraId="4E6467DE">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4、评标委员会基于专业判断，认为投标人报价过低，有可能影响产品质量或者不能诚信履约的其他情形。 </w:t>
            </w:r>
          </w:p>
          <w:p w14:paraId="15A6D02C">
            <w:pPr>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采购人可以结合具体项目实际情况，提高上述第1项至第3项中启动异常低价投标（响应）审查的数值标准，但是最高不得超过65%。</w:t>
            </w:r>
          </w:p>
          <w:p w14:paraId="590F0C40">
            <w:pPr>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二）评标委员会启动异常低价投标（响应）审查后，属于前述第1项至第4项情形的，要求相关投标人在评审现场30分钟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 </w:t>
            </w:r>
          </w:p>
          <w:p w14:paraId="36A36F6D">
            <w:pPr>
              <w:spacing w:line="360" w:lineRule="auto"/>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或未在规定时间内提供书面说明、证明材料；或者提供的书面说明、证明材料不能证明其报价合理性的，评标委员会应当将其作为无效投标（响应）处理。</w:t>
            </w:r>
          </w:p>
        </w:tc>
      </w:tr>
      <w:tr w14:paraId="1B1E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3A0AE7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323" w:type="dxa"/>
            <w:vAlign w:val="center"/>
          </w:tcPr>
          <w:p w14:paraId="161B60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商务要求响应内容</w:t>
            </w:r>
          </w:p>
        </w:tc>
        <w:tc>
          <w:tcPr>
            <w:tcW w:w="5574" w:type="dxa"/>
            <w:vAlign w:val="center"/>
          </w:tcPr>
          <w:p w14:paraId="0710C8A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对照本文件第四部分中“商务要求”内容和投标文件的响应内容进行审查，没有做出实质性响应的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42E1F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49CD68F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323" w:type="dxa"/>
            <w:vAlign w:val="center"/>
          </w:tcPr>
          <w:p w14:paraId="0098FFF8">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实质性要求响应内容</w:t>
            </w:r>
          </w:p>
        </w:tc>
        <w:tc>
          <w:tcPr>
            <w:tcW w:w="5574" w:type="dxa"/>
            <w:vAlign w:val="center"/>
          </w:tcPr>
          <w:p w14:paraId="53823B8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对照本文件第四部分中“实质性要求”内容和投标文件的响应内容进行审查，没有做出实质性响应的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54B2E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6A4D8E35">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2323" w:type="dxa"/>
            <w:vAlign w:val="center"/>
          </w:tcPr>
          <w:p w14:paraId="7189A7C2">
            <w:pPr>
              <w:spacing w:line="360" w:lineRule="auto"/>
              <w:jc w:val="center"/>
              <w:rPr>
                <w:rFonts w:hint="eastAsia" w:ascii="宋体" w:hAnsi="宋体" w:eastAsia="宋体" w:cs="宋体"/>
                <w:color w:val="auto"/>
                <w:szCs w:val="21"/>
                <w:highlight w:val="none"/>
                <w:lang w:eastAsia="zh-CN"/>
              </w:rPr>
            </w:pPr>
            <w:r>
              <w:rPr>
                <w:rFonts w:hint="eastAsia" w:ascii="宋体" w:hAnsi="宋体" w:cs="宋体"/>
                <w:b w:val="0"/>
                <w:bCs w:val="0"/>
                <w:color w:val="auto"/>
                <w:sz w:val="21"/>
                <w:szCs w:val="21"/>
                <w:highlight w:val="none"/>
              </w:rPr>
              <w:t>非实质性要求</w:t>
            </w:r>
            <w:r>
              <w:rPr>
                <w:rFonts w:hint="eastAsia" w:ascii="宋体" w:hAnsi="宋体" w:eastAsia="宋体" w:cs="宋体"/>
                <w:b w:val="0"/>
                <w:bCs w:val="0"/>
                <w:color w:val="auto"/>
                <w:szCs w:val="21"/>
                <w:highlight w:val="none"/>
                <w:lang w:eastAsia="zh-CN"/>
              </w:rPr>
              <w:t>响</w:t>
            </w:r>
            <w:r>
              <w:rPr>
                <w:rFonts w:hint="eastAsia" w:ascii="宋体" w:hAnsi="宋体" w:eastAsia="宋体" w:cs="宋体"/>
                <w:color w:val="auto"/>
                <w:szCs w:val="21"/>
                <w:highlight w:val="none"/>
                <w:lang w:eastAsia="zh-CN"/>
              </w:rPr>
              <w:t>应内容</w:t>
            </w:r>
          </w:p>
        </w:tc>
        <w:tc>
          <w:tcPr>
            <w:tcW w:w="5574" w:type="dxa"/>
            <w:vAlign w:val="center"/>
          </w:tcPr>
          <w:p w14:paraId="49E95F2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对照本文件第四部分中“</w:t>
            </w:r>
            <w:r>
              <w:rPr>
                <w:rFonts w:hint="eastAsia" w:ascii="宋体" w:hAnsi="宋体" w:cs="宋体"/>
                <w:color w:val="auto"/>
                <w:szCs w:val="21"/>
                <w:highlight w:val="none"/>
                <w:lang w:val="en-US" w:eastAsia="zh-CN"/>
              </w:rPr>
              <w:t>非</w:t>
            </w:r>
            <w:r>
              <w:rPr>
                <w:rFonts w:hint="eastAsia" w:ascii="宋体" w:hAnsi="宋体" w:cs="宋体"/>
                <w:color w:val="auto"/>
                <w:szCs w:val="21"/>
                <w:highlight w:val="none"/>
              </w:rPr>
              <w:t>实质性要求”内容和投标文件的响应内容进行审查，没有做出实质性响应的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p>
        </w:tc>
      </w:tr>
      <w:tr w14:paraId="14DD4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7ACBB7B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323" w:type="dxa"/>
            <w:vAlign w:val="center"/>
          </w:tcPr>
          <w:p w14:paraId="3FAA02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服务要求响应内容</w:t>
            </w:r>
          </w:p>
        </w:tc>
        <w:tc>
          <w:tcPr>
            <w:tcW w:w="5574" w:type="dxa"/>
            <w:vAlign w:val="center"/>
          </w:tcPr>
          <w:p w14:paraId="2D1FDDF1">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对照本文件第四部分“服务要求”</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内容和投标文件的响应内容进行审查，没有做出实质性响应的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无效投标处理</w:t>
            </w:r>
            <w:r>
              <w:rPr>
                <w:rFonts w:hint="eastAsia" w:ascii="宋体" w:hAnsi="宋体" w:cs="宋体"/>
                <w:color w:val="auto"/>
                <w:szCs w:val="21"/>
                <w:highlight w:val="none"/>
                <w:lang w:eastAsia="zh-CN"/>
              </w:rPr>
              <w:t>。</w:t>
            </w:r>
          </w:p>
        </w:tc>
      </w:tr>
      <w:tr w14:paraId="4C97A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622" w:type="dxa"/>
            <w:vAlign w:val="center"/>
          </w:tcPr>
          <w:p w14:paraId="08DD941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323" w:type="dxa"/>
            <w:vAlign w:val="center"/>
          </w:tcPr>
          <w:p w14:paraId="5747DB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技术要求响应内容</w:t>
            </w:r>
          </w:p>
        </w:tc>
        <w:tc>
          <w:tcPr>
            <w:tcW w:w="5574" w:type="dxa"/>
            <w:vAlign w:val="center"/>
          </w:tcPr>
          <w:p w14:paraId="300221BC">
            <w:pPr>
              <w:spacing w:line="360" w:lineRule="auto"/>
              <w:jc w:val="left"/>
              <w:rPr>
                <w:rFonts w:hint="eastAsia" w:ascii="宋体" w:hAnsi="宋体" w:cs="宋体"/>
                <w:color w:val="auto"/>
                <w:szCs w:val="21"/>
                <w:highlight w:val="none"/>
                <w:lang w:eastAsia="zh-CN"/>
              </w:rPr>
            </w:pPr>
            <w:r>
              <w:rPr>
                <w:rFonts w:hint="eastAsia" w:ascii="宋体" w:hAnsi="宋体" w:cs="宋体"/>
                <w:color w:val="auto"/>
                <w:szCs w:val="21"/>
                <w:highlight w:val="none"/>
              </w:rPr>
              <w:t>对照本文件第四部分的“技术</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”中标“★”的内容和投标文件的响应内容进行审查，没有做出实质性响应的做无效投标处理</w:t>
            </w:r>
            <w:r>
              <w:rPr>
                <w:rFonts w:hint="eastAsia" w:ascii="宋体" w:hAnsi="宋体" w:cs="宋体"/>
                <w:color w:val="auto"/>
                <w:szCs w:val="21"/>
                <w:highlight w:val="none"/>
                <w:lang w:eastAsia="zh-CN"/>
              </w:rPr>
              <w:t>。</w:t>
            </w:r>
          </w:p>
        </w:tc>
      </w:tr>
      <w:tr w14:paraId="32C045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8" w:hRule="atLeast"/>
        </w:trPr>
        <w:tc>
          <w:tcPr>
            <w:tcW w:w="622" w:type="dxa"/>
            <w:vAlign w:val="center"/>
          </w:tcPr>
          <w:p w14:paraId="25526C50">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323" w:type="dxa"/>
            <w:vAlign w:val="center"/>
          </w:tcPr>
          <w:p w14:paraId="75A0EB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进口产品(若有)</w:t>
            </w:r>
          </w:p>
        </w:tc>
        <w:tc>
          <w:tcPr>
            <w:tcW w:w="5574" w:type="dxa"/>
            <w:vAlign w:val="center"/>
          </w:tcPr>
          <w:p w14:paraId="7EE3D54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对照本部分“二、落实政府采购政策性要求的评审内容及标准”中相关内容进行审查，不符合要求的</w:t>
            </w:r>
            <w:r>
              <w:rPr>
                <w:rFonts w:hint="eastAsia" w:ascii="宋体" w:hAnsi="宋体" w:cs="宋体"/>
                <w:color w:val="auto"/>
                <w:szCs w:val="21"/>
                <w:highlight w:val="none"/>
                <w:lang w:eastAsia="zh-CN"/>
              </w:rPr>
              <w:t>作</w:t>
            </w:r>
            <w:r>
              <w:rPr>
                <w:rFonts w:hint="eastAsia" w:ascii="宋体" w:hAnsi="宋体" w:cs="宋体"/>
                <w:color w:val="auto"/>
                <w:szCs w:val="21"/>
                <w:highlight w:val="none"/>
              </w:rPr>
              <w:t>无效报价处理。</w:t>
            </w:r>
          </w:p>
        </w:tc>
      </w:tr>
    </w:tbl>
    <w:p w14:paraId="0355CA0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说明：1</w:t>
      </w:r>
      <w:r>
        <w:rPr>
          <w:rFonts w:hint="eastAsia" w:ascii="宋体" w:hAnsi="宋体" w:cs="宋体"/>
          <w:b w:val="0"/>
          <w:bCs w:val="0"/>
          <w:color w:val="auto"/>
          <w:kern w:val="0"/>
          <w:szCs w:val="21"/>
          <w:highlight w:val="none"/>
        </w:rPr>
        <w:t>、</w:t>
      </w:r>
      <w:r>
        <w:rPr>
          <w:rFonts w:hint="eastAsia" w:ascii="宋体" w:hAnsi="宋体" w:eastAsia="宋体" w:cs="宋体"/>
          <w:b w:val="0"/>
          <w:bCs w:val="0"/>
          <w:color w:val="auto"/>
          <w:kern w:val="2"/>
          <w:sz w:val="21"/>
          <w:szCs w:val="21"/>
          <w:lang w:val="en-US" w:eastAsia="zh-CN" w:bidi="ar-SA"/>
        </w:rPr>
        <w:t>技术参数前加“★”号的参数指标为主要技术指标(符合性审查内容)，</w:t>
      </w:r>
      <w:r>
        <w:rPr>
          <w:rFonts w:hint="eastAsia" w:ascii="宋体" w:hAnsi="宋体" w:cs="宋体"/>
          <w:color w:val="auto"/>
          <w:kern w:val="0"/>
          <w:szCs w:val="21"/>
          <w:highlight w:val="none"/>
        </w:rPr>
        <w:t>符合性检查的内容，经评标委员会共同认定没有做出实质性响应的，将导致投标无效。</w:t>
      </w:r>
    </w:p>
    <w:p w14:paraId="31D9B2BE">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、审查时，对特殊情况的处理评标委员会要遵循招标文件第三部分投标人须知第21条规定的原则。</w:t>
      </w:r>
    </w:p>
    <w:p w14:paraId="756A1E1C">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二、落实政府采购政策性要求的评审内容及标准</w:t>
      </w:r>
    </w:p>
    <w:p w14:paraId="3D8DB5E6">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36B196E5">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2、本项目采购标的物中有政府强制采购品目清单中的产品，投标人必须</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获得有效产品认证证书的产品，并提供有效认证证书复印件（或扫描件），否则将导致投标无效；投标人需将所有政府强制采购的节能产品如实填写到《政府强制采购产品明细表》（格式见第八部分）。</w:t>
      </w:r>
    </w:p>
    <w:p w14:paraId="45E4931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3、承诺所</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的计算机预装正版操作系统，硬件产品内的预装软件为正版软件。</w:t>
      </w:r>
    </w:p>
    <w:p w14:paraId="5B23E14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4、所</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信息安全产品属于《信息安全产品强制性认证目录》中的产品，须提供有效认证证书扫描件，否则将可能导致投标无效。</w:t>
      </w:r>
    </w:p>
    <w:p w14:paraId="27E7DAF7">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5、小型、微型企业参加本项目的评审标准</w:t>
      </w:r>
    </w:p>
    <w:p w14:paraId="7485BC3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3D9B92C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（2）小、微企业只有提供本企业制造的货物或者服务，或者提供其他小、微企业制造的货物，享受投标货物1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%的价格折扣。若有的话，如实填写《小微企业/残疾人福利性单位提供货物/服务明细表》（格式见第八部分）；</w:t>
      </w:r>
    </w:p>
    <w:p w14:paraId="183492AC">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（3）小、微型企业提供中型企业制造的货物视同为中型企业。</w:t>
      </w:r>
    </w:p>
    <w:p w14:paraId="2BC76590">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（4）联合体价格折扣：本项目若允许联合体参加，联合体协议中约定，小型、微型企业的协议合同金额占到联合体协议合同金额30%以上的，给予联合体4%的价格扣除，用扣除后价格参与评审。</w:t>
      </w:r>
    </w:p>
    <w:p w14:paraId="760D4C63">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6、残疾人福利性单位参加本项目的评审标准：</w:t>
      </w:r>
    </w:p>
    <w:p w14:paraId="1B9A3CDA">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须根据财库【2017】141号《关于促进残疾人就业政府采购政策的通知》的要求，如实填写残疾人福利性单位声明函（格式见第八部分附件），残疾人福利性单位参加本项目投标时，享受6%的价格折扣，用扣除后的价格参与评审。</w:t>
      </w:r>
    </w:p>
    <w:p w14:paraId="1193DBB4">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（2）享受政府采购支持政策的残疾人福利性单位应当同时满足以下条件：</w:t>
      </w:r>
    </w:p>
    <w:p w14:paraId="3DD31CC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A.安置的残疾人占本单位在职职工人数的比例不低于25%（含25%），并且安置的残疾人人数不少于10人（含10人）；</w:t>
      </w:r>
    </w:p>
    <w:p w14:paraId="3E11B4B6">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B.依法与安置的每位残疾人签订了一年以上（含一年）的劳动合同或服务协议；</w:t>
      </w:r>
    </w:p>
    <w:p w14:paraId="50C35062">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C.为安置的每位残疾人按月足额缴纳了基本养老保险、基本医疗保险、失业保险、工伤保险和生育保险等社会保险费；</w:t>
      </w:r>
    </w:p>
    <w:p w14:paraId="48A9E41B">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D.通过银行等金融机构向安置的每位残疾人，按月支付了不低于单位所在区县适用的经省级人民政府批准的月最低工资标准的工资；</w:t>
      </w:r>
    </w:p>
    <w:p w14:paraId="5CD56A48">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E．提供本单位制造的货物、承担的工程或者服务（以下简称产品），或者提供其他残疾人福利性单位制造的货物（不包括使用非残疾人福利性单位注册商标的货物）。</w:t>
      </w:r>
    </w:p>
    <w:p w14:paraId="6A2FAFCD">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EA2D19">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7、投标人提供的《残疾人福利性单位声明函》与事实不符的，依照《政府采购法》第七十七条第一款的规定追究法律责任。</w:t>
      </w:r>
    </w:p>
    <w:p w14:paraId="57E5793E">
      <w:pPr>
        <w:adjustRightInd w:val="0"/>
        <w:snapToGrid w:val="0"/>
        <w:spacing w:line="480" w:lineRule="exact"/>
        <w:ind w:firstLine="42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812053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8、对本国产品的支持政策：</w:t>
      </w:r>
    </w:p>
    <w:p w14:paraId="465E5DB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8.1本国产品应当符合以下条件：</w:t>
      </w:r>
    </w:p>
    <w:p w14:paraId="10E593A4">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（一）在中国境内生产</w:t>
      </w:r>
    </w:p>
    <w:p w14:paraId="252E8B61">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产品应当在中国境内生产，即在中华人民共和国关境内实现从原材料、组件到产品的属性改变。</w:t>
      </w:r>
    </w:p>
    <w:p w14:paraId="4499B5D6">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属性改变是指经过制造、加工或者组装等工序，产生完全不同于原材料、组件的新产品，并具有新的名称和特征（用途）。属性改变不包括以下细微操作：</w:t>
      </w:r>
    </w:p>
    <w:p w14:paraId="7BBD772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1.为确保产品在运输或者储存期间保持某种状态而进行的操作；</w:t>
      </w:r>
    </w:p>
    <w:p w14:paraId="70BA82B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2.为产品运输或者销售进行的包装或者展示；</w:t>
      </w:r>
    </w:p>
    <w:p w14:paraId="08B036B9">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3.在产品或者其包装上粘贴或者印刷品牌、标志、标识以及其他用于区别的标记；</w:t>
      </w:r>
    </w:p>
    <w:p w14:paraId="504DDD69">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4.简单的上漆、磨光和分装；</w:t>
      </w:r>
    </w:p>
    <w:p w14:paraId="649C7AD1">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5.其他不属于属性改变的情形。</w:t>
      </w:r>
    </w:p>
    <w:p w14:paraId="4CF60E6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（二）在中国境内生产的组件成本占比达到规定比例</w:t>
      </w:r>
    </w:p>
    <w:p w14:paraId="6DA34FDB">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产品在中国境内生产的组件成本占比应当达到规定比例，计算公式为：</w:t>
      </w:r>
    </w:p>
    <w:p w14:paraId="2CF2F072">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775478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（三）特定产品的关键组件、关键工序符合相关要求</w:t>
      </w:r>
    </w:p>
    <w:p w14:paraId="34A1913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1316535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6A60A06">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8.2对本国产品的支持政策</w:t>
      </w:r>
    </w:p>
    <w:p w14:paraId="279352E3">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5D27FB0">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EF714E">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8.3政策执行要求</w:t>
      </w:r>
    </w:p>
    <w:p w14:paraId="70B69F8F">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（一）产品在中国境内生产的组件成本核算规则。产品在中国境内生产的组件成本，按照《中国境内生产的组件成本核算基本规则》（见附件1）计算。</w:t>
      </w:r>
    </w:p>
    <w:p w14:paraId="32A43000">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E3DBC7C">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采购人、采购代理机构应当随中标、成交结果同时公告中标、成交供应商提供的《声明函》或有关证明文件。</w:t>
      </w:r>
    </w:p>
    <w:p w14:paraId="2928328A">
      <w:pPr>
        <w:adjustRightInd w:val="0"/>
        <w:snapToGrid w:val="0"/>
        <w:spacing w:line="480" w:lineRule="exact"/>
        <w:ind w:firstLine="420"/>
        <w:textAlignment w:val="baseline"/>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689100E">
      <w:pPr>
        <w:adjustRightInd w:val="0"/>
        <w:snapToGrid w:val="0"/>
        <w:spacing w:line="480" w:lineRule="exact"/>
        <w:ind w:firstLine="420"/>
        <w:textAlignment w:val="baseline"/>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（四）中华人民共和国缔结或者共同参加的国际条约、协定对政府采购中本国产品政策另有规定的，按照有关条约、协定执行。</w:t>
      </w:r>
    </w:p>
    <w:p w14:paraId="0A96B7A0">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三、无效投标的情形</w:t>
      </w:r>
    </w:p>
    <w:p w14:paraId="56E3937F">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未通过资格性、符合性审查的投标文件为无效投标。</w:t>
      </w:r>
    </w:p>
    <w:p w14:paraId="07E069CA">
      <w:pPr>
        <w:adjustRightInd w:val="0"/>
        <w:snapToGrid w:val="0"/>
        <w:spacing w:line="480" w:lineRule="exact"/>
        <w:ind w:firstLine="42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四、评标方法及中标条件</w:t>
      </w:r>
    </w:p>
    <w:p w14:paraId="4E526CF8">
      <w:pPr>
        <w:adjustRightInd w:val="0"/>
        <w:snapToGrid w:val="0"/>
        <w:spacing w:line="480" w:lineRule="exact"/>
        <w:ind w:firstLine="420"/>
        <w:textAlignment w:val="baseline"/>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、本项目采用综合评分法，投标文件满足招标文件全部实质性要求，对价格、商务、服务、技术等主要因素的量化指标进行评审得分（具体评分见综合评分法评分细则），得分最高的投标人为中标</w:t>
      </w:r>
      <w:r>
        <w:rPr>
          <w:rFonts w:hint="eastAsia" w:ascii="宋体" w:hAnsi="宋体" w:cs="宋体"/>
          <w:color w:val="auto"/>
          <w:kern w:val="0"/>
          <w:szCs w:val="21"/>
          <w:highlight w:val="none"/>
          <w:lang w:val="en-US" w:eastAsia="zh-CN"/>
        </w:rPr>
        <w:t>人</w:t>
      </w:r>
    </w:p>
    <w:p w14:paraId="2E7EB3DF">
      <w:pPr>
        <w:adjustRightInd w:val="0"/>
        <w:snapToGrid w:val="0"/>
        <w:spacing w:line="480" w:lineRule="exact"/>
        <w:ind w:firstLine="42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2、每一投标人的最终得分为所有评审成员评分的算术平均值。评分分值计算保留小数点后</w:t>
      </w:r>
      <w:r>
        <w:rPr>
          <w:rFonts w:hint="eastAsia" w:ascii="宋体" w:hAnsi="宋体" w:cs="宋体"/>
          <w:color w:val="auto"/>
          <w:kern w:val="0"/>
          <w:szCs w:val="21"/>
          <w:highlight w:val="none"/>
          <w:lang w:eastAsia="zh-CN"/>
        </w:rPr>
        <w:t>两位</w:t>
      </w:r>
      <w:r>
        <w:rPr>
          <w:rFonts w:hint="eastAsia" w:ascii="宋体" w:hAnsi="宋体" w:cs="宋体"/>
          <w:color w:val="auto"/>
          <w:kern w:val="0"/>
          <w:szCs w:val="21"/>
          <w:highlight w:val="none"/>
        </w:rPr>
        <w:t>，第三位四舍五入。</w:t>
      </w:r>
    </w:p>
    <w:p w14:paraId="0BF43ED1">
      <w:pPr>
        <w:adjustRightInd w:val="0"/>
        <w:snapToGrid w:val="0"/>
        <w:spacing w:line="360" w:lineRule="auto"/>
        <w:ind w:left="945" w:hanging="945" w:hangingChars="450"/>
        <w:textAlignment w:val="baseline"/>
        <w:rPr>
          <w:rFonts w:ascii="宋体" w:hAnsi="宋体" w:cs="宋体"/>
          <w:color w:val="auto"/>
          <w:kern w:val="0"/>
          <w:szCs w:val="21"/>
          <w:highlight w:val="none"/>
        </w:rPr>
      </w:pPr>
    </w:p>
    <w:p w14:paraId="3CDFFAF6">
      <w:pPr>
        <w:pStyle w:val="4"/>
        <w:spacing w:after="158" w:afterLines="50" w:line="360" w:lineRule="auto"/>
        <w:rPr>
          <w:rFonts w:hint="eastAsia" w:ascii="宋体" w:hAnsi="宋体" w:cs="宋体"/>
          <w:bCs w:val="0"/>
          <w:color w:val="auto"/>
          <w:sz w:val="21"/>
          <w:szCs w:val="21"/>
          <w:highlight w:val="none"/>
        </w:rPr>
      </w:pPr>
    </w:p>
    <w:p w14:paraId="615F7A21">
      <w:pPr>
        <w:pStyle w:val="4"/>
        <w:spacing w:after="158" w:afterLines="50" w:line="360" w:lineRule="auto"/>
        <w:rPr>
          <w:rFonts w:hint="eastAsia" w:ascii="宋体" w:hAnsi="宋体" w:cs="宋体"/>
          <w:bCs w:val="0"/>
          <w:color w:val="auto"/>
          <w:sz w:val="21"/>
          <w:szCs w:val="21"/>
          <w:highlight w:val="none"/>
        </w:rPr>
      </w:pPr>
    </w:p>
    <w:p w14:paraId="55248900">
      <w:pPr>
        <w:rPr>
          <w:rFonts w:hint="eastAsia" w:ascii="宋体" w:hAnsi="宋体" w:cs="宋体"/>
          <w:bCs w:val="0"/>
          <w:color w:val="auto"/>
          <w:sz w:val="21"/>
          <w:szCs w:val="21"/>
          <w:highlight w:val="none"/>
        </w:rPr>
      </w:pPr>
    </w:p>
    <w:p w14:paraId="089C2FBA">
      <w:pPr>
        <w:rPr>
          <w:rFonts w:hint="eastAsia" w:ascii="宋体" w:hAnsi="宋体" w:cs="宋体"/>
          <w:bCs w:val="0"/>
          <w:color w:val="auto"/>
          <w:sz w:val="21"/>
          <w:szCs w:val="21"/>
          <w:highlight w:val="none"/>
        </w:rPr>
      </w:pPr>
    </w:p>
    <w:p w14:paraId="7F9BEFDD">
      <w:pPr>
        <w:rPr>
          <w:rFonts w:hint="eastAsia" w:ascii="宋体" w:hAnsi="宋体" w:cs="宋体"/>
          <w:bCs w:val="0"/>
          <w:color w:val="auto"/>
          <w:sz w:val="21"/>
          <w:szCs w:val="21"/>
          <w:highlight w:val="none"/>
        </w:rPr>
      </w:pPr>
    </w:p>
    <w:p w14:paraId="2D12E40C">
      <w:pPr>
        <w:pStyle w:val="7"/>
        <w:rPr>
          <w:rFonts w:hint="eastAsia"/>
          <w:color w:val="auto"/>
        </w:rPr>
      </w:pPr>
    </w:p>
    <w:p w14:paraId="54EB59AC">
      <w:pPr>
        <w:pStyle w:val="8"/>
        <w:rPr>
          <w:rFonts w:hint="eastAsia"/>
          <w:color w:val="auto"/>
        </w:rPr>
      </w:pPr>
    </w:p>
    <w:p w14:paraId="5C50C783">
      <w:pPr>
        <w:pStyle w:val="8"/>
        <w:rPr>
          <w:rFonts w:hint="eastAsia"/>
          <w:color w:val="auto"/>
        </w:rPr>
      </w:pPr>
    </w:p>
    <w:p w14:paraId="352C084E">
      <w:pPr>
        <w:pStyle w:val="8"/>
        <w:rPr>
          <w:rFonts w:hint="eastAsia"/>
          <w:color w:val="auto"/>
        </w:rPr>
      </w:pPr>
    </w:p>
    <w:p w14:paraId="06B83FBE">
      <w:pPr>
        <w:pStyle w:val="8"/>
        <w:rPr>
          <w:rFonts w:hint="eastAsia"/>
          <w:color w:val="auto"/>
        </w:rPr>
      </w:pPr>
    </w:p>
    <w:p w14:paraId="33BDC6C2">
      <w:pPr>
        <w:pStyle w:val="8"/>
        <w:rPr>
          <w:rFonts w:hint="eastAsia"/>
          <w:color w:val="auto"/>
        </w:rPr>
      </w:pPr>
    </w:p>
    <w:p w14:paraId="1509C59C">
      <w:pPr>
        <w:rPr>
          <w:rFonts w:hint="eastAsia" w:ascii="宋体" w:hAnsi="宋体" w:cs="宋体"/>
          <w:bCs w:val="0"/>
          <w:color w:val="auto"/>
          <w:sz w:val="21"/>
          <w:szCs w:val="21"/>
          <w:highlight w:val="none"/>
        </w:rPr>
      </w:pPr>
    </w:p>
    <w:p w14:paraId="1B8DDD02">
      <w:pPr>
        <w:rPr>
          <w:rFonts w:hint="eastAsia" w:ascii="宋体" w:hAnsi="宋体" w:cs="宋体"/>
          <w:bCs w:val="0"/>
          <w:color w:val="auto"/>
          <w:sz w:val="21"/>
          <w:szCs w:val="21"/>
          <w:highlight w:val="none"/>
        </w:rPr>
      </w:pPr>
    </w:p>
    <w:p w14:paraId="7092408B">
      <w:pPr>
        <w:rPr>
          <w:rFonts w:hint="eastAsia" w:ascii="宋体" w:hAnsi="宋体" w:cs="宋体"/>
          <w:bCs w:val="0"/>
          <w:color w:val="auto"/>
          <w:sz w:val="21"/>
          <w:szCs w:val="21"/>
          <w:highlight w:val="none"/>
        </w:rPr>
      </w:pPr>
    </w:p>
    <w:p w14:paraId="5468A0EF">
      <w:pPr>
        <w:pStyle w:val="4"/>
        <w:spacing w:after="158" w:afterLines="50" w:line="360" w:lineRule="auto"/>
        <w:rPr>
          <w:rFonts w:ascii="宋体" w:hAnsi="宋体" w:cs="宋体"/>
          <w:bCs w:val="0"/>
          <w:color w:val="auto"/>
          <w:sz w:val="21"/>
          <w:szCs w:val="21"/>
          <w:highlight w:val="none"/>
        </w:rPr>
      </w:pPr>
      <w:r>
        <w:rPr>
          <w:rFonts w:hint="eastAsia" w:ascii="宋体" w:hAnsi="宋体" w:cs="宋体"/>
          <w:bCs w:val="0"/>
          <w:color w:val="auto"/>
          <w:sz w:val="21"/>
          <w:szCs w:val="21"/>
          <w:highlight w:val="none"/>
        </w:rPr>
        <w:t>综合评分法评分细则</w:t>
      </w:r>
    </w:p>
    <w:p w14:paraId="30571891">
      <w:pPr>
        <w:rPr>
          <w:rFonts w:ascii="宋体" w:hAnsi="宋体" w:cs="宋体"/>
          <w:color w:val="auto"/>
          <w:szCs w:val="21"/>
          <w:highlight w:val="none"/>
        </w:rPr>
      </w:pPr>
    </w:p>
    <w:bookmarkEnd w:id="63"/>
    <w:bookmarkEnd w:id="64"/>
    <w:tbl>
      <w:tblPr>
        <w:tblStyle w:val="18"/>
        <w:tblpPr w:leftFromText="180" w:rightFromText="180" w:vertAnchor="text" w:horzAnchor="page" w:tblpX="1674" w:tblpY="118"/>
        <w:tblOverlap w:val="never"/>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1"/>
        <w:gridCol w:w="6097"/>
        <w:gridCol w:w="961"/>
      </w:tblGrid>
      <w:tr w14:paraId="3B16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8449" w:type="dxa"/>
            <w:gridSpan w:val="3"/>
            <w:tcBorders>
              <w:top w:val="single" w:color="auto" w:sz="4" w:space="0"/>
              <w:left w:val="single" w:color="auto" w:sz="4" w:space="0"/>
              <w:bottom w:val="single" w:color="auto" w:sz="4" w:space="0"/>
              <w:right w:val="single" w:color="auto" w:sz="4" w:space="0"/>
            </w:tcBorders>
            <w:noWrap w:val="0"/>
            <w:vAlign w:val="center"/>
          </w:tcPr>
          <w:p w14:paraId="731943F0">
            <w:pPr>
              <w:jc w:val="center"/>
              <w:rPr>
                <w:rFonts w:ascii="宋体" w:hAnsi="宋体" w:eastAsia="宋体" w:cs="宋体"/>
                <w:b/>
                <w:bCs/>
                <w:color w:val="auto"/>
                <w:sz w:val="21"/>
                <w:szCs w:val="21"/>
                <w:highlight w:val="none"/>
                <w:lang w:eastAsia="zh-CN"/>
              </w:rPr>
            </w:pPr>
            <w:bookmarkStart w:id="88" w:name="_Toc24878"/>
            <w:bookmarkStart w:id="89" w:name="_Toc23359"/>
            <w:bookmarkStart w:id="90" w:name="_Toc17380"/>
            <w:r>
              <w:rPr>
                <w:rFonts w:hint="eastAsia" w:ascii="宋体" w:hAnsi="宋体" w:cs="宋体"/>
                <w:b/>
                <w:bCs/>
                <w:color w:val="auto"/>
                <w:sz w:val="21"/>
                <w:szCs w:val="21"/>
                <w:highlight w:val="none"/>
                <w:lang w:eastAsia="zh-CN"/>
              </w:rPr>
              <w:t>评定内容及标准</w:t>
            </w:r>
          </w:p>
        </w:tc>
      </w:tr>
      <w:tr w14:paraId="496F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91" w:type="dxa"/>
            <w:tcBorders>
              <w:top w:val="nil"/>
              <w:left w:val="single" w:color="auto" w:sz="4" w:space="0"/>
              <w:right w:val="single" w:color="auto" w:sz="4" w:space="0"/>
            </w:tcBorders>
            <w:noWrap w:val="0"/>
            <w:vAlign w:val="center"/>
          </w:tcPr>
          <w:p w14:paraId="6F5EB6A1">
            <w:pPr>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商务部分</w:t>
            </w:r>
          </w:p>
          <w:p w14:paraId="029E06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097" w:type="dxa"/>
            <w:tcBorders>
              <w:top w:val="single" w:color="auto" w:sz="4" w:space="0"/>
              <w:left w:val="nil"/>
              <w:right w:val="single" w:color="auto" w:sz="4" w:space="0"/>
            </w:tcBorders>
            <w:noWrap w:val="0"/>
            <w:vAlign w:val="center"/>
          </w:tcPr>
          <w:p w14:paraId="5A54D34F">
            <w:pPr>
              <w:adjustRightInd w:val="0"/>
              <w:snapToGrid w:val="0"/>
              <w:spacing w:line="480" w:lineRule="exact"/>
              <w:ind w:firstLine="420"/>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w:t>
            </w:r>
            <w:r>
              <w:rPr>
                <w:rFonts w:hint="eastAsia" w:ascii="宋体" w:hAnsi="宋体" w:eastAsia="宋体" w:cs="宋体"/>
                <w:color w:val="auto"/>
                <w:kern w:val="0"/>
                <w:szCs w:val="21"/>
                <w:highlight w:val="none"/>
                <w:lang w:val="en-US" w:eastAsia="zh-CN"/>
              </w:rPr>
              <w:t>标人业绩（</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分）</w:t>
            </w:r>
          </w:p>
          <w:p w14:paraId="4ED14E74">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近三年（2023年5月至投标文件递交截止时间前）</w:t>
            </w:r>
            <w:r>
              <w:rPr>
                <w:rFonts w:hint="eastAsia" w:ascii="宋体" w:hAnsi="宋体" w:eastAsia="宋体" w:cs="宋体"/>
                <w:color w:val="auto"/>
                <w:kern w:val="0"/>
                <w:szCs w:val="21"/>
                <w:highlight w:val="none"/>
              </w:rPr>
              <w:t>同</w:t>
            </w:r>
            <w:r>
              <w:rPr>
                <w:rFonts w:hint="eastAsia" w:ascii="宋体" w:hAnsi="宋体" w:cs="宋体"/>
                <w:color w:val="auto"/>
                <w:kern w:val="0"/>
                <w:szCs w:val="21"/>
                <w:highlight w:val="none"/>
                <w:lang w:val="en-US" w:eastAsia="zh-CN"/>
              </w:rPr>
              <w:t>类型</w:t>
            </w:r>
            <w:r>
              <w:rPr>
                <w:rFonts w:hint="eastAsia" w:ascii="宋体" w:hAnsi="宋体" w:eastAsia="宋体" w:cs="宋体"/>
                <w:color w:val="auto"/>
                <w:kern w:val="0"/>
                <w:szCs w:val="21"/>
                <w:highlight w:val="none"/>
              </w:rPr>
              <w:t>供货业绩，每有一项得</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分，最高得</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p>
          <w:p w14:paraId="7678DA88">
            <w:pPr>
              <w:adjustRightInd w:val="0"/>
              <w:snapToGrid w:val="0"/>
              <w:spacing w:line="480" w:lineRule="exact"/>
              <w:ind w:firstLine="42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一个完整的业绩资料为：与最终用户签订的</w:t>
            </w:r>
            <w:r>
              <w:rPr>
                <w:rFonts w:hint="eastAsia" w:ascii="宋体" w:hAnsi="宋体" w:cs="宋体"/>
                <w:color w:val="auto"/>
                <w:kern w:val="0"/>
                <w:szCs w:val="21"/>
                <w:highlight w:val="none"/>
                <w:lang w:val="en-US" w:eastAsia="zh-CN"/>
              </w:rPr>
              <w:t>合同（</w:t>
            </w:r>
            <w:r>
              <w:rPr>
                <w:rFonts w:hint="eastAsia" w:ascii="宋体" w:hAnsi="宋体" w:eastAsia="宋体" w:cs="宋体"/>
                <w:color w:val="auto"/>
                <w:kern w:val="0"/>
                <w:szCs w:val="21"/>
                <w:highlight w:val="none"/>
              </w:rPr>
              <w:t>合同首页、合同金额所在页、签字盖章页</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结算凭证（发票或银行回单）</w:t>
            </w:r>
            <w:r>
              <w:rPr>
                <w:rFonts w:hint="eastAsia" w:ascii="宋体" w:hAnsi="宋体" w:eastAsia="宋体" w:cs="宋体"/>
                <w:color w:val="auto"/>
                <w:kern w:val="0"/>
                <w:szCs w:val="21"/>
                <w:highlight w:val="none"/>
              </w:rPr>
              <w:t>影印件作为证明。</w:t>
            </w:r>
          </w:p>
          <w:p w14:paraId="734102EE">
            <w:pPr>
              <w:spacing w:line="360" w:lineRule="auto"/>
              <w:jc w:val="both"/>
              <w:rPr>
                <w:color w:val="auto"/>
                <w:highlight w:val="none"/>
                <w:lang w:eastAsia="zh-CN"/>
              </w:rPr>
            </w:pPr>
            <w:r>
              <w:rPr>
                <w:rFonts w:hint="eastAsia" w:ascii="宋体" w:hAnsi="宋体" w:eastAsia="宋体" w:cs="宋体"/>
                <w:color w:val="auto"/>
                <w:kern w:val="0"/>
                <w:szCs w:val="21"/>
                <w:highlight w:val="none"/>
              </w:rPr>
              <w:t>注：提供资料不清晰的不得分。</w:t>
            </w:r>
          </w:p>
        </w:tc>
        <w:tc>
          <w:tcPr>
            <w:tcW w:w="961" w:type="dxa"/>
            <w:tcBorders>
              <w:top w:val="single" w:color="auto" w:sz="4" w:space="0"/>
              <w:left w:val="nil"/>
              <w:bottom w:val="single" w:color="auto" w:sz="4" w:space="0"/>
              <w:right w:val="single" w:color="auto" w:sz="4" w:space="0"/>
            </w:tcBorders>
            <w:noWrap w:val="0"/>
            <w:vAlign w:val="center"/>
          </w:tcPr>
          <w:p w14:paraId="431537A2">
            <w:pPr>
              <w:jc w:val="center"/>
              <w:rPr>
                <w:rFonts w:hint="eastAsia"/>
                <w:color w:val="auto"/>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7CD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 w:hRule="atLeast"/>
        </w:trPr>
        <w:tc>
          <w:tcPr>
            <w:tcW w:w="1391" w:type="dxa"/>
            <w:vMerge w:val="restart"/>
            <w:tcBorders>
              <w:top w:val="nil"/>
              <w:left w:val="single" w:color="auto" w:sz="4" w:space="0"/>
              <w:right w:val="single" w:color="auto" w:sz="4" w:space="0"/>
            </w:tcBorders>
            <w:noWrap w:val="0"/>
            <w:vAlign w:val="center"/>
          </w:tcPr>
          <w:p w14:paraId="19D66D1C">
            <w:pPr>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技术、服务</w:t>
            </w:r>
            <w:r>
              <w:rPr>
                <w:rFonts w:hint="eastAsia" w:ascii="宋体" w:hAnsi="宋体" w:cs="宋体"/>
                <w:color w:val="auto"/>
                <w:sz w:val="21"/>
                <w:szCs w:val="21"/>
                <w:highlight w:val="none"/>
                <w:lang w:eastAsia="zh-CN"/>
              </w:rPr>
              <w:t>部分</w:t>
            </w:r>
          </w:p>
          <w:p w14:paraId="339E501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cs="宋体"/>
                <w:color w:val="auto"/>
                <w:sz w:val="21"/>
                <w:szCs w:val="21"/>
                <w:highlight w:val="none"/>
                <w:lang w:val="en-US" w:eastAsia="zh-CN"/>
              </w:rPr>
              <w:t>64</w:t>
            </w:r>
            <w:r>
              <w:rPr>
                <w:rFonts w:hint="eastAsia" w:ascii="宋体" w:hAnsi="宋体" w:eastAsia="宋体" w:cs="宋体"/>
                <w:color w:val="auto"/>
                <w:sz w:val="21"/>
                <w:szCs w:val="21"/>
                <w:highlight w:val="none"/>
              </w:rPr>
              <w:t>分</w:t>
            </w:r>
          </w:p>
        </w:tc>
        <w:tc>
          <w:tcPr>
            <w:tcW w:w="6097" w:type="dxa"/>
            <w:tcBorders>
              <w:top w:val="single" w:color="auto" w:sz="4" w:space="0"/>
              <w:left w:val="nil"/>
              <w:right w:val="single" w:color="auto" w:sz="4" w:space="0"/>
            </w:tcBorders>
            <w:noWrap w:val="0"/>
            <w:vAlign w:val="center"/>
          </w:tcPr>
          <w:p w14:paraId="56C7AAE6">
            <w:pPr>
              <w:spacing w:line="360" w:lineRule="auto"/>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1、技术参数、配置符合招标文件要求（25分）</w:t>
            </w:r>
          </w:p>
          <w:p w14:paraId="6D649F6A">
            <w:pPr>
              <w:spacing w:line="360" w:lineRule="auto"/>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全部满足招标文件技术要求得25分；技术参数中未标注“★”的为一般性技术指标，一般性技术指标有负偏离的，有一项扣2分，负偏离超过5项（含5项）的本项不得分。</w:t>
            </w:r>
          </w:p>
          <w:p w14:paraId="70EDCB85">
            <w:pPr>
              <w:spacing w:line="360" w:lineRule="auto"/>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注：为了保证本项目采购质量及配套使用安全，各投标人所投产品须提供正规生产企业产品资料，具备可追溯性条件；</w:t>
            </w:r>
          </w:p>
          <w:p w14:paraId="07A49FDA">
            <w:pPr>
              <w:spacing w:line="360" w:lineRule="auto"/>
              <w:jc w:val="both"/>
              <w:rPr>
                <w:rFonts w:hint="eastAsia"/>
                <w:color w:val="auto"/>
              </w:rPr>
            </w:pPr>
            <w:r>
              <w:rPr>
                <w:rFonts w:hint="eastAsia" w:ascii="宋体" w:hAnsi="宋体" w:cs="宋体"/>
                <w:color w:val="auto"/>
                <w:sz w:val="21"/>
                <w:szCs w:val="21"/>
                <w:highlight w:val="none"/>
                <w:lang w:val="en-US" w:eastAsia="zh-CN"/>
              </w:rPr>
              <w:t>各投标人虚假响应技术参数的，一经查实按无效投标处理。</w:t>
            </w:r>
          </w:p>
        </w:tc>
        <w:tc>
          <w:tcPr>
            <w:tcW w:w="961" w:type="dxa"/>
            <w:tcBorders>
              <w:top w:val="single" w:color="auto" w:sz="4" w:space="0"/>
              <w:left w:val="nil"/>
              <w:bottom w:val="single" w:color="auto" w:sz="4" w:space="0"/>
              <w:right w:val="single" w:color="auto" w:sz="4" w:space="0"/>
            </w:tcBorders>
            <w:noWrap w:val="0"/>
            <w:vAlign w:val="center"/>
          </w:tcPr>
          <w:p w14:paraId="1D3587F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r>
      <w:tr w14:paraId="179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4" w:hRule="atLeast"/>
        </w:trPr>
        <w:tc>
          <w:tcPr>
            <w:tcW w:w="1391" w:type="dxa"/>
            <w:vMerge w:val="continue"/>
            <w:tcBorders>
              <w:left w:val="single" w:color="auto" w:sz="4" w:space="0"/>
              <w:right w:val="single" w:color="auto" w:sz="4" w:space="0"/>
            </w:tcBorders>
            <w:noWrap w:val="0"/>
            <w:vAlign w:val="center"/>
          </w:tcPr>
          <w:p w14:paraId="1E6DC046">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right w:val="single" w:color="auto" w:sz="4" w:space="0"/>
            </w:tcBorders>
            <w:shd w:val="clear" w:color="auto" w:fill="auto"/>
            <w:noWrap w:val="0"/>
            <w:vAlign w:val="center"/>
          </w:tcPr>
          <w:p w14:paraId="071896BE">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2、实施方案（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p w14:paraId="2D1C6092">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投标人针对本项目制定技术方案（包括但不限于①产品技术性能及规格的详细描述；②整体供货实施流程；③制定的交货时间进度安排；④团队人员配备情况；⑤产品质量保证措施），</w:t>
            </w:r>
            <w:r>
              <w:rPr>
                <w:rFonts w:hint="eastAsia" w:ascii="宋体" w:hAnsi="宋体" w:cs="宋体"/>
                <w:color w:val="auto"/>
                <w:sz w:val="21"/>
                <w:szCs w:val="21"/>
                <w:highlight w:val="none"/>
                <w:lang w:val="en-US" w:eastAsia="zh-CN"/>
              </w:rPr>
              <w:t>每有一项得3分共</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分。</w:t>
            </w:r>
          </w:p>
          <w:p w14:paraId="15DADC44">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1分，扣完为止。</w:t>
            </w:r>
          </w:p>
          <w:p w14:paraId="2DA2B1CE">
            <w:pPr>
              <w:spacing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shd w:val="clear" w:color="auto" w:fill="auto"/>
            <w:noWrap w:val="0"/>
            <w:vAlign w:val="center"/>
          </w:tcPr>
          <w:p w14:paraId="526449B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14:paraId="1EDB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391" w:type="dxa"/>
            <w:vMerge w:val="continue"/>
            <w:tcBorders>
              <w:left w:val="single" w:color="auto" w:sz="4" w:space="0"/>
              <w:right w:val="single" w:color="auto" w:sz="4" w:space="0"/>
            </w:tcBorders>
            <w:noWrap w:val="0"/>
            <w:vAlign w:val="center"/>
          </w:tcPr>
          <w:p w14:paraId="6852C4BE">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bottom w:val="single" w:color="auto" w:sz="4" w:space="0"/>
              <w:right w:val="single" w:color="auto" w:sz="4" w:space="0"/>
            </w:tcBorders>
            <w:noWrap w:val="0"/>
            <w:vAlign w:val="center"/>
          </w:tcPr>
          <w:p w14:paraId="5A3C8AE5">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、售后服务方案（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 分）</w:t>
            </w:r>
          </w:p>
          <w:p w14:paraId="6FFC758A">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投标人针对本项目制定售后服务方案，包括①服务宗旨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②售后服务内容（包含但不限于售后服务响应时间、方式，货物质量、备品备件及后期技术支持情况等）；③服务人员数量配备和分工（包含但不限于售后服务人员联系方式、负责内容等情况以及相关证件）；④服务流程；⑤客户关怀与回访</w:t>
            </w:r>
            <w:r>
              <w:rPr>
                <w:rFonts w:hint="eastAsia" w:ascii="宋体" w:hAnsi="宋体" w:cs="宋体"/>
                <w:color w:val="auto"/>
                <w:sz w:val="21"/>
                <w:szCs w:val="21"/>
                <w:highlight w:val="none"/>
                <w:lang w:val="en-US" w:eastAsia="zh-CN"/>
              </w:rPr>
              <w:t>，每有一项得2分，共</w:t>
            </w:r>
            <w:r>
              <w:rPr>
                <w:rFonts w:hint="eastAsia" w:ascii="宋体" w:hAnsi="宋体" w:eastAsia="宋体" w:cs="宋体"/>
                <w:color w:val="auto"/>
                <w:sz w:val="21"/>
                <w:szCs w:val="21"/>
                <w:highlight w:val="none"/>
                <w:lang w:val="en-US" w:eastAsia="zh-CN"/>
              </w:rPr>
              <w:t>计1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p w14:paraId="1ECF6748">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1分，扣完为止。</w:t>
            </w:r>
          </w:p>
          <w:p w14:paraId="5427368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563AF9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r>
      <w:tr w14:paraId="643C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391" w:type="dxa"/>
            <w:vMerge w:val="continue"/>
            <w:tcBorders>
              <w:left w:val="single" w:color="auto" w:sz="4" w:space="0"/>
              <w:right w:val="single" w:color="auto" w:sz="4" w:space="0"/>
            </w:tcBorders>
            <w:noWrap w:val="0"/>
            <w:vAlign w:val="center"/>
          </w:tcPr>
          <w:p w14:paraId="1408C308">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bottom w:val="single" w:color="auto" w:sz="4" w:space="0"/>
              <w:right w:val="single" w:color="auto" w:sz="4" w:space="0"/>
            </w:tcBorders>
            <w:noWrap w:val="0"/>
            <w:vAlign w:val="center"/>
          </w:tcPr>
          <w:p w14:paraId="666E3047">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、培训方案（</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439ED4B0">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投标人针对本项目制定相应培训方案，包括但不限于①具有详细培训地点、时间及方式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②培训团队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③培训计划及内容</w:t>
            </w:r>
            <w:r>
              <w:rPr>
                <w:rFonts w:hint="eastAsia" w:ascii="宋体" w:hAnsi="宋体" w:cs="宋体"/>
                <w:color w:val="auto"/>
                <w:sz w:val="21"/>
                <w:szCs w:val="21"/>
                <w:highlight w:val="none"/>
                <w:lang w:val="en-US" w:eastAsia="zh-CN"/>
              </w:rPr>
              <w:t>，每有一项得2分共</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124A816B">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0.5分，扣完为止。</w:t>
            </w:r>
          </w:p>
          <w:p w14:paraId="3CCDEB0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77E0312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77B8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8" w:hRule="atLeast"/>
        </w:trPr>
        <w:tc>
          <w:tcPr>
            <w:tcW w:w="1391" w:type="dxa"/>
            <w:vMerge w:val="continue"/>
            <w:tcBorders>
              <w:left w:val="single" w:color="auto" w:sz="4" w:space="0"/>
              <w:right w:val="single" w:color="auto" w:sz="4" w:space="0"/>
            </w:tcBorders>
            <w:noWrap w:val="0"/>
            <w:vAlign w:val="center"/>
          </w:tcPr>
          <w:p w14:paraId="7660AB05">
            <w:pPr>
              <w:spacing w:line="360" w:lineRule="auto"/>
              <w:jc w:val="center"/>
              <w:rPr>
                <w:rFonts w:hint="eastAsia" w:ascii="宋体" w:hAnsi="宋体" w:eastAsia="宋体" w:cs="宋体"/>
                <w:color w:val="auto"/>
                <w:sz w:val="21"/>
                <w:szCs w:val="21"/>
                <w:highlight w:val="none"/>
              </w:rPr>
            </w:pPr>
          </w:p>
        </w:tc>
        <w:tc>
          <w:tcPr>
            <w:tcW w:w="6097" w:type="dxa"/>
            <w:tcBorders>
              <w:top w:val="single" w:color="auto" w:sz="4" w:space="0"/>
              <w:left w:val="nil"/>
              <w:right w:val="single" w:color="auto" w:sz="4" w:space="0"/>
            </w:tcBorders>
            <w:noWrap w:val="0"/>
            <w:vAlign w:val="center"/>
          </w:tcPr>
          <w:p w14:paraId="3E0F7EB8">
            <w:pPr>
              <w:spacing w:line="360" w:lineRule="auto"/>
              <w:jc w:val="both"/>
              <w:rPr>
                <w:rFonts w:hint="eastAsia" w:ascii="宋体" w:hAnsi="宋体" w:eastAsia="宋体" w:cs="宋体"/>
                <w:color w:val="auto"/>
                <w:sz w:val="21"/>
                <w:szCs w:val="21"/>
                <w:highlight w:val="none"/>
                <w:lang w:val="en-US" w:eastAsia="en-US"/>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en-US"/>
              </w:rPr>
              <w:t>、应急预案（</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en-US"/>
              </w:rPr>
              <w:t>分）</w:t>
            </w:r>
          </w:p>
          <w:p w14:paraId="4D93B2FE">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en-US"/>
              </w:rPr>
              <w:t>是否有健全的突发事件处置能力，提供的应急响应方案中应包含</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en-US"/>
              </w:rPr>
              <w:t>响应时间</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en-US"/>
              </w:rPr>
              <w:t>紧急供货</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en-US"/>
              </w:rPr>
              <w:t>紧急调换货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en-US"/>
              </w:rPr>
              <w:t>响应人员配置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lang w:val="en-US" w:eastAsia="zh-CN"/>
              </w:rPr>
              <w:t>应急处理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每有一项得2分共</w:t>
            </w:r>
            <w:r>
              <w:rPr>
                <w:rFonts w:hint="eastAsia" w:ascii="宋体" w:hAnsi="宋体" w:eastAsia="宋体" w:cs="宋体"/>
                <w:color w:val="auto"/>
                <w:sz w:val="21"/>
                <w:szCs w:val="21"/>
                <w:highlight w:val="none"/>
                <w:lang w:val="en-US" w:eastAsia="zh-CN"/>
              </w:rPr>
              <w:t>计</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p w14:paraId="5F9BE252">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在此基础上，存在内容缺陷的（缺陷是指以下情形中的任意一项：内容前后不一致；前后逻辑错误；项目及工作的理解片面主观；方案内容不清晰或交叉混乱；方案内容与项目内在需求有漏项；衔接时效性差无法及时解决问题等）每有一项扣0.5分，扣完为止。</w:t>
            </w:r>
          </w:p>
          <w:p w14:paraId="6547D553">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此项描述不适合本项目或无此项描述的不得分。</w:t>
            </w:r>
          </w:p>
        </w:tc>
        <w:tc>
          <w:tcPr>
            <w:tcW w:w="961" w:type="dxa"/>
            <w:tcBorders>
              <w:top w:val="single" w:color="auto" w:sz="4" w:space="0"/>
              <w:left w:val="nil"/>
              <w:bottom w:val="single" w:color="auto" w:sz="4" w:space="0"/>
              <w:right w:val="single" w:color="auto" w:sz="4" w:space="0"/>
            </w:tcBorders>
            <w:noWrap w:val="0"/>
            <w:vAlign w:val="center"/>
          </w:tcPr>
          <w:p w14:paraId="1B8BBD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4C54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atLeast"/>
        </w:trPr>
        <w:tc>
          <w:tcPr>
            <w:tcW w:w="1391" w:type="dxa"/>
            <w:tcBorders>
              <w:top w:val="single" w:color="auto" w:sz="4" w:space="0"/>
              <w:left w:val="single" w:color="auto" w:sz="4" w:space="0"/>
              <w:bottom w:val="single" w:color="auto" w:sz="4" w:space="0"/>
              <w:right w:val="single" w:color="auto" w:sz="4" w:space="0"/>
            </w:tcBorders>
            <w:noWrap w:val="0"/>
            <w:vAlign w:val="center"/>
          </w:tcPr>
          <w:p w14:paraId="6B197A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49FFEAF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097" w:type="dxa"/>
            <w:tcBorders>
              <w:top w:val="single" w:color="auto" w:sz="4" w:space="0"/>
              <w:left w:val="nil"/>
              <w:bottom w:val="single" w:color="auto" w:sz="4" w:space="0"/>
              <w:right w:val="single" w:color="auto" w:sz="4" w:space="0"/>
            </w:tcBorders>
            <w:noWrap w:val="0"/>
            <w:vAlign w:val="center"/>
          </w:tcPr>
          <w:p w14:paraId="50D9670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价格分值为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分，投标价格分按照以下方式进行计算：</w:t>
            </w:r>
          </w:p>
          <w:p w14:paraId="2B4BA6E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（1）价格评分：报价分＝价格分值×（评标基准价/投标报价）</w:t>
            </w:r>
          </w:p>
          <w:p w14:paraId="541C1F5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（2）评标基准价：是经初审合格满足文件要求且最后报价最低的投标报价。</w:t>
            </w:r>
          </w:p>
          <w:p w14:paraId="7D7D9EAE">
            <w:pPr>
              <w:spacing w:line="360"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注：</w:t>
            </w:r>
            <w:r>
              <w:rPr>
                <w:rFonts w:hint="eastAsia" w:ascii="宋体" w:hAnsi="宋体" w:eastAsia="宋体" w:cs="宋体"/>
                <w:color w:val="auto"/>
                <w:sz w:val="21"/>
                <w:szCs w:val="21"/>
                <w:highlight w:val="none"/>
                <w:lang w:eastAsia="zh-CN"/>
              </w:rPr>
              <w:t>小、微型企业产品给予1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%的价格扣除，用扣除后的价格参与评审</w:t>
            </w:r>
          </w:p>
        </w:tc>
        <w:tc>
          <w:tcPr>
            <w:tcW w:w="961" w:type="dxa"/>
            <w:tcBorders>
              <w:top w:val="single" w:color="auto" w:sz="4" w:space="0"/>
              <w:left w:val="nil"/>
              <w:bottom w:val="single" w:color="auto" w:sz="4" w:space="0"/>
              <w:right w:val="single" w:color="auto" w:sz="4" w:space="0"/>
            </w:tcBorders>
            <w:noWrap w:val="0"/>
            <w:vAlign w:val="center"/>
          </w:tcPr>
          <w:p w14:paraId="04C8BC35">
            <w:pPr>
              <w:jc w:val="center"/>
              <w:rPr>
                <w:rFonts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0-</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eastAsia="zh-CN"/>
              </w:rPr>
              <w:t>分</w:t>
            </w:r>
          </w:p>
        </w:tc>
      </w:tr>
    </w:tbl>
    <w:p w14:paraId="1965F92F">
      <w:pPr>
        <w:adjustRightInd w:val="0"/>
        <w:snapToGrid w:val="0"/>
        <w:spacing w:line="360" w:lineRule="auto"/>
        <w:jc w:val="center"/>
        <w:outlineLvl w:val="0"/>
        <w:rPr>
          <w:rFonts w:hint="eastAsia" w:ascii="宋体" w:hAnsi="宋体" w:cs="宋体"/>
          <w:b/>
          <w:bCs/>
          <w:color w:val="auto"/>
          <w:spacing w:val="10"/>
          <w:kern w:val="0"/>
          <w:szCs w:val="21"/>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52633B70">
      <w:pPr>
        <w:adjustRightInd w:val="0"/>
        <w:snapToGrid w:val="0"/>
        <w:spacing w:line="360" w:lineRule="auto"/>
        <w:jc w:val="center"/>
        <w:outlineLvl w:val="0"/>
        <w:rPr>
          <w:rFonts w:ascii="宋体" w:hAnsi="宋体" w:cs="宋体"/>
          <w:b/>
          <w:bCs/>
          <w:color w:val="auto"/>
          <w:spacing w:val="10"/>
          <w:kern w:val="0"/>
          <w:szCs w:val="21"/>
          <w:highlight w:val="none"/>
        </w:rPr>
      </w:pPr>
      <w:r>
        <w:rPr>
          <w:rFonts w:hint="eastAsia" w:ascii="宋体" w:hAnsi="宋体" w:cs="宋体"/>
          <w:b/>
          <w:bCs/>
          <w:color w:val="auto"/>
          <w:spacing w:val="10"/>
          <w:kern w:val="0"/>
          <w:szCs w:val="21"/>
          <w:highlight w:val="none"/>
        </w:rPr>
        <w:t>第七部分  合同</w:t>
      </w:r>
      <w:bookmarkEnd w:id="88"/>
      <w:bookmarkEnd w:id="89"/>
      <w:bookmarkEnd w:id="90"/>
      <w:r>
        <w:rPr>
          <w:rFonts w:hint="eastAsia" w:ascii="宋体" w:hAnsi="宋体" w:cs="宋体"/>
          <w:b/>
          <w:bCs/>
          <w:color w:val="auto"/>
          <w:spacing w:val="10"/>
          <w:kern w:val="0"/>
          <w:szCs w:val="21"/>
          <w:highlight w:val="none"/>
          <w:lang w:val="en-US" w:eastAsia="zh-CN"/>
        </w:rPr>
        <w:t>文本</w:t>
      </w:r>
      <w:r>
        <w:rPr>
          <w:rFonts w:hint="eastAsia" w:ascii="宋体" w:hAnsi="宋体" w:cs="宋体"/>
          <w:b/>
          <w:bCs/>
          <w:color w:val="auto"/>
          <w:spacing w:val="10"/>
          <w:kern w:val="0"/>
          <w:szCs w:val="21"/>
          <w:highlight w:val="none"/>
        </w:rPr>
        <w:t>（仅供参考）</w:t>
      </w:r>
    </w:p>
    <w:p w14:paraId="386D4ACC">
      <w:pPr>
        <w:pStyle w:val="7"/>
        <w:spacing w:after="0"/>
        <w:jc w:val="center"/>
        <w:rPr>
          <w:rFonts w:hint="eastAsia" w:ascii="宋体" w:hAnsi="宋体" w:eastAsia="宋体" w:cs="宋体"/>
          <w:b/>
          <w:bCs/>
          <w:color w:val="auto"/>
          <w:kern w:val="0"/>
          <w:sz w:val="21"/>
          <w:szCs w:val="21"/>
          <w:highlight w:val="none"/>
          <w:lang w:val="en-US" w:eastAsia="zh-CN" w:bidi="ar-SA"/>
        </w:rPr>
      </w:pPr>
      <w:bookmarkStart w:id="91" w:name="_Toc3995"/>
      <w:r>
        <w:rPr>
          <w:rFonts w:hint="eastAsia" w:ascii="宋体" w:hAnsi="宋体" w:eastAsia="宋体" w:cs="宋体"/>
          <w:b/>
          <w:bCs/>
          <w:color w:val="auto"/>
          <w:kern w:val="0"/>
          <w:sz w:val="21"/>
          <w:szCs w:val="21"/>
          <w:highlight w:val="none"/>
          <w:lang w:val="en-US" w:eastAsia="zh-CN" w:bidi="ar-SA"/>
        </w:rPr>
        <w:t>政府采购货物买卖合同</w:t>
      </w:r>
    </w:p>
    <w:p w14:paraId="3A7C160E">
      <w:pPr>
        <w:pStyle w:val="7"/>
        <w:spacing w:after="0"/>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（试行）</w:t>
      </w:r>
    </w:p>
    <w:p w14:paraId="5B49F173">
      <w:pPr>
        <w:rPr>
          <w:rFonts w:hint="eastAsia" w:ascii="宋体" w:hAnsi="宋体" w:eastAsia="宋体" w:cs="宋体"/>
          <w:b/>
          <w:bCs/>
          <w:color w:val="auto"/>
          <w:spacing w:val="-20"/>
          <w:kern w:val="44"/>
          <w:sz w:val="21"/>
          <w:szCs w:val="21"/>
          <w:highlight w:val="none"/>
        </w:rPr>
      </w:pPr>
    </w:p>
    <w:p w14:paraId="65EE1E0C">
      <w:pPr>
        <w:rPr>
          <w:rFonts w:hint="eastAsia" w:ascii="宋体" w:hAnsi="宋体" w:eastAsia="宋体" w:cs="宋体"/>
          <w:b/>
          <w:bCs/>
          <w:color w:val="auto"/>
          <w:spacing w:val="-20"/>
          <w:kern w:val="44"/>
          <w:sz w:val="21"/>
          <w:szCs w:val="21"/>
          <w:highlight w:val="none"/>
        </w:rPr>
      </w:pPr>
    </w:p>
    <w:p w14:paraId="6BB8DFF3">
      <w:pPr>
        <w:rPr>
          <w:rFonts w:hint="eastAsia" w:ascii="宋体" w:hAnsi="宋体" w:eastAsia="宋体" w:cs="宋体"/>
          <w:b/>
          <w:bCs/>
          <w:color w:val="auto"/>
          <w:spacing w:val="-20"/>
          <w:kern w:val="44"/>
          <w:sz w:val="21"/>
          <w:szCs w:val="21"/>
          <w:highlight w:val="none"/>
        </w:rPr>
      </w:pPr>
    </w:p>
    <w:p w14:paraId="45C977CE">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sz w:val="21"/>
          <w:szCs w:val="21"/>
          <w:highlight w:val="none"/>
          <w:u w:val="single"/>
        </w:rPr>
        <w:t xml:space="preserve">                             </w:t>
      </w:r>
    </w:p>
    <w:p w14:paraId="49117FC1">
      <w:pPr>
        <w:spacing w:line="360" w:lineRule="auto"/>
        <w:ind w:left="420" w:left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p>
    <w:p w14:paraId="642119D4">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    方：</w:t>
      </w:r>
      <w:r>
        <w:rPr>
          <w:rFonts w:hint="eastAsia" w:ascii="宋体" w:hAnsi="宋体" w:eastAsia="宋体" w:cs="宋体"/>
          <w:color w:val="auto"/>
          <w:sz w:val="21"/>
          <w:szCs w:val="21"/>
          <w:highlight w:val="none"/>
          <w:u w:val="single"/>
        </w:rPr>
        <w:t xml:space="preserve">                             </w:t>
      </w:r>
    </w:p>
    <w:p w14:paraId="7BB589FB">
      <w:pPr>
        <w:spacing w:line="360" w:lineRule="auto"/>
        <w:ind w:left="420" w:left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    方：</w:t>
      </w:r>
      <w:r>
        <w:rPr>
          <w:rFonts w:hint="eastAsia" w:ascii="宋体" w:hAnsi="宋体" w:eastAsia="宋体" w:cs="宋体"/>
          <w:color w:val="auto"/>
          <w:sz w:val="21"/>
          <w:szCs w:val="21"/>
          <w:highlight w:val="none"/>
          <w:u w:val="single"/>
        </w:rPr>
        <w:t xml:space="preserve">                             </w:t>
      </w:r>
    </w:p>
    <w:p w14:paraId="4483EE3F">
      <w:pPr>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rPr>
        <w:t xml:space="preserve">                             </w:t>
      </w:r>
    </w:p>
    <w:p w14:paraId="5E5427CE">
      <w:pPr>
        <w:rPr>
          <w:rFonts w:hint="eastAsia" w:ascii="宋体" w:hAnsi="宋体" w:eastAsia="宋体" w:cs="宋体"/>
          <w:color w:val="auto"/>
          <w:sz w:val="21"/>
          <w:szCs w:val="21"/>
          <w:highlight w:val="none"/>
        </w:rPr>
      </w:pPr>
    </w:p>
    <w:p w14:paraId="7B8BE4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F2AF7B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使</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用</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明</w:t>
      </w:r>
    </w:p>
    <w:p w14:paraId="71B615EC">
      <w:pPr>
        <w:ind w:firstLine="420" w:firstLineChars="200"/>
        <w:rPr>
          <w:rFonts w:hint="eastAsia" w:ascii="宋体" w:hAnsi="宋体" w:eastAsia="宋体" w:cs="宋体"/>
          <w:color w:val="auto"/>
          <w:sz w:val="21"/>
          <w:szCs w:val="21"/>
          <w:highlight w:val="none"/>
          <w:lang w:val="en-US" w:eastAsia="zh-CN"/>
        </w:rPr>
      </w:pPr>
    </w:p>
    <w:p w14:paraId="084D1BD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1.本合同标准文本适用于购买现成货物的采购项目，不包括需要</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定制开发、创新研发的货物采购项目。</w:t>
      </w:r>
    </w:p>
    <w:p w14:paraId="2240CAA0">
      <w:pPr>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2.本合同标准文本为政府采购货物买卖合同编制提供参考，可以结合采购项目具体情况，对文本作必要的调整修订后使用。</w:t>
      </w:r>
    </w:p>
    <w:p w14:paraId="14AE7DF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3.本合同标准文本各条款中，如涉及填写多家</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、制造商，多种采购标的、分包主要内容等信息的，可根据采购项目具体情况添加信息项。</w:t>
      </w:r>
    </w:p>
    <w:p w14:paraId="7E805B8B">
      <w:pPr>
        <w:ind w:firstLine="420" w:firstLineChars="200"/>
        <w:jc w:val="both"/>
        <w:rPr>
          <w:rFonts w:hint="eastAsia" w:ascii="宋体" w:hAnsi="宋体" w:eastAsia="宋体" w:cs="宋体"/>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bookmarkEnd w:id="91"/>
    <w:p w14:paraId="2AA887FA">
      <w:pPr>
        <w:pStyle w:val="3"/>
        <w:adjustRightInd w:val="0"/>
        <w:snapToGrid w:val="0"/>
        <w:spacing w:beforeLines="0" w:line="400" w:lineRule="exact"/>
        <w:jc w:val="center"/>
        <w:rPr>
          <w:rFonts w:hint="eastAsia" w:ascii="宋体" w:hAnsi="宋体" w:eastAsia="宋体" w:cs="宋体"/>
          <w:b w:val="0"/>
          <w:bCs w:val="0"/>
          <w:color w:val="auto"/>
          <w:sz w:val="21"/>
          <w:szCs w:val="21"/>
          <w:highlight w:val="none"/>
        </w:rPr>
      </w:pPr>
      <w:bookmarkStart w:id="92" w:name="_Toc22209"/>
      <w:r>
        <w:rPr>
          <w:rFonts w:hint="eastAsia" w:ascii="宋体" w:hAnsi="宋体" w:eastAsia="宋体" w:cs="宋体"/>
          <w:b w:val="0"/>
          <w:bCs w:val="0"/>
          <w:color w:val="auto"/>
          <w:sz w:val="21"/>
          <w:szCs w:val="21"/>
          <w:highlight w:val="none"/>
        </w:rPr>
        <w:t>第一节 政府采购合同协议书</w:t>
      </w:r>
      <w:bookmarkEnd w:id="92"/>
    </w:p>
    <w:p w14:paraId="0AAFBF06">
      <w:pPr>
        <w:pStyle w:val="3"/>
        <w:adjustRightInd w:val="0"/>
        <w:snapToGrid w:val="0"/>
        <w:spacing w:beforeLines="0" w:line="400" w:lineRule="exact"/>
        <w:jc w:val="center"/>
        <w:rPr>
          <w:rFonts w:hint="eastAsia" w:ascii="宋体" w:hAnsi="宋体" w:eastAsia="宋体" w:cs="宋体"/>
          <w:b w:val="0"/>
          <w:bCs w:val="0"/>
          <w:color w:val="auto"/>
          <w:sz w:val="21"/>
          <w:szCs w:val="21"/>
          <w:highlight w:val="none"/>
        </w:rPr>
      </w:pPr>
    </w:p>
    <w:p w14:paraId="41BB953F">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招标人、受招标人委托签订合同的单位</w:t>
      </w:r>
      <w:r>
        <w:rPr>
          <w:rFonts w:hint="eastAsia" w:ascii="宋体" w:hAnsi="宋体" w:eastAsia="宋体" w:cs="宋体"/>
          <w:color w:val="auto"/>
          <w:sz w:val="21"/>
          <w:szCs w:val="21"/>
          <w:highlight w:val="none"/>
        </w:rPr>
        <w:t>或采购</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文件约定的合同甲方）</w:t>
      </w:r>
    </w:p>
    <w:p w14:paraId="377265E3">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79E248AB">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或其他合同主体）（如有）</w:t>
      </w:r>
    </w:p>
    <w:p w14:paraId="24D8F9BA">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或其他合同主体）（如有）</w:t>
      </w:r>
    </w:p>
    <w:p w14:paraId="443BDCB3">
      <w:pPr>
        <w:spacing w:beforeLines="0" w:line="400" w:lineRule="exact"/>
        <w:rPr>
          <w:rFonts w:hint="eastAsia" w:ascii="宋体" w:hAnsi="宋体" w:eastAsia="宋体" w:cs="宋体"/>
          <w:color w:val="auto"/>
          <w:sz w:val="21"/>
          <w:szCs w:val="21"/>
          <w:highlight w:val="none"/>
          <w:lang w:val="en-US" w:eastAsia="zh-CN"/>
        </w:rPr>
      </w:pPr>
    </w:p>
    <w:p w14:paraId="06200DBC">
      <w:pPr>
        <w:pStyle w:val="9"/>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文件等招标文件、</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35AC8136">
      <w:pPr>
        <w:numPr>
          <w:ilvl w:val="0"/>
          <w:numId w:val="8"/>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7E762530">
      <w:pPr>
        <w:pStyle w:val="9"/>
        <w:numPr>
          <w:ilvl w:val="0"/>
          <w:numId w:val="9"/>
        </w:numPr>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433DBBF5">
      <w:pPr>
        <w:pStyle w:val="9"/>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ascii="宋体" w:hAnsi="宋体" w:eastAsia="宋体" w:cs="宋体"/>
          <w:color w:val="auto"/>
          <w:sz w:val="21"/>
          <w:szCs w:val="21"/>
          <w:highlight w:val="none"/>
          <w:u w:val="single"/>
        </w:rPr>
        <w:t xml:space="preserve">                                          </w:t>
      </w:r>
    </w:p>
    <w:p w14:paraId="63CB0B3A">
      <w:pPr>
        <w:pStyle w:val="9"/>
        <w:adjustRightInd w:val="0"/>
        <w:snapToGrid w:val="0"/>
        <w:spacing w:before="0" w:beforeLines="0" w:after="0" w:line="400" w:lineRule="exact"/>
        <w:ind w:left="0" w:leftChars="0" w:firstLine="404"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6EEB6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1BF28A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54BF0168">
      <w:pPr>
        <w:numPr>
          <w:ilvl w:val="0"/>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67AF48F">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31385CEA">
      <w:pPr>
        <w:numPr>
          <w:ilvl w:val="0"/>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48CF8CCD">
      <w:pPr>
        <w:numPr>
          <w:ilvl w:val="0"/>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4BB4ED3F">
      <w:pPr>
        <w:numPr>
          <w:ilvl w:val="0"/>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918CF52">
      <w:pPr>
        <w:pStyle w:val="2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6FF6A012">
      <w:pPr>
        <w:pStyle w:val="2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4334D483">
      <w:pPr>
        <w:pStyle w:val="28"/>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898664B">
      <w:pPr>
        <w:pStyle w:val="28"/>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13181CF8">
      <w:pPr>
        <w:pStyle w:val="28"/>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09A40406">
      <w:pPr>
        <w:pStyle w:val="28"/>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E5A7316">
      <w:pPr>
        <w:pStyle w:val="28"/>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65C77AB4">
      <w:pPr>
        <w:pStyle w:val="28"/>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33E73B9">
      <w:pPr>
        <w:pStyle w:val="28"/>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872DB8F">
      <w:pPr>
        <w:pStyle w:val="28"/>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3C2A874E">
      <w:pPr>
        <w:pStyle w:val="28"/>
        <w:numPr>
          <w:ilvl w:val="0"/>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1839EE9B">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color="auto" w:fill="auto"/>
          <w:lang w:eastAsia="zh-CN"/>
        </w:rPr>
        <w:t>购</w:t>
      </w:r>
      <w:r>
        <w:rPr>
          <w:rFonts w:hint="eastAsia" w:ascii="宋体" w:hAnsi="宋体" w:eastAsia="宋体" w:cs="宋体"/>
          <w:color w:val="auto"/>
          <w:w w:val="100"/>
          <w:sz w:val="21"/>
          <w:szCs w:val="21"/>
          <w:highlight w:val="none"/>
          <w:shd w:val="clear" w:color="auto" w:fill="auto"/>
        </w:rPr>
        <w:t>合同</w:t>
      </w:r>
      <w:r>
        <w:rPr>
          <w:rFonts w:hint="eastAsia" w:ascii="宋体" w:hAnsi="宋体" w:eastAsia="宋体" w:cs="宋体"/>
          <w:color w:val="auto"/>
          <w:w w:val="100"/>
          <w:sz w:val="21"/>
          <w:szCs w:val="21"/>
          <w:highlight w:val="none"/>
          <w:shd w:val="clear" w:color="auto" w:fill="auto"/>
          <w:lang w:eastAsia="zh-CN"/>
        </w:rPr>
        <w:t>（中小企业预留合同）</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B64AFA8">
      <w:pPr>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791BEB13">
      <w:pPr>
        <w:numPr>
          <w:ilvl w:val="0"/>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DA2F223">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2CDA1B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3D6D1F9">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ABD139D">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和制造商不同，请分别填写）</w:t>
      </w:r>
      <w:r>
        <w:rPr>
          <w:rFonts w:hint="eastAsia" w:ascii="宋体" w:hAnsi="宋体" w:eastAsia="宋体" w:cs="宋体"/>
          <w:color w:val="auto"/>
          <w:sz w:val="21"/>
          <w:szCs w:val="21"/>
          <w:highlight w:val="none"/>
        </w:rPr>
        <w:t>：</w:t>
      </w:r>
    </w:p>
    <w:p w14:paraId="2A4BC829">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63BF706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和制造商不同，只填写制造商类型）</w:t>
      </w:r>
      <w:r>
        <w:rPr>
          <w:rFonts w:hint="eastAsia" w:ascii="宋体" w:hAnsi="宋体" w:eastAsia="宋体" w:cs="宋体"/>
          <w:color w:val="auto"/>
          <w:sz w:val="21"/>
          <w:szCs w:val="21"/>
          <w:highlight w:val="none"/>
        </w:rPr>
        <w:t>：</w:t>
      </w:r>
    </w:p>
    <w:p w14:paraId="35649E9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5787B2E1">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541CAB6E">
      <w:pPr>
        <w:numPr>
          <w:ilvl w:val="0"/>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w:t>
      </w:r>
      <w:r>
        <w:rPr>
          <w:rFonts w:hint="eastAsia" w:ascii="宋体" w:hAnsi="宋体" w:cs="宋体"/>
          <w:color w:val="auto"/>
          <w:sz w:val="21"/>
          <w:szCs w:val="21"/>
          <w:highlight w:val="none"/>
          <w:u w:val="none"/>
          <w:lang w:val="en-US" w:eastAsia="zh-CN"/>
        </w:rPr>
        <w:t>投标人</w:t>
      </w:r>
      <w:r>
        <w:rPr>
          <w:rFonts w:hint="eastAsia" w:ascii="宋体" w:hAnsi="宋体" w:eastAsia="宋体" w:cs="宋体"/>
          <w:color w:val="auto"/>
          <w:sz w:val="21"/>
          <w:szCs w:val="21"/>
          <w:highlight w:val="none"/>
          <w:u w:val="none"/>
          <w:lang w:val="en-US" w:eastAsia="zh-CN"/>
        </w:rPr>
        <w:t>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434434C">
      <w:pPr>
        <w:pStyle w:val="2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667746AB">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23458DBE">
      <w:pPr>
        <w:numPr>
          <w:ilvl w:val="0"/>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7755932C">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7BCDBC53">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C40D77E">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42406D7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DEEA9C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710062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1501DDCF">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5F97C17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7CDDC9C">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2A7139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4B4AC21D">
      <w:pPr>
        <w:pStyle w:val="28"/>
        <w:numPr>
          <w:ilvl w:val="0"/>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558F3478">
      <w:pPr>
        <w:pStyle w:val="28"/>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36F5049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6C8E606">
      <w:pPr>
        <w:pStyle w:val="28"/>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65C0DF89">
      <w:pPr>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18907CBE">
      <w:pPr>
        <w:numPr>
          <w:ilvl w:val="0"/>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10ABEF5D">
      <w:pPr>
        <w:numPr>
          <w:ilvl w:val="0"/>
          <w:numId w:val="8"/>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232CA1A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27B3CC0">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59556D7">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730BF6C6">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76FE5D2">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53798987">
      <w:pPr>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A6F490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1EF45A0D">
      <w:pPr>
        <w:pStyle w:val="29"/>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3FA60F49">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E1DEC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7BEB987">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3ECC84E5">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0D4B9C4B">
      <w:pPr>
        <w:numPr>
          <w:ilvl w:val="0"/>
          <w:numId w:val="8"/>
        </w:numPr>
        <w:adjustRightInd w:val="0"/>
        <w:snapToGrid w:val="0"/>
        <w:spacing w:before="0" w:beforeLines="0" w:line="400" w:lineRule="exact"/>
        <w:ind w:firstLine="420"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4BB5F0E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A55A44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1BA9E67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7CA18BD">
      <w:pPr>
        <w:pStyle w:val="2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1B2ABDBE">
      <w:pPr>
        <w:pStyle w:val="28"/>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177A324F">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75FF8270">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7A9372F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70A0629C">
      <w:pPr>
        <w:numPr>
          <w:ilvl w:val="0"/>
          <w:numId w:val="8"/>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246B180A">
      <w:pPr>
        <w:numPr>
          <w:ilvl w:val="0"/>
          <w:numId w:val="10"/>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40BB768B">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3E68CE2E">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w:t>
      </w:r>
      <w:r>
        <w:rPr>
          <w:rFonts w:hint="eastAsia" w:ascii="宋体" w:hAnsi="宋体" w:cs="宋体"/>
          <w:bCs/>
          <w:color w:val="auto"/>
          <w:sz w:val="21"/>
          <w:szCs w:val="21"/>
          <w:highlight w:val="none"/>
          <w:lang w:eastAsia="zh-CN"/>
        </w:rPr>
        <w:t>投标人</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DF5805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4EB239B">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429A08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81F994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E13646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559AF3B3">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72E6BE">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62764C73">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00D703A3">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194EB8">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17401DE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00CD679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67C7159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4CFB9B3F">
      <w:pPr>
        <w:pStyle w:val="28"/>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）是否以采购活动中投标人提供的样品作为参考：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15C2BE52">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2DD57E97">
      <w:pPr>
        <w:numPr>
          <w:ilvl w:val="0"/>
          <w:numId w:val="8"/>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51C552B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2DF7AAD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64B02DF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549392C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104853C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1F1F4A1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20AE90D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招标文件</w:t>
      </w:r>
    </w:p>
    <w:p w14:paraId="1CD4D1B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3A6CB3E4">
      <w:pPr>
        <w:pStyle w:val="28"/>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D07DC45">
      <w:pPr>
        <w:numPr>
          <w:ilvl w:val="0"/>
          <w:numId w:val="8"/>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7BB6EFA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25C13F7E">
      <w:pPr>
        <w:numPr>
          <w:ilvl w:val="0"/>
          <w:numId w:val="8"/>
        </w:numPr>
        <w:adjustRightInd w:val="0"/>
        <w:snapToGrid w:val="0"/>
        <w:spacing w:before="0" w:beforeLines="0" w:line="40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751D512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1114C4F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E266F5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0404C6A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协议等。</w:t>
      </w:r>
    </w:p>
    <w:p w14:paraId="15F33A41">
      <w:pPr>
        <w:pStyle w:val="29"/>
        <w:spacing w:beforeLines="0" w:line="400" w:lineRule="exact"/>
        <w:rPr>
          <w:rFonts w:hint="eastAsia" w:ascii="宋体" w:hAnsi="宋体" w:eastAsia="宋体" w:cs="宋体"/>
          <w:color w:val="auto"/>
          <w:sz w:val="21"/>
          <w:szCs w:val="21"/>
          <w:highlight w:val="none"/>
        </w:rPr>
      </w:pPr>
    </w:p>
    <w:p w14:paraId="4B151FB6">
      <w:pPr>
        <w:pStyle w:val="3"/>
        <w:spacing w:beforeLines="0" w:line="4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
        </w:rPr>
        <w:t xml:space="preserve">   </w:t>
      </w:r>
    </w:p>
    <w:p w14:paraId="72DA5C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2574562">
      <w:pPr>
        <w:pStyle w:val="29"/>
        <w:rPr>
          <w:rFonts w:hint="eastAsia" w:ascii="宋体" w:hAnsi="宋体" w:eastAsia="宋体" w:cs="宋体"/>
          <w:color w:val="auto"/>
          <w:sz w:val="21"/>
          <w:szCs w:val="21"/>
          <w:highlight w:val="none"/>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6"/>
        <w:gridCol w:w="2596"/>
        <w:gridCol w:w="2130"/>
        <w:gridCol w:w="2278"/>
      </w:tblGrid>
      <w:tr w14:paraId="26A0E0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A95E66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招标人、受招标人委托签订合同的单位</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约定的合同甲方）</w:t>
            </w:r>
          </w:p>
        </w:tc>
        <w:tc>
          <w:tcPr>
            <w:tcW w:w="2437" w:type="pct"/>
            <w:gridSpan w:val="2"/>
            <w:tcBorders>
              <w:left w:val="single" w:color="auto" w:sz="2" w:space="0"/>
              <w:bottom w:val="single" w:color="auto" w:sz="2" w:space="0"/>
            </w:tcBorders>
            <w:noWrap w:val="0"/>
            <w:vAlign w:val="center"/>
          </w:tcPr>
          <w:p w14:paraId="1255C9C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68785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14C852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EBD23E">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200AC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5D2B22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2B11A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720FE3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4A4BC976">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2674CA66">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right w:val="single" w:color="auto" w:sz="2" w:space="0"/>
            </w:tcBorders>
            <w:noWrap w:val="0"/>
            <w:vAlign w:val="center"/>
          </w:tcPr>
          <w:p w14:paraId="1096B3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7D7A10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56F8F23">
            <w:pPr>
              <w:adjustRightInd w:val="0"/>
              <w:snapToGrid w:val="0"/>
              <w:spacing w:line="300" w:lineRule="exact"/>
              <w:jc w:val="center"/>
              <w:rPr>
                <w:rFonts w:hint="eastAsia" w:ascii="宋体" w:hAnsi="宋体" w:eastAsia="宋体" w:cs="宋体"/>
                <w:color w:val="auto"/>
                <w:sz w:val="21"/>
                <w:szCs w:val="21"/>
                <w:highlight w:val="none"/>
              </w:rPr>
            </w:pPr>
          </w:p>
        </w:tc>
      </w:tr>
      <w:tr w14:paraId="6164B4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C7FAD6C">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8980440">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21F5DD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3E77E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D1363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2EFBA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ACDFD1">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455EEA">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72DFCF1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42EFC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70084D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42D4A4E">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3D91CF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6AE8C89B">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374C5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35574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CFAB67">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17F02B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0B10656">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1E792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976ED4B">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0C98F24">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26BD6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43A5F77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FF5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2919F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333CB5F">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261DD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6EBB104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1762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06BA0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2AA82AB">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A3C993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63C1E28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85C56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794B0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FC122C">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D8E6DF">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64414DDF">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FC192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45AEF0">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F980FB8">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8DEED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3828C2B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0282F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4E7F996">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F51268">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89EAD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2A40F66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3C347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31A8229">
            <w:pPr>
              <w:adjustRightInd w:val="0"/>
              <w:snapToGrid w:val="0"/>
              <w:spacing w:line="300" w:lineRule="exact"/>
              <w:jc w:val="center"/>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B11DBEF">
            <w:pPr>
              <w:adjustRightInd w:val="0"/>
              <w:snapToGrid w:val="0"/>
              <w:spacing w:line="300" w:lineRule="exact"/>
              <w:jc w:val="center"/>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B9832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21D1F17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B5CE7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05024CDA">
            <w:pPr>
              <w:pStyle w:val="9"/>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106E0078">
      <w:pPr>
        <w:pStyle w:val="3"/>
        <w:adjustRightInd w:val="0"/>
        <w:snapToGrid w:val="0"/>
        <w:spacing w:before="156" w:beforeLine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br w:type="page"/>
      </w:r>
      <w:bookmarkStart w:id="93" w:name="_Toc27624"/>
      <w:r>
        <w:rPr>
          <w:rFonts w:hint="eastAsia" w:ascii="宋体" w:hAnsi="宋体" w:eastAsia="宋体" w:cs="宋体"/>
          <w:b w:val="0"/>
          <w:bCs w:val="0"/>
          <w:color w:val="auto"/>
          <w:sz w:val="21"/>
          <w:szCs w:val="21"/>
          <w:highlight w:val="none"/>
        </w:rPr>
        <w:t>第二节 政府采购合同通用条款</w:t>
      </w:r>
      <w:bookmarkEnd w:id="93"/>
    </w:p>
    <w:p w14:paraId="6A807E9F">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24E858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0796F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（以下称甲方）是指使用财政性资金，通过政府采购方式向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6E1514A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2C0AF88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721A0D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39798F8">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 w:val="21"/>
          <w:szCs w:val="21"/>
          <w:highlight w:val="none"/>
        </w:rPr>
        <w:t>。</w:t>
      </w:r>
    </w:p>
    <w:p w14:paraId="551D6A4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75D768D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2A1892C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0FBB6047">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、投标（响应）文件的规定，根据分包意向协议，将中标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2980F6A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的身份共同参加政府采购的主体。</w:t>
      </w:r>
      <w:r>
        <w:rPr>
          <w:rFonts w:hint="eastAsia" w:ascii="宋体" w:hAnsi="宋体" w:eastAsia="宋体" w:cs="宋体"/>
          <w:color w:val="auto"/>
          <w:sz w:val="21"/>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645EE83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736A8139">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3DF9C73F">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519C003C">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24009D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4602D4D8">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259E16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450B90E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62F7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0F8EA6B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19F3B5E1">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59301E8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715B74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078FDB1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2C918B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35E7CFA">
      <w:pPr>
        <w:pStyle w:val="7"/>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.3乙方有权根据合同约定向甲方收取</w:t>
      </w:r>
      <w:r>
        <w:rPr>
          <w:rFonts w:hint="eastAsia" w:ascii="宋体" w:hAnsi="宋体" w:eastAsia="宋体" w:cs="宋体"/>
          <w:color w:val="auto"/>
          <w:sz w:val="21"/>
          <w:szCs w:val="21"/>
          <w:highlight w:val="none"/>
          <w:lang w:eastAsia="zh-CN"/>
        </w:rPr>
        <w:t>合同价款</w:t>
      </w:r>
      <w:r>
        <w:rPr>
          <w:rFonts w:hint="eastAsia" w:ascii="宋体" w:hAnsi="宋体" w:eastAsia="宋体" w:cs="宋体"/>
          <w:color w:val="auto"/>
          <w:sz w:val="21"/>
          <w:szCs w:val="21"/>
          <w:highlight w:val="none"/>
        </w:rPr>
        <w:t>。</w:t>
      </w:r>
    </w:p>
    <w:p w14:paraId="2B6F606A">
      <w:pPr>
        <w:pStyle w:val="7"/>
        <w:spacing w:after="0" w:line="400" w:lineRule="exact"/>
        <w:ind w:firstLine="369" w:firstLineChars="17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.4国家法律法规规定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约定应</w:t>
      </w:r>
      <w:r>
        <w:rPr>
          <w:rFonts w:hint="eastAsia" w:ascii="宋体" w:hAnsi="宋体" w:eastAsia="宋体" w:cs="宋体"/>
          <w:color w:val="auto"/>
          <w:sz w:val="21"/>
          <w:szCs w:val="21"/>
          <w:highlight w:val="none"/>
        </w:rPr>
        <w:t>由乙方承担的其他义务和责任。</w:t>
      </w:r>
    </w:p>
    <w:p w14:paraId="49A20105">
      <w:pPr>
        <w:numPr>
          <w:ilvl w:val="0"/>
          <w:numId w:val="12"/>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0A9FAA2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4DE7373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97AA445">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49261E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7A2DC68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490167A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39F59CF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598396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9816135">
      <w:pPr>
        <w:pStyle w:val="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7.6 </w:t>
      </w:r>
      <w:r>
        <w:rPr>
          <w:rFonts w:hint="eastAsia" w:ascii="宋体" w:hAnsi="宋体" w:eastAsia="宋体" w:cs="宋体"/>
          <w:color w:val="auto"/>
          <w:kern w:val="2"/>
          <w:sz w:val="21"/>
          <w:szCs w:val="21"/>
          <w:highlight w:val="none"/>
        </w:rPr>
        <w:t>如因包装</w:t>
      </w:r>
      <w:r>
        <w:rPr>
          <w:rFonts w:hint="eastAsia" w:ascii="宋体" w:hAnsi="宋体" w:eastAsia="宋体" w:cs="宋体"/>
          <w:color w:val="auto"/>
          <w:kern w:val="2"/>
          <w:sz w:val="21"/>
          <w:szCs w:val="21"/>
          <w:highlight w:val="none"/>
          <w:lang w:eastAsia="zh-CN"/>
        </w:rPr>
        <w:t>、运输</w:t>
      </w:r>
      <w:r>
        <w:rPr>
          <w:rFonts w:hint="eastAsia" w:ascii="宋体" w:hAnsi="宋体" w:eastAsia="宋体" w:cs="宋体"/>
          <w:color w:val="auto"/>
          <w:kern w:val="2"/>
          <w:sz w:val="21"/>
          <w:szCs w:val="21"/>
          <w:highlight w:val="none"/>
        </w:rPr>
        <w:t>问题导致货物</w:t>
      </w:r>
      <w:r>
        <w:rPr>
          <w:rFonts w:hint="eastAsia" w:ascii="宋体" w:hAnsi="宋体" w:eastAsia="宋体" w:cs="宋体"/>
          <w:color w:val="auto"/>
          <w:kern w:val="2"/>
          <w:sz w:val="21"/>
          <w:szCs w:val="21"/>
          <w:highlight w:val="none"/>
          <w:lang w:eastAsia="zh-CN"/>
        </w:rPr>
        <w:t>损毁、丢失</w:t>
      </w:r>
      <w:r>
        <w:rPr>
          <w:rFonts w:hint="eastAsia" w:ascii="宋体" w:hAnsi="宋体" w:eastAsia="宋体" w:cs="宋体"/>
          <w:color w:val="auto"/>
          <w:kern w:val="2"/>
          <w:sz w:val="21"/>
          <w:szCs w:val="21"/>
          <w:highlight w:val="none"/>
        </w:rPr>
        <w:t>或者品质下降，</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有权要求降价、换货、拒收部分或整批货物，由此</w:t>
      </w:r>
      <w:r>
        <w:rPr>
          <w:rFonts w:hint="eastAsia" w:ascii="宋体" w:hAnsi="宋体" w:eastAsia="宋体" w:cs="宋体"/>
          <w:color w:val="auto"/>
          <w:kern w:val="2"/>
          <w:sz w:val="21"/>
          <w:szCs w:val="21"/>
          <w:highlight w:val="none"/>
          <w:lang w:eastAsia="zh-CN"/>
        </w:rPr>
        <w:t>产生</w:t>
      </w:r>
      <w:r>
        <w:rPr>
          <w:rFonts w:hint="eastAsia" w:ascii="宋体" w:hAnsi="宋体" w:eastAsia="宋体" w:cs="宋体"/>
          <w:color w:val="auto"/>
          <w:kern w:val="2"/>
          <w:sz w:val="21"/>
          <w:szCs w:val="21"/>
          <w:highlight w:val="none"/>
        </w:rPr>
        <w:t>的费用和损失，均由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w:t>
      </w:r>
    </w:p>
    <w:p w14:paraId="66172133">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AAC27BA">
      <w:pPr>
        <w:pStyle w:val="10"/>
        <w:adjustRightInd w:val="0"/>
        <w:snapToGrid w:val="0"/>
        <w:spacing w:before="0"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.1 质量标准</w:t>
      </w:r>
    </w:p>
    <w:p w14:paraId="2C11121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150318C5">
      <w:pPr>
        <w:pStyle w:val="1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2B57D6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491E397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531DCD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7B5AE1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3126694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0B1A59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38018F9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A43409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65B01863">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4E1B91B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74661F7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71D1813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4D5BE47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485E036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94"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94"/>
      <w:r>
        <w:rPr>
          <w:rFonts w:hint="eastAsia" w:ascii="宋体" w:hAnsi="宋体" w:eastAsia="宋体" w:cs="宋体"/>
          <w:color w:val="auto"/>
          <w:sz w:val="21"/>
          <w:szCs w:val="21"/>
          <w:highlight w:val="none"/>
        </w:rPr>
        <w:t>。</w:t>
      </w:r>
    </w:p>
    <w:p w14:paraId="4D7D29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67A2A41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23638D3C">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0708C493">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75AA479F">
      <w:pPr>
        <w:pStyle w:val="3"/>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w:t>
      </w:r>
      <w:r>
        <w:rPr>
          <w:rFonts w:hint="eastAsia" w:ascii="宋体" w:hAnsi="宋体" w:eastAsia="宋体" w:cs="宋体"/>
          <w:b w:val="0"/>
          <w:bCs w:val="0"/>
          <w:color w:val="auto"/>
          <w:kern w:val="2"/>
          <w:sz w:val="21"/>
          <w:szCs w:val="21"/>
          <w:highlight w:val="none"/>
          <w:lang w:eastAsia="zh-CN"/>
        </w:rPr>
        <w:t>招标文件</w:t>
      </w:r>
      <w:r>
        <w:rPr>
          <w:rFonts w:hint="eastAsia" w:ascii="宋体" w:hAnsi="宋体" w:eastAsia="宋体" w:cs="宋体"/>
          <w:b w:val="0"/>
          <w:bCs w:val="0"/>
          <w:color w:val="auto"/>
          <w:kern w:val="2"/>
          <w:sz w:val="21"/>
          <w:szCs w:val="21"/>
          <w:highlight w:val="none"/>
        </w:rPr>
        <w:t>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28F68794">
      <w:pPr>
        <w:pStyle w:val="7"/>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52E8CBB4">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18CFD17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7A9485B7">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95735A9">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61CF0E8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6CDF80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0D3C38D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4F316A2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610B34D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23F22271">
      <w:pPr>
        <w:pStyle w:val="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0AEB5C6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490ACB2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897FB5E">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6B6B5A5E">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5F09511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069C3A77">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15A959A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3B3099F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50C508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0B556A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308CDA5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54BFA092">
      <w:pPr>
        <w:numPr>
          <w:ilvl w:val="0"/>
          <w:numId w:val="13"/>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12DBC53D">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2CF69D2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53AEA8B6">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4004DF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1929F4C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1E173F25">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w:t>
      </w:r>
      <w:r>
        <w:rPr>
          <w:rFonts w:hint="eastAsia" w:ascii="宋体" w:hAnsi="宋体" w:eastAsia="宋体" w:cs="宋体"/>
          <w:color w:val="auto"/>
          <w:sz w:val="21"/>
          <w:szCs w:val="21"/>
          <w:highlight w:val="none"/>
          <w:lang w:eastAsia="zh-CN"/>
        </w:rPr>
        <w:t>及时告知</w:t>
      </w:r>
      <w:r>
        <w:rPr>
          <w:rFonts w:hint="eastAsia" w:ascii="宋体" w:hAnsi="宋体" w:eastAsia="宋体" w:cs="宋体"/>
          <w:color w:val="auto"/>
          <w:sz w:val="21"/>
          <w:szCs w:val="21"/>
          <w:highlight w:val="none"/>
        </w:rPr>
        <w:t>甲方，致使</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履行发生困难的，甲方可以中止合同履行并要求乙方承担由此给甲方造成的损失。</w:t>
      </w:r>
    </w:p>
    <w:p w14:paraId="7D61B7AE">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3F763C2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5DC25D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2A1BB3B">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5FA03DC0">
      <w:pPr>
        <w:pStyle w:val="28"/>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21D5967E">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w:t>
      </w:r>
      <w:r>
        <w:rPr>
          <w:rFonts w:hint="eastAsia" w:ascii="宋体" w:hAnsi="宋体" w:eastAsia="宋体" w:cs="宋体"/>
          <w:color w:val="auto"/>
          <w:sz w:val="21"/>
          <w:szCs w:val="21"/>
          <w:highlight w:val="none"/>
          <w:lang w:val="en-US" w:eastAsia="zh-CN"/>
        </w:rPr>
        <w:t>应当变更、</w:t>
      </w:r>
      <w:r>
        <w:rPr>
          <w:rFonts w:hint="eastAsia" w:ascii="宋体" w:hAnsi="宋体" w:eastAsia="宋体" w:cs="宋体"/>
          <w:color w:val="auto"/>
          <w:sz w:val="21"/>
          <w:szCs w:val="21"/>
          <w:highlight w:val="none"/>
        </w:rPr>
        <w:t>中止</w:t>
      </w:r>
      <w:r>
        <w:rPr>
          <w:rFonts w:hint="eastAsia" w:ascii="宋体" w:hAnsi="宋体" w:eastAsia="宋体" w:cs="宋体"/>
          <w:color w:val="auto"/>
          <w:sz w:val="21"/>
          <w:szCs w:val="21"/>
          <w:highlight w:val="none"/>
          <w:lang w:eastAsia="zh-CN"/>
        </w:rPr>
        <w:t>或者终止</w:t>
      </w:r>
      <w:r>
        <w:rPr>
          <w:rFonts w:hint="eastAsia" w:ascii="宋体" w:hAnsi="宋体" w:eastAsia="宋体" w:cs="宋体"/>
          <w:color w:val="auto"/>
          <w:sz w:val="21"/>
          <w:szCs w:val="21"/>
          <w:highlight w:val="none"/>
        </w:rPr>
        <w:t>合同。有过错的一方应当承担赔偿责任，双方都有过错的，各自承担相应的责任。</w:t>
      </w:r>
    </w:p>
    <w:p w14:paraId="7A0594F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3FDBE87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lang w:eastAsia="zh-CN"/>
        </w:rPr>
        <w:t>。涉及合同分包的，乙方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根据招标文件和投标（响应）文件规定进行</w:t>
      </w:r>
      <w:r>
        <w:rPr>
          <w:rFonts w:hint="eastAsia" w:ascii="宋体" w:hAnsi="宋体" w:eastAsia="宋体" w:cs="宋体"/>
          <w:color w:val="auto"/>
          <w:sz w:val="21"/>
          <w:szCs w:val="21"/>
          <w:highlight w:val="none"/>
        </w:rPr>
        <w:t>合同分包。</w:t>
      </w:r>
    </w:p>
    <w:p w14:paraId="5ABD84F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w:t>
      </w:r>
      <w:r>
        <w:rPr>
          <w:rFonts w:hint="eastAsia" w:ascii="宋体" w:hAnsi="宋体" w:eastAsia="宋体" w:cs="宋体"/>
          <w:color w:val="auto"/>
          <w:sz w:val="21"/>
          <w:szCs w:val="21"/>
          <w:highlight w:val="none"/>
          <w:lang w:eastAsia="zh-CN"/>
        </w:rPr>
        <w:t>招标文件和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协议属于本合同组成部分。</w:t>
      </w:r>
    </w:p>
    <w:p w14:paraId="6D882B7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1EE81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6860ED4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47E96F6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74AEF903">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1A05919">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 因本合同及合同有关事项发生的争议，由</w:t>
      </w:r>
      <w:r>
        <w:rPr>
          <w:rFonts w:hint="eastAsia" w:ascii="宋体" w:hAnsi="宋体" w:eastAsia="宋体" w:cs="宋体"/>
          <w:color w:val="auto"/>
          <w:sz w:val="21"/>
          <w:szCs w:val="21"/>
          <w:highlight w:val="none"/>
          <w:lang w:eastAsia="zh-CN"/>
        </w:rPr>
        <w:t>甲乙双</w:t>
      </w:r>
      <w:r>
        <w:rPr>
          <w:rFonts w:hint="eastAsia" w:ascii="宋体" w:hAnsi="宋体" w:eastAsia="宋体" w:cs="宋体"/>
          <w:color w:val="auto"/>
          <w:sz w:val="21"/>
          <w:szCs w:val="21"/>
          <w:highlight w:val="none"/>
        </w:rPr>
        <w:t>方友好协商解决。协商不成时，可以</w:t>
      </w:r>
      <w:r>
        <w:rPr>
          <w:rFonts w:hint="eastAsia" w:ascii="宋体" w:hAnsi="宋体" w:eastAsia="宋体" w:cs="宋体"/>
          <w:color w:val="auto"/>
          <w:sz w:val="21"/>
          <w:szCs w:val="21"/>
          <w:highlight w:val="none"/>
          <w:lang w:eastAsia="zh-CN"/>
        </w:rPr>
        <w:t>向有关组织申请</w:t>
      </w:r>
      <w:r>
        <w:rPr>
          <w:rFonts w:hint="eastAsia" w:ascii="宋体" w:hAnsi="宋体" w:eastAsia="宋体" w:cs="宋体"/>
          <w:color w:val="auto"/>
          <w:sz w:val="21"/>
          <w:szCs w:val="21"/>
          <w:highlight w:val="none"/>
        </w:rPr>
        <w:t>调解。合同一方或</w:t>
      </w:r>
      <w:r>
        <w:rPr>
          <w:rFonts w:hint="eastAsia" w:ascii="宋体" w:hAnsi="宋体" w:eastAsia="宋体" w:cs="宋体"/>
          <w:color w:val="auto"/>
          <w:sz w:val="21"/>
          <w:szCs w:val="21"/>
          <w:highlight w:val="none"/>
          <w:lang w:eastAsia="zh-CN"/>
        </w:rPr>
        <w:t>双</w:t>
      </w:r>
      <w:r>
        <w:rPr>
          <w:rFonts w:hint="eastAsia" w:ascii="宋体" w:hAnsi="宋体" w:eastAsia="宋体" w:cs="宋体"/>
          <w:color w:val="auto"/>
          <w:sz w:val="21"/>
          <w:szCs w:val="21"/>
          <w:highlight w:val="none"/>
        </w:rPr>
        <w:t>方不愿调解或调解不成的，可以通过仲裁或诉讼的方式解决争议。</w:t>
      </w:r>
    </w:p>
    <w:p w14:paraId="6A560186">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4CD2560F">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.3 如</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rPr>
        <w:t>有争议的事项不影响合同其他部分的履行，在争议解决期间，合同其他部分应</w:t>
      </w:r>
      <w:r>
        <w:rPr>
          <w:rFonts w:hint="eastAsia" w:ascii="宋体" w:hAnsi="宋体" w:eastAsia="宋体" w:cs="宋体"/>
          <w:color w:val="auto"/>
          <w:sz w:val="21"/>
          <w:szCs w:val="21"/>
          <w:highlight w:val="none"/>
          <w:lang w:eastAsia="zh-CN"/>
        </w:rPr>
        <w:t>当</w:t>
      </w:r>
      <w:r>
        <w:rPr>
          <w:rFonts w:hint="eastAsia" w:ascii="宋体" w:hAnsi="宋体" w:eastAsia="宋体" w:cs="宋体"/>
          <w:color w:val="auto"/>
          <w:sz w:val="21"/>
          <w:szCs w:val="21"/>
          <w:highlight w:val="none"/>
        </w:rPr>
        <w:t>继续履行。</w:t>
      </w:r>
    </w:p>
    <w:p w14:paraId="1E79B950">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64FC067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296129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11BBABE6">
      <w:pPr>
        <w:pStyle w:val="7"/>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对于</w:t>
      </w:r>
      <w:r>
        <w:rPr>
          <w:rFonts w:hint="eastAsia" w:ascii="宋体" w:hAnsi="宋体" w:eastAsia="宋体" w:cs="宋体"/>
          <w:color w:val="auto"/>
          <w:sz w:val="21"/>
          <w:szCs w:val="21"/>
          <w:highlight w:val="none"/>
          <w:lang w:eastAsia="zh-CN"/>
        </w:rPr>
        <w:t>为落实中小企业支持政策，</w:t>
      </w:r>
      <w:r>
        <w:rPr>
          <w:rFonts w:hint="eastAsia" w:ascii="宋体" w:hAnsi="宋体" w:eastAsia="宋体" w:cs="宋体"/>
          <w:color w:val="auto"/>
          <w:sz w:val="21"/>
          <w:szCs w:val="21"/>
          <w:highlight w:val="none"/>
        </w:rPr>
        <w:t>通过采购项目</w:t>
      </w:r>
      <w:r>
        <w:rPr>
          <w:rFonts w:hint="eastAsia" w:ascii="宋体" w:hAnsi="宋体" w:eastAsia="宋体" w:cs="宋体"/>
          <w:color w:val="auto"/>
          <w:sz w:val="21"/>
          <w:szCs w:val="21"/>
          <w:highlight w:val="none"/>
          <w:lang w:eastAsia="zh-CN"/>
        </w:rPr>
        <w:t>整体</w:t>
      </w:r>
      <w:r>
        <w:rPr>
          <w:rFonts w:hint="eastAsia" w:ascii="宋体" w:hAnsi="宋体" w:eastAsia="宋体" w:cs="宋体"/>
          <w:color w:val="auto"/>
          <w:sz w:val="21"/>
          <w:szCs w:val="21"/>
          <w:highlight w:val="none"/>
        </w:rPr>
        <w:t>预留、</w:t>
      </w:r>
      <w:r>
        <w:rPr>
          <w:rFonts w:hint="eastAsia" w:ascii="宋体" w:hAnsi="宋体" w:eastAsia="宋体" w:cs="宋体"/>
          <w:color w:val="auto"/>
          <w:sz w:val="21"/>
          <w:szCs w:val="21"/>
          <w:highlight w:val="none"/>
          <w:lang w:eastAsia="zh-CN"/>
        </w:rPr>
        <w:t>设置</w:t>
      </w:r>
      <w:r>
        <w:rPr>
          <w:rFonts w:hint="eastAsia" w:ascii="宋体" w:hAnsi="宋体" w:eastAsia="宋体" w:cs="宋体"/>
          <w:color w:val="auto"/>
          <w:sz w:val="21"/>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296549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2F05F44E">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本合同的订立、生效、解释、履行及与本合同有关的争议解决，均适用法律、行政法规。</w:t>
      </w:r>
    </w:p>
    <w:p w14:paraId="7A40440E">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本合同条款与法律、行政法规的强制性规定不一致的，双方当事人应按照法律、行政法规的强制性规定修改本合同的相关条款。</w:t>
      </w:r>
    </w:p>
    <w:p w14:paraId="25069037">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16FF3F56">
      <w:pPr>
        <w:pStyle w:val="2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本合同任何一方向对方发出的通知、信件、数据电文等，应当发送至本合同第一部分《政府采购合同协议书》所约定的通讯地址、联系人、联系电话或电子邮箱。</w:t>
      </w:r>
    </w:p>
    <w:p w14:paraId="03A2F9AF">
      <w:pPr>
        <w:pStyle w:val="28"/>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一方当事人变更名称、</w:t>
      </w:r>
      <w:r>
        <w:rPr>
          <w:rFonts w:hint="eastAsia" w:ascii="宋体" w:hAnsi="宋体" w:eastAsia="宋体" w:cs="宋体"/>
          <w:color w:val="auto"/>
          <w:sz w:val="21"/>
          <w:szCs w:val="21"/>
          <w:highlight w:val="none"/>
          <w:lang w:eastAsia="zh-CN"/>
        </w:rPr>
        <w:t>住所</w:t>
      </w:r>
      <w:r>
        <w:rPr>
          <w:rFonts w:hint="eastAsia" w:ascii="宋体" w:hAnsi="宋体" w:eastAsia="宋体" w:cs="宋体"/>
          <w:color w:val="auto"/>
          <w:sz w:val="21"/>
          <w:szCs w:val="21"/>
          <w:highlight w:val="none"/>
        </w:rPr>
        <w:t>、联系人、联系电话或电子邮箱</w:t>
      </w:r>
      <w:r>
        <w:rPr>
          <w:rFonts w:hint="eastAsia" w:ascii="宋体" w:hAnsi="宋体" w:eastAsia="宋体" w:cs="宋体"/>
          <w:color w:val="auto"/>
          <w:sz w:val="21"/>
          <w:szCs w:val="21"/>
          <w:highlight w:val="none"/>
          <w:lang w:eastAsia="zh-CN"/>
        </w:rPr>
        <w:t>等信息</w:t>
      </w:r>
      <w:r>
        <w:rPr>
          <w:rFonts w:hint="eastAsia" w:ascii="宋体" w:hAnsi="宋体" w:eastAsia="宋体" w:cs="宋体"/>
          <w:color w:val="auto"/>
          <w:sz w:val="21"/>
          <w:szCs w:val="21"/>
          <w:highlight w:val="none"/>
        </w:rPr>
        <w:t>的，应当在变更后3日内及时书面通知对方，对方实际收到变更通知前的送达仍为有效送达。</w:t>
      </w:r>
    </w:p>
    <w:p w14:paraId="57FC76B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本合同一方给另一方的通知均应采用书面形式，传真或快递送到本合同中规定的对方的地址和办理签收手续。</w:t>
      </w:r>
    </w:p>
    <w:p w14:paraId="6C563C0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2D24968">
      <w:pPr>
        <w:numPr>
          <w:ilvl w:val="0"/>
          <w:numId w:val="14"/>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593B263B">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605583B">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95" w:name="_Toc20313"/>
    </w:p>
    <w:p w14:paraId="1CF0D4A1">
      <w:pPr>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2BD6E4FF">
      <w:pPr>
        <w:pStyle w:val="3"/>
        <w:adjustRightInd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第三节 政府采购合同专用条款</w:t>
      </w:r>
      <w:bookmarkEnd w:id="95"/>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B0D1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D84431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C0983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742" w:type="dxa"/>
            <w:noWrap w:val="0"/>
            <w:vAlign w:val="center"/>
          </w:tcPr>
          <w:p w14:paraId="2B06F399">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联合体具体要求</w:t>
            </w:r>
          </w:p>
        </w:tc>
        <w:tc>
          <w:tcPr>
            <w:tcW w:w="5170" w:type="dxa"/>
            <w:noWrap w:val="0"/>
            <w:vAlign w:val="center"/>
          </w:tcPr>
          <w:p w14:paraId="3FF32B3B">
            <w:pPr>
              <w:adjustRightInd w:val="0"/>
              <w:snapToGrid w:val="0"/>
              <w:jc w:val="left"/>
              <w:rPr>
                <w:rFonts w:hint="eastAsia" w:ascii="宋体" w:hAnsi="宋体" w:eastAsia="宋体" w:cs="宋体"/>
                <w:color w:val="auto"/>
                <w:sz w:val="21"/>
                <w:szCs w:val="21"/>
                <w:highlight w:val="none"/>
              </w:rPr>
            </w:pPr>
          </w:p>
        </w:tc>
      </w:tr>
      <w:tr w14:paraId="0E326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4585F00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62453A4">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第1.2（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w:t>
            </w:r>
          </w:p>
        </w:tc>
        <w:tc>
          <w:tcPr>
            <w:tcW w:w="1742" w:type="dxa"/>
            <w:noWrap w:val="0"/>
            <w:vAlign w:val="center"/>
          </w:tcPr>
          <w:p w14:paraId="1C63E1E1">
            <w:pPr>
              <w:adjustRightInd w:val="0"/>
              <w:snapToGrid w:val="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其他术语解释</w:t>
            </w:r>
          </w:p>
        </w:tc>
        <w:tc>
          <w:tcPr>
            <w:tcW w:w="5170" w:type="dxa"/>
            <w:noWrap w:val="0"/>
            <w:vAlign w:val="center"/>
          </w:tcPr>
          <w:p w14:paraId="4C8D4A97">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2C6D5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B6D7BD8">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0E959A0">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4.4款</w:t>
            </w:r>
          </w:p>
        </w:tc>
        <w:tc>
          <w:tcPr>
            <w:tcW w:w="1742" w:type="dxa"/>
            <w:noWrap w:val="0"/>
            <w:vAlign w:val="center"/>
          </w:tcPr>
          <w:p w14:paraId="42C65B80">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履约验收中甲方提出异议或作出说明的期限</w:t>
            </w:r>
          </w:p>
        </w:tc>
        <w:tc>
          <w:tcPr>
            <w:tcW w:w="5170" w:type="dxa"/>
            <w:noWrap w:val="0"/>
            <w:vAlign w:val="center"/>
          </w:tcPr>
          <w:p w14:paraId="25A9C2C1">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5AFD6D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1BE22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630E77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4.6款</w:t>
            </w:r>
          </w:p>
        </w:tc>
        <w:tc>
          <w:tcPr>
            <w:tcW w:w="1742" w:type="dxa"/>
            <w:noWrap w:val="0"/>
            <w:vAlign w:val="center"/>
          </w:tcPr>
          <w:p w14:paraId="2C6EDD7E">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约定甲方承担的其他义务和责任</w:t>
            </w:r>
          </w:p>
        </w:tc>
        <w:tc>
          <w:tcPr>
            <w:tcW w:w="5170" w:type="dxa"/>
            <w:noWrap w:val="0"/>
            <w:vAlign w:val="center"/>
          </w:tcPr>
          <w:p w14:paraId="58E883E5">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586E4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B2C529">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29784596">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5.4款</w:t>
            </w:r>
          </w:p>
        </w:tc>
        <w:tc>
          <w:tcPr>
            <w:tcW w:w="1742" w:type="dxa"/>
            <w:noWrap w:val="0"/>
            <w:vAlign w:val="center"/>
          </w:tcPr>
          <w:p w14:paraId="0AC42EA7">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约定乙方承担的其他义务和责任</w:t>
            </w:r>
          </w:p>
        </w:tc>
        <w:tc>
          <w:tcPr>
            <w:tcW w:w="5170" w:type="dxa"/>
            <w:noWrap w:val="0"/>
            <w:vAlign w:val="center"/>
          </w:tcPr>
          <w:p w14:paraId="047ED386">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68E53C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53C98F">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第二节</w:t>
            </w:r>
          </w:p>
          <w:p w14:paraId="6925F91C">
            <w:pPr>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w:t>
            </w:r>
            <w:r>
              <w:rPr>
                <w:rFonts w:hint="eastAsia" w:ascii="宋体" w:hAnsi="宋体" w:eastAsia="宋体" w:cs="宋体"/>
                <w:color w:val="auto"/>
                <w:sz w:val="21"/>
                <w:szCs w:val="21"/>
                <w:highlight w:val="none"/>
                <w:lang w:val="en-US" w:eastAsia="zh-CN"/>
              </w:rPr>
              <w:t>6.1款</w:t>
            </w:r>
          </w:p>
        </w:tc>
        <w:tc>
          <w:tcPr>
            <w:tcW w:w="1742" w:type="dxa"/>
            <w:noWrap w:val="0"/>
            <w:vAlign w:val="center"/>
          </w:tcPr>
          <w:p w14:paraId="6CF9190A">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履行合同义务的顺序</w:t>
            </w:r>
          </w:p>
        </w:tc>
        <w:tc>
          <w:tcPr>
            <w:tcW w:w="5170" w:type="dxa"/>
            <w:noWrap w:val="0"/>
            <w:vAlign w:val="center"/>
          </w:tcPr>
          <w:p w14:paraId="7B4F27BA">
            <w:pPr>
              <w:adjustRightInd w:val="0"/>
              <w:snapToGrid w:val="0"/>
              <w:jc w:val="left"/>
              <w:rPr>
                <w:rFonts w:hint="eastAsia" w:ascii="宋体" w:hAnsi="宋体" w:eastAsia="宋体" w:cs="宋体"/>
                <w:color w:val="auto"/>
                <w:kern w:val="2"/>
                <w:sz w:val="21"/>
                <w:szCs w:val="21"/>
                <w:highlight w:val="none"/>
                <w:lang w:val="en-US" w:eastAsia="zh-CN" w:bidi="ar-SA"/>
              </w:rPr>
            </w:pPr>
          </w:p>
        </w:tc>
      </w:tr>
      <w:tr w14:paraId="7A40A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71E32C32">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3A3525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6FDDB620">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r>
              <w:rPr>
                <w:rFonts w:hint="eastAsia" w:ascii="宋体" w:hAnsi="宋体" w:eastAsia="宋体" w:cs="宋体"/>
                <w:color w:val="auto"/>
                <w:sz w:val="21"/>
                <w:szCs w:val="21"/>
                <w:highlight w:val="none"/>
                <w:lang w:eastAsia="zh-CN"/>
              </w:rPr>
              <w:t>特殊要求</w:t>
            </w:r>
          </w:p>
        </w:tc>
        <w:tc>
          <w:tcPr>
            <w:tcW w:w="5170" w:type="dxa"/>
            <w:noWrap w:val="0"/>
            <w:vAlign w:val="center"/>
          </w:tcPr>
          <w:p w14:paraId="2B758349">
            <w:pPr>
              <w:rPr>
                <w:rFonts w:hint="eastAsia" w:ascii="宋体" w:hAnsi="宋体" w:eastAsia="宋体" w:cs="宋体"/>
                <w:color w:val="auto"/>
                <w:sz w:val="21"/>
                <w:szCs w:val="21"/>
                <w:highlight w:val="none"/>
              </w:rPr>
            </w:pPr>
          </w:p>
        </w:tc>
      </w:tr>
      <w:tr w14:paraId="440DBE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297D6F9">
            <w:pPr>
              <w:adjustRightInd w:val="0"/>
              <w:snapToGrid w:val="0"/>
              <w:jc w:val="center"/>
              <w:rPr>
                <w:rFonts w:hint="eastAsia" w:ascii="宋体" w:hAnsi="宋体" w:eastAsia="宋体" w:cs="宋体"/>
                <w:color w:val="auto"/>
                <w:sz w:val="21"/>
                <w:szCs w:val="21"/>
                <w:highlight w:val="none"/>
              </w:rPr>
            </w:pPr>
          </w:p>
        </w:tc>
        <w:tc>
          <w:tcPr>
            <w:tcW w:w="1742" w:type="dxa"/>
            <w:noWrap w:val="0"/>
            <w:vAlign w:val="center"/>
          </w:tcPr>
          <w:p w14:paraId="592B38A3">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指定现场</w:t>
            </w:r>
          </w:p>
        </w:tc>
        <w:tc>
          <w:tcPr>
            <w:tcW w:w="5170" w:type="dxa"/>
            <w:noWrap w:val="0"/>
            <w:vAlign w:val="center"/>
          </w:tcPr>
          <w:p w14:paraId="43DE7208">
            <w:pPr>
              <w:rPr>
                <w:rFonts w:hint="eastAsia" w:ascii="宋体" w:hAnsi="宋体" w:eastAsia="宋体" w:cs="宋体"/>
                <w:color w:val="auto"/>
                <w:sz w:val="21"/>
                <w:szCs w:val="21"/>
                <w:highlight w:val="none"/>
              </w:rPr>
            </w:pPr>
          </w:p>
        </w:tc>
      </w:tr>
      <w:tr w14:paraId="599D1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28ECBCD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87028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3F8C051C">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运输特殊要求</w:t>
            </w:r>
          </w:p>
        </w:tc>
        <w:tc>
          <w:tcPr>
            <w:tcW w:w="5170" w:type="dxa"/>
            <w:noWrap w:val="0"/>
            <w:vAlign w:val="center"/>
          </w:tcPr>
          <w:p w14:paraId="3D1ED5AF">
            <w:pPr>
              <w:rPr>
                <w:rFonts w:hint="eastAsia" w:ascii="宋体" w:hAnsi="宋体" w:eastAsia="宋体" w:cs="宋体"/>
                <w:color w:val="auto"/>
                <w:sz w:val="21"/>
                <w:szCs w:val="21"/>
                <w:highlight w:val="none"/>
              </w:rPr>
            </w:pPr>
          </w:p>
        </w:tc>
      </w:tr>
      <w:tr w14:paraId="5ED9C2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E8FF3D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11D9E0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款</w:t>
            </w:r>
          </w:p>
        </w:tc>
        <w:tc>
          <w:tcPr>
            <w:tcW w:w="1742" w:type="dxa"/>
            <w:noWrap w:val="0"/>
            <w:vAlign w:val="center"/>
          </w:tcPr>
          <w:p w14:paraId="0D0E7972">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保险要求</w:t>
            </w:r>
          </w:p>
        </w:tc>
        <w:tc>
          <w:tcPr>
            <w:tcW w:w="5170" w:type="dxa"/>
            <w:noWrap w:val="0"/>
            <w:vAlign w:val="center"/>
          </w:tcPr>
          <w:p w14:paraId="46757D7F">
            <w:pPr>
              <w:rPr>
                <w:rFonts w:hint="eastAsia" w:ascii="宋体" w:hAnsi="宋体" w:eastAsia="宋体" w:cs="宋体"/>
                <w:color w:val="auto"/>
                <w:sz w:val="21"/>
                <w:szCs w:val="21"/>
                <w:highlight w:val="none"/>
              </w:rPr>
            </w:pPr>
          </w:p>
        </w:tc>
      </w:tr>
      <w:tr w14:paraId="079D9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EF0893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3D2080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.2（1）项</w:t>
            </w:r>
          </w:p>
        </w:tc>
        <w:tc>
          <w:tcPr>
            <w:tcW w:w="1742" w:type="dxa"/>
            <w:noWrap w:val="0"/>
            <w:vAlign w:val="center"/>
          </w:tcPr>
          <w:p w14:paraId="5264FF04">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0" w:type="dxa"/>
            <w:noWrap w:val="0"/>
            <w:vAlign w:val="center"/>
          </w:tcPr>
          <w:p w14:paraId="2E956035">
            <w:pPr>
              <w:autoSpaceDE w:val="0"/>
              <w:autoSpaceDN w:val="0"/>
              <w:adjustRightInd w:val="0"/>
              <w:snapToGrid w:val="0"/>
              <w:ind w:firstLine="420" w:firstLineChars="200"/>
              <w:jc w:val="left"/>
              <w:rPr>
                <w:rFonts w:hint="eastAsia" w:ascii="宋体" w:hAnsi="宋体" w:eastAsia="宋体" w:cs="宋体"/>
                <w:color w:val="auto"/>
                <w:sz w:val="21"/>
                <w:szCs w:val="21"/>
                <w:highlight w:val="none"/>
              </w:rPr>
            </w:pPr>
          </w:p>
        </w:tc>
      </w:tr>
      <w:tr w14:paraId="5903A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A0BED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EEE3C2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.2（3）项</w:t>
            </w:r>
          </w:p>
        </w:tc>
        <w:tc>
          <w:tcPr>
            <w:tcW w:w="1742" w:type="dxa"/>
            <w:noWrap w:val="0"/>
            <w:vAlign w:val="center"/>
          </w:tcPr>
          <w:p w14:paraId="6A5B198A">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货物质量缺陷</w:t>
            </w:r>
          </w:p>
          <w:p w14:paraId="08E70576">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0" w:type="dxa"/>
            <w:noWrap w:val="0"/>
            <w:vAlign w:val="center"/>
          </w:tcPr>
          <w:p w14:paraId="27780F1B">
            <w:pPr>
              <w:adjustRightInd w:val="0"/>
              <w:snapToGrid w:val="0"/>
              <w:jc w:val="left"/>
              <w:rPr>
                <w:rFonts w:hint="eastAsia" w:ascii="宋体" w:hAnsi="宋体" w:eastAsia="宋体" w:cs="宋体"/>
                <w:color w:val="auto"/>
                <w:sz w:val="21"/>
                <w:szCs w:val="21"/>
                <w:highlight w:val="none"/>
              </w:rPr>
            </w:pPr>
          </w:p>
        </w:tc>
      </w:tr>
      <w:tr w14:paraId="723859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1DC7922">
            <w:pPr>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第二节</w:t>
            </w:r>
          </w:p>
          <w:p w14:paraId="299BB296">
            <w:pPr>
              <w:pStyle w:val="28"/>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第11.1款</w:t>
            </w:r>
          </w:p>
        </w:tc>
        <w:tc>
          <w:tcPr>
            <w:tcW w:w="1742" w:type="dxa"/>
            <w:noWrap w:val="0"/>
            <w:vAlign w:val="center"/>
          </w:tcPr>
          <w:p w14:paraId="77613CD7">
            <w:pPr>
              <w:adjustRightInd w:val="0"/>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其他应当保密的信息</w:t>
            </w:r>
          </w:p>
        </w:tc>
        <w:tc>
          <w:tcPr>
            <w:tcW w:w="5170" w:type="dxa"/>
            <w:noWrap w:val="0"/>
            <w:vAlign w:val="center"/>
          </w:tcPr>
          <w:p w14:paraId="078CBE10">
            <w:pPr>
              <w:adjustRightInd w:val="0"/>
              <w:snapToGrid w:val="0"/>
              <w:jc w:val="left"/>
              <w:rPr>
                <w:rFonts w:hint="eastAsia" w:ascii="宋体" w:hAnsi="宋体" w:eastAsia="宋体" w:cs="宋体"/>
                <w:color w:val="auto"/>
                <w:sz w:val="21"/>
                <w:szCs w:val="21"/>
                <w:highlight w:val="none"/>
              </w:rPr>
            </w:pPr>
          </w:p>
        </w:tc>
      </w:tr>
      <w:tr w14:paraId="6936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03B7D52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43DED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.2款</w:t>
            </w:r>
          </w:p>
        </w:tc>
        <w:tc>
          <w:tcPr>
            <w:tcW w:w="1742" w:type="dxa"/>
            <w:noWrap w:val="0"/>
            <w:vAlign w:val="center"/>
          </w:tcPr>
          <w:p w14:paraId="783CE9D1">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合同价款支付</w:t>
            </w:r>
            <w:r>
              <w:rPr>
                <w:rFonts w:hint="eastAsia" w:ascii="宋体" w:hAnsi="宋体" w:eastAsia="宋体" w:cs="宋体"/>
                <w:color w:val="auto"/>
                <w:sz w:val="21"/>
                <w:szCs w:val="21"/>
                <w:highlight w:val="none"/>
                <w:lang w:eastAsia="zh-CN"/>
              </w:rPr>
              <w:t>时间</w:t>
            </w:r>
          </w:p>
        </w:tc>
        <w:tc>
          <w:tcPr>
            <w:tcW w:w="5170" w:type="dxa"/>
            <w:noWrap w:val="0"/>
            <w:vAlign w:val="center"/>
          </w:tcPr>
          <w:p w14:paraId="05F3A2FC">
            <w:pPr>
              <w:adjustRightInd w:val="0"/>
              <w:snapToGrid w:val="0"/>
              <w:jc w:val="left"/>
              <w:rPr>
                <w:rFonts w:hint="eastAsia" w:ascii="宋体" w:hAnsi="宋体" w:eastAsia="宋体" w:cs="宋体"/>
                <w:color w:val="auto"/>
                <w:sz w:val="21"/>
                <w:szCs w:val="21"/>
                <w:highlight w:val="none"/>
              </w:rPr>
            </w:pPr>
          </w:p>
        </w:tc>
      </w:tr>
      <w:tr w14:paraId="37581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18F378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E3154B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款</w:t>
            </w:r>
          </w:p>
        </w:tc>
        <w:tc>
          <w:tcPr>
            <w:tcW w:w="1742" w:type="dxa"/>
            <w:noWrap w:val="0"/>
            <w:vAlign w:val="center"/>
          </w:tcPr>
          <w:p w14:paraId="53E60418">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履约保证金不予退还的情形</w:t>
            </w:r>
          </w:p>
        </w:tc>
        <w:tc>
          <w:tcPr>
            <w:tcW w:w="5170" w:type="dxa"/>
            <w:noWrap w:val="0"/>
            <w:vAlign w:val="center"/>
          </w:tcPr>
          <w:p w14:paraId="52D2F108">
            <w:pPr>
              <w:adjustRightInd w:val="0"/>
              <w:snapToGrid w:val="0"/>
              <w:jc w:val="left"/>
              <w:rPr>
                <w:rFonts w:hint="eastAsia" w:ascii="宋体" w:hAnsi="宋体" w:eastAsia="宋体" w:cs="宋体"/>
                <w:color w:val="auto"/>
                <w:sz w:val="21"/>
                <w:szCs w:val="21"/>
                <w:highlight w:val="none"/>
              </w:rPr>
            </w:pPr>
          </w:p>
        </w:tc>
      </w:tr>
      <w:tr w14:paraId="5E2BF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90BB71">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003F3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rPr>
              <w:t>款</w:t>
            </w:r>
          </w:p>
        </w:tc>
        <w:tc>
          <w:tcPr>
            <w:tcW w:w="1742" w:type="dxa"/>
            <w:noWrap w:val="0"/>
            <w:vAlign w:val="center"/>
          </w:tcPr>
          <w:p w14:paraId="7F30C903">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w:t>
            </w:r>
            <w:r>
              <w:rPr>
                <w:rFonts w:hint="eastAsia" w:ascii="宋体" w:hAnsi="宋体" w:eastAsia="宋体" w:cs="宋体"/>
                <w:color w:val="auto"/>
                <w:sz w:val="21"/>
                <w:szCs w:val="21"/>
                <w:highlight w:val="none"/>
                <w:lang w:eastAsia="zh-CN"/>
              </w:rPr>
              <w:t>逾期退还的</w:t>
            </w:r>
            <w:r>
              <w:rPr>
                <w:rFonts w:hint="eastAsia" w:ascii="宋体" w:hAnsi="宋体" w:eastAsia="宋体" w:cs="宋体"/>
                <w:color w:val="auto"/>
                <w:sz w:val="21"/>
                <w:szCs w:val="21"/>
                <w:highlight w:val="none"/>
              </w:rPr>
              <w:t>违约金</w:t>
            </w:r>
          </w:p>
        </w:tc>
        <w:tc>
          <w:tcPr>
            <w:tcW w:w="5170" w:type="dxa"/>
            <w:noWrap w:val="0"/>
            <w:vAlign w:val="center"/>
          </w:tcPr>
          <w:p w14:paraId="10C46F31">
            <w:pPr>
              <w:adjustRightInd w:val="0"/>
              <w:snapToGrid w:val="0"/>
              <w:jc w:val="left"/>
              <w:rPr>
                <w:rFonts w:hint="eastAsia" w:ascii="宋体" w:hAnsi="宋体" w:eastAsia="宋体" w:cs="宋体"/>
                <w:color w:val="auto"/>
                <w:sz w:val="21"/>
                <w:szCs w:val="21"/>
                <w:highlight w:val="none"/>
              </w:rPr>
            </w:pPr>
          </w:p>
        </w:tc>
      </w:tr>
      <w:tr w14:paraId="69BB4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02FEDC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3FCB1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w:t>
            </w:r>
          </w:p>
        </w:tc>
        <w:tc>
          <w:tcPr>
            <w:tcW w:w="1742" w:type="dxa"/>
            <w:noWrap w:val="0"/>
            <w:vAlign w:val="center"/>
          </w:tcPr>
          <w:p w14:paraId="3A1EB223">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运行监督、维修期限</w:t>
            </w:r>
          </w:p>
        </w:tc>
        <w:tc>
          <w:tcPr>
            <w:tcW w:w="5170" w:type="dxa"/>
            <w:noWrap w:val="0"/>
            <w:vAlign w:val="center"/>
          </w:tcPr>
          <w:p w14:paraId="5BC196AF">
            <w:pPr>
              <w:adjustRightInd w:val="0"/>
              <w:snapToGrid w:val="0"/>
              <w:jc w:val="left"/>
              <w:rPr>
                <w:rFonts w:hint="eastAsia" w:ascii="宋体" w:hAnsi="宋体" w:eastAsia="宋体" w:cs="宋体"/>
                <w:color w:val="auto"/>
                <w:sz w:val="21"/>
                <w:szCs w:val="21"/>
                <w:highlight w:val="none"/>
              </w:rPr>
            </w:pPr>
          </w:p>
        </w:tc>
      </w:tr>
      <w:tr w14:paraId="120C2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D33B2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767DB4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w:t>
            </w:r>
          </w:p>
        </w:tc>
        <w:tc>
          <w:tcPr>
            <w:tcW w:w="1742" w:type="dxa"/>
            <w:noWrap w:val="0"/>
            <w:vAlign w:val="center"/>
          </w:tcPr>
          <w:p w14:paraId="6DCBF03A">
            <w:pPr>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货物回收的约定</w:t>
            </w:r>
          </w:p>
        </w:tc>
        <w:tc>
          <w:tcPr>
            <w:tcW w:w="5170" w:type="dxa"/>
            <w:noWrap w:val="0"/>
            <w:vAlign w:val="center"/>
          </w:tcPr>
          <w:p w14:paraId="191ACD34">
            <w:pPr>
              <w:adjustRightInd w:val="0"/>
              <w:snapToGrid w:val="0"/>
              <w:jc w:val="left"/>
              <w:rPr>
                <w:rFonts w:hint="eastAsia" w:ascii="宋体" w:hAnsi="宋体" w:eastAsia="宋体" w:cs="宋体"/>
                <w:color w:val="auto"/>
                <w:sz w:val="21"/>
                <w:szCs w:val="21"/>
                <w:highlight w:val="none"/>
              </w:rPr>
            </w:pPr>
          </w:p>
        </w:tc>
      </w:tr>
      <w:tr w14:paraId="1C8D1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B6B3F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884015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w:t>
            </w:r>
          </w:p>
        </w:tc>
        <w:tc>
          <w:tcPr>
            <w:tcW w:w="1742" w:type="dxa"/>
            <w:noWrap w:val="0"/>
            <w:vAlign w:val="center"/>
          </w:tcPr>
          <w:p w14:paraId="40D15ADF">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0" w:type="dxa"/>
            <w:noWrap w:val="0"/>
            <w:vAlign w:val="center"/>
          </w:tcPr>
          <w:p w14:paraId="0E2241E3">
            <w:pPr>
              <w:adjustRightInd w:val="0"/>
              <w:snapToGrid w:val="0"/>
              <w:jc w:val="left"/>
              <w:rPr>
                <w:rFonts w:hint="eastAsia" w:ascii="宋体" w:hAnsi="宋体" w:eastAsia="宋体" w:cs="宋体"/>
                <w:color w:val="auto"/>
                <w:sz w:val="21"/>
                <w:szCs w:val="21"/>
                <w:highlight w:val="none"/>
              </w:rPr>
            </w:pPr>
          </w:p>
        </w:tc>
      </w:tr>
      <w:tr w14:paraId="43947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A48CB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BE31A6B">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1款</w:t>
            </w:r>
          </w:p>
        </w:tc>
        <w:tc>
          <w:tcPr>
            <w:tcW w:w="1742" w:type="dxa"/>
            <w:noWrap w:val="0"/>
            <w:vAlign w:val="center"/>
          </w:tcPr>
          <w:p w14:paraId="05B5D06F">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修理、重作、更换相关具体规定</w:t>
            </w:r>
          </w:p>
        </w:tc>
        <w:tc>
          <w:tcPr>
            <w:tcW w:w="5170" w:type="dxa"/>
            <w:noWrap w:val="0"/>
            <w:vAlign w:val="center"/>
          </w:tcPr>
          <w:p w14:paraId="6190560E">
            <w:pPr>
              <w:adjustRightInd w:val="0"/>
              <w:snapToGrid w:val="0"/>
              <w:jc w:val="left"/>
              <w:rPr>
                <w:rFonts w:hint="eastAsia" w:ascii="宋体" w:hAnsi="宋体" w:eastAsia="宋体" w:cs="宋体"/>
                <w:color w:val="auto"/>
                <w:sz w:val="21"/>
                <w:szCs w:val="21"/>
                <w:highlight w:val="none"/>
              </w:rPr>
            </w:pPr>
          </w:p>
        </w:tc>
      </w:tr>
      <w:tr w14:paraId="6B76D5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A737DA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3DF67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.2（2）项</w:t>
            </w:r>
          </w:p>
        </w:tc>
        <w:tc>
          <w:tcPr>
            <w:tcW w:w="1742" w:type="dxa"/>
            <w:noWrap w:val="0"/>
            <w:vAlign w:val="center"/>
          </w:tcPr>
          <w:p w14:paraId="1375F0C3">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0" w:type="dxa"/>
            <w:noWrap w:val="0"/>
            <w:vAlign w:val="center"/>
          </w:tcPr>
          <w:p w14:paraId="5AF52E69">
            <w:pPr>
              <w:adjustRightInd w:val="0"/>
              <w:snapToGrid w:val="0"/>
              <w:jc w:val="left"/>
              <w:rPr>
                <w:rFonts w:hint="eastAsia" w:ascii="宋体" w:hAnsi="宋体" w:eastAsia="宋体" w:cs="宋体"/>
                <w:color w:val="auto"/>
                <w:sz w:val="21"/>
                <w:szCs w:val="21"/>
                <w:highlight w:val="none"/>
                <w:u w:val="single"/>
              </w:rPr>
            </w:pPr>
          </w:p>
        </w:tc>
      </w:tr>
      <w:tr w14:paraId="53955A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3DD70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04CA03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3款</w:t>
            </w:r>
          </w:p>
        </w:tc>
        <w:tc>
          <w:tcPr>
            <w:tcW w:w="1742" w:type="dxa"/>
            <w:noWrap w:val="0"/>
            <w:vAlign w:val="center"/>
          </w:tcPr>
          <w:p w14:paraId="1F245104">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0" w:type="dxa"/>
            <w:noWrap w:val="0"/>
            <w:vAlign w:val="center"/>
          </w:tcPr>
          <w:p w14:paraId="5D215CCF">
            <w:pPr>
              <w:adjustRightInd w:val="0"/>
              <w:snapToGrid w:val="0"/>
              <w:jc w:val="left"/>
              <w:rPr>
                <w:rFonts w:hint="eastAsia" w:ascii="宋体" w:hAnsi="宋体" w:eastAsia="宋体" w:cs="宋体"/>
                <w:color w:val="auto"/>
                <w:sz w:val="21"/>
                <w:szCs w:val="21"/>
                <w:highlight w:val="none"/>
                <w:u w:val="single"/>
              </w:rPr>
            </w:pPr>
          </w:p>
        </w:tc>
      </w:tr>
      <w:tr w14:paraId="4D9292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5F2111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95B6FE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635709DC">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0" w:type="dxa"/>
            <w:tcBorders>
              <w:left w:val="single" w:color="auto" w:sz="2" w:space="0"/>
              <w:bottom w:val="single" w:color="auto" w:sz="2" w:space="0"/>
            </w:tcBorders>
            <w:noWrap w:val="0"/>
            <w:vAlign w:val="center"/>
          </w:tcPr>
          <w:p w14:paraId="7DC59565">
            <w:pPr>
              <w:adjustRightInd w:val="0"/>
              <w:snapToGrid w:val="0"/>
              <w:jc w:val="left"/>
              <w:rPr>
                <w:rFonts w:hint="eastAsia" w:ascii="宋体" w:hAnsi="宋体" w:eastAsia="宋体" w:cs="宋体"/>
                <w:color w:val="auto"/>
                <w:sz w:val="21"/>
                <w:szCs w:val="21"/>
                <w:highlight w:val="none"/>
                <w:u w:val="single"/>
              </w:rPr>
            </w:pPr>
          </w:p>
        </w:tc>
      </w:tr>
      <w:tr w14:paraId="71428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FE02EC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B89B62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05AC4AC7">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34E8E053">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因本合同及合同有关事项发生的争议，按下列第</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种方式解决：</w:t>
            </w:r>
          </w:p>
          <w:p w14:paraId="3DBBD047">
            <w:pPr>
              <w:autoSpaceDE w:val="0"/>
              <w:autoSpaceDN w:val="0"/>
              <w:adjustRightInd w:val="0"/>
              <w:snapToGrid w:val="0"/>
              <w:spacing w:line="400" w:lineRule="exact"/>
              <w:jc w:val="left"/>
              <w:rPr>
                <w:rFonts w:hint="eastAsia" w:ascii="宋体" w:hAnsi="宋体" w:eastAsia="宋体" w:cs="宋体"/>
                <w:b w:val="0"/>
                <w:bCs w:val="0"/>
                <w:iCs/>
                <w:color w:val="auto"/>
                <w:sz w:val="21"/>
                <w:szCs w:val="21"/>
                <w:highlight w:val="none"/>
              </w:rPr>
            </w:pPr>
            <w:r>
              <w:rPr>
                <w:rFonts w:hint="eastAsia" w:ascii="宋体" w:hAnsi="宋体" w:eastAsia="宋体" w:cs="宋体"/>
                <w:b w:val="0"/>
                <w:bCs w:val="0"/>
                <w:iCs/>
                <w:color w:val="auto"/>
                <w:sz w:val="21"/>
                <w:szCs w:val="21"/>
                <w:highlight w:val="none"/>
              </w:rPr>
              <w:t>（1）向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仲裁委员会申请仲裁，仲裁地点为</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w:t>
            </w:r>
          </w:p>
          <w:p w14:paraId="52F70595">
            <w:pPr>
              <w:adjustRightInd w:val="0"/>
              <w:snapToGrid w:val="0"/>
              <w:ind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val="0"/>
                <w:bCs w:val="0"/>
                <w:iCs/>
                <w:color w:val="auto"/>
                <w:sz w:val="21"/>
                <w:szCs w:val="21"/>
                <w:highlight w:val="none"/>
              </w:rPr>
              <w:t>（2）向</w:t>
            </w:r>
            <w:r>
              <w:rPr>
                <w:rFonts w:hint="eastAsia" w:ascii="宋体" w:hAnsi="宋体" w:eastAsia="宋体" w:cs="宋体"/>
                <w:b w:val="0"/>
                <w:bCs w:val="0"/>
                <w:iCs/>
                <w:color w:val="auto"/>
                <w:sz w:val="21"/>
                <w:szCs w:val="21"/>
                <w:highlight w:val="none"/>
                <w:u w:val="single"/>
              </w:rPr>
              <w:t xml:space="preserve">                    </w:t>
            </w:r>
            <w:r>
              <w:rPr>
                <w:rFonts w:hint="eastAsia" w:ascii="宋体" w:hAnsi="宋体" w:eastAsia="宋体" w:cs="宋体"/>
                <w:b w:val="0"/>
                <w:bCs w:val="0"/>
                <w:iCs/>
                <w:color w:val="auto"/>
                <w:sz w:val="21"/>
                <w:szCs w:val="21"/>
                <w:highlight w:val="none"/>
              </w:rPr>
              <w:t>人民法院起诉。</w:t>
            </w:r>
          </w:p>
        </w:tc>
      </w:tr>
      <w:tr w14:paraId="66ECA4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AD5C05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6A2F3EB">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w:t>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lang w:eastAsia="zh-CN"/>
              </w:rPr>
              <w:t>款</w:t>
            </w:r>
          </w:p>
        </w:tc>
        <w:tc>
          <w:tcPr>
            <w:tcW w:w="1742" w:type="dxa"/>
            <w:noWrap w:val="0"/>
            <w:vAlign w:val="center"/>
          </w:tcPr>
          <w:p w14:paraId="1EB51005">
            <w:p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其他专用条款</w:t>
            </w:r>
          </w:p>
        </w:tc>
        <w:tc>
          <w:tcPr>
            <w:tcW w:w="5170" w:type="dxa"/>
            <w:noWrap w:val="0"/>
            <w:vAlign w:val="center"/>
          </w:tcPr>
          <w:p w14:paraId="6D451CD0">
            <w:pPr>
              <w:adjustRightInd w:val="0"/>
              <w:snapToGrid w:val="0"/>
              <w:jc w:val="left"/>
              <w:rPr>
                <w:rFonts w:hint="eastAsia" w:ascii="宋体" w:hAnsi="宋体" w:eastAsia="宋体" w:cs="宋体"/>
                <w:color w:val="auto"/>
                <w:sz w:val="21"/>
                <w:szCs w:val="21"/>
                <w:highlight w:val="none"/>
                <w:lang w:val="en-US" w:eastAsia="zh-CN"/>
              </w:rPr>
            </w:pPr>
          </w:p>
        </w:tc>
      </w:tr>
    </w:tbl>
    <w:p w14:paraId="2E52C1FA">
      <w:pPr>
        <w:widowControl/>
        <w:spacing w:line="360" w:lineRule="auto"/>
        <w:jc w:val="left"/>
        <w:rPr>
          <w:rFonts w:hint="default" w:ascii="宋体" w:hAnsi="宋体" w:eastAsia="宋体" w:cs="宋体"/>
          <w:color w:val="auto"/>
          <w:szCs w:val="21"/>
          <w:highlight w:val="none"/>
          <w:lang w:val="en-US" w:eastAsia="zh-CN"/>
        </w:rPr>
      </w:pPr>
    </w:p>
    <w:p w14:paraId="0A563804">
      <w:pPr>
        <w:widowControl/>
        <w:spacing w:line="360" w:lineRule="auto"/>
        <w:jc w:val="left"/>
        <w:rPr>
          <w:rFonts w:hint="eastAsia" w:ascii="宋体" w:hAnsi="宋体" w:cs="宋体"/>
          <w:color w:val="auto"/>
          <w:szCs w:val="21"/>
          <w:highlight w:val="none"/>
        </w:rPr>
      </w:pPr>
    </w:p>
    <w:p w14:paraId="7CCEE156">
      <w:pPr>
        <w:spacing w:line="440" w:lineRule="exact"/>
        <w:rPr>
          <w:rFonts w:ascii="宋体" w:hAnsi="宋体" w:cs="宋体"/>
          <w:b/>
          <w:bCs/>
          <w:color w:val="auto"/>
          <w:spacing w:val="20"/>
          <w:kern w:val="0"/>
          <w:szCs w:val="21"/>
          <w:highlight w:val="none"/>
        </w:rPr>
      </w:pPr>
    </w:p>
    <w:p w14:paraId="36C083C0">
      <w:pPr>
        <w:spacing w:line="440" w:lineRule="exact"/>
        <w:rPr>
          <w:rFonts w:ascii="宋体" w:hAnsi="宋体" w:cs="宋体"/>
          <w:b/>
          <w:bCs/>
          <w:color w:val="auto"/>
          <w:spacing w:val="20"/>
          <w:kern w:val="0"/>
          <w:szCs w:val="21"/>
          <w:highlight w:val="none"/>
        </w:rPr>
      </w:pPr>
    </w:p>
    <w:p w14:paraId="61FC7E7E">
      <w:pPr>
        <w:spacing w:line="440" w:lineRule="exact"/>
        <w:rPr>
          <w:rFonts w:ascii="宋体" w:hAnsi="宋体" w:cs="宋体"/>
          <w:b/>
          <w:bCs/>
          <w:color w:val="auto"/>
          <w:spacing w:val="20"/>
          <w:kern w:val="0"/>
          <w:szCs w:val="21"/>
          <w:highlight w:val="none"/>
        </w:rPr>
      </w:pPr>
    </w:p>
    <w:p w14:paraId="29484DF7">
      <w:pPr>
        <w:spacing w:line="440" w:lineRule="exact"/>
        <w:rPr>
          <w:rFonts w:ascii="宋体" w:hAnsi="宋体" w:cs="宋体"/>
          <w:b/>
          <w:bCs/>
          <w:color w:val="auto"/>
          <w:spacing w:val="20"/>
          <w:kern w:val="0"/>
          <w:szCs w:val="21"/>
          <w:highlight w:val="none"/>
        </w:rPr>
      </w:pPr>
    </w:p>
    <w:p w14:paraId="479AC242">
      <w:pPr>
        <w:pStyle w:val="30"/>
        <w:ind w:left="0" w:firstLine="0"/>
        <w:rPr>
          <w:rFonts w:ascii="宋体" w:hAnsi="宋体" w:eastAsia="宋体" w:cs="宋体"/>
          <w:b/>
          <w:bCs/>
          <w:color w:val="auto"/>
          <w:spacing w:val="20"/>
          <w:sz w:val="21"/>
          <w:szCs w:val="21"/>
          <w:highlight w:val="none"/>
        </w:rPr>
      </w:pPr>
    </w:p>
    <w:p w14:paraId="5FC7B8BD">
      <w:pPr>
        <w:pStyle w:val="30"/>
        <w:ind w:left="0" w:firstLine="0"/>
        <w:rPr>
          <w:rFonts w:ascii="宋体" w:hAnsi="宋体" w:eastAsia="宋体" w:cs="宋体"/>
          <w:b/>
          <w:bCs/>
          <w:color w:val="auto"/>
          <w:spacing w:val="20"/>
          <w:sz w:val="21"/>
          <w:szCs w:val="21"/>
          <w:highlight w:val="none"/>
        </w:rPr>
      </w:pPr>
    </w:p>
    <w:p w14:paraId="11091AB0">
      <w:pPr>
        <w:pStyle w:val="30"/>
        <w:ind w:left="0" w:firstLine="0"/>
        <w:rPr>
          <w:rFonts w:ascii="宋体" w:hAnsi="宋体" w:eastAsia="宋体" w:cs="宋体"/>
          <w:b/>
          <w:bCs/>
          <w:color w:val="auto"/>
          <w:spacing w:val="20"/>
          <w:sz w:val="21"/>
          <w:szCs w:val="21"/>
          <w:highlight w:val="none"/>
        </w:rPr>
      </w:pPr>
    </w:p>
    <w:p w14:paraId="5B6897D3">
      <w:pPr>
        <w:pStyle w:val="30"/>
        <w:ind w:left="0" w:firstLine="0"/>
        <w:rPr>
          <w:rFonts w:ascii="宋体" w:hAnsi="宋体" w:eastAsia="宋体" w:cs="宋体"/>
          <w:b/>
          <w:bCs/>
          <w:color w:val="auto"/>
          <w:spacing w:val="20"/>
          <w:sz w:val="21"/>
          <w:szCs w:val="21"/>
          <w:highlight w:val="none"/>
        </w:rPr>
      </w:pPr>
    </w:p>
    <w:p w14:paraId="514C51B5">
      <w:pPr>
        <w:pStyle w:val="30"/>
        <w:ind w:left="0" w:firstLine="0"/>
        <w:rPr>
          <w:rFonts w:ascii="宋体" w:hAnsi="宋体" w:eastAsia="宋体" w:cs="宋体"/>
          <w:b/>
          <w:bCs/>
          <w:color w:val="auto"/>
          <w:spacing w:val="20"/>
          <w:sz w:val="21"/>
          <w:szCs w:val="21"/>
          <w:highlight w:val="none"/>
        </w:rPr>
      </w:pPr>
    </w:p>
    <w:p w14:paraId="59DDD677">
      <w:pPr>
        <w:pStyle w:val="30"/>
        <w:ind w:left="0" w:firstLine="0"/>
        <w:rPr>
          <w:rFonts w:ascii="宋体" w:hAnsi="宋体" w:eastAsia="宋体" w:cs="宋体"/>
          <w:b/>
          <w:bCs/>
          <w:color w:val="auto"/>
          <w:spacing w:val="20"/>
          <w:sz w:val="21"/>
          <w:szCs w:val="21"/>
          <w:highlight w:val="none"/>
        </w:rPr>
      </w:pPr>
    </w:p>
    <w:p w14:paraId="52E7ABC2">
      <w:pPr>
        <w:pStyle w:val="30"/>
        <w:ind w:left="0" w:firstLine="0"/>
        <w:rPr>
          <w:rFonts w:ascii="宋体" w:hAnsi="宋体" w:eastAsia="宋体" w:cs="宋体"/>
          <w:b/>
          <w:bCs/>
          <w:color w:val="auto"/>
          <w:spacing w:val="20"/>
          <w:sz w:val="21"/>
          <w:szCs w:val="21"/>
          <w:highlight w:val="none"/>
        </w:rPr>
      </w:pPr>
    </w:p>
    <w:p w14:paraId="0372092A">
      <w:pPr>
        <w:pStyle w:val="30"/>
        <w:ind w:left="0" w:firstLine="0"/>
        <w:rPr>
          <w:rFonts w:ascii="宋体" w:hAnsi="宋体" w:eastAsia="宋体" w:cs="宋体"/>
          <w:b/>
          <w:bCs/>
          <w:color w:val="auto"/>
          <w:spacing w:val="20"/>
          <w:sz w:val="21"/>
          <w:szCs w:val="21"/>
          <w:highlight w:val="none"/>
        </w:rPr>
      </w:pPr>
    </w:p>
    <w:p w14:paraId="5500547A">
      <w:pPr>
        <w:pStyle w:val="2"/>
        <w:ind w:left="0" w:leftChars="0"/>
        <w:jc w:val="center"/>
        <w:rPr>
          <w:rFonts w:ascii="宋体" w:hAnsi="宋体" w:eastAsia="宋体" w:cs="宋体"/>
          <w:b/>
          <w:bCs w:val="0"/>
          <w:color w:val="auto"/>
          <w:sz w:val="21"/>
          <w:szCs w:val="21"/>
          <w:highlight w:val="none"/>
        </w:rPr>
      </w:pPr>
      <w:bookmarkStart w:id="96" w:name="_Toc18889"/>
      <w:bookmarkStart w:id="97" w:name="_Toc4424_WPSOffice_Level1"/>
      <w:bookmarkStart w:id="98" w:name="_Toc1686"/>
      <w:bookmarkStart w:id="99" w:name="_Toc13359"/>
      <w:bookmarkStart w:id="100" w:name="_Toc127"/>
      <w:bookmarkStart w:id="101" w:name="_Toc78559532"/>
      <w:bookmarkStart w:id="102" w:name="_Toc489536690"/>
      <w:bookmarkStart w:id="103" w:name="_Toc20145"/>
      <w:bookmarkStart w:id="104" w:name="_Toc3782"/>
      <w:r>
        <w:rPr>
          <w:rFonts w:hint="eastAsia" w:ascii="宋体" w:hAnsi="宋体" w:eastAsia="宋体" w:cs="宋体"/>
          <w:b/>
          <w:bCs w:val="0"/>
          <w:color w:val="auto"/>
          <w:sz w:val="21"/>
          <w:szCs w:val="21"/>
          <w:highlight w:val="none"/>
        </w:rPr>
        <w:t xml:space="preserve">第八部分  </w:t>
      </w:r>
      <w:r>
        <w:rPr>
          <w:rFonts w:hint="eastAsia" w:ascii="宋体" w:hAnsi="宋体" w:eastAsia="宋体" w:cs="宋体"/>
          <w:b/>
          <w:bCs w:val="0"/>
          <w:color w:val="auto"/>
          <w:sz w:val="21"/>
          <w:szCs w:val="21"/>
          <w:highlight w:val="none"/>
          <w:lang w:eastAsia="zh-CN"/>
        </w:rPr>
        <w:t>投标文件</w:t>
      </w:r>
      <w:r>
        <w:rPr>
          <w:rFonts w:hint="eastAsia" w:ascii="宋体" w:hAnsi="宋体" w:eastAsia="宋体" w:cs="宋体"/>
          <w:b/>
          <w:bCs w:val="0"/>
          <w:color w:val="auto"/>
          <w:sz w:val="21"/>
          <w:szCs w:val="21"/>
          <w:highlight w:val="none"/>
        </w:rPr>
        <w:t>内容要求及格式</w:t>
      </w:r>
      <w:bookmarkEnd w:id="96"/>
      <w:bookmarkEnd w:id="97"/>
      <w:bookmarkEnd w:id="98"/>
      <w:bookmarkEnd w:id="99"/>
      <w:bookmarkEnd w:id="100"/>
      <w:bookmarkEnd w:id="101"/>
      <w:bookmarkEnd w:id="102"/>
      <w:bookmarkEnd w:id="103"/>
      <w:bookmarkEnd w:id="104"/>
    </w:p>
    <w:p w14:paraId="08A12BAA">
      <w:pPr>
        <w:spacing w:line="480" w:lineRule="exact"/>
        <w:rPr>
          <w:rFonts w:ascii="宋体" w:hAnsi="宋体" w:cs="宋体"/>
          <w:color w:val="auto"/>
          <w:szCs w:val="21"/>
          <w:highlight w:val="none"/>
        </w:rPr>
      </w:pPr>
      <w:bookmarkStart w:id="105" w:name="_Toc13107"/>
      <w:bookmarkStart w:id="106" w:name="_Toc16278_WPSOffice_Level1"/>
      <w:r>
        <w:rPr>
          <w:rFonts w:hint="eastAsia" w:ascii="宋体" w:hAnsi="宋体" w:cs="宋体"/>
          <w:color w:val="auto"/>
          <w:szCs w:val="21"/>
          <w:highlight w:val="none"/>
        </w:rPr>
        <w:t>投标人提交投标文件须知</w:t>
      </w:r>
      <w:bookmarkEnd w:id="105"/>
      <w:bookmarkEnd w:id="106"/>
    </w:p>
    <w:p w14:paraId="0B8D332E">
      <w:pPr>
        <w:spacing w:line="480" w:lineRule="exact"/>
        <w:ind w:firstLine="434"/>
        <w:rPr>
          <w:rFonts w:ascii="宋体" w:hAnsi="宋体" w:cs="宋体"/>
          <w:color w:val="auto"/>
          <w:szCs w:val="21"/>
          <w:highlight w:val="none"/>
        </w:rPr>
      </w:pPr>
      <w:r>
        <w:rPr>
          <w:rFonts w:hint="eastAsia" w:ascii="宋体" w:hAnsi="宋体" w:cs="宋体"/>
          <w:color w:val="auto"/>
          <w:szCs w:val="21"/>
          <w:highlight w:val="none"/>
        </w:rPr>
        <w:t>1、投标人按照本部分的顺序编排投标文件，编排中涉及格式资料的，应按照本部分提供的内容和格式（所有表格的格式可扩展）填写提交。</w:t>
      </w:r>
    </w:p>
    <w:p w14:paraId="3D3037B3">
      <w:pPr>
        <w:pBdr>
          <w:top w:val="none" w:color="auto" w:sz="0" w:space="0"/>
          <w:left w:val="none" w:color="auto" w:sz="0" w:space="0"/>
          <w:bottom w:val="none" w:color="auto" w:sz="0" w:space="0"/>
          <w:right w:val="none" w:color="auto" w:sz="0" w:space="0"/>
          <w:between w:val="none" w:color="auto" w:sz="0" w:space="0"/>
        </w:pBdr>
        <w:spacing w:line="480" w:lineRule="exact"/>
        <w:ind w:firstLine="434"/>
        <w:rPr>
          <w:rFonts w:ascii="宋体" w:hAnsi="宋体" w:cs="宋体"/>
          <w:color w:val="auto"/>
          <w:szCs w:val="21"/>
          <w:highlight w:val="none"/>
        </w:rPr>
      </w:pPr>
      <w:r>
        <w:rPr>
          <w:rFonts w:hint="eastAsia" w:ascii="宋体" w:hAnsi="宋体" w:cs="宋体"/>
          <w:color w:val="auto"/>
          <w:szCs w:val="21"/>
          <w:highlight w:val="none"/>
        </w:rPr>
        <w:t>2、全部声明和问题的回答及所附材料必须是真实的、准确的和完整的。</w:t>
      </w:r>
    </w:p>
    <w:p w14:paraId="12F8E887">
      <w:pPr>
        <w:pStyle w:val="26"/>
        <w:pBdr>
          <w:top w:val="none" w:color="auto" w:sz="0" w:space="0"/>
          <w:left w:val="none" w:color="auto" w:sz="0" w:space="0"/>
          <w:bottom w:val="none" w:color="auto" w:sz="0" w:space="0"/>
          <w:right w:val="none" w:color="auto" w:sz="0" w:space="0"/>
          <w:between w:val="none" w:color="auto" w:sz="0" w:space="0"/>
        </w:pBdr>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3、按投标文件要求“格式”提供的材料，如有调整，内容及签署必须完整、有效，且没有本文件不可接受的条件。</w:t>
      </w:r>
    </w:p>
    <w:p w14:paraId="39DA6015">
      <w:pPr>
        <w:pBdr>
          <w:top w:val="none" w:color="auto" w:sz="0" w:space="0"/>
          <w:left w:val="none" w:color="auto" w:sz="0" w:space="0"/>
          <w:bottom w:val="none" w:color="auto" w:sz="0" w:space="0"/>
          <w:right w:val="none" w:color="auto" w:sz="0" w:space="0"/>
          <w:between w:val="none" w:color="auto" w:sz="0" w:space="0"/>
        </w:pBdr>
        <w:spacing w:line="360" w:lineRule="auto"/>
        <w:rPr>
          <w:rFonts w:ascii="宋体" w:hAnsi="宋体" w:cs="宋体"/>
          <w:color w:val="auto"/>
          <w:szCs w:val="21"/>
          <w:highlight w:val="none"/>
        </w:rPr>
      </w:pPr>
    </w:p>
    <w:p w14:paraId="3DE4A4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br w:type="page"/>
      </w:r>
      <w:bookmarkStart w:id="107" w:name="_Toc24336"/>
      <w:bookmarkStart w:id="108" w:name="_Toc7481_WPSOffice_Level1"/>
      <w:bookmarkStart w:id="109" w:name="_Toc3740_WPSOffice_Level1"/>
    </w:p>
    <w:p w14:paraId="640257BB">
      <w:pPr>
        <w:spacing w:line="360" w:lineRule="auto"/>
        <w:jc w:val="center"/>
        <w:rPr>
          <w:rFonts w:ascii="宋体" w:hAnsi="宋体" w:cs="宋体"/>
          <w:color w:val="auto"/>
          <w:szCs w:val="21"/>
          <w:highlight w:val="none"/>
        </w:rPr>
      </w:pPr>
    </w:p>
    <w:p w14:paraId="2F7DD9F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投标文件内容及格式</w:t>
      </w:r>
      <w:bookmarkEnd w:id="107"/>
      <w:bookmarkEnd w:id="108"/>
      <w:bookmarkEnd w:id="109"/>
    </w:p>
    <w:p w14:paraId="5BA26372">
      <w:pPr>
        <w:spacing w:line="360" w:lineRule="auto"/>
        <w:rPr>
          <w:rFonts w:ascii="宋体" w:hAnsi="宋体" w:cs="宋体"/>
          <w:color w:val="auto"/>
          <w:szCs w:val="21"/>
          <w:highlight w:val="none"/>
        </w:rPr>
      </w:pPr>
      <w:r>
        <w:rPr>
          <w:rFonts w:hint="eastAsia" w:ascii="宋体" w:hAnsi="宋体" w:cs="宋体"/>
          <w:color w:val="auto"/>
          <w:szCs w:val="21"/>
          <w:highlight w:val="none"/>
        </w:rPr>
        <w:t>投标文件封面及目录格式</w:t>
      </w:r>
    </w:p>
    <w:p w14:paraId="61116EA9">
      <w:pPr>
        <w:pStyle w:val="10"/>
        <w:snapToGrid w:val="0"/>
        <w:spacing w:before="158" w:after="158" w:line="360" w:lineRule="auto"/>
        <w:ind w:firstLine="525" w:firstLineChars="250"/>
        <w:rPr>
          <w:rFonts w:hAnsi="宋体" w:cs="宋体"/>
          <w:color w:val="auto"/>
          <w:kern w:val="0"/>
          <w:sz w:val="21"/>
          <w:szCs w:val="21"/>
          <w:highlight w:val="none"/>
        </w:rPr>
      </w:pPr>
    </w:p>
    <w:p w14:paraId="0FD81000">
      <w:pPr>
        <w:pStyle w:val="10"/>
        <w:snapToGrid w:val="0"/>
        <w:spacing w:before="158" w:after="158" w:line="360" w:lineRule="auto"/>
        <w:ind w:firstLine="625" w:firstLineChars="250"/>
        <w:jc w:val="right"/>
        <w:rPr>
          <w:rFonts w:hAnsi="宋体" w:cs="宋体"/>
          <w:b/>
          <w:color w:val="auto"/>
          <w:spacing w:val="20"/>
          <w:sz w:val="21"/>
          <w:szCs w:val="21"/>
          <w:highlight w:val="none"/>
        </w:rPr>
      </w:pPr>
    </w:p>
    <w:p w14:paraId="67B03E5A">
      <w:pPr>
        <w:pStyle w:val="17"/>
        <w:spacing w:line="360" w:lineRule="auto"/>
        <w:rPr>
          <w:rFonts w:ascii="宋体" w:hAnsi="宋体" w:cs="宋体"/>
          <w:color w:val="auto"/>
          <w:szCs w:val="21"/>
          <w:highlight w:val="none"/>
        </w:rPr>
      </w:pPr>
    </w:p>
    <w:p w14:paraId="276BE8CE">
      <w:pPr>
        <w:spacing w:line="360" w:lineRule="auto"/>
        <w:jc w:val="center"/>
        <w:rPr>
          <w:rFonts w:ascii="宋体" w:hAnsi="宋体" w:cs="宋体"/>
          <w:b/>
          <w:color w:val="auto"/>
          <w:spacing w:val="60"/>
          <w:sz w:val="52"/>
          <w:szCs w:val="52"/>
          <w:highlight w:val="none"/>
        </w:rPr>
      </w:pPr>
      <w:r>
        <w:rPr>
          <w:rFonts w:hint="eastAsia" w:ascii="宋体" w:hAnsi="宋体" w:cs="宋体"/>
          <w:b/>
          <w:color w:val="auto"/>
          <w:spacing w:val="60"/>
          <w:sz w:val="52"/>
          <w:szCs w:val="52"/>
          <w:highlight w:val="none"/>
        </w:rPr>
        <w:t>投 标 文 件</w:t>
      </w:r>
    </w:p>
    <w:p w14:paraId="66E07727">
      <w:pPr>
        <w:spacing w:line="360" w:lineRule="auto"/>
        <w:ind w:firstLine="375" w:firstLineChars="150"/>
        <w:rPr>
          <w:rFonts w:ascii="宋体" w:hAnsi="宋体" w:cs="宋体"/>
          <w:b/>
          <w:color w:val="auto"/>
          <w:spacing w:val="20"/>
          <w:szCs w:val="21"/>
          <w:highlight w:val="none"/>
        </w:rPr>
      </w:pPr>
    </w:p>
    <w:p w14:paraId="5755C669">
      <w:pPr>
        <w:pStyle w:val="17"/>
        <w:spacing w:line="360" w:lineRule="auto"/>
        <w:ind w:left="0" w:leftChars="0" w:firstLine="0" w:firstLineChars="0"/>
        <w:rPr>
          <w:rFonts w:ascii="宋体" w:hAnsi="宋体" w:cs="宋体"/>
          <w:color w:val="auto"/>
          <w:szCs w:val="21"/>
          <w:highlight w:val="none"/>
        </w:rPr>
      </w:pPr>
    </w:p>
    <w:p w14:paraId="1578DA5A">
      <w:pPr>
        <w:pStyle w:val="17"/>
        <w:spacing w:line="360" w:lineRule="auto"/>
        <w:rPr>
          <w:rFonts w:ascii="宋体" w:hAnsi="宋体" w:cs="宋体"/>
          <w:color w:val="auto"/>
          <w:szCs w:val="21"/>
          <w:highlight w:val="none"/>
        </w:rPr>
      </w:pPr>
    </w:p>
    <w:p w14:paraId="51E33122">
      <w:pPr>
        <w:spacing w:line="360" w:lineRule="auto"/>
        <w:ind w:firstLine="375" w:firstLineChars="150"/>
        <w:rPr>
          <w:rFonts w:ascii="宋体" w:hAnsi="宋体" w:cs="宋体"/>
          <w:b/>
          <w:color w:val="auto"/>
          <w:spacing w:val="20"/>
          <w:szCs w:val="21"/>
          <w:highlight w:val="none"/>
        </w:rPr>
      </w:pPr>
    </w:p>
    <w:p w14:paraId="4CF4B1C3">
      <w:pPr>
        <w:spacing w:line="360" w:lineRule="auto"/>
        <w:ind w:firstLine="375" w:firstLineChars="150"/>
        <w:rPr>
          <w:rFonts w:ascii="宋体" w:hAnsi="宋体" w:cs="宋体"/>
          <w:b/>
          <w:color w:val="auto"/>
          <w:spacing w:val="20"/>
          <w:szCs w:val="21"/>
          <w:highlight w:val="none"/>
        </w:rPr>
      </w:pPr>
      <w:r>
        <w:rPr>
          <w:rFonts w:hint="eastAsia" w:ascii="宋体" w:hAnsi="宋体" w:cs="宋体"/>
          <w:b/>
          <w:color w:val="auto"/>
          <w:spacing w:val="20"/>
          <w:szCs w:val="21"/>
          <w:highlight w:val="none"/>
        </w:rPr>
        <w:t>项目名称：</w:t>
      </w:r>
    </w:p>
    <w:p w14:paraId="30F6F553">
      <w:pPr>
        <w:pStyle w:val="17"/>
        <w:rPr>
          <w:rFonts w:ascii="宋体" w:hAnsi="宋体" w:cs="宋体"/>
          <w:color w:val="auto"/>
          <w:szCs w:val="21"/>
          <w:highlight w:val="none"/>
        </w:rPr>
      </w:pPr>
    </w:p>
    <w:p w14:paraId="55872E42">
      <w:pPr>
        <w:spacing w:line="360" w:lineRule="auto"/>
        <w:jc w:val="center"/>
        <w:rPr>
          <w:rFonts w:ascii="宋体" w:hAnsi="宋体" w:cs="宋体"/>
          <w:b/>
          <w:color w:val="auto"/>
          <w:szCs w:val="21"/>
          <w:highlight w:val="none"/>
        </w:rPr>
      </w:pPr>
    </w:p>
    <w:p w14:paraId="79486374">
      <w:pPr>
        <w:pStyle w:val="22"/>
        <w:ind w:firstLine="422"/>
        <w:rPr>
          <w:rFonts w:ascii="宋体" w:hAnsi="宋体" w:cs="宋体"/>
          <w:b/>
          <w:color w:val="auto"/>
          <w:szCs w:val="21"/>
          <w:highlight w:val="none"/>
        </w:rPr>
      </w:pPr>
    </w:p>
    <w:p w14:paraId="296332C8">
      <w:pPr>
        <w:pStyle w:val="22"/>
        <w:ind w:firstLine="422"/>
        <w:rPr>
          <w:rFonts w:ascii="宋体" w:hAnsi="宋体" w:cs="宋体"/>
          <w:b/>
          <w:color w:val="auto"/>
          <w:szCs w:val="21"/>
          <w:highlight w:val="none"/>
        </w:rPr>
      </w:pPr>
    </w:p>
    <w:p w14:paraId="2D267959">
      <w:pPr>
        <w:pStyle w:val="22"/>
        <w:ind w:firstLine="422"/>
        <w:rPr>
          <w:rFonts w:ascii="宋体" w:hAnsi="宋体" w:cs="宋体"/>
          <w:b/>
          <w:color w:val="auto"/>
          <w:szCs w:val="21"/>
          <w:highlight w:val="none"/>
        </w:rPr>
      </w:pPr>
    </w:p>
    <w:p w14:paraId="5706AA86">
      <w:pPr>
        <w:pStyle w:val="22"/>
        <w:ind w:firstLine="422"/>
        <w:rPr>
          <w:rFonts w:ascii="宋体" w:hAnsi="宋体" w:cs="宋体"/>
          <w:b/>
          <w:color w:val="auto"/>
          <w:szCs w:val="21"/>
          <w:highlight w:val="none"/>
        </w:rPr>
      </w:pPr>
    </w:p>
    <w:p w14:paraId="7886B1AE">
      <w:pPr>
        <w:spacing w:line="360" w:lineRule="auto"/>
        <w:jc w:val="center"/>
        <w:rPr>
          <w:rFonts w:ascii="宋体" w:hAnsi="宋体" w:cs="宋体"/>
          <w:b/>
          <w:color w:val="auto"/>
          <w:szCs w:val="21"/>
          <w:highlight w:val="none"/>
        </w:rPr>
      </w:pPr>
    </w:p>
    <w:p w14:paraId="48CCF3C7">
      <w:pPr>
        <w:spacing w:line="360" w:lineRule="auto"/>
        <w:jc w:val="center"/>
        <w:rPr>
          <w:rFonts w:ascii="宋体" w:hAnsi="宋体" w:cs="宋体"/>
          <w:b/>
          <w:color w:val="auto"/>
          <w:szCs w:val="21"/>
          <w:highlight w:val="none"/>
        </w:rPr>
      </w:pPr>
    </w:p>
    <w:p w14:paraId="6D64593B">
      <w:pPr>
        <w:pStyle w:val="17"/>
        <w:spacing w:line="360" w:lineRule="auto"/>
        <w:ind w:left="0" w:leftChars="0" w:firstLine="0" w:firstLineChars="0"/>
        <w:rPr>
          <w:rFonts w:ascii="宋体" w:hAnsi="宋体" w:cs="宋体"/>
          <w:b/>
          <w:color w:val="auto"/>
          <w:szCs w:val="21"/>
          <w:highlight w:val="none"/>
        </w:rPr>
      </w:pPr>
    </w:p>
    <w:p w14:paraId="077E7FA2">
      <w:pPr>
        <w:spacing w:line="360" w:lineRule="auto"/>
        <w:jc w:val="center"/>
        <w:rPr>
          <w:rFonts w:ascii="宋体" w:hAnsi="宋体" w:cs="宋体"/>
          <w:b/>
          <w:color w:val="auto"/>
          <w:spacing w:val="20"/>
          <w:szCs w:val="21"/>
          <w:highlight w:val="none"/>
        </w:rPr>
      </w:pPr>
      <w:r>
        <w:rPr>
          <w:rFonts w:hint="eastAsia" w:ascii="宋体" w:hAnsi="宋体" w:cs="宋体"/>
          <w:b/>
          <w:color w:val="auto"/>
          <w:spacing w:val="20"/>
          <w:szCs w:val="21"/>
          <w:highlight w:val="none"/>
        </w:rPr>
        <w:t>投标单位名称：（加盖法人电子签章）</w:t>
      </w:r>
    </w:p>
    <w:p w14:paraId="1DF2C24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日期：    年  月  日</w:t>
      </w:r>
    </w:p>
    <w:p w14:paraId="0A7897FF">
      <w:pPr>
        <w:spacing w:line="480" w:lineRule="auto"/>
        <w:jc w:val="center"/>
        <w:rPr>
          <w:rFonts w:ascii="宋体" w:hAnsi="宋体" w:cs="宋体"/>
          <w:b/>
          <w:color w:val="auto"/>
          <w:szCs w:val="21"/>
          <w:highlight w:val="none"/>
        </w:rPr>
      </w:pPr>
      <w:r>
        <w:rPr>
          <w:rFonts w:hint="eastAsia" w:ascii="宋体" w:hAnsi="宋体" w:cs="宋体"/>
          <w:b/>
          <w:color w:val="auto"/>
          <w:spacing w:val="20"/>
          <w:szCs w:val="21"/>
          <w:highlight w:val="none"/>
        </w:rPr>
        <w:br w:type="page"/>
      </w:r>
      <w:r>
        <w:rPr>
          <w:rFonts w:hint="eastAsia" w:ascii="宋体" w:hAnsi="宋体" w:cs="宋体"/>
          <w:b/>
          <w:color w:val="auto"/>
          <w:szCs w:val="21"/>
          <w:highlight w:val="none"/>
        </w:rPr>
        <w:t>目    录</w:t>
      </w:r>
    </w:p>
    <w:p w14:paraId="5BA5CDBE">
      <w:pPr>
        <w:spacing w:line="48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投标文件</w:t>
      </w:r>
    </w:p>
    <w:p w14:paraId="6CB7F53D">
      <w:pPr>
        <w:spacing w:line="480" w:lineRule="auto"/>
        <w:rPr>
          <w:rFonts w:ascii="宋体" w:hAnsi="宋体" w:cs="宋体"/>
          <w:color w:val="auto"/>
          <w:szCs w:val="21"/>
          <w:highlight w:val="none"/>
        </w:rPr>
      </w:pPr>
      <w:bookmarkStart w:id="110" w:name="_Toc15960"/>
      <w:bookmarkStart w:id="111" w:name="_Toc5594_WPSOffice_Level2"/>
      <w:r>
        <w:rPr>
          <w:rFonts w:hint="eastAsia" w:ascii="宋体" w:hAnsi="宋体" w:cs="宋体"/>
          <w:color w:val="auto"/>
          <w:szCs w:val="21"/>
          <w:highlight w:val="none"/>
        </w:rPr>
        <w:t>1、投标人代表的证明…………………………………………………………………页码</w:t>
      </w:r>
      <w:bookmarkEnd w:id="110"/>
      <w:bookmarkEnd w:id="111"/>
    </w:p>
    <w:p w14:paraId="117013D7">
      <w:pPr>
        <w:spacing w:line="480" w:lineRule="auto"/>
        <w:rPr>
          <w:rFonts w:ascii="宋体" w:hAnsi="宋体" w:cs="宋体"/>
          <w:color w:val="auto"/>
          <w:szCs w:val="21"/>
          <w:highlight w:val="none"/>
        </w:rPr>
      </w:pPr>
      <w:bookmarkStart w:id="112" w:name="_Toc9807"/>
      <w:bookmarkStart w:id="113" w:name="_Toc5696_WPSOffice_Level2"/>
      <w:r>
        <w:rPr>
          <w:rFonts w:hint="eastAsia" w:ascii="宋体" w:hAnsi="宋体" w:cs="宋体"/>
          <w:color w:val="auto"/>
          <w:szCs w:val="21"/>
          <w:highlight w:val="none"/>
        </w:rPr>
        <w:t>2、 投标函……………………………………………………………………………</w:t>
      </w:r>
      <w:bookmarkEnd w:id="112"/>
      <w:bookmarkEnd w:id="113"/>
      <w:r>
        <w:rPr>
          <w:rFonts w:hint="eastAsia" w:ascii="宋体" w:hAnsi="宋体" w:cs="宋体"/>
          <w:color w:val="auto"/>
          <w:szCs w:val="21"/>
          <w:highlight w:val="none"/>
        </w:rPr>
        <w:t>…页码</w:t>
      </w:r>
    </w:p>
    <w:p w14:paraId="21F642EA">
      <w:pPr>
        <w:pStyle w:val="10"/>
        <w:snapToGrid w:val="0"/>
        <w:spacing w:before="158" w:after="158"/>
        <w:jc w:val="left"/>
        <w:outlineLvl w:val="1"/>
        <w:rPr>
          <w:rFonts w:hAnsi="宋体" w:cs="宋体"/>
          <w:color w:val="auto"/>
          <w:sz w:val="21"/>
          <w:szCs w:val="21"/>
          <w:highlight w:val="none"/>
        </w:rPr>
      </w:pPr>
      <w:bookmarkStart w:id="114" w:name="_Toc6567_WPSOffice_Level2"/>
      <w:bookmarkStart w:id="115" w:name="_Toc18489"/>
      <w:r>
        <w:rPr>
          <w:rFonts w:hint="eastAsia" w:hAnsi="宋体" w:cs="宋体"/>
          <w:color w:val="auto"/>
          <w:sz w:val="21"/>
          <w:szCs w:val="21"/>
          <w:highlight w:val="none"/>
        </w:rPr>
        <w:t>3</w:t>
      </w:r>
      <w:bookmarkEnd w:id="114"/>
      <w:bookmarkEnd w:id="115"/>
      <w:r>
        <w:rPr>
          <w:rFonts w:hint="eastAsia" w:hAnsi="宋体" w:cs="宋体"/>
          <w:color w:val="auto"/>
          <w:sz w:val="21"/>
          <w:szCs w:val="21"/>
          <w:highlight w:val="none"/>
        </w:rPr>
        <w:t>、投标人承诺函…………………………………………………………………………页码</w:t>
      </w:r>
    </w:p>
    <w:p w14:paraId="3A351693">
      <w:pPr>
        <w:spacing w:line="480" w:lineRule="auto"/>
        <w:rPr>
          <w:rFonts w:ascii="宋体" w:hAnsi="宋体" w:cs="宋体"/>
          <w:color w:val="auto"/>
          <w:szCs w:val="21"/>
          <w:highlight w:val="none"/>
        </w:rPr>
      </w:pPr>
      <w:bookmarkStart w:id="116" w:name="_Toc19055_WPSOffice_Level2"/>
      <w:bookmarkStart w:id="117" w:name="_Toc14769"/>
      <w:r>
        <w:rPr>
          <w:rFonts w:hint="eastAsia" w:ascii="宋体" w:hAnsi="宋体" w:cs="宋体"/>
          <w:color w:val="auto"/>
          <w:szCs w:val="21"/>
          <w:highlight w:val="none"/>
        </w:rPr>
        <w:t>4、本项目其他特定资格条件…………………………………………</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bookmarkEnd w:id="116"/>
      <w:bookmarkEnd w:id="117"/>
      <w:r>
        <w:rPr>
          <w:rFonts w:hint="eastAsia" w:ascii="宋体" w:hAnsi="宋体" w:cs="宋体"/>
          <w:color w:val="auto"/>
          <w:szCs w:val="21"/>
          <w:highlight w:val="none"/>
        </w:rPr>
        <w:t>…页码</w:t>
      </w:r>
    </w:p>
    <w:p w14:paraId="74568337">
      <w:pPr>
        <w:spacing w:line="480" w:lineRule="auto"/>
        <w:rPr>
          <w:rFonts w:ascii="宋体" w:hAnsi="宋体" w:cs="宋体"/>
          <w:color w:val="auto"/>
          <w:szCs w:val="21"/>
          <w:highlight w:val="none"/>
        </w:rPr>
      </w:pPr>
      <w:bookmarkStart w:id="118" w:name="_Toc12470_WPSOffice_Level2"/>
      <w:bookmarkStart w:id="119" w:name="_Toc24965"/>
      <w:r>
        <w:rPr>
          <w:rFonts w:hint="eastAsia" w:ascii="宋体" w:hAnsi="宋体" w:cs="宋体"/>
          <w:color w:val="auto"/>
          <w:szCs w:val="21"/>
          <w:highlight w:val="none"/>
        </w:rPr>
        <w:t>5、基本存款账户开户许可证…………………………………………</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bookmarkEnd w:id="118"/>
      <w:bookmarkEnd w:id="119"/>
      <w:r>
        <w:rPr>
          <w:rFonts w:hint="eastAsia" w:ascii="宋体" w:hAnsi="宋体" w:cs="宋体"/>
          <w:color w:val="auto"/>
          <w:szCs w:val="21"/>
          <w:highlight w:val="none"/>
        </w:rPr>
        <w:t>…………页码</w:t>
      </w:r>
    </w:p>
    <w:p w14:paraId="6AC538E1">
      <w:pPr>
        <w:pStyle w:val="10"/>
        <w:snapToGrid w:val="0"/>
        <w:spacing w:before="158" w:after="158"/>
        <w:jc w:val="left"/>
        <w:rPr>
          <w:rFonts w:hint="eastAsia" w:ascii="宋体" w:hAnsi="宋体" w:cs="宋体"/>
          <w:color w:val="auto"/>
          <w:szCs w:val="21"/>
          <w:highlight w:val="none"/>
        </w:rPr>
      </w:pPr>
      <w:bookmarkStart w:id="120" w:name="_Toc32590"/>
      <w:bookmarkStart w:id="121" w:name="_Toc12339_WPSOffice_Level2"/>
      <w:r>
        <w:rPr>
          <w:rFonts w:hint="eastAsia" w:ascii="宋体" w:hAnsi="宋体" w:eastAsia="宋体" w:cs="宋体"/>
          <w:color w:val="auto"/>
          <w:kern w:val="2"/>
          <w:sz w:val="21"/>
          <w:szCs w:val="21"/>
          <w:highlight w:val="none"/>
          <w:lang w:val="en-US" w:eastAsia="zh-CN" w:bidi="ar-SA"/>
        </w:rPr>
        <w:t>6、投标主体………………………………………………………………………</w:t>
      </w:r>
      <w:bookmarkEnd w:id="120"/>
      <w:bookmarkEnd w:id="121"/>
      <w:r>
        <w:rPr>
          <w:rFonts w:hint="eastAsia" w:ascii="宋体" w:hAnsi="宋体" w:eastAsia="宋体" w:cs="宋体"/>
          <w:color w:val="auto"/>
          <w:kern w:val="2"/>
          <w:sz w:val="21"/>
          <w:szCs w:val="21"/>
          <w:highlight w:val="none"/>
          <w:lang w:val="en-US" w:eastAsia="zh-CN" w:bidi="ar-SA"/>
        </w:rPr>
        <w:t>………页码</w:t>
      </w:r>
    </w:p>
    <w:p w14:paraId="2C7CB188">
      <w:pPr>
        <w:spacing w:line="480" w:lineRule="auto"/>
        <w:jc w:val="center"/>
        <w:rPr>
          <w:rFonts w:hint="eastAsia" w:ascii="宋体" w:hAnsi="宋体" w:eastAsia="宋体" w:cs="宋体"/>
          <w:b/>
          <w:color w:val="auto"/>
          <w:szCs w:val="21"/>
          <w:highlight w:val="none"/>
          <w:lang w:eastAsia="zh-CN"/>
        </w:rPr>
      </w:pPr>
      <w:bookmarkStart w:id="122" w:name="_Toc9539_WPSOffice_Level1"/>
      <w:bookmarkStart w:id="123" w:name="_Toc13213_WPSOffice_Level1"/>
      <w:bookmarkStart w:id="124" w:name="_Toc21785"/>
      <w:r>
        <w:rPr>
          <w:rFonts w:hint="eastAsia" w:ascii="宋体" w:hAnsi="宋体" w:cs="宋体"/>
          <w:b/>
          <w:color w:val="auto"/>
          <w:szCs w:val="21"/>
          <w:highlight w:val="none"/>
        </w:rPr>
        <w:t>报价要求</w:t>
      </w:r>
      <w:r>
        <w:rPr>
          <w:rFonts w:hint="eastAsia" w:ascii="宋体" w:hAnsi="宋体" w:cs="宋体"/>
          <w:b/>
          <w:color w:val="auto"/>
          <w:szCs w:val="21"/>
          <w:highlight w:val="none"/>
          <w:lang w:eastAsia="zh-CN"/>
        </w:rPr>
        <w:t>投标文件</w:t>
      </w:r>
    </w:p>
    <w:bookmarkEnd w:id="122"/>
    <w:bookmarkEnd w:id="123"/>
    <w:bookmarkEnd w:id="124"/>
    <w:p w14:paraId="4330A84A">
      <w:pPr>
        <w:spacing w:line="480" w:lineRule="auto"/>
        <w:rPr>
          <w:rFonts w:ascii="宋体" w:hAnsi="宋体" w:cs="宋体"/>
          <w:color w:val="auto"/>
          <w:szCs w:val="21"/>
          <w:highlight w:val="none"/>
        </w:rPr>
      </w:pPr>
      <w:bookmarkStart w:id="125" w:name="_Toc5661_WPSOffice_Level2"/>
      <w:bookmarkStart w:id="126" w:name="_Toc19696"/>
      <w:r>
        <w:rPr>
          <w:rFonts w:hint="eastAsia" w:ascii="宋体" w:hAnsi="宋体" w:cs="宋体"/>
          <w:color w:val="auto"/>
          <w:szCs w:val="21"/>
          <w:highlight w:val="none"/>
        </w:rPr>
        <w:t>1、报价一览表…………………………………………………………………………………………页码</w:t>
      </w:r>
      <w:bookmarkEnd w:id="125"/>
      <w:bookmarkEnd w:id="126"/>
    </w:p>
    <w:p w14:paraId="1C9EEB11">
      <w:pPr>
        <w:spacing w:line="480" w:lineRule="auto"/>
        <w:rPr>
          <w:rFonts w:ascii="宋体" w:hAnsi="宋体" w:cs="宋体"/>
          <w:color w:val="auto"/>
          <w:szCs w:val="21"/>
          <w:highlight w:val="none"/>
        </w:rPr>
      </w:pPr>
      <w:r>
        <w:rPr>
          <w:rFonts w:hint="eastAsia" w:ascii="宋体" w:hAnsi="宋体" w:cs="宋体"/>
          <w:color w:val="auto"/>
          <w:szCs w:val="21"/>
          <w:highlight w:val="none"/>
        </w:rPr>
        <w:t>小型、微企业/残疾人福利性单位提供货物/服务明细表（若有的话）…………………………页码</w:t>
      </w:r>
    </w:p>
    <w:p w14:paraId="593F7765">
      <w:pPr>
        <w:spacing w:line="480" w:lineRule="auto"/>
        <w:rPr>
          <w:rFonts w:ascii="宋体" w:hAnsi="宋体" w:cs="宋体"/>
          <w:color w:val="auto"/>
          <w:szCs w:val="21"/>
          <w:highlight w:val="none"/>
        </w:rPr>
      </w:pPr>
      <w:r>
        <w:rPr>
          <w:rFonts w:hint="eastAsia" w:ascii="宋体" w:hAnsi="宋体" w:cs="宋体"/>
          <w:color w:val="auto"/>
          <w:szCs w:val="21"/>
          <w:highlight w:val="none"/>
        </w:rPr>
        <w:t>中小企业声明函（若有的话）………………………………………………………………………页码</w:t>
      </w:r>
    </w:p>
    <w:p w14:paraId="2C3FDFC5">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关于符合本国产品标准的声明函……………………………………………………………………页码</w:t>
      </w:r>
    </w:p>
    <w:p w14:paraId="6C3BF60C">
      <w:pPr>
        <w:spacing w:line="480" w:lineRule="auto"/>
        <w:rPr>
          <w:rFonts w:ascii="宋体" w:hAnsi="宋体" w:cs="宋体"/>
          <w:color w:val="auto"/>
          <w:szCs w:val="21"/>
          <w:highlight w:val="none"/>
        </w:rPr>
      </w:pPr>
      <w:r>
        <w:rPr>
          <w:rFonts w:hint="eastAsia" w:ascii="宋体" w:hAnsi="宋体" w:cs="宋体"/>
          <w:color w:val="auto"/>
          <w:szCs w:val="21"/>
          <w:highlight w:val="none"/>
        </w:rPr>
        <w:t>残疾人福利性单位声明函（若有的话）……………………………………………………………页码</w:t>
      </w:r>
    </w:p>
    <w:p w14:paraId="03159310">
      <w:pPr>
        <w:pStyle w:val="7"/>
        <w:rPr>
          <w:rFonts w:ascii="宋体" w:hAnsi="宋体" w:cs="宋体"/>
          <w:color w:val="auto"/>
          <w:sz w:val="21"/>
          <w:szCs w:val="21"/>
          <w:highlight w:val="none"/>
        </w:rPr>
      </w:pPr>
    </w:p>
    <w:p w14:paraId="64E3C4AC">
      <w:pPr>
        <w:spacing w:line="480" w:lineRule="auto"/>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商务技术</w:t>
      </w:r>
      <w:r>
        <w:rPr>
          <w:rFonts w:hint="eastAsia" w:ascii="宋体" w:hAnsi="宋体" w:cs="宋体"/>
          <w:b/>
          <w:color w:val="auto"/>
          <w:szCs w:val="21"/>
          <w:highlight w:val="none"/>
          <w:lang w:eastAsia="zh-CN"/>
        </w:rPr>
        <w:t>投标文件</w:t>
      </w:r>
    </w:p>
    <w:p w14:paraId="282B52BC">
      <w:pPr>
        <w:pStyle w:val="7"/>
        <w:rPr>
          <w:rFonts w:ascii="宋体" w:hAnsi="宋体" w:cs="宋体"/>
          <w:color w:val="auto"/>
          <w:sz w:val="21"/>
          <w:szCs w:val="21"/>
          <w:highlight w:val="none"/>
        </w:rPr>
      </w:pPr>
    </w:p>
    <w:p w14:paraId="20596F2C">
      <w:pPr>
        <w:spacing w:line="480" w:lineRule="auto"/>
        <w:rPr>
          <w:rFonts w:ascii="宋体" w:hAnsi="宋体" w:cs="宋体"/>
          <w:color w:val="auto"/>
          <w:szCs w:val="21"/>
          <w:highlight w:val="none"/>
        </w:rPr>
      </w:pPr>
      <w:bookmarkStart w:id="127" w:name="_Toc5101"/>
      <w:bookmarkStart w:id="128" w:name="_Toc5182_WPSOffice_Level2"/>
      <w:r>
        <w:rPr>
          <w:rFonts w:hint="eastAsia" w:ascii="宋体" w:hAnsi="宋体" w:cs="宋体"/>
          <w:color w:val="auto"/>
          <w:szCs w:val="21"/>
          <w:highlight w:val="none"/>
        </w:rPr>
        <w:t>1、对商务要求的响应内容…………………………………………………………………</w:t>
      </w:r>
      <w:bookmarkEnd w:id="127"/>
      <w:bookmarkEnd w:id="128"/>
      <w:r>
        <w:rPr>
          <w:rFonts w:hint="eastAsia" w:ascii="宋体" w:hAnsi="宋体" w:cs="宋体"/>
          <w:color w:val="auto"/>
          <w:szCs w:val="21"/>
          <w:highlight w:val="none"/>
        </w:rPr>
        <w:t>…………页码</w:t>
      </w:r>
    </w:p>
    <w:p w14:paraId="71AB0A82">
      <w:pPr>
        <w:spacing w:line="480" w:lineRule="auto"/>
        <w:rPr>
          <w:rFonts w:ascii="宋体" w:hAnsi="宋体" w:cs="宋体"/>
          <w:color w:val="auto"/>
          <w:szCs w:val="21"/>
          <w:highlight w:val="none"/>
        </w:rPr>
      </w:pPr>
      <w:bookmarkStart w:id="129" w:name="_Toc7198"/>
      <w:bookmarkStart w:id="130" w:name="_Toc27902_WPSOffice_Level2"/>
      <w:r>
        <w:rPr>
          <w:rFonts w:hint="eastAsia" w:ascii="宋体" w:hAnsi="宋体" w:cs="宋体"/>
          <w:color w:val="auto"/>
          <w:szCs w:val="21"/>
          <w:highlight w:val="none"/>
        </w:rPr>
        <w:t>2、对实质性要求的响应内容………………………………………………………………</w:t>
      </w:r>
      <w:bookmarkEnd w:id="129"/>
      <w:bookmarkEnd w:id="130"/>
      <w:r>
        <w:rPr>
          <w:rFonts w:hint="eastAsia" w:ascii="宋体" w:hAnsi="宋体" w:cs="宋体"/>
          <w:color w:val="auto"/>
          <w:szCs w:val="21"/>
          <w:highlight w:val="none"/>
        </w:rPr>
        <w:t>…………页码</w:t>
      </w:r>
    </w:p>
    <w:p w14:paraId="58F1973A">
      <w:pPr>
        <w:spacing w:line="480" w:lineRule="auto"/>
        <w:rPr>
          <w:rFonts w:ascii="宋体" w:hAnsi="宋体" w:cs="宋体"/>
          <w:color w:val="auto"/>
          <w:szCs w:val="21"/>
          <w:highlight w:val="none"/>
        </w:rPr>
      </w:pPr>
      <w:r>
        <w:rPr>
          <w:rFonts w:hint="eastAsia" w:ascii="宋体" w:hAnsi="宋体" w:cs="宋体"/>
          <w:color w:val="auto"/>
          <w:szCs w:val="21"/>
          <w:highlight w:val="none"/>
        </w:rPr>
        <w:t>涉及政府采购政策要求内容（若有的话）</w:t>
      </w:r>
    </w:p>
    <w:p w14:paraId="5BE093F0">
      <w:pPr>
        <w:spacing w:line="480" w:lineRule="auto"/>
        <w:rPr>
          <w:rFonts w:ascii="宋体" w:hAnsi="宋体" w:cs="宋体"/>
          <w:color w:val="auto"/>
          <w:szCs w:val="21"/>
          <w:highlight w:val="none"/>
        </w:rPr>
      </w:pPr>
      <w:bookmarkStart w:id="131" w:name="_Toc29185"/>
      <w:bookmarkStart w:id="132" w:name="_Toc22984_WPSOffice_Level2"/>
      <w:r>
        <w:rPr>
          <w:rFonts w:hint="eastAsia" w:ascii="宋体" w:hAnsi="宋体" w:cs="宋体"/>
          <w:color w:val="auto"/>
          <w:szCs w:val="21"/>
          <w:highlight w:val="none"/>
        </w:rPr>
        <w:t>3、对非实质性要求的响应内容……………………………………………………………</w:t>
      </w:r>
      <w:bookmarkEnd w:id="131"/>
      <w:bookmarkEnd w:id="132"/>
      <w:r>
        <w:rPr>
          <w:rFonts w:hint="eastAsia" w:ascii="宋体" w:hAnsi="宋体" w:cs="宋体"/>
          <w:color w:val="auto"/>
          <w:szCs w:val="21"/>
          <w:highlight w:val="none"/>
        </w:rPr>
        <w:t>…………页码</w:t>
      </w:r>
    </w:p>
    <w:p w14:paraId="13CE250D">
      <w:pPr>
        <w:spacing w:line="480" w:lineRule="auto"/>
        <w:rPr>
          <w:rFonts w:ascii="宋体" w:hAnsi="宋体" w:cs="宋体"/>
          <w:color w:val="auto"/>
          <w:szCs w:val="21"/>
          <w:highlight w:val="none"/>
        </w:rPr>
      </w:pPr>
      <w:r>
        <w:rPr>
          <w:rFonts w:hint="eastAsia" w:ascii="宋体" w:hAnsi="宋体" w:cs="宋体"/>
          <w:color w:val="auto"/>
          <w:szCs w:val="21"/>
          <w:highlight w:val="none"/>
        </w:rPr>
        <w:t>涉及政府采购政策要求内容（若有的话）</w:t>
      </w:r>
    </w:p>
    <w:p w14:paraId="39E49642">
      <w:pPr>
        <w:spacing w:line="480" w:lineRule="auto"/>
        <w:rPr>
          <w:rFonts w:ascii="宋体" w:hAnsi="宋体" w:cs="宋体"/>
          <w:color w:val="auto"/>
          <w:szCs w:val="21"/>
          <w:highlight w:val="none"/>
        </w:rPr>
      </w:pPr>
      <w:bookmarkStart w:id="133" w:name="_Toc10936_WPSOffice_Level2"/>
      <w:bookmarkStart w:id="134" w:name="_Toc15551"/>
      <w:r>
        <w:rPr>
          <w:rFonts w:hint="eastAsia" w:ascii="宋体" w:hAnsi="宋体" w:cs="宋体"/>
          <w:color w:val="auto"/>
          <w:szCs w:val="21"/>
          <w:highlight w:val="none"/>
        </w:rPr>
        <w:t>4、对服务要求的响应内容…………………………………………………………………</w:t>
      </w:r>
      <w:bookmarkEnd w:id="133"/>
      <w:bookmarkEnd w:id="134"/>
      <w:r>
        <w:rPr>
          <w:rFonts w:hint="eastAsia" w:ascii="宋体" w:hAnsi="宋体" w:cs="宋体"/>
          <w:color w:val="auto"/>
          <w:szCs w:val="21"/>
          <w:highlight w:val="none"/>
        </w:rPr>
        <w:t>…………页码</w:t>
      </w:r>
    </w:p>
    <w:p w14:paraId="5EA3BD58">
      <w:pPr>
        <w:spacing w:line="48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要求的响应内容……………………………………………………………………………页码</w:t>
      </w:r>
    </w:p>
    <w:p w14:paraId="296BD4CA">
      <w:pPr>
        <w:spacing w:line="48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6、拟派往本项目的技术团队人员配备情况</w:t>
      </w:r>
      <w:r>
        <w:rPr>
          <w:rFonts w:hint="eastAsia" w:ascii="宋体" w:hAnsi="宋体" w:cs="宋体"/>
          <w:color w:val="auto"/>
          <w:szCs w:val="21"/>
          <w:highlight w:val="none"/>
        </w:rPr>
        <w:t>………………………………………………………页码</w:t>
      </w:r>
    </w:p>
    <w:p w14:paraId="71B280B8">
      <w:pPr>
        <w:spacing w:line="48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类似合同案例及相关证明资料</w:t>
      </w:r>
      <w:r>
        <w:rPr>
          <w:rFonts w:hint="eastAsia" w:ascii="宋体" w:hAnsi="宋体" w:cs="宋体"/>
          <w:color w:val="auto"/>
          <w:szCs w:val="21"/>
          <w:highlight w:val="none"/>
        </w:rPr>
        <w:t>……………………………………………………………………页码</w:t>
      </w:r>
    </w:p>
    <w:p w14:paraId="7A58B672">
      <w:pPr>
        <w:spacing w:line="480" w:lineRule="auto"/>
        <w:rPr>
          <w:rFonts w:ascii="宋体" w:hAnsi="宋体" w:cs="宋体"/>
          <w:color w:val="auto"/>
          <w:szCs w:val="21"/>
          <w:highlight w:val="none"/>
        </w:rPr>
      </w:pPr>
      <w:bookmarkStart w:id="135" w:name="_Toc30867"/>
      <w:bookmarkStart w:id="136" w:name="_Toc24513_WPSOffice_Level2"/>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响应方案</w:t>
      </w:r>
      <w:r>
        <w:rPr>
          <w:rFonts w:hint="eastAsia" w:ascii="宋体" w:hAnsi="宋体" w:cs="宋体"/>
          <w:color w:val="auto"/>
          <w:szCs w:val="21"/>
          <w:highlight w:val="none"/>
        </w:rPr>
        <w:t>……………………………………………………………………………………………页码</w:t>
      </w:r>
    </w:p>
    <w:p w14:paraId="50B644D5">
      <w:pPr>
        <w:spacing w:line="48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、招标文件要求或投标人认为需要提供的其他商务技术材料/文件……………</w:t>
      </w:r>
      <w:bookmarkEnd w:id="135"/>
      <w:bookmarkEnd w:id="136"/>
      <w:r>
        <w:rPr>
          <w:rFonts w:hint="eastAsia" w:ascii="宋体" w:hAnsi="宋体" w:cs="宋体"/>
          <w:color w:val="auto"/>
          <w:szCs w:val="21"/>
          <w:highlight w:val="none"/>
        </w:rPr>
        <w:t>…………页码</w:t>
      </w:r>
    </w:p>
    <w:p w14:paraId="2CC6C835">
      <w:pPr>
        <w:spacing w:line="276" w:lineRule="auto"/>
        <w:rPr>
          <w:rFonts w:ascii="宋体" w:hAnsi="宋体" w:cs="宋体"/>
          <w:b/>
          <w:color w:val="auto"/>
          <w:szCs w:val="21"/>
          <w:highlight w:val="none"/>
        </w:rPr>
      </w:pPr>
    </w:p>
    <w:p w14:paraId="2CF4F2C1">
      <w:pPr>
        <w:spacing w:line="360" w:lineRule="auto"/>
        <w:rPr>
          <w:rFonts w:hint="eastAsia" w:ascii="宋体" w:hAnsi="宋体" w:eastAsia="宋体" w:cs="宋体"/>
          <w:color w:val="auto"/>
          <w:szCs w:val="21"/>
          <w:highlight w:val="none"/>
          <w:lang w:eastAsia="zh-CN"/>
        </w:rPr>
      </w:pPr>
    </w:p>
    <w:p w14:paraId="508B9705">
      <w:pPr>
        <w:spacing w:line="360" w:lineRule="auto"/>
        <w:ind w:firstLine="420" w:firstLineChars="200"/>
        <w:jc w:val="center"/>
        <w:rPr>
          <w:rFonts w:ascii="宋体" w:hAnsi="宋体" w:cs="宋体"/>
          <w:b/>
          <w:color w:val="auto"/>
          <w:szCs w:val="21"/>
          <w:highlight w:val="none"/>
        </w:rPr>
      </w:pPr>
    </w:p>
    <w:p w14:paraId="17750D45">
      <w:pPr>
        <w:spacing w:line="360" w:lineRule="auto"/>
        <w:ind w:firstLine="420" w:firstLineChars="200"/>
        <w:jc w:val="center"/>
        <w:rPr>
          <w:rFonts w:ascii="宋体" w:hAnsi="宋体" w:cs="宋体"/>
          <w:b/>
          <w:color w:val="auto"/>
          <w:szCs w:val="21"/>
          <w:highlight w:val="none"/>
        </w:rPr>
      </w:pPr>
    </w:p>
    <w:p w14:paraId="5E97EE3E">
      <w:pPr>
        <w:rPr>
          <w:rFonts w:ascii="宋体" w:hAnsi="宋体" w:cs="宋体"/>
          <w:color w:val="auto"/>
          <w:szCs w:val="21"/>
          <w:highlight w:val="none"/>
        </w:rPr>
      </w:pPr>
      <w:bookmarkStart w:id="137" w:name="_Toc3537"/>
      <w:bookmarkStart w:id="138" w:name="_Toc13057"/>
      <w:bookmarkStart w:id="139" w:name="_Toc23407_WPSOffice_Level1"/>
      <w:bookmarkStart w:id="140" w:name="_Toc12441"/>
    </w:p>
    <w:p w14:paraId="6261F395">
      <w:pPr>
        <w:pStyle w:val="14"/>
        <w:rPr>
          <w:rFonts w:ascii="宋体" w:hAnsi="宋体" w:cs="宋体"/>
          <w:color w:val="auto"/>
          <w:sz w:val="21"/>
          <w:szCs w:val="21"/>
          <w:highlight w:val="none"/>
        </w:rPr>
      </w:pPr>
    </w:p>
    <w:p w14:paraId="58E04641">
      <w:pPr>
        <w:pStyle w:val="14"/>
        <w:rPr>
          <w:rFonts w:ascii="宋体" w:hAnsi="宋体" w:cs="宋体"/>
          <w:color w:val="auto"/>
          <w:sz w:val="21"/>
          <w:szCs w:val="21"/>
          <w:highlight w:val="none"/>
        </w:rPr>
      </w:pPr>
    </w:p>
    <w:p w14:paraId="145F9AFF">
      <w:pPr>
        <w:pStyle w:val="14"/>
        <w:rPr>
          <w:rFonts w:ascii="宋体" w:hAnsi="宋体" w:cs="宋体"/>
          <w:color w:val="auto"/>
          <w:sz w:val="21"/>
          <w:szCs w:val="21"/>
          <w:highlight w:val="none"/>
        </w:rPr>
      </w:pPr>
    </w:p>
    <w:p w14:paraId="0AFB6BAB">
      <w:pPr>
        <w:pStyle w:val="14"/>
        <w:rPr>
          <w:rFonts w:ascii="宋体" w:hAnsi="宋体" w:cs="宋体"/>
          <w:color w:val="auto"/>
          <w:sz w:val="21"/>
          <w:szCs w:val="21"/>
          <w:highlight w:val="none"/>
        </w:rPr>
      </w:pPr>
    </w:p>
    <w:p w14:paraId="20328B58">
      <w:pPr>
        <w:pStyle w:val="14"/>
        <w:rPr>
          <w:rFonts w:ascii="宋体" w:hAnsi="宋体" w:cs="宋体"/>
          <w:color w:val="auto"/>
          <w:sz w:val="21"/>
          <w:szCs w:val="21"/>
          <w:highlight w:val="none"/>
        </w:rPr>
      </w:pPr>
    </w:p>
    <w:p w14:paraId="54CE51DF">
      <w:pPr>
        <w:pStyle w:val="14"/>
        <w:rPr>
          <w:rFonts w:ascii="宋体" w:hAnsi="宋体" w:cs="宋体"/>
          <w:color w:val="auto"/>
          <w:sz w:val="21"/>
          <w:szCs w:val="21"/>
          <w:highlight w:val="none"/>
        </w:rPr>
      </w:pPr>
    </w:p>
    <w:p w14:paraId="1EC081B1">
      <w:pPr>
        <w:pStyle w:val="14"/>
        <w:rPr>
          <w:rFonts w:ascii="宋体" w:hAnsi="宋体" w:cs="宋体"/>
          <w:color w:val="auto"/>
          <w:sz w:val="21"/>
          <w:szCs w:val="21"/>
          <w:highlight w:val="none"/>
        </w:rPr>
      </w:pPr>
    </w:p>
    <w:p w14:paraId="2110D386">
      <w:pPr>
        <w:pStyle w:val="14"/>
        <w:rPr>
          <w:rFonts w:ascii="宋体" w:hAnsi="宋体" w:cs="宋体"/>
          <w:color w:val="auto"/>
          <w:sz w:val="21"/>
          <w:szCs w:val="21"/>
          <w:highlight w:val="none"/>
        </w:rPr>
      </w:pPr>
    </w:p>
    <w:p w14:paraId="5F8577B4">
      <w:pPr>
        <w:pStyle w:val="14"/>
        <w:rPr>
          <w:rFonts w:ascii="宋体" w:hAnsi="宋体" w:cs="宋体"/>
          <w:color w:val="auto"/>
          <w:sz w:val="21"/>
          <w:szCs w:val="21"/>
          <w:highlight w:val="none"/>
        </w:rPr>
      </w:pPr>
    </w:p>
    <w:p w14:paraId="0764C3A6">
      <w:pPr>
        <w:pStyle w:val="14"/>
        <w:rPr>
          <w:rFonts w:ascii="宋体" w:hAnsi="宋体" w:cs="宋体"/>
          <w:color w:val="auto"/>
          <w:sz w:val="21"/>
          <w:szCs w:val="21"/>
          <w:highlight w:val="none"/>
        </w:rPr>
      </w:pPr>
    </w:p>
    <w:p w14:paraId="38A51602">
      <w:pPr>
        <w:pStyle w:val="14"/>
        <w:rPr>
          <w:rFonts w:ascii="宋体" w:hAnsi="宋体" w:cs="宋体"/>
          <w:color w:val="auto"/>
          <w:sz w:val="21"/>
          <w:szCs w:val="21"/>
          <w:highlight w:val="none"/>
        </w:rPr>
      </w:pPr>
    </w:p>
    <w:p w14:paraId="1D5A108C">
      <w:pPr>
        <w:pStyle w:val="14"/>
        <w:rPr>
          <w:rFonts w:ascii="宋体" w:hAnsi="宋体" w:cs="宋体"/>
          <w:color w:val="auto"/>
          <w:sz w:val="21"/>
          <w:szCs w:val="21"/>
          <w:highlight w:val="none"/>
        </w:rPr>
      </w:pPr>
    </w:p>
    <w:p w14:paraId="0F767BEB">
      <w:pPr>
        <w:pStyle w:val="14"/>
        <w:rPr>
          <w:rFonts w:ascii="宋体" w:hAnsi="宋体" w:cs="宋体"/>
          <w:color w:val="auto"/>
          <w:sz w:val="21"/>
          <w:szCs w:val="21"/>
          <w:highlight w:val="none"/>
        </w:rPr>
      </w:pPr>
    </w:p>
    <w:p w14:paraId="561D5178">
      <w:pPr>
        <w:rPr>
          <w:rFonts w:ascii="宋体" w:hAnsi="宋体" w:cs="宋体"/>
          <w:color w:val="auto"/>
          <w:sz w:val="21"/>
          <w:szCs w:val="21"/>
          <w:highlight w:val="none"/>
        </w:rPr>
      </w:pPr>
    </w:p>
    <w:p w14:paraId="43E641A0">
      <w:pPr>
        <w:pStyle w:val="7"/>
        <w:rPr>
          <w:rFonts w:ascii="宋体" w:hAnsi="宋体" w:cs="宋体"/>
          <w:color w:val="auto"/>
          <w:sz w:val="21"/>
          <w:szCs w:val="21"/>
          <w:highlight w:val="none"/>
        </w:rPr>
      </w:pPr>
    </w:p>
    <w:p w14:paraId="0ECE30C3">
      <w:pPr>
        <w:pStyle w:val="8"/>
        <w:rPr>
          <w:rFonts w:ascii="宋体" w:hAnsi="宋体" w:cs="宋体"/>
          <w:color w:val="auto"/>
          <w:sz w:val="21"/>
          <w:szCs w:val="21"/>
          <w:highlight w:val="none"/>
        </w:rPr>
      </w:pPr>
    </w:p>
    <w:p w14:paraId="4D1C8C1E">
      <w:pPr>
        <w:pStyle w:val="8"/>
        <w:rPr>
          <w:rFonts w:ascii="宋体" w:hAnsi="宋体" w:cs="宋体"/>
          <w:color w:val="auto"/>
          <w:sz w:val="21"/>
          <w:szCs w:val="21"/>
          <w:highlight w:val="none"/>
        </w:rPr>
      </w:pPr>
    </w:p>
    <w:p w14:paraId="68CC26E1">
      <w:pPr>
        <w:pStyle w:val="8"/>
        <w:rPr>
          <w:rFonts w:ascii="宋体" w:hAnsi="宋体" w:cs="宋体"/>
          <w:color w:val="auto"/>
          <w:sz w:val="21"/>
          <w:szCs w:val="21"/>
          <w:highlight w:val="none"/>
        </w:rPr>
      </w:pPr>
    </w:p>
    <w:p w14:paraId="3BB712D1">
      <w:pPr>
        <w:pStyle w:val="8"/>
        <w:rPr>
          <w:rFonts w:ascii="宋体" w:hAnsi="宋体" w:cs="宋体"/>
          <w:color w:val="auto"/>
          <w:sz w:val="21"/>
          <w:szCs w:val="21"/>
          <w:highlight w:val="none"/>
        </w:rPr>
      </w:pPr>
    </w:p>
    <w:p w14:paraId="305FBF13">
      <w:pPr>
        <w:pStyle w:val="14"/>
        <w:rPr>
          <w:rFonts w:ascii="宋体" w:hAnsi="宋体" w:cs="宋体"/>
          <w:color w:val="auto"/>
          <w:sz w:val="21"/>
          <w:szCs w:val="21"/>
          <w:highlight w:val="none"/>
        </w:rPr>
      </w:pPr>
    </w:p>
    <w:p w14:paraId="7E8F1359">
      <w:pPr>
        <w:pStyle w:val="14"/>
        <w:rPr>
          <w:rFonts w:ascii="宋体" w:hAnsi="宋体" w:cs="宋体"/>
          <w:color w:val="auto"/>
          <w:sz w:val="21"/>
          <w:szCs w:val="21"/>
          <w:highlight w:val="none"/>
        </w:rPr>
      </w:pPr>
    </w:p>
    <w:p w14:paraId="27E5299B">
      <w:pPr>
        <w:pStyle w:val="14"/>
        <w:rPr>
          <w:rFonts w:ascii="宋体" w:hAnsi="宋体" w:cs="宋体"/>
          <w:color w:val="auto"/>
          <w:sz w:val="21"/>
          <w:szCs w:val="21"/>
          <w:highlight w:val="none"/>
        </w:rPr>
      </w:pPr>
    </w:p>
    <w:p w14:paraId="7678B385">
      <w:pPr>
        <w:pStyle w:val="14"/>
        <w:rPr>
          <w:rFonts w:ascii="宋体" w:hAnsi="宋体" w:cs="宋体"/>
          <w:color w:val="auto"/>
          <w:sz w:val="21"/>
          <w:szCs w:val="21"/>
          <w:highlight w:val="none"/>
        </w:rPr>
      </w:pPr>
    </w:p>
    <w:p w14:paraId="7E0FFAFC">
      <w:pPr>
        <w:pStyle w:val="14"/>
        <w:rPr>
          <w:rFonts w:ascii="宋体" w:hAnsi="宋体" w:cs="宋体"/>
          <w:color w:val="auto"/>
          <w:sz w:val="21"/>
          <w:szCs w:val="21"/>
          <w:highlight w:val="none"/>
        </w:rPr>
      </w:pPr>
    </w:p>
    <w:bookmarkEnd w:id="137"/>
    <w:bookmarkEnd w:id="138"/>
    <w:bookmarkEnd w:id="139"/>
    <w:bookmarkEnd w:id="140"/>
    <w:p w14:paraId="26CA0E46">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资格</w:t>
      </w:r>
      <w:r>
        <w:rPr>
          <w:rFonts w:hint="eastAsia" w:ascii="宋体" w:hAnsi="宋体" w:cs="宋体"/>
          <w:b/>
          <w:color w:val="auto"/>
          <w:szCs w:val="21"/>
          <w:highlight w:val="none"/>
          <w:lang w:eastAsia="zh-CN"/>
        </w:rPr>
        <w:t>投标文件</w:t>
      </w:r>
    </w:p>
    <w:p w14:paraId="6DA83871">
      <w:pPr>
        <w:pStyle w:val="3"/>
        <w:numPr>
          <w:ilvl w:val="0"/>
          <w:numId w:val="15"/>
        </w:numPr>
        <w:ind w:firstLine="0"/>
        <w:rPr>
          <w:rFonts w:ascii="宋体" w:hAnsi="宋体" w:eastAsia="宋体" w:cs="宋体"/>
          <w:color w:val="auto"/>
          <w:sz w:val="21"/>
          <w:szCs w:val="21"/>
          <w:highlight w:val="none"/>
        </w:rPr>
      </w:pPr>
      <w:bookmarkStart w:id="141" w:name="_Toc78559533"/>
      <w:r>
        <w:rPr>
          <w:rFonts w:hint="eastAsia" w:ascii="宋体" w:hAnsi="宋体" w:eastAsia="宋体" w:cs="宋体"/>
          <w:color w:val="auto"/>
          <w:sz w:val="21"/>
          <w:szCs w:val="21"/>
          <w:highlight w:val="none"/>
        </w:rPr>
        <w:t>投标人代表证明格式</w:t>
      </w:r>
      <w:bookmarkEnd w:id="141"/>
    </w:p>
    <w:p w14:paraId="0B091C67">
      <w:pPr>
        <w:spacing w:line="360" w:lineRule="exact"/>
        <w:ind w:left="315" w:leftChars="150"/>
        <w:jc w:val="left"/>
        <w:rPr>
          <w:rFonts w:ascii="宋体" w:hAnsi="宋体" w:cs="宋体"/>
          <w:color w:val="auto"/>
          <w:szCs w:val="21"/>
          <w:highlight w:val="none"/>
        </w:rPr>
      </w:pPr>
      <w:r>
        <w:rPr>
          <w:rFonts w:hint="eastAsia" w:ascii="宋体" w:hAnsi="宋体" w:cs="宋体"/>
          <w:b/>
          <w:color w:val="auto"/>
          <w:szCs w:val="21"/>
          <w:highlight w:val="none"/>
        </w:rPr>
        <w:t xml:space="preserve">                      </w:t>
      </w:r>
    </w:p>
    <w:p w14:paraId="17A055DB">
      <w:pPr>
        <w:snapToGrid w:val="0"/>
        <w:ind w:left="422" w:hanging="420" w:hangingChars="200"/>
        <w:rPr>
          <w:rFonts w:ascii="宋体" w:hAnsi="宋体" w:cs="宋体"/>
          <w:bCs/>
          <w:color w:val="auto"/>
          <w:spacing w:val="6"/>
          <w:szCs w:val="21"/>
          <w:highlight w:val="none"/>
        </w:rPr>
      </w:pPr>
      <w:r>
        <w:rPr>
          <w:rFonts w:hint="eastAsia" w:ascii="宋体" w:hAnsi="宋体" w:cs="宋体"/>
          <w:b/>
          <w:color w:val="auto"/>
          <w:szCs w:val="21"/>
          <w:highlight w:val="none"/>
        </w:rPr>
        <w:t>法定代表人（负责人）身份证明书格式</w:t>
      </w:r>
    </w:p>
    <w:p w14:paraId="71FC8787">
      <w:pPr>
        <w:snapToGrid w:val="0"/>
        <w:ind w:left="422" w:hanging="420" w:hangingChars="200"/>
        <w:rPr>
          <w:rFonts w:ascii="宋体" w:hAnsi="宋体" w:cs="宋体"/>
          <w:b/>
          <w:color w:val="auto"/>
          <w:szCs w:val="21"/>
          <w:highlight w:val="none"/>
        </w:rPr>
      </w:pPr>
      <w:r>
        <w:rPr>
          <w:rFonts w:hint="eastAsia" w:ascii="宋体" w:hAnsi="宋体" w:cs="宋体"/>
          <w:b/>
          <w:color w:val="auto"/>
          <w:szCs w:val="21"/>
          <w:highlight w:val="none"/>
        </w:rPr>
        <w:t xml:space="preserve">                        </w:t>
      </w:r>
    </w:p>
    <w:p w14:paraId="7AC32E09">
      <w:pPr>
        <w:snapToGrid w:val="0"/>
        <w:ind w:left="502" w:hanging="500" w:hangingChars="200"/>
        <w:jc w:val="center"/>
        <w:rPr>
          <w:rFonts w:ascii="宋体" w:hAnsi="宋体" w:cs="宋体"/>
          <w:b/>
          <w:bCs/>
          <w:color w:val="auto"/>
          <w:spacing w:val="20"/>
          <w:szCs w:val="21"/>
          <w:highlight w:val="none"/>
        </w:rPr>
      </w:pPr>
    </w:p>
    <w:p w14:paraId="3DC0DCA7">
      <w:pPr>
        <w:snapToGrid w:val="0"/>
        <w:ind w:left="502" w:hanging="500" w:hangingChars="200"/>
        <w:jc w:val="center"/>
        <w:rPr>
          <w:rFonts w:ascii="宋体" w:hAnsi="宋体" w:cs="宋体"/>
          <w:bCs/>
          <w:color w:val="auto"/>
          <w:spacing w:val="6"/>
          <w:szCs w:val="21"/>
          <w:highlight w:val="none"/>
        </w:rPr>
      </w:pPr>
      <w:r>
        <w:rPr>
          <w:rFonts w:hint="eastAsia" w:ascii="宋体" w:hAnsi="宋体" w:cs="宋体"/>
          <w:b/>
          <w:bCs/>
          <w:color w:val="auto"/>
          <w:spacing w:val="20"/>
          <w:szCs w:val="21"/>
          <w:highlight w:val="none"/>
        </w:rPr>
        <w:t>法定代表人（负责人）身份证明书</w:t>
      </w:r>
    </w:p>
    <w:p w14:paraId="76B45555">
      <w:pPr>
        <w:spacing w:line="400" w:lineRule="exact"/>
        <w:ind w:firstLine="570"/>
        <w:jc w:val="center"/>
        <w:rPr>
          <w:rFonts w:ascii="宋体" w:hAnsi="宋体" w:cs="宋体"/>
          <w:color w:val="auto"/>
          <w:spacing w:val="6"/>
          <w:szCs w:val="21"/>
          <w:highlight w:val="none"/>
        </w:rPr>
      </w:pPr>
    </w:p>
    <w:p w14:paraId="43A8790F">
      <w:pPr>
        <w:spacing w:line="480" w:lineRule="exact"/>
        <w:rPr>
          <w:rFonts w:ascii="宋体" w:hAnsi="宋体" w:cs="宋体"/>
          <w:color w:val="auto"/>
          <w:spacing w:val="6"/>
          <w:szCs w:val="21"/>
          <w:highlight w:val="none"/>
          <w:u w:val="single"/>
        </w:rPr>
      </w:pPr>
      <w:r>
        <w:rPr>
          <w:rFonts w:hint="eastAsia" w:ascii="宋体" w:hAnsi="宋体" w:cs="宋体"/>
          <w:color w:val="auto"/>
          <w:spacing w:val="6"/>
          <w:szCs w:val="21"/>
          <w:highlight w:val="none"/>
        </w:rPr>
        <w:t>单位名称：</w:t>
      </w:r>
      <w:r>
        <w:rPr>
          <w:rFonts w:hint="eastAsia" w:ascii="宋体" w:hAnsi="宋体" w:cs="宋体"/>
          <w:color w:val="auto"/>
          <w:spacing w:val="6"/>
          <w:szCs w:val="21"/>
          <w:highlight w:val="none"/>
          <w:u w:val="single"/>
        </w:rPr>
        <w:t xml:space="preserve">                                       </w:t>
      </w:r>
    </w:p>
    <w:p w14:paraId="0DD4414D">
      <w:pPr>
        <w:spacing w:line="480" w:lineRule="exact"/>
        <w:rPr>
          <w:rFonts w:ascii="宋体" w:hAnsi="宋体" w:cs="宋体"/>
          <w:color w:val="auto"/>
          <w:spacing w:val="6"/>
          <w:szCs w:val="21"/>
          <w:highlight w:val="none"/>
          <w:u w:val="single"/>
        </w:rPr>
      </w:pPr>
      <w:r>
        <w:rPr>
          <w:rFonts w:hint="eastAsia" w:ascii="宋体" w:hAnsi="宋体" w:cs="宋体"/>
          <w:color w:val="auto"/>
          <w:spacing w:val="6"/>
          <w:szCs w:val="21"/>
          <w:highlight w:val="none"/>
        </w:rPr>
        <w:t>单位性质：</w:t>
      </w:r>
      <w:r>
        <w:rPr>
          <w:rFonts w:hint="eastAsia" w:ascii="宋体" w:hAnsi="宋体" w:cs="宋体"/>
          <w:color w:val="auto"/>
          <w:spacing w:val="6"/>
          <w:szCs w:val="21"/>
          <w:highlight w:val="none"/>
          <w:u w:val="single"/>
        </w:rPr>
        <w:t xml:space="preserve">                                       </w:t>
      </w:r>
    </w:p>
    <w:p w14:paraId="2C6C46E8">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地    址：</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515543FC">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成立时间：</w:t>
      </w:r>
      <w:r>
        <w:rPr>
          <w:rFonts w:hint="eastAsia" w:ascii="宋体" w:hAnsi="宋体" w:cs="宋体"/>
          <w:color w:val="auto"/>
          <w:spacing w:val="6"/>
          <w:szCs w:val="21"/>
          <w:highlight w:val="none"/>
          <w:u w:val="single"/>
        </w:rPr>
        <w:t xml:space="preserve">    年    月    日</w:t>
      </w:r>
    </w:p>
    <w:p w14:paraId="6516FBA6">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经营期限：</w:t>
      </w:r>
      <w:r>
        <w:rPr>
          <w:rFonts w:hint="eastAsia" w:ascii="宋体" w:hAnsi="宋体" w:cs="宋体"/>
          <w:color w:val="auto"/>
          <w:spacing w:val="6"/>
          <w:szCs w:val="21"/>
          <w:highlight w:val="none"/>
          <w:u w:val="single"/>
        </w:rPr>
        <w:t xml:space="preserve"> 自    年    月    日至       年    月    日或（长期）</w:t>
      </w:r>
    </w:p>
    <w:p w14:paraId="6FD07059">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姓    名：</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性  别： </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73A3038C">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身份证号：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职  务：</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 </w:t>
      </w:r>
    </w:p>
    <w:p w14:paraId="2E376955">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 xml:space="preserve">系 </w:t>
      </w:r>
      <w:r>
        <w:rPr>
          <w:rFonts w:hint="eastAsia" w:ascii="宋体" w:hAnsi="宋体" w:cs="宋体"/>
          <w:color w:val="auto"/>
          <w:spacing w:val="6"/>
          <w:szCs w:val="21"/>
          <w:highlight w:val="none"/>
          <w:u w:val="single"/>
        </w:rPr>
        <w:t xml:space="preserve">      （投标人名称）          </w:t>
      </w:r>
      <w:r>
        <w:rPr>
          <w:rFonts w:hint="eastAsia" w:ascii="宋体" w:hAnsi="宋体" w:cs="宋体"/>
          <w:color w:val="auto"/>
          <w:spacing w:val="6"/>
          <w:szCs w:val="21"/>
          <w:highlight w:val="none"/>
        </w:rPr>
        <w:t>的法定代表人（负责人）。</w:t>
      </w:r>
    </w:p>
    <w:p w14:paraId="267B5E76">
      <w:pPr>
        <w:spacing w:line="480" w:lineRule="exact"/>
        <w:rPr>
          <w:rFonts w:ascii="宋体" w:hAnsi="宋体" w:cs="宋体"/>
          <w:color w:val="auto"/>
          <w:spacing w:val="6"/>
          <w:szCs w:val="21"/>
          <w:highlight w:val="none"/>
        </w:rPr>
      </w:pPr>
      <w:r>
        <w:rPr>
          <w:rFonts w:hint="eastAsia" w:ascii="宋体" w:hAnsi="宋体" w:cs="宋体"/>
          <w:color w:val="auto"/>
          <w:spacing w:val="6"/>
          <w:szCs w:val="21"/>
          <w:highlight w:val="none"/>
        </w:rPr>
        <w:t xml:space="preserve"> </w:t>
      </w:r>
    </w:p>
    <w:p w14:paraId="5193EB9D">
      <w:pPr>
        <w:spacing w:line="480" w:lineRule="exact"/>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特此证明。</w:t>
      </w:r>
    </w:p>
    <w:p w14:paraId="562A2AC8">
      <w:pPr>
        <w:tabs>
          <w:tab w:val="left" w:pos="3160"/>
        </w:tabs>
        <w:snapToGrid w:val="0"/>
        <w:spacing w:line="480" w:lineRule="exact"/>
        <w:rPr>
          <w:rFonts w:ascii="宋体" w:hAnsi="宋体" w:cs="宋体"/>
          <w:color w:val="auto"/>
          <w:spacing w:val="20"/>
          <w:szCs w:val="21"/>
          <w:highlight w:val="none"/>
        </w:rPr>
      </w:pPr>
      <w:r>
        <w:rPr>
          <w:rFonts w:hint="eastAsia" w:ascii="宋体" w:hAnsi="宋体" w:cs="宋体"/>
          <w:color w:val="auto"/>
          <w:spacing w:val="20"/>
          <w:szCs w:val="21"/>
          <w:highlight w:val="none"/>
        </w:rPr>
        <w:tab/>
      </w: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54A6E85C">
      <w:pPr>
        <w:tabs>
          <w:tab w:val="left" w:pos="3160"/>
        </w:tabs>
        <w:snapToGrid w:val="0"/>
        <w:spacing w:line="480" w:lineRule="exact"/>
        <w:rPr>
          <w:rFonts w:ascii="宋体" w:hAnsi="宋体" w:cs="宋体"/>
          <w:color w:val="auto"/>
          <w:spacing w:val="20"/>
          <w:szCs w:val="21"/>
          <w:highlight w:val="none"/>
        </w:rPr>
      </w:pPr>
      <w:r>
        <w:rPr>
          <w:rFonts w:hint="eastAsia" w:ascii="宋体" w:hAnsi="宋体" w:cs="宋体"/>
          <w:color w:val="auto"/>
          <w:spacing w:val="20"/>
          <w:szCs w:val="21"/>
          <w:highlight w:val="none"/>
        </w:rPr>
        <w:tab/>
      </w:r>
      <w:r>
        <w:rPr>
          <w:rFonts w:hint="eastAsia" w:ascii="宋体" w:hAnsi="宋体" w:cs="宋体"/>
          <w:color w:val="auto"/>
          <w:spacing w:val="20"/>
          <w:szCs w:val="21"/>
          <w:highlight w:val="none"/>
        </w:rPr>
        <w:t>日期：   年   月   日</w:t>
      </w:r>
    </w:p>
    <w:p w14:paraId="65263EC1">
      <w:pPr>
        <w:spacing w:line="480" w:lineRule="exact"/>
        <w:rPr>
          <w:rFonts w:ascii="宋体" w:hAnsi="宋体" w:cs="宋体"/>
          <w:b/>
          <w:color w:val="auto"/>
          <w:szCs w:val="21"/>
          <w:highlight w:val="none"/>
        </w:rPr>
      </w:pPr>
      <w:r>
        <w:rPr>
          <w:rFonts w:hint="eastAsia" w:ascii="宋体" w:hAnsi="宋体" w:cs="宋体"/>
          <w:b/>
          <w:color w:val="auto"/>
          <w:szCs w:val="21"/>
          <w:highlight w:val="none"/>
        </w:rPr>
        <w:t>附法定代表人有效的身份证正反两面影印件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EEE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jc w:val="center"/>
        </w:trPr>
        <w:tc>
          <w:tcPr>
            <w:tcW w:w="4615" w:type="dxa"/>
          </w:tcPr>
          <w:p w14:paraId="3952E69B">
            <w:pPr>
              <w:rPr>
                <w:rFonts w:ascii="宋体" w:hAnsi="宋体" w:cs="宋体"/>
                <w:b/>
                <w:color w:val="auto"/>
                <w:szCs w:val="21"/>
                <w:highlight w:val="none"/>
              </w:rPr>
            </w:pPr>
          </w:p>
        </w:tc>
        <w:tc>
          <w:tcPr>
            <w:tcW w:w="4615" w:type="dxa"/>
          </w:tcPr>
          <w:p w14:paraId="5ABF37B2">
            <w:pPr>
              <w:rPr>
                <w:rFonts w:ascii="宋体" w:hAnsi="宋体" w:cs="宋体"/>
                <w:b/>
                <w:color w:val="auto"/>
                <w:szCs w:val="21"/>
                <w:highlight w:val="none"/>
              </w:rPr>
            </w:pPr>
          </w:p>
        </w:tc>
      </w:tr>
    </w:tbl>
    <w:p w14:paraId="0C811C49">
      <w:pPr>
        <w:snapToGrid w:val="0"/>
        <w:spacing w:before="100" w:beforeAutospacing="1" w:after="100" w:afterAutospacing="1" w:line="480" w:lineRule="exact"/>
        <w:rPr>
          <w:rFonts w:ascii="宋体" w:hAnsi="宋体" w:cs="宋体"/>
          <w:b/>
          <w:bCs/>
          <w:color w:val="auto"/>
          <w:szCs w:val="21"/>
          <w:highlight w:val="none"/>
        </w:rPr>
      </w:pPr>
      <w:r>
        <w:rPr>
          <w:rFonts w:hint="eastAsia" w:ascii="宋体" w:hAnsi="宋体" w:cs="宋体"/>
          <w:color w:val="auto"/>
          <w:kern w:val="0"/>
          <w:szCs w:val="21"/>
          <w:highlight w:val="none"/>
        </w:rPr>
        <w:br w:type="page"/>
      </w:r>
      <w:r>
        <w:rPr>
          <w:rFonts w:hint="eastAsia" w:ascii="宋体" w:hAnsi="宋体" w:cs="宋体"/>
          <w:b/>
          <w:bCs/>
          <w:color w:val="auto"/>
          <w:szCs w:val="21"/>
          <w:highlight w:val="none"/>
        </w:rPr>
        <w:t>法定代表人（负责人）授权委托书</w:t>
      </w:r>
      <w:r>
        <w:rPr>
          <w:rFonts w:hint="eastAsia" w:ascii="宋体" w:hAnsi="宋体" w:cs="宋体"/>
          <w:b/>
          <w:color w:val="auto"/>
          <w:szCs w:val="21"/>
          <w:highlight w:val="none"/>
        </w:rPr>
        <w:t>格式</w:t>
      </w:r>
    </w:p>
    <w:p w14:paraId="182866A6">
      <w:pPr>
        <w:snapToGrid w:val="0"/>
        <w:spacing w:line="480" w:lineRule="exact"/>
        <w:ind w:left="422" w:hanging="420" w:hangingChars="200"/>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法定代表人（负责人）授权委托书   </w:t>
      </w:r>
    </w:p>
    <w:p w14:paraId="0D59AC2D">
      <w:pPr>
        <w:snapToGrid w:val="0"/>
        <w:spacing w:line="480" w:lineRule="exact"/>
        <w:ind w:left="422" w:hanging="420" w:hangingChars="200"/>
        <w:jc w:val="center"/>
        <w:rPr>
          <w:rFonts w:ascii="宋体" w:hAnsi="宋体" w:cs="宋体"/>
          <w:b/>
          <w:bCs/>
          <w:color w:val="auto"/>
          <w:szCs w:val="21"/>
          <w:highlight w:val="none"/>
        </w:rPr>
      </w:pPr>
    </w:p>
    <w:p w14:paraId="1B444ECE">
      <w:pPr>
        <w:snapToGrid w:val="0"/>
        <w:spacing w:line="480" w:lineRule="exact"/>
        <w:rPr>
          <w:rFonts w:ascii="宋体" w:hAnsi="宋体" w:cs="宋体"/>
          <w:b/>
          <w:color w:val="auto"/>
          <w:szCs w:val="21"/>
          <w:highlight w:val="none"/>
        </w:rPr>
      </w:pPr>
      <w:r>
        <w:rPr>
          <w:rFonts w:hint="eastAsia" w:ascii="宋体" w:hAnsi="宋体" w:cs="宋体"/>
          <w:color w:val="auto"/>
          <w:szCs w:val="21"/>
          <w:highlight w:val="none"/>
          <w:lang w:eastAsia="zh-CN"/>
        </w:rPr>
        <w:t>山西嘉创项目管理有限公司</w:t>
      </w:r>
      <w:r>
        <w:rPr>
          <w:rFonts w:hint="eastAsia" w:ascii="宋体" w:hAnsi="宋体" w:cs="宋体"/>
          <w:b/>
          <w:color w:val="auto"/>
          <w:szCs w:val="21"/>
          <w:highlight w:val="none"/>
        </w:rPr>
        <w:t>：</w:t>
      </w:r>
    </w:p>
    <w:p w14:paraId="12645652">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本授权委托书声明：注册于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（投标人住址）的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（法定代表人姓名、职务、身份证号）代表本公司授权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（投标人代表姓名、职务、身份证号）为本公司的合法代理人，就贵方组织的</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 xml:space="preserve"> </w:t>
      </w:r>
      <w:r>
        <w:rPr>
          <w:rFonts w:hint="eastAsia" w:ascii="宋体" w:hAnsi="宋体" w:cs="宋体"/>
          <w:color w:val="auto"/>
          <w:szCs w:val="21"/>
          <w:highlight w:val="none"/>
        </w:rPr>
        <w:t>项目，项目编号：</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，以本公司名义处理一切与之有关的事务。</w:t>
      </w:r>
    </w:p>
    <w:p w14:paraId="7756307B">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14:paraId="47813956">
      <w:pPr>
        <w:snapToGrid w:val="0"/>
        <w:spacing w:line="480" w:lineRule="exact"/>
        <w:ind w:firstLine="420" w:firstLineChars="200"/>
        <w:rPr>
          <w:rFonts w:ascii="宋体" w:hAnsi="宋体" w:cs="宋体"/>
          <w:color w:val="auto"/>
          <w:szCs w:val="21"/>
          <w:highlight w:val="none"/>
        </w:rPr>
      </w:pPr>
    </w:p>
    <w:p w14:paraId="4C0A354D">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w:t>
      </w:r>
    </w:p>
    <w:p w14:paraId="058A129E">
      <w:pPr>
        <w:snapToGrid w:val="0"/>
        <w:spacing w:line="480" w:lineRule="exact"/>
        <w:ind w:firstLine="3150" w:firstLineChars="15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71DD0332">
      <w:pPr>
        <w:snapToGrid w:val="0"/>
        <w:spacing w:line="480" w:lineRule="exact"/>
        <w:ind w:firstLine="2730" w:firstLineChars="1300"/>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章）</w:t>
      </w:r>
    </w:p>
    <w:p w14:paraId="62407095">
      <w:pPr>
        <w:snapToGrid w:val="0"/>
        <w:spacing w:line="480" w:lineRule="exact"/>
        <w:ind w:firstLine="3360" w:firstLineChars="1600"/>
        <w:rPr>
          <w:rFonts w:ascii="宋体" w:hAnsi="宋体" w:cs="宋体"/>
          <w:color w:val="auto"/>
          <w:szCs w:val="21"/>
          <w:highlight w:val="none"/>
        </w:rPr>
      </w:pPr>
      <w:r>
        <w:rPr>
          <w:rFonts w:hint="eastAsia" w:ascii="宋体" w:hAnsi="宋体" w:cs="宋体"/>
          <w:color w:val="auto"/>
          <w:szCs w:val="21"/>
          <w:highlight w:val="none"/>
        </w:rPr>
        <w:t>年  月  日</w:t>
      </w:r>
    </w:p>
    <w:p w14:paraId="351AAFA8">
      <w:pPr>
        <w:rPr>
          <w:rFonts w:ascii="宋体" w:hAnsi="宋体" w:cs="宋体"/>
          <w:color w:val="auto"/>
          <w:szCs w:val="21"/>
          <w:highlight w:val="none"/>
        </w:rPr>
      </w:pPr>
    </w:p>
    <w:p w14:paraId="3D3F5DFB">
      <w:pPr>
        <w:spacing w:line="480" w:lineRule="exact"/>
        <w:rPr>
          <w:rFonts w:ascii="宋体" w:hAnsi="宋体" w:cs="宋体"/>
          <w:b/>
          <w:color w:val="auto"/>
          <w:szCs w:val="21"/>
          <w:highlight w:val="none"/>
        </w:rPr>
      </w:pPr>
    </w:p>
    <w:p w14:paraId="3B0C5B85">
      <w:pPr>
        <w:spacing w:line="480" w:lineRule="exact"/>
        <w:rPr>
          <w:rFonts w:ascii="宋体" w:hAnsi="宋体" w:cs="宋体"/>
          <w:b/>
          <w:color w:val="auto"/>
          <w:szCs w:val="21"/>
          <w:highlight w:val="none"/>
        </w:rPr>
      </w:pPr>
      <w:r>
        <w:rPr>
          <w:rFonts w:hint="eastAsia" w:ascii="宋体" w:hAnsi="宋体" w:cs="宋体"/>
          <w:b/>
          <w:color w:val="auto"/>
          <w:szCs w:val="21"/>
          <w:highlight w:val="none"/>
        </w:rPr>
        <w:t>附投标人代表有效的身份证正反两面影印件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A94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tcPr>
          <w:p w14:paraId="707E7229">
            <w:pPr>
              <w:rPr>
                <w:rFonts w:ascii="宋体" w:hAnsi="宋体" w:cs="宋体"/>
                <w:b/>
                <w:color w:val="auto"/>
                <w:szCs w:val="21"/>
                <w:highlight w:val="none"/>
              </w:rPr>
            </w:pPr>
          </w:p>
        </w:tc>
        <w:tc>
          <w:tcPr>
            <w:tcW w:w="4615" w:type="dxa"/>
          </w:tcPr>
          <w:p w14:paraId="12C57D66">
            <w:pPr>
              <w:rPr>
                <w:rFonts w:ascii="宋体" w:hAnsi="宋体" w:cs="宋体"/>
                <w:b/>
                <w:color w:val="auto"/>
                <w:szCs w:val="21"/>
                <w:highlight w:val="none"/>
              </w:rPr>
            </w:pPr>
          </w:p>
        </w:tc>
      </w:tr>
    </w:tbl>
    <w:p w14:paraId="3ECDB881">
      <w:pPr>
        <w:snapToGrid w:val="0"/>
        <w:rPr>
          <w:rFonts w:ascii="宋体" w:hAnsi="宋体" w:cs="宋体"/>
          <w:b/>
          <w:bCs/>
          <w:color w:val="auto"/>
          <w:szCs w:val="21"/>
          <w:highlight w:val="none"/>
        </w:rPr>
      </w:pPr>
    </w:p>
    <w:p w14:paraId="5B1160D4">
      <w:pPr>
        <w:spacing w:line="360" w:lineRule="exact"/>
        <w:ind w:left="315" w:leftChars="150"/>
        <w:jc w:val="left"/>
        <w:rPr>
          <w:rFonts w:ascii="宋体" w:hAnsi="宋体" w:cs="宋体"/>
          <w:b/>
          <w:bCs/>
          <w:color w:val="auto"/>
          <w:szCs w:val="21"/>
          <w:highlight w:val="none"/>
        </w:rPr>
      </w:pPr>
      <w:r>
        <w:rPr>
          <w:rFonts w:hint="eastAsia" w:ascii="宋体" w:hAnsi="宋体" w:cs="宋体"/>
          <w:b/>
          <w:bCs/>
          <w:color w:val="auto"/>
          <w:szCs w:val="21"/>
          <w:highlight w:val="none"/>
        </w:rPr>
        <w:t>注：法定代表人（负责人）参加，不用此委托书。</w:t>
      </w:r>
    </w:p>
    <w:p w14:paraId="1492216C">
      <w:pPr>
        <w:pStyle w:val="6"/>
        <w:rPr>
          <w:rFonts w:ascii="宋体" w:hAnsi="宋体" w:eastAsia="宋体" w:cs="宋体"/>
          <w:color w:val="auto"/>
          <w:szCs w:val="21"/>
          <w:highlight w:val="none"/>
        </w:rPr>
      </w:pPr>
    </w:p>
    <w:p w14:paraId="0A0CE505">
      <w:pPr>
        <w:rPr>
          <w:rFonts w:ascii="宋体" w:hAnsi="宋体" w:cs="宋体"/>
          <w:color w:val="auto"/>
          <w:szCs w:val="21"/>
          <w:highlight w:val="none"/>
          <w:shd w:val="clear" w:color="auto" w:fill="000080"/>
        </w:rPr>
      </w:pPr>
    </w:p>
    <w:p w14:paraId="7CC85433">
      <w:pPr>
        <w:pStyle w:val="3"/>
        <w:numPr>
          <w:ilvl w:val="0"/>
          <w:numId w:val="15"/>
        </w:numPr>
        <w:ind w:firstLine="0"/>
        <w:rPr>
          <w:rFonts w:ascii="宋体" w:hAnsi="宋体" w:eastAsia="宋体" w:cs="宋体"/>
          <w:color w:val="auto"/>
          <w:sz w:val="21"/>
          <w:szCs w:val="21"/>
          <w:highlight w:val="none"/>
        </w:rPr>
      </w:pPr>
      <w:bookmarkStart w:id="142" w:name="_Toc12339_WPSOffice_Level1"/>
      <w:bookmarkStart w:id="143" w:name="_Toc78559534"/>
      <w:bookmarkStart w:id="144" w:name="_Toc28963"/>
      <w:r>
        <w:rPr>
          <w:rFonts w:hint="eastAsia" w:ascii="宋体" w:hAnsi="宋体" w:eastAsia="宋体" w:cs="宋体"/>
          <w:color w:val="auto"/>
          <w:sz w:val="21"/>
          <w:szCs w:val="21"/>
          <w:highlight w:val="none"/>
        </w:rPr>
        <w:t>响应函格式</w:t>
      </w:r>
      <w:bookmarkEnd w:id="142"/>
      <w:bookmarkEnd w:id="143"/>
      <w:bookmarkEnd w:id="144"/>
    </w:p>
    <w:p w14:paraId="4F902947">
      <w:pPr>
        <w:spacing w:line="360" w:lineRule="auto"/>
        <w:jc w:val="center"/>
        <w:rPr>
          <w:rFonts w:ascii="宋体" w:hAnsi="宋体" w:cs="宋体"/>
          <w:b/>
          <w:bCs/>
          <w:color w:val="auto"/>
          <w:szCs w:val="21"/>
          <w:highlight w:val="none"/>
        </w:rPr>
      </w:pPr>
      <w:bookmarkStart w:id="145" w:name="_Toc3996"/>
      <w:r>
        <w:rPr>
          <w:rFonts w:hint="eastAsia" w:ascii="宋体" w:hAnsi="宋体" w:cs="宋体"/>
          <w:b/>
          <w:bCs/>
          <w:color w:val="auto"/>
          <w:szCs w:val="21"/>
          <w:highlight w:val="none"/>
        </w:rPr>
        <w:t>投   标  函</w:t>
      </w:r>
      <w:bookmarkEnd w:id="145"/>
    </w:p>
    <w:p w14:paraId="523EC589">
      <w:pPr>
        <w:tabs>
          <w:tab w:val="left" w:pos="4860"/>
        </w:tabs>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山西嘉创项目管理有限公司</w:t>
      </w:r>
      <w:r>
        <w:rPr>
          <w:rFonts w:hint="eastAsia" w:ascii="宋体" w:hAnsi="宋体" w:cs="宋体"/>
          <w:b/>
          <w:bCs/>
          <w:color w:val="auto"/>
          <w:szCs w:val="21"/>
          <w:highlight w:val="none"/>
        </w:rPr>
        <w:t>：</w:t>
      </w:r>
    </w:p>
    <w:p w14:paraId="58C4CE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rPr>
        <w:t>(投标人全称)</w:t>
      </w:r>
      <w:r>
        <w:rPr>
          <w:rFonts w:hint="eastAsia" w:ascii="宋体" w:hAnsi="宋体" w:cs="宋体"/>
          <w:color w:val="auto"/>
          <w:szCs w:val="21"/>
          <w:highlight w:val="none"/>
        </w:rPr>
        <w:t>授权</w:t>
      </w:r>
      <w:r>
        <w:rPr>
          <w:rFonts w:hint="eastAsia" w:ascii="宋体" w:hAnsi="宋体" w:cs="宋体"/>
          <w:color w:val="auto"/>
          <w:szCs w:val="21"/>
          <w:highlight w:val="none"/>
          <w:u w:val="single"/>
        </w:rPr>
        <w:t>(投标人代表姓名)(</w:t>
      </w:r>
      <w:r>
        <w:rPr>
          <w:rFonts w:hint="eastAsia" w:ascii="宋体" w:hAnsi="宋体" w:cs="宋体"/>
          <w:color w:val="auto"/>
          <w:szCs w:val="21"/>
          <w:highlight w:val="none"/>
          <w:u w:val="single"/>
          <w:lang w:val="en-US" w:eastAsia="zh-CN"/>
        </w:rPr>
        <w:t>职务</w:t>
      </w:r>
      <w:r>
        <w:rPr>
          <w:rFonts w:hint="eastAsia" w:ascii="宋体" w:hAnsi="宋体" w:cs="宋体"/>
          <w:color w:val="auto"/>
          <w:szCs w:val="21"/>
          <w:highlight w:val="none"/>
          <w:u w:val="single"/>
        </w:rPr>
        <w:t>、职称)</w:t>
      </w:r>
      <w:r>
        <w:rPr>
          <w:rFonts w:hint="eastAsia" w:ascii="宋体" w:hAnsi="宋体" w:cs="宋体"/>
          <w:color w:val="auto"/>
          <w:szCs w:val="21"/>
          <w:highlight w:val="none"/>
        </w:rPr>
        <w:t>为我方代表，参加贵方组织的</w:t>
      </w:r>
      <w:r>
        <w:rPr>
          <w:rFonts w:hint="eastAsia" w:ascii="宋体" w:hAnsi="宋体" w:cs="宋体"/>
          <w:color w:val="auto"/>
          <w:szCs w:val="21"/>
          <w:highlight w:val="none"/>
          <w:u w:val="single"/>
        </w:rPr>
        <w:t>(项目名称、项目编号)</w:t>
      </w:r>
      <w:r>
        <w:rPr>
          <w:rFonts w:hint="eastAsia" w:ascii="宋体" w:hAnsi="宋体" w:cs="宋体"/>
          <w:color w:val="auto"/>
          <w:szCs w:val="21"/>
          <w:highlight w:val="none"/>
        </w:rPr>
        <w:t>招标的有关活动，并对此项目进行投标。为此</w:t>
      </w:r>
      <w:r>
        <w:rPr>
          <w:rFonts w:hint="eastAsia" w:ascii="宋体" w:hAnsi="宋体" w:cs="宋体"/>
          <w:color w:val="auto"/>
          <w:szCs w:val="21"/>
          <w:highlight w:val="none"/>
          <w:lang w:eastAsia="zh-CN"/>
        </w:rPr>
        <w:t>：</w:t>
      </w:r>
    </w:p>
    <w:p w14:paraId="1EBB3E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1、我方已仔细研究了本项目招标文件的全部内容，愿意以下投标报价，按照招标文件要求及合同约定完成项目。</w:t>
      </w:r>
    </w:p>
    <w:p w14:paraId="4900631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大写</w:t>
      </w:r>
      <w:r>
        <w:rPr>
          <w:rFonts w:hint="eastAsia" w:ascii="宋体" w:hAnsi="宋体" w:cs="宋体"/>
          <w:color w:val="auto"/>
          <w:szCs w:val="21"/>
          <w:highlight w:val="none"/>
          <w:lang w:eastAsia="zh-CN"/>
        </w:rPr>
        <w:t>：</w:t>
      </w:r>
      <w:r>
        <w:rPr>
          <w:rFonts w:hint="eastAsia" w:ascii="宋体" w:hAnsi="宋体" w:cs="宋体"/>
          <w:color w:val="auto"/>
          <w:szCs w:val="21"/>
          <w:highlight w:val="none"/>
        </w:rPr>
        <w:t>人民币(大写)</w:t>
      </w:r>
      <w:r>
        <w:rPr>
          <w:rFonts w:hint="eastAsia" w:ascii="宋体" w:hAnsi="宋体" w:cs="宋体"/>
          <w:color w:val="auto"/>
          <w:szCs w:val="21"/>
          <w:highlight w:val="none"/>
          <w:u w:val="single"/>
          <w:lang w:val="en-US" w:eastAsia="zh-CN"/>
        </w:rPr>
        <w:t xml:space="preserve">            元（</w:t>
      </w:r>
      <w:r>
        <w:rPr>
          <w:rFonts w:hint="default" w:ascii="Arial" w:hAnsi="Arial" w:cs="Arial"/>
          <w:color w:val="auto"/>
          <w:szCs w:val="21"/>
          <w:highlight w:val="none"/>
          <w:u w:val="single"/>
          <w:lang w:val="en-US" w:eastAsia="zh-CN"/>
        </w:rPr>
        <w:t>¥</w:t>
      </w:r>
      <w:r>
        <w:rPr>
          <w:rFonts w:hint="eastAsia" w:ascii="宋体" w:hAnsi="宋体" w:cs="宋体"/>
          <w:color w:val="auto"/>
          <w:szCs w:val="21"/>
          <w:highlight w:val="none"/>
          <w:u w:val="single"/>
          <w:lang w:val="en-US" w:eastAsia="zh-CN"/>
        </w:rPr>
        <w:t xml:space="preserve">          元）</w:t>
      </w:r>
    </w:p>
    <w:p w14:paraId="524964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2、我方同意在本项目招标文件中规定的投标有效期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个日历天内(自提交投标文件的截止之日起算)遵守本投标文件中的承诺且在此期限期满之前均具有约束力。如果中标，投标有效期延长至合同服约完毕。</w:t>
      </w:r>
    </w:p>
    <w:p w14:paraId="0C97C9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3、我方承诺已经具备《中华人民共和国政府采购法》中规定的参加政府采购活动的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应当具备的全部条件和本招标文件规定的特定资质要求。</w:t>
      </w:r>
    </w:p>
    <w:p w14:paraId="0FF5488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4、提供投标须知规定的全部投标文件。</w:t>
      </w:r>
    </w:p>
    <w:p w14:paraId="74D428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5、按招标文件要求提供和交付的货物的投标报价详见开标报价一览表。</w:t>
      </w:r>
    </w:p>
    <w:p w14:paraId="27438A4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完全理解投标报价超过招标文件公布的预算金额或最高限价时，导致投标无效。</w:t>
      </w:r>
    </w:p>
    <w:p w14:paraId="2B6B0CA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7、保证忠实地执行双方所签订的合同，并承担合同规定的责任和义务。</w:t>
      </w:r>
    </w:p>
    <w:p w14:paraId="59FFF05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8、承诺完全满足和响应招标文件中的各项商务和技术要求。</w:t>
      </w:r>
    </w:p>
    <w:p w14:paraId="6CB66BC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9、保证遵守招标文件的所有规定且无任何异议。</w:t>
      </w:r>
    </w:p>
    <w:p w14:paraId="596624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10、保证在开标解密截止时问前，对所递交的投标文件进行补充、修改或者撤回时，我方会以PDF格式加盖投标人电子签章的形式在政府集采交易系统/政府分散交易系统中通知采购代理机构，否则可视为无效。</w:t>
      </w:r>
    </w:p>
    <w:p w14:paraId="7EEBE8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11、对贵方在本次招标公告刊登的媒体上发布的公告或与本项目有关的通知，我方会及时查看获取。若因线路故障等其他原因导致通知延迟获取或无法获取，责任由我方自负。</w:t>
      </w:r>
    </w:p>
    <w:p w14:paraId="4A1A96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12、如果在开标后规定的投标有效期内撤回投标，我方将承担相应的法律责任。</w:t>
      </w:r>
    </w:p>
    <w:p w14:paraId="56768A8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13、我方完全理解贵方不一定接受最低价的投标或收到的任何投标。</w:t>
      </w:r>
    </w:p>
    <w:p w14:paraId="2A49D9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14、我方愿意向贵方提供任何与本项投标有关的数据、情况和技术资料。若贵方需要，我方愿意提供我方做出的一切承诺的证明材料。</w:t>
      </w:r>
    </w:p>
    <w:p w14:paraId="461EFA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15、我方已详细审核全部投标文件，包括投标文件修改书(如有的话)、参考资料及有关附件，确认无误。</w:t>
      </w:r>
    </w:p>
    <w:p w14:paraId="3CDC46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16、我方承诺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若需追加采购本项目招标文件所列货物及相关服务的，在不改变合同其他实质性条款的前提下，按相同或更优惠的折扣率保证供货。</w:t>
      </w:r>
    </w:p>
    <w:p w14:paraId="63F2339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17、我方承诺接受招标文件中合同全部条款且无任何异议。</w:t>
      </w:r>
    </w:p>
    <w:p w14:paraId="7B37661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所有有关本次投标的一切往来联系方式为：</w:t>
      </w:r>
    </w:p>
    <w:p w14:paraId="73E2EA0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rPr>
        <w:tab/>
      </w:r>
      <w:r>
        <w:rPr>
          <w:rFonts w:hint="eastAsia" w:ascii="宋体" w:hAnsi="宋体" w:cs="宋体"/>
          <w:color w:val="auto"/>
          <w:szCs w:val="21"/>
          <w:highlight w:val="none"/>
        </w:rPr>
        <w:t xml:space="preserve">                            邮编：</w:t>
      </w:r>
      <w:r>
        <w:rPr>
          <w:rFonts w:hint="eastAsia" w:ascii="宋体" w:hAnsi="宋体" w:cs="宋体"/>
          <w:color w:val="auto"/>
          <w:szCs w:val="21"/>
          <w:highlight w:val="none"/>
        </w:rPr>
        <w:tab/>
      </w:r>
    </w:p>
    <w:p w14:paraId="655CEC8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rPr>
        <w:tab/>
      </w:r>
      <w:r>
        <w:rPr>
          <w:rFonts w:hint="eastAsia" w:ascii="宋体" w:hAnsi="宋体" w:cs="宋体"/>
          <w:color w:val="auto"/>
          <w:szCs w:val="21"/>
          <w:highlight w:val="none"/>
        </w:rPr>
        <w:t xml:space="preserve">                            传真：</w:t>
      </w:r>
    </w:p>
    <w:p w14:paraId="431AD351">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投标人代表姓名：</w:t>
      </w:r>
    </w:p>
    <w:p w14:paraId="2547559E">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投标人代表联系电话：      （办公）           （手机）</w:t>
      </w:r>
    </w:p>
    <w:p w14:paraId="04216B21">
      <w:pPr>
        <w:tabs>
          <w:tab w:val="left" w:pos="480"/>
        </w:tabs>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E-mail：</w:t>
      </w:r>
    </w:p>
    <w:p w14:paraId="51C30AFF">
      <w:pPr>
        <w:spacing w:line="360" w:lineRule="auto"/>
        <w:ind w:firstLine="3727" w:firstLineChars="1775"/>
        <w:rPr>
          <w:rFonts w:ascii="宋体" w:hAnsi="宋体" w:cs="宋体"/>
          <w:color w:val="auto"/>
          <w:szCs w:val="21"/>
          <w:highlight w:val="none"/>
        </w:rPr>
      </w:pPr>
    </w:p>
    <w:p w14:paraId="29EF5EA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2C169B1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年  月  日</w:t>
      </w:r>
    </w:p>
    <w:p w14:paraId="2E4A75FA">
      <w:pPr>
        <w:spacing w:line="360" w:lineRule="auto"/>
        <w:jc w:val="left"/>
        <w:rPr>
          <w:rFonts w:ascii="宋体" w:hAnsi="宋体" w:cs="宋体"/>
          <w:color w:val="auto"/>
          <w:szCs w:val="21"/>
          <w:highlight w:val="none"/>
        </w:rPr>
      </w:pPr>
    </w:p>
    <w:p w14:paraId="0FF5C350">
      <w:pPr>
        <w:spacing w:line="360" w:lineRule="auto"/>
        <w:ind w:left="316" w:hanging="315" w:hangingChars="150"/>
        <w:rPr>
          <w:rFonts w:ascii="宋体" w:hAnsi="宋体" w:cs="宋体"/>
          <w:b/>
          <w:color w:val="auto"/>
          <w:szCs w:val="21"/>
          <w:highlight w:val="none"/>
        </w:rPr>
      </w:pPr>
    </w:p>
    <w:p w14:paraId="7818D57C">
      <w:pPr>
        <w:spacing w:line="360" w:lineRule="exact"/>
        <w:jc w:val="left"/>
        <w:rPr>
          <w:rFonts w:ascii="宋体" w:hAnsi="宋体" w:cs="宋体"/>
          <w:color w:val="auto"/>
          <w:szCs w:val="21"/>
          <w:highlight w:val="none"/>
        </w:rPr>
      </w:pPr>
    </w:p>
    <w:p w14:paraId="10D63399">
      <w:pPr>
        <w:spacing w:line="360" w:lineRule="exact"/>
        <w:ind w:left="316" w:hanging="315" w:hangingChars="150"/>
        <w:rPr>
          <w:rFonts w:ascii="宋体" w:hAnsi="宋体" w:cs="宋体"/>
          <w:b/>
          <w:color w:val="auto"/>
          <w:szCs w:val="21"/>
          <w:highlight w:val="none"/>
        </w:rPr>
      </w:pPr>
    </w:p>
    <w:p w14:paraId="5AE5E7A4">
      <w:pPr>
        <w:spacing w:line="360" w:lineRule="exact"/>
        <w:ind w:left="316" w:hanging="315" w:hangingChars="150"/>
        <w:rPr>
          <w:rFonts w:ascii="宋体" w:hAnsi="宋体" w:cs="宋体"/>
          <w:b/>
          <w:color w:val="auto"/>
          <w:szCs w:val="21"/>
          <w:highlight w:val="none"/>
        </w:rPr>
      </w:pPr>
    </w:p>
    <w:p w14:paraId="4C5FBDD4">
      <w:pPr>
        <w:spacing w:line="360" w:lineRule="exact"/>
        <w:ind w:left="316" w:hanging="315" w:hangingChars="150"/>
        <w:rPr>
          <w:rFonts w:ascii="宋体" w:hAnsi="宋体" w:cs="宋体"/>
          <w:b/>
          <w:color w:val="auto"/>
          <w:szCs w:val="21"/>
          <w:highlight w:val="none"/>
        </w:rPr>
      </w:pPr>
    </w:p>
    <w:p w14:paraId="1CA55058">
      <w:pPr>
        <w:spacing w:line="360" w:lineRule="exact"/>
        <w:ind w:left="316" w:hanging="315" w:hangingChars="150"/>
        <w:rPr>
          <w:rFonts w:ascii="宋体" w:hAnsi="宋体" w:cs="宋体"/>
          <w:b/>
          <w:color w:val="auto"/>
          <w:szCs w:val="21"/>
          <w:highlight w:val="none"/>
        </w:rPr>
      </w:pPr>
    </w:p>
    <w:p w14:paraId="43DED68F">
      <w:pPr>
        <w:spacing w:line="360" w:lineRule="exact"/>
        <w:rPr>
          <w:rFonts w:ascii="宋体" w:hAnsi="宋体" w:cs="宋体"/>
          <w:b/>
          <w:color w:val="auto"/>
          <w:szCs w:val="21"/>
          <w:highlight w:val="none"/>
        </w:rPr>
      </w:pPr>
    </w:p>
    <w:p w14:paraId="1681C307">
      <w:pPr>
        <w:spacing w:line="360" w:lineRule="exact"/>
        <w:rPr>
          <w:rFonts w:ascii="宋体" w:hAnsi="宋体" w:cs="宋体"/>
          <w:b/>
          <w:color w:val="auto"/>
          <w:szCs w:val="21"/>
          <w:highlight w:val="none"/>
        </w:rPr>
      </w:pPr>
    </w:p>
    <w:p w14:paraId="610AB3D3">
      <w:pPr>
        <w:spacing w:line="360" w:lineRule="exact"/>
        <w:rPr>
          <w:rFonts w:ascii="宋体" w:hAnsi="宋体" w:cs="宋体"/>
          <w:b/>
          <w:color w:val="auto"/>
          <w:szCs w:val="21"/>
          <w:highlight w:val="none"/>
        </w:rPr>
      </w:pPr>
    </w:p>
    <w:p w14:paraId="34A00A0D">
      <w:pPr>
        <w:snapToGrid w:val="0"/>
        <w:spacing w:line="480" w:lineRule="exact"/>
        <w:rPr>
          <w:rFonts w:ascii="宋体" w:hAnsi="宋体" w:cs="宋体"/>
          <w:color w:val="auto"/>
          <w:szCs w:val="21"/>
          <w:highlight w:val="none"/>
        </w:rPr>
      </w:pPr>
      <w:bookmarkStart w:id="146" w:name="_Toc28746_WPSOffice_Level1"/>
      <w:bookmarkStart w:id="147" w:name="_Toc16376"/>
      <w:r>
        <w:rPr>
          <w:rFonts w:hint="eastAsia" w:ascii="宋体" w:hAnsi="宋体" w:cs="宋体"/>
          <w:color w:val="auto"/>
          <w:szCs w:val="21"/>
          <w:highlight w:val="none"/>
        </w:rPr>
        <w:br w:type="page"/>
      </w:r>
      <w:r>
        <w:rPr>
          <w:rFonts w:hint="eastAsia" w:ascii="宋体" w:hAnsi="宋体" w:cs="宋体"/>
          <w:b/>
          <w:bCs/>
          <w:color w:val="auto"/>
          <w:szCs w:val="21"/>
          <w:highlight w:val="none"/>
        </w:rPr>
        <w:t>三、投标人承诺函 格式</w:t>
      </w:r>
    </w:p>
    <w:p w14:paraId="48116B9F">
      <w:pPr>
        <w:snapToGrid w:val="0"/>
        <w:spacing w:line="48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投标人承诺函</w:t>
      </w:r>
    </w:p>
    <w:p w14:paraId="04D88844">
      <w:pPr>
        <w:snapToGrid w:val="0"/>
        <w:spacing w:line="480" w:lineRule="exact"/>
        <w:rPr>
          <w:rFonts w:ascii="宋体" w:hAnsi="宋体" w:cs="宋体"/>
          <w:color w:val="auto"/>
          <w:szCs w:val="21"/>
          <w:highlight w:val="none"/>
        </w:rPr>
      </w:pPr>
    </w:p>
    <w:p w14:paraId="702B5D9E">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36947007">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本单位现参与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）的采购活动，现承诺满足《中华人民共和国政府采购法》第二十二条第（一）、（二）、（三）、（四）、（五）项的规定要求：</w:t>
      </w:r>
    </w:p>
    <w:p w14:paraId="3D9CBD65">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6047454">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6FCA6C04">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A5EB462">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w:t>
      </w:r>
    </w:p>
    <w:p w14:paraId="28A968B5">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8BB9391">
      <w:pPr>
        <w:snapToGrid w:val="0"/>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如上述承诺不真实，愿意按照政府采购有关法律法规的规定接受处罚。</w:t>
      </w:r>
    </w:p>
    <w:p w14:paraId="2397B601">
      <w:pPr>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特此声明</w:t>
      </w:r>
    </w:p>
    <w:p w14:paraId="6D7B9FE6">
      <w:pPr>
        <w:snapToGrid w:val="0"/>
        <w:spacing w:line="480" w:lineRule="exact"/>
        <w:rPr>
          <w:rFonts w:ascii="宋体" w:hAnsi="宋体" w:cs="宋体"/>
          <w:color w:val="auto"/>
          <w:szCs w:val="21"/>
          <w:highlight w:val="none"/>
        </w:rPr>
      </w:pPr>
    </w:p>
    <w:p w14:paraId="4890893E">
      <w:pPr>
        <w:snapToGrid w:val="0"/>
        <w:spacing w:line="480" w:lineRule="exact"/>
        <w:rPr>
          <w:rFonts w:ascii="宋体" w:hAnsi="宋体" w:cs="宋体"/>
          <w:color w:val="auto"/>
          <w:szCs w:val="21"/>
          <w:highlight w:val="none"/>
        </w:rPr>
      </w:pPr>
    </w:p>
    <w:p w14:paraId="5ABE8C09">
      <w:pPr>
        <w:snapToGrid w:val="0"/>
        <w:spacing w:line="480" w:lineRule="exact"/>
        <w:rPr>
          <w:rFonts w:ascii="宋体" w:hAnsi="宋体" w:cs="宋体"/>
          <w:color w:val="auto"/>
          <w:szCs w:val="21"/>
          <w:highlight w:val="none"/>
        </w:rPr>
      </w:pPr>
    </w:p>
    <w:p w14:paraId="1F364BE1">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83A6720">
      <w:pPr>
        <w:snapToGrid w:val="0"/>
        <w:spacing w:line="480" w:lineRule="exact"/>
        <w:ind w:firstLine="3990" w:firstLineChars="1900"/>
        <w:rPr>
          <w:rFonts w:ascii="宋体" w:hAnsi="宋体" w:cs="宋体"/>
          <w:color w:val="auto"/>
          <w:szCs w:val="21"/>
          <w:highlight w:val="none"/>
        </w:rPr>
      </w:pPr>
      <w:r>
        <w:rPr>
          <w:rFonts w:hint="eastAsia" w:ascii="宋体" w:hAnsi="宋体" w:cs="宋体"/>
          <w:color w:val="auto"/>
          <w:szCs w:val="21"/>
          <w:highlight w:val="none"/>
        </w:rPr>
        <w:t xml:space="preserve">日    期：     年    月    日      </w:t>
      </w:r>
    </w:p>
    <w:p w14:paraId="50AF6952">
      <w:pPr>
        <w:snapToGrid w:val="0"/>
        <w:spacing w:line="480" w:lineRule="exact"/>
        <w:rPr>
          <w:rFonts w:ascii="宋体" w:hAnsi="宋体" w:cs="宋体"/>
          <w:color w:val="auto"/>
          <w:szCs w:val="21"/>
          <w:highlight w:val="none"/>
        </w:rPr>
      </w:pPr>
    </w:p>
    <w:p w14:paraId="34A3A228">
      <w:pPr>
        <w:rPr>
          <w:rFonts w:ascii="宋体" w:hAnsi="宋体" w:cs="宋体"/>
          <w:color w:val="auto"/>
          <w:szCs w:val="21"/>
          <w:highlight w:val="none"/>
        </w:rPr>
      </w:pPr>
    </w:p>
    <w:bookmarkEnd w:id="146"/>
    <w:bookmarkEnd w:id="147"/>
    <w:p w14:paraId="0742FEC5">
      <w:pPr>
        <w:pStyle w:val="6"/>
        <w:numPr>
          <w:ilvl w:val="0"/>
          <w:numId w:val="0"/>
        </w:numPr>
        <w:ind w:left="-420" w:leftChars="0"/>
        <w:rPr>
          <w:rFonts w:ascii="宋体" w:hAnsi="宋体" w:eastAsia="宋体" w:cs="宋体"/>
          <w:color w:val="auto"/>
          <w:szCs w:val="21"/>
          <w:highlight w:val="none"/>
        </w:rPr>
      </w:pPr>
    </w:p>
    <w:p w14:paraId="20325A70">
      <w:pPr>
        <w:rPr>
          <w:rFonts w:ascii="宋体" w:hAnsi="宋体" w:cs="宋体"/>
          <w:color w:val="auto"/>
          <w:szCs w:val="21"/>
          <w:highlight w:val="none"/>
          <w:shd w:val="clear" w:color="auto" w:fill="000080"/>
        </w:rPr>
      </w:pPr>
    </w:p>
    <w:p w14:paraId="0321D5C6">
      <w:pPr>
        <w:pStyle w:val="17"/>
        <w:rPr>
          <w:rFonts w:ascii="宋体" w:hAnsi="宋体" w:cs="宋体"/>
          <w:color w:val="auto"/>
          <w:szCs w:val="21"/>
          <w:highlight w:val="none"/>
          <w:shd w:val="clear" w:color="auto" w:fill="000080"/>
        </w:rPr>
      </w:pPr>
    </w:p>
    <w:p w14:paraId="5D323A81">
      <w:pPr>
        <w:pStyle w:val="17"/>
        <w:rPr>
          <w:rFonts w:ascii="宋体" w:hAnsi="宋体" w:cs="宋体"/>
          <w:color w:val="auto"/>
          <w:szCs w:val="21"/>
          <w:highlight w:val="none"/>
          <w:shd w:val="clear" w:color="auto" w:fill="000080"/>
        </w:rPr>
      </w:pPr>
    </w:p>
    <w:p w14:paraId="15B7CB5D">
      <w:pPr>
        <w:pStyle w:val="17"/>
        <w:rPr>
          <w:rFonts w:ascii="宋体" w:hAnsi="宋体" w:cs="宋体"/>
          <w:color w:val="auto"/>
          <w:szCs w:val="21"/>
          <w:highlight w:val="none"/>
          <w:shd w:val="clear" w:color="auto" w:fill="000080"/>
        </w:rPr>
      </w:pPr>
    </w:p>
    <w:p w14:paraId="1313CC6D">
      <w:pPr>
        <w:pStyle w:val="17"/>
        <w:rPr>
          <w:rFonts w:ascii="宋体" w:hAnsi="宋体" w:cs="宋体"/>
          <w:color w:val="auto"/>
          <w:szCs w:val="21"/>
          <w:highlight w:val="none"/>
          <w:shd w:val="clear" w:color="auto" w:fill="000080"/>
        </w:rPr>
      </w:pPr>
    </w:p>
    <w:p w14:paraId="00F5B652">
      <w:pPr>
        <w:pStyle w:val="17"/>
        <w:rPr>
          <w:rFonts w:ascii="宋体" w:hAnsi="宋体" w:cs="宋体"/>
          <w:color w:val="auto"/>
          <w:szCs w:val="21"/>
          <w:highlight w:val="none"/>
          <w:shd w:val="clear" w:color="auto" w:fill="000080"/>
        </w:rPr>
      </w:pPr>
    </w:p>
    <w:p w14:paraId="20F85B23">
      <w:pPr>
        <w:snapToGrid w:val="0"/>
        <w:spacing w:line="480" w:lineRule="exact"/>
        <w:jc w:val="left"/>
        <w:rPr>
          <w:rFonts w:ascii="宋体" w:hAnsi="宋体" w:cs="宋体"/>
          <w:color w:val="auto"/>
          <w:szCs w:val="21"/>
          <w:highlight w:val="none"/>
        </w:rPr>
      </w:pPr>
      <w:bookmarkStart w:id="148" w:name="_Toc23448_WPSOffice_Level1"/>
      <w:bookmarkStart w:id="149" w:name="_Toc25896"/>
    </w:p>
    <w:bookmarkEnd w:id="148"/>
    <w:bookmarkEnd w:id="149"/>
    <w:p w14:paraId="65EA8BB8">
      <w:pPr>
        <w:spacing w:line="360" w:lineRule="auto"/>
        <w:jc w:val="left"/>
        <w:rPr>
          <w:rFonts w:ascii="宋体" w:hAnsi="宋体" w:cs="宋体"/>
          <w:b/>
          <w:color w:val="auto"/>
          <w:szCs w:val="21"/>
          <w:highlight w:val="none"/>
        </w:rPr>
      </w:pPr>
    </w:p>
    <w:p w14:paraId="4FDC8C30">
      <w:pPr>
        <w:pStyle w:val="3"/>
        <w:rPr>
          <w:rFonts w:hint="eastAsia" w:ascii="宋体" w:hAnsi="宋体" w:eastAsia="宋体" w:cs="宋体"/>
          <w:color w:val="auto"/>
          <w:sz w:val="21"/>
          <w:szCs w:val="21"/>
          <w:highlight w:val="none"/>
        </w:rPr>
      </w:pPr>
      <w:bookmarkStart w:id="150" w:name="_Toc4437"/>
      <w:bookmarkStart w:id="151" w:name="_Toc78559541"/>
      <w:bookmarkStart w:id="152" w:name="_Toc26883_WPSOffice_Level1"/>
      <w:r>
        <w:rPr>
          <w:rFonts w:hint="eastAsia" w:ascii="宋体" w:hAnsi="宋体" w:eastAsia="宋体" w:cs="宋体"/>
          <w:color w:val="auto"/>
          <w:sz w:val="21"/>
          <w:szCs w:val="21"/>
          <w:highlight w:val="none"/>
        </w:rPr>
        <w:t>四、</w:t>
      </w:r>
      <w:bookmarkEnd w:id="150"/>
      <w:bookmarkEnd w:id="151"/>
      <w:bookmarkEnd w:id="152"/>
      <w:r>
        <w:rPr>
          <w:rFonts w:hint="eastAsia" w:ascii="宋体" w:hAnsi="宋体" w:eastAsia="宋体" w:cs="宋体"/>
          <w:color w:val="auto"/>
          <w:sz w:val="21"/>
          <w:szCs w:val="21"/>
          <w:highlight w:val="none"/>
        </w:rPr>
        <w:t>本项目其他特定资格条件</w:t>
      </w:r>
    </w:p>
    <w:p w14:paraId="45B88070">
      <w:pP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五、基本存款账户开户许可证</w:t>
      </w:r>
    </w:p>
    <w:p w14:paraId="5ED3EAD8">
      <w:pPr>
        <w:pStyle w:val="17"/>
        <w:ind w:left="0" w:leftChars="0" w:firstLine="0" w:firstLineChars="0"/>
        <w:rPr>
          <w:rFonts w:hint="eastAsia" w:ascii="宋体" w:hAnsi="宋体" w:eastAsia="宋体" w:cs="宋体"/>
          <w:b/>
          <w:bCs/>
          <w:color w:val="auto"/>
          <w:kern w:val="2"/>
          <w:sz w:val="21"/>
          <w:szCs w:val="21"/>
          <w:highlight w:val="none"/>
          <w:lang w:val="en-US" w:eastAsia="zh-CN" w:bidi="ar-SA"/>
        </w:rPr>
      </w:pPr>
    </w:p>
    <w:p w14:paraId="03E3FA99">
      <w:pPr>
        <w:pStyle w:val="17"/>
        <w:ind w:left="0" w:leftChars="0" w:firstLine="0" w:firstLineChars="0"/>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六、投标主体</w:t>
      </w:r>
    </w:p>
    <w:p w14:paraId="07FFDAF8">
      <w:pPr>
        <w:spacing w:line="360" w:lineRule="auto"/>
        <w:jc w:val="left"/>
        <w:rPr>
          <w:rFonts w:ascii="宋体" w:hAnsi="宋体" w:cs="宋体"/>
          <w:b/>
          <w:color w:val="auto"/>
          <w:szCs w:val="21"/>
          <w:highlight w:val="none"/>
        </w:rPr>
      </w:pPr>
    </w:p>
    <w:p w14:paraId="5036A6C4">
      <w:pPr>
        <w:spacing w:line="360" w:lineRule="auto"/>
        <w:jc w:val="left"/>
        <w:rPr>
          <w:rFonts w:ascii="宋体" w:hAnsi="宋体" w:cs="宋体"/>
          <w:b/>
          <w:color w:val="auto"/>
          <w:szCs w:val="21"/>
          <w:highlight w:val="none"/>
        </w:rPr>
      </w:pPr>
    </w:p>
    <w:p w14:paraId="51F6A837">
      <w:pPr>
        <w:spacing w:line="360" w:lineRule="auto"/>
        <w:jc w:val="left"/>
        <w:rPr>
          <w:rFonts w:ascii="宋体" w:hAnsi="宋体" w:cs="宋体"/>
          <w:b/>
          <w:color w:val="auto"/>
          <w:szCs w:val="21"/>
          <w:highlight w:val="none"/>
        </w:rPr>
      </w:pPr>
    </w:p>
    <w:p w14:paraId="07262BF0">
      <w:pPr>
        <w:spacing w:line="360" w:lineRule="auto"/>
        <w:jc w:val="left"/>
        <w:rPr>
          <w:rFonts w:ascii="宋体" w:hAnsi="宋体" w:cs="宋体"/>
          <w:b/>
          <w:color w:val="auto"/>
          <w:szCs w:val="21"/>
          <w:highlight w:val="none"/>
        </w:rPr>
      </w:pPr>
    </w:p>
    <w:p w14:paraId="453EB2E6">
      <w:pPr>
        <w:spacing w:line="360" w:lineRule="auto"/>
        <w:jc w:val="left"/>
        <w:rPr>
          <w:rFonts w:ascii="宋体" w:hAnsi="宋体" w:cs="宋体"/>
          <w:b/>
          <w:color w:val="auto"/>
          <w:szCs w:val="21"/>
          <w:highlight w:val="none"/>
        </w:rPr>
      </w:pPr>
    </w:p>
    <w:p w14:paraId="733FC14C">
      <w:pPr>
        <w:spacing w:line="360" w:lineRule="auto"/>
        <w:jc w:val="left"/>
        <w:rPr>
          <w:rFonts w:ascii="宋体" w:hAnsi="宋体" w:cs="宋体"/>
          <w:b/>
          <w:color w:val="auto"/>
          <w:szCs w:val="21"/>
          <w:highlight w:val="none"/>
        </w:rPr>
      </w:pPr>
    </w:p>
    <w:p w14:paraId="017E609B">
      <w:pPr>
        <w:spacing w:line="360" w:lineRule="auto"/>
        <w:jc w:val="left"/>
        <w:rPr>
          <w:rFonts w:ascii="宋体" w:hAnsi="宋体" w:cs="宋体"/>
          <w:b/>
          <w:color w:val="auto"/>
          <w:szCs w:val="21"/>
          <w:highlight w:val="none"/>
        </w:rPr>
      </w:pPr>
    </w:p>
    <w:p w14:paraId="7619D785">
      <w:pPr>
        <w:spacing w:line="360" w:lineRule="auto"/>
        <w:jc w:val="left"/>
        <w:rPr>
          <w:rFonts w:ascii="宋体" w:hAnsi="宋体" w:cs="宋体"/>
          <w:b/>
          <w:color w:val="auto"/>
          <w:szCs w:val="21"/>
          <w:highlight w:val="none"/>
        </w:rPr>
      </w:pPr>
    </w:p>
    <w:p w14:paraId="6929E88F">
      <w:pPr>
        <w:spacing w:line="360" w:lineRule="auto"/>
        <w:jc w:val="left"/>
        <w:rPr>
          <w:rFonts w:ascii="宋体" w:hAnsi="宋体" w:cs="宋体"/>
          <w:b/>
          <w:color w:val="auto"/>
          <w:szCs w:val="21"/>
          <w:highlight w:val="none"/>
        </w:rPr>
      </w:pPr>
    </w:p>
    <w:p w14:paraId="069916C3">
      <w:pPr>
        <w:spacing w:line="360" w:lineRule="auto"/>
        <w:jc w:val="left"/>
        <w:rPr>
          <w:rFonts w:ascii="宋体" w:hAnsi="宋体" w:cs="宋体"/>
          <w:b/>
          <w:color w:val="auto"/>
          <w:szCs w:val="21"/>
          <w:highlight w:val="none"/>
        </w:rPr>
      </w:pPr>
    </w:p>
    <w:p w14:paraId="5C175338">
      <w:pPr>
        <w:spacing w:line="360" w:lineRule="auto"/>
        <w:jc w:val="left"/>
        <w:rPr>
          <w:rFonts w:ascii="宋体" w:hAnsi="宋体" w:cs="宋体"/>
          <w:b/>
          <w:color w:val="auto"/>
          <w:szCs w:val="21"/>
          <w:highlight w:val="none"/>
        </w:rPr>
      </w:pPr>
    </w:p>
    <w:p w14:paraId="7EE1C871">
      <w:pPr>
        <w:spacing w:line="360" w:lineRule="auto"/>
        <w:jc w:val="left"/>
        <w:rPr>
          <w:rFonts w:ascii="宋体" w:hAnsi="宋体" w:cs="宋体"/>
          <w:b/>
          <w:color w:val="auto"/>
          <w:szCs w:val="21"/>
          <w:highlight w:val="none"/>
        </w:rPr>
      </w:pPr>
    </w:p>
    <w:p w14:paraId="4C402E28">
      <w:pPr>
        <w:spacing w:line="360" w:lineRule="auto"/>
        <w:jc w:val="left"/>
        <w:rPr>
          <w:rFonts w:ascii="宋体" w:hAnsi="宋体" w:cs="宋体"/>
          <w:b/>
          <w:color w:val="auto"/>
          <w:szCs w:val="21"/>
          <w:highlight w:val="none"/>
        </w:rPr>
      </w:pPr>
    </w:p>
    <w:p w14:paraId="432BD56F">
      <w:pPr>
        <w:spacing w:line="360" w:lineRule="auto"/>
        <w:jc w:val="left"/>
        <w:rPr>
          <w:rFonts w:ascii="宋体" w:hAnsi="宋体" w:cs="宋体"/>
          <w:b/>
          <w:color w:val="auto"/>
          <w:szCs w:val="21"/>
          <w:highlight w:val="none"/>
        </w:rPr>
      </w:pPr>
    </w:p>
    <w:p w14:paraId="37F8B26D">
      <w:pPr>
        <w:spacing w:line="360" w:lineRule="auto"/>
        <w:jc w:val="left"/>
        <w:rPr>
          <w:rFonts w:ascii="宋体" w:hAnsi="宋体" w:cs="宋体"/>
          <w:b/>
          <w:color w:val="auto"/>
          <w:szCs w:val="21"/>
          <w:highlight w:val="none"/>
        </w:rPr>
      </w:pPr>
    </w:p>
    <w:p w14:paraId="2D5E5CBD">
      <w:pPr>
        <w:spacing w:line="360" w:lineRule="auto"/>
        <w:jc w:val="left"/>
        <w:rPr>
          <w:rFonts w:ascii="宋体" w:hAnsi="宋体" w:cs="宋体"/>
          <w:b/>
          <w:color w:val="auto"/>
          <w:szCs w:val="21"/>
          <w:highlight w:val="none"/>
        </w:rPr>
      </w:pPr>
    </w:p>
    <w:p w14:paraId="01710D20">
      <w:pPr>
        <w:spacing w:line="360" w:lineRule="auto"/>
        <w:jc w:val="left"/>
        <w:rPr>
          <w:rFonts w:ascii="宋体" w:hAnsi="宋体" w:cs="宋体"/>
          <w:b/>
          <w:color w:val="auto"/>
          <w:szCs w:val="21"/>
          <w:highlight w:val="none"/>
        </w:rPr>
      </w:pPr>
    </w:p>
    <w:p w14:paraId="3CCBBD4C">
      <w:pPr>
        <w:pStyle w:val="17"/>
        <w:rPr>
          <w:rFonts w:ascii="宋体" w:hAnsi="宋体" w:cs="宋体"/>
          <w:color w:val="auto"/>
          <w:szCs w:val="21"/>
          <w:highlight w:val="none"/>
        </w:rPr>
      </w:pPr>
    </w:p>
    <w:p w14:paraId="16CE22FC">
      <w:pPr>
        <w:spacing w:line="360" w:lineRule="auto"/>
        <w:jc w:val="left"/>
        <w:rPr>
          <w:rFonts w:ascii="宋体" w:hAnsi="宋体" w:cs="宋体"/>
          <w:b/>
          <w:color w:val="auto"/>
          <w:szCs w:val="21"/>
          <w:highlight w:val="none"/>
        </w:rPr>
      </w:pPr>
    </w:p>
    <w:p w14:paraId="3CCFEF38">
      <w:pPr>
        <w:spacing w:line="360" w:lineRule="auto"/>
        <w:jc w:val="left"/>
        <w:rPr>
          <w:rFonts w:ascii="宋体" w:hAnsi="宋体" w:cs="宋体"/>
          <w:b/>
          <w:color w:val="auto"/>
          <w:szCs w:val="21"/>
          <w:highlight w:val="none"/>
        </w:rPr>
      </w:pPr>
    </w:p>
    <w:p w14:paraId="45843A00">
      <w:pPr>
        <w:spacing w:line="360" w:lineRule="exact"/>
        <w:ind w:left="315" w:leftChars="150"/>
        <w:rPr>
          <w:rFonts w:ascii="宋体" w:hAnsi="宋体" w:cs="宋体"/>
          <w:color w:val="auto"/>
          <w:szCs w:val="21"/>
          <w:highlight w:val="none"/>
        </w:rPr>
      </w:pPr>
    </w:p>
    <w:p w14:paraId="535A2B61">
      <w:pPr>
        <w:snapToGrid w:val="0"/>
        <w:ind w:left="420" w:hanging="420" w:hangingChars="200"/>
        <w:rPr>
          <w:rFonts w:ascii="宋体" w:hAnsi="宋体" w:cs="宋体"/>
          <w:color w:val="auto"/>
          <w:szCs w:val="21"/>
          <w:highlight w:val="none"/>
        </w:rPr>
        <w:sectPr>
          <w:footerReference r:id="rId9" w:type="first"/>
          <w:headerReference r:id="rId7" w:type="default"/>
          <w:footerReference r:id="rId8" w:type="default"/>
          <w:pgSz w:w="11906" w:h="16838"/>
          <w:pgMar w:top="1474" w:right="1474" w:bottom="1474" w:left="1474" w:header="1020" w:footer="1020" w:gutter="0"/>
          <w:pgNumType w:fmt="numberInDash"/>
          <w:cols w:space="720" w:num="1"/>
          <w:docGrid w:type="linesAndChars" w:linePitch="316" w:charSpace="0"/>
        </w:sectPr>
      </w:pPr>
    </w:p>
    <w:p w14:paraId="2B530F7A">
      <w:pPr>
        <w:pStyle w:val="3"/>
        <w:jc w:val="center"/>
        <w:rPr>
          <w:rFonts w:ascii="宋体" w:hAnsi="宋体" w:eastAsia="宋体" w:cs="宋体"/>
          <w:color w:val="auto"/>
          <w:sz w:val="21"/>
          <w:szCs w:val="21"/>
          <w:highlight w:val="none"/>
        </w:rPr>
      </w:pPr>
      <w:bookmarkStart w:id="153" w:name="_Toc78559542"/>
      <w:r>
        <w:rPr>
          <w:rFonts w:hint="eastAsia" w:ascii="宋体" w:hAnsi="宋体" w:eastAsia="宋体" w:cs="宋体"/>
          <w:color w:val="auto"/>
          <w:sz w:val="21"/>
          <w:szCs w:val="21"/>
          <w:highlight w:val="none"/>
        </w:rPr>
        <w:t>报价要求投标文件</w:t>
      </w:r>
      <w:bookmarkEnd w:id="153"/>
    </w:p>
    <w:p w14:paraId="328926D9">
      <w:pPr>
        <w:pStyle w:val="3"/>
        <w:rPr>
          <w:rFonts w:ascii="宋体" w:hAnsi="宋体" w:eastAsia="宋体" w:cs="宋体"/>
          <w:color w:val="auto"/>
          <w:sz w:val="21"/>
          <w:szCs w:val="21"/>
          <w:highlight w:val="none"/>
        </w:rPr>
      </w:pPr>
      <w:bookmarkStart w:id="154" w:name="_Toc78559543"/>
      <w:r>
        <w:rPr>
          <w:rFonts w:hint="eastAsia" w:ascii="宋体" w:hAnsi="宋体" w:eastAsia="宋体" w:cs="宋体"/>
          <w:color w:val="auto"/>
          <w:sz w:val="21"/>
          <w:szCs w:val="21"/>
          <w:highlight w:val="none"/>
        </w:rPr>
        <w:t>一、报价一览表格式</w:t>
      </w:r>
      <w:bookmarkEnd w:id="154"/>
    </w:p>
    <w:p w14:paraId="6E8009BD">
      <w:pPr>
        <w:tabs>
          <w:tab w:val="left" w:pos="630"/>
        </w:tabs>
        <w:spacing w:after="230" w:afterLines="73" w:line="480" w:lineRule="exact"/>
        <w:jc w:val="center"/>
        <w:rPr>
          <w:rFonts w:hint="eastAsia" w:ascii="宋体" w:hAnsi="宋体" w:cs="宋体"/>
          <w:b/>
          <w:snapToGrid w:val="0"/>
          <w:color w:val="auto"/>
          <w:szCs w:val="21"/>
          <w:highlight w:val="none"/>
        </w:rPr>
      </w:pPr>
      <w:r>
        <w:rPr>
          <w:rFonts w:hint="eastAsia" w:ascii="宋体" w:hAnsi="宋体" w:cs="宋体"/>
          <w:b/>
          <w:snapToGrid w:val="0"/>
          <w:color w:val="auto"/>
          <w:szCs w:val="21"/>
          <w:highlight w:val="none"/>
        </w:rPr>
        <w:t>报价一览表</w:t>
      </w:r>
    </w:p>
    <w:p w14:paraId="794AB180">
      <w:pPr>
        <w:widowControl/>
        <w:snapToGrid w:val="0"/>
        <w:spacing w:line="5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项目名称：    </w:t>
      </w:r>
      <w:r>
        <w:rPr>
          <w:rFonts w:hint="eastAsia" w:ascii="宋体" w:hAnsi="宋体" w:cs="宋体"/>
          <w:color w:val="auto"/>
          <w:kern w:val="0"/>
          <w:szCs w:val="21"/>
          <w:highlight w:val="none"/>
          <w:u w:val="single"/>
        </w:rPr>
        <w:t xml:space="preserve">                        </w:t>
      </w:r>
    </w:p>
    <w:p w14:paraId="27FFF2E8">
      <w:pPr>
        <w:widowControl/>
        <w:snapToGrid w:val="0"/>
        <w:spacing w:line="52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项目编号：    </w:t>
      </w:r>
      <w:r>
        <w:rPr>
          <w:rFonts w:hint="eastAsia" w:ascii="宋体" w:hAnsi="宋体" w:cs="宋体"/>
          <w:color w:val="auto"/>
          <w:kern w:val="0"/>
          <w:szCs w:val="21"/>
          <w:highlight w:val="none"/>
          <w:u w:val="single"/>
        </w:rPr>
        <w:t xml:space="preserve">                        </w:t>
      </w:r>
    </w:p>
    <w:p w14:paraId="739EC0E3">
      <w:pPr>
        <w:widowControl/>
        <w:snapToGrid w:val="0"/>
        <w:spacing w:line="520" w:lineRule="exact"/>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投标人名称：  </w:t>
      </w:r>
      <w:r>
        <w:rPr>
          <w:rFonts w:hint="eastAsia" w:ascii="宋体" w:hAnsi="宋体" w:cs="宋体"/>
          <w:color w:val="auto"/>
          <w:kern w:val="0"/>
          <w:szCs w:val="21"/>
          <w:highlight w:val="none"/>
          <w:u w:val="single"/>
        </w:rPr>
        <w:t xml:space="preserve">                        </w:t>
      </w:r>
    </w:p>
    <w:p w14:paraId="0CCC8F90">
      <w:pPr>
        <w:widowControl/>
        <w:spacing w:line="580" w:lineRule="exact"/>
        <w:jc w:val="center"/>
        <w:rPr>
          <w:rFonts w:hint="eastAsia" w:ascii="宋体" w:hAnsi="宋体" w:cs="宋体"/>
          <w:b/>
          <w:snapToGrid w:val="0"/>
          <w:color w:val="auto"/>
          <w:szCs w:val="21"/>
          <w:highlight w:val="none"/>
        </w:rPr>
      </w:pP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货币：人民币/元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2986"/>
        <w:gridCol w:w="588"/>
        <w:gridCol w:w="954"/>
        <w:gridCol w:w="738"/>
        <w:gridCol w:w="452"/>
        <w:gridCol w:w="452"/>
        <w:gridCol w:w="586"/>
        <w:gridCol w:w="596"/>
        <w:gridCol w:w="596"/>
        <w:gridCol w:w="557"/>
      </w:tblGrid>
      <w:tr w14:paraId="30B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90" w:type="dxa"/>
            <w:vAlign w:val="center"/>
          </w:tcPr>
          <w:p w14:paraId="3B54ABBE">
            <w:pPr>
              <w:jc w:val="center"/>
              <w:rPr>
                <w:rFonts w:hint="eastAsia"/>
                <w:color w:val="auto"/>
                <w:sz w:val="21"/>
                <w:szCs w:val="21"/>
                <w:highlight w:val="none"/>
                <w:lang w:val="en-US" w:eastAsia="zh-CN"/>
              </w:rPr>
            </w:pPr>
            <w:r>
              <w:rPr>
                <w:rFonts w:hint="eastAsia"/>
                <w:color w:val="auto"/>
                <w:sz w:val="21"/>
                <w:szCs w:val="21"/>
                <w:highlight w:val="none"/>
                <w:lang w:val="en-US" w:eastAsia="zh-CN"/>
              </w:rPr>
              <w:t>序号</w:t>
            </w:r>
          </w:p>
        </w:tc>
        <w:tc>
          <w:tcPr>
            <w:tcW w:w="2986" w:type="dxa"/>
            <w:vAlign w:val="center"/>
          </w:tcPr>
          <w:p w14:paraId="6FFB1C9F">
            <w:pPr>
              <w:jc w:val="center"/>
              <w:rPr>
                <w:rFonts w:hint="default"/>
                <w:color w:val="auto"/>
                <w:sz w:val="21"/>
                <w:szCs w:val="21"/>
                <w:highlight w:val="none"/>
                <w:lang w:val="en-US" w:eastAsia="zh-CN"/>
              </w:rPr>
            </w:pPr>
            <w:r>
              <w:rPr>
                <w:rFonts w:hint="eastAsia"/>
                <w:color w:val="auto"/>
                <w:sz w:val="21"/>
                <w:szCs w:val="21"/>
                <w:highlight w:val="none"/>
                <w:lang w:val="en-US" w:eastAsia="zh-CN"/>
              </w:rPr>
              <w:t>货物名称</w:t>
            </w:r>
          </w:p>
        </w:tc>
        <w:tc>
          <w:tcPr>
            <w:tcW w:w="588" w:type="dxa"/>
            <w:vAlign w:val="center"/>
          </w:tcPr>
          <w:p w14:paraId="68D402A8">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品牌</w:t>
            </w:r>
          </w:p>
        </w:tc>
        <w:tc>
          <w:tcPr>
            <w:tcW w:w="954" w:type="dxa"/>
            <w:vAlign w:val="center"/>
          </w:tcPr>
          <w:p w14:paraId="61A878F0">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规格型号</w:t>
            </w:r>
          </w:p>
        </w:tc>
        <w:tc>
          <w:tcPr>
            <w:tcW w:w="738" w:type="dxa"/>
            <w:vAlign w:val="center"/>
          </w:tcPr>
          <w:p w14:paraId="15E02C97">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产地及厂家</w:t>
            </w:r>
          </w:p>
        </w:tc>
        <w:tc>
          <w:tcPr>
            <w:tcW w:w="452" w:type="dxa"/>
            <w:vAlign w:val="center"/>
          </w:tcPr>
          <w:p w14:paraId="6EB30BC4">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数量</w:t>
            </w:r>
          </w:p>
        </w:tc>
        <w:tc>
          <w:tcPr>
            <w:tcW w:w="452" w:type="dxa"/>
            <w:vAlign w:val="center"/>
          </w:tcPr>
          <w:p w14:paraId="24C3BBB1">
            <w:pPr>
              <w:jc w:val="center"/>
              <w:rPr>
                <w:rFonts w:hint="default"/>
                <w:color w:val="auto"/>
                <w:sz w:val="21"/>
                <w:szCs w:val="21"/>
                <w:highlight w:val="none"/>
                <w:lang w:val="en-US" w:eastAsia="zh-CN"/>
              </w:rPr>
            </w:pPr>
            <w:r>
              <w:rPr>
                <w:rFonts w:hint="eastAsia"/>
                <w:color w:val="auto"/>
                <w:sz w:val="21"/>
                <w:szCs w:val="21"/>
                <w:highlight w:val="none"/>
                <w:lang w:val="en-US" w:eastAsia="zh-CN"/>
              </w:rPr>
              <w:t>单位</w:t>
            </w:r>
          </w:p>
        </w:tc>
        <w:tc>
          <w:tcPr>
            <w:tcW w:w="586" w:type="dxa"/>
            <w:vAlign w:val="center"/>
          </w:tcPr>
          <w:p w14:paraId="6A1B1357">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单价</w:t>
            </w:r>
          </w:p>
        </w:tc>
        <w:tc>
          <w:tcPr>
            <w:tcW w:w="596" w:type="dxa"/>
            <w:vAlign w:val="center"/>
          </w:tcPr>
          <w:p w14:paraId="16E890D2">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总价</w:t>
            </w:r>
          </w:p>
        </w:tc>
        <w:tc>
          <w:tcPr>
            <w:tcW w:w="596" w:type="dxa"/>
            <w:vAlign w:val="center"/>
          </w:tcPr>
          <w:p w14:paraId="34A3C82D">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质保期</w:t>
            </w:r>
          </w:p>
        </w:tc>
        <w:tc>
          <w:tcPr>
            <w:tcW w:w="557" w:type="dxa"/>
            <w:vAlign w:val="center"/>
          </w:tcPr>
          <w:p w14:paraId="5E6A072B">
            <w:pPr>
              <w:jc w:val="center"/>
              <w:rPr>
                <w:rFonts w:hint="default"/>
                <w:color w:val="auto"/>
                <w:sz w:val="21"/>
                <w:szCs w:val="21"/>
                <w:highlight w:val="none"/>
                <w:lang w:val="en-US" w:eastAsia="zh-CN"/>
              </w:rPr>
            </w:pPr>
            <w:r>
              <w:rPr>
                <w:rFonts w:hint="eastAsia"/>
                <w:color w:val="auto"/>
                <w:sz w:val="21"/>
                <w:szCs w:val="21"/>
                <w:highlight w:val="none"/>
                <w:lang w:val="en-US" w:eastAsia="zh-CN"/>
              </w:rPr>
              <w:t>备注</w:t>
            </w:r>
          </w:p>
        </w:tc>
      </w:tr>
      <w:tr w14:paraId="2200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0" w:type="dxa"/>
            <w:vAlign w:val="center"/>
          </w:tcPr>
          <w:p w14:paraId="17641AD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86" w:type="dxa"/>
            <w:vAlign w:val="center"/>
          </w:tcPr>
          <w:p w14:paraId="2BF0BCAC">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rPr>
                <w:rFonts w:hint="eastAsia"/>
                <w:color w:val="auto"/>
                <w:sz w:val="21"/>
                <w:szCs w:val="21"/>
                <w:highlight w:val="none"/>
              </w:rPr>
            </w:pPr>
            <w:r>
              <w:rPr>
                <w:rFonts w:hint="eastAsia" w:asciiTheme="minorEastAsia" w:hAnsiTheme="minorEastAsia" w:eastAsiaTheme="minorEastAsia" w:cstheme="minorEastAsia"/>
                <w:color w:val="auto"/>
                <w:szCs w:val="21"/>
              </w:rPr>
              <w:t>病原微生物基因组分析工作站</w:t>
            </w:r>
          </w:p>
        </w:tc>
        <w:tc>
          <w:tcPr>
            <w:tcW w:w="588" w:type="dxa"/>
            <w:vAlign w:val="center"/>
          </w:tcPr>
          <w:p w14:paraId="7270F3C5">
            <w:pPr>
              <w:jc w:val="center"/>
              <w:rPr>
                <w:rFonts w:hint="eastAsia"/>
                <w:color w:val="auto"/>
                <w:sz w:val="21"/>
                <w:szCs w:val="21"/>
                <w:highlight w:val="none"/>
              </w:rPr>
            </w:pPr>
          </w:p>
        </w:tc>
        <w:tc>
          <w:tcPr>
            <w:tcW w:w="954" w:type="dxa"/>
            <w:vAlign w:val="center"/>
          </w:tcPr>
          <w:p w14:paraId="2B4E335B">
            <w:pPr>
              <w:jc w:val="center"/>
              <w:rPr>
                <w:rFonts w:hint="eastAsia"/>
                <w:color w:val="auto"/>
                <w:sz w:val="21"/>
                <w:szCs w:val="21"/>
                <w:highlight w:val="none"/>
              </w:rPr>
            </w:pPr>
          </w:p>
        </w:tc>
        <w:tc>
          <w:tcPr>
            <w:tcW w:w="738" w:type="dxa"/>
            <w:vAlign w:val="center"/>
          </w:tcPr>
          <w:p w14:paraId="494B21CD">
            <w:pPr>
              <w:jc w:val="center"/>
              <w:rPr>
                <w:rFonts w:hint="eastAsia"/>
                <w:color w:val="auto"/>
                <w:sz w:val="21"/>
                <w:szCs w:val="21"/>
                <w:highlight w:val="none"/>
              </w:rPr>
            </w:pPr>
          </w:p>
        </w:tc>
        <w:tc>
          <w:tcPr>
            <w:tcW w:w="452" w:type="dxa"/>
            <w:vAlign w:val="center"/>
          </w:tcPr>
          <w:p w14:paraId="453C0434">
            <w:pPr>
              <w:jc w:val="center"/>
              <w:rPr>
                <w:rFonts w:hint="eastAsia"/>
                <w:color w:val="auto"/>
                <w:sz w:val="21"/>
                <w:szCs w:val="21"/>
                <w:highlight w:val="none"/>
              </w:rPr>
            </w:pPr>
          </w:p>
        </w:tc>
        <w:tc>
          <w:tcPr>
            <w:tcW w:w="452" w:type="dxa"/>
            <w:vAlign w:val="center"/>
          </w:tcPr>
          <w:p w14:paraId="74D78C8C">
            <w:pPr>
              <w:jc w:val="center"/>
              <w:rPr>
                <w:rFonts w:hint="eastAsia"/>
                <w:color w:val="auto"/>
                <w:sz w:val="21"/>
                <w:szCs w:val="21"/>
                <w:highlight w:val="none"/>
              </w:rPr>
            </w:pPr>
          </w:p>
        </w:tc>
        <w:tc>
          <w:tcPr>
            <w:tcW w:w="586" w:type="dxa"/>
            <w:vAlign w:val="center"/>
          </w:tcPr>
          <w:p w14:paraId="6DEE9824">
            <w:pPr>
              <w:jc w:val="center"/>
              <w:rPr>
                <w:rFonts w:hint="eastAsia"/>
                <w:color w:val="auto"/>
                <w:sz w:val="21"/>
                <w:szCs w:val="21"/>
                <w:highlight w:val="none"/>
              </w:rPr>
            </w:pPr>
          </w:p>
        </w:tc>
        <w:tc>
          <w:tcPr>
            <w:tcW w:w="596" w:type="dxa"/>
            <w:vAlign w:val="center"/>
          </w:tcPr>
          <w:p w14:paraId="4E09EB9A">
            <w:pPr>
              <w:jc w:val="center"/>
              <w:rPr>
                <w:rFonts w:hint="eastAsia"/>
                <w:color w:val="auto"/>
                <w:sz w:val="21"/>
                <w:szCs w:val="21"/>
                <w:highlight w:val="none"/>
              </w:rPr>
            </w:pPr>
          </w:p>
        </w:tc>
        <w:tc>
          <w:tcPr>
            <w:tcW w:w="596" w:type="dxa"/>
            <w:vAlign w:val="center"/>
          </w:tcPr>
          <w:p w14:paraId="2007D3F5">
            <w:pPr>
              <w:jc w:val="center"/>
              <w:rPr>
                <w:rFonts w:hint="eastAsia"/>
                <w:color w:val="auto"/>
                <w:sz w:val="21"/>
                <w:szCs w:val="21"/>
                <w:highlight w:val="none"/>
              </w:rPr>
            </w:pPr>
          </w:p>
        </w:tc>
        <w:tc>
          <w:tcPr>
            <w:tcW w:w="557" w:type="dxa"/>
            <w:vAlign w:val="center"/>
          </w:tcPr>
          <w:p w14:paraId="14000EC5">
            <w:pPr>
              <w:jc w:val="center"/>
              <w:rPr>
                <w:rFonts w:hint="eastAsia"/>
                <w:color w:val="auto"/>
                <w:sz w:val="21"/>
                <w:szCs w:val="21"/>
                <w:highlight w:val="none"/>
              </w:rPr>
            </w:pPr>
          </w:p>
        </w:tc>
      </w:tr>
      <w:tr w14:paraId="5BB8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0" w:type="dxa"/>
            <w:vAlign w:val="center"/>
          </w:tcPr>
          <w:p w14:paraId="2D417F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986" w:type="dxa"/>
            <w:vAlign w:val="center"/>
          </w:tcPr>
          <w:p w14:paraId="4D0BC590">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color w:val="auto"/>
                <w:sz w:val="21"/>
                <w:szCs w:val="21"/>
                <w:highlight w:val="none"/>
              </w:rPr>
            </w:pPr>
            <w:r>
              <w:rPr>
                <w:rFonts w:hint="default" w:asciiTheme="minorEastAsia" w:hAnsiTheme="minorEastAsia" w:eastAsiaTheme="minorEastAsia" w:cstheme="minorEastAsia"/>
                <w:color w:val="auto"/>
                <w:kern w:val="0"/>
                <w:szCs w:val="21"/>
                <w:lang w:val="en-US" w:eastAsia="zh-CN" w:bidi="ar"/>
              </w:rPr>
              <w:t>全自动研磨离心一体机</w:t>
            </w:r>
          </w:p>
        </w:tc>
        <w:tc>
          <w:tcPr>
            <w:tcW w:w="588" w:type="dxa"/>
            <w:vAlign w:val="center"/>
          </w:tcPr>
          <w:p w14:paraId="25E93CD7">
            <w:pPr>
              <w:jc w:val="center"/>
              <w:rPr>
                <w:rFonts w:hint="eastAsia"/>
                <w:color w:val="auto"/>
                <w:sz w:val="21"/>
                <w:szCs w:val="21"/>
                <w:highlight w:val="none"/>
              </w:rPr>
            </w:pPr>
          </w:p>
        </w:tc>
        <w:tc>
          <w:tcPr>
            <w:tcW w:w="954" w:type="dxa"/>
            <w:vAlign w:val="center"/>
          </w:tcPr>
          <w:p w14:paraId="0187CBE0">
            <w:pPr>
              <w:jc w:val="center"/>
              <w:rPr>
                <w:rFonts w:hint="eastAsia"/>
                <w:color w:val="auto"/>
                <w:sz w:val="21"/>
                <w:szCs w:val="21"/>
                <w:highlight w:val="none"/>
              </w:rPr>
            </w:pPr>
          </w:p>
        </w:tc>
        <w:tc>
          <w:tcPr>
            <w:tcW w:w="738" w:type="dxa"/>
            <w:vAlign w:val="center"/>
          </w:tcPr>
          <w:p w14:paraId="3C0C6C7E">
            <w:pPr>
              <w:jc w:val="center"/>
              <w:rPr>
                <w:rFonts w:hint="eastAsia"/>
                <w:color w:val="auto"/>
                <w:sz w:val="21"/>
                <w:szCs w:val="21"/>
                <w:highlight w:val="none"/>
              </w:rPr>
            </w:pPr>
          </w:p>
        </w:tc>
        <w:tc>
          <w:tcPr>
            <w:tcW w:w="452" w:type="dxa"/>
            <w:vAlign w:val="center"/>
          </w:tcPr>
          <w:p w14:paraId="21AF117D">
            <w:pPr>
              <w:jc w:val="center"/>
              <w:rPr>
                <w:rFonts w:hint="eastAsia"/>
                <w:color w:val="auto"/>
                <w:sz w:val="21"/>
                <w:szCs w:val="21"/>
                <w:highlight w:val="none"/>
              </w:rPr>
            </w:pPr>
          </w:p>
        </w:tc>
        <w:tc>
          <w:tcPr>
            <w:tcW w:w="452" w:type="dxa"/>
            <w:vAlign w:val="center"/>
          </w:tcPr>
          <w:p w14:paraId="27465541">
            <w:pPr>
              <w:jc w:val="center"/>
              <w:rPr>
                <w:rFonts w:hint="eastAsia"/>
                <w:color w:val="auto"/>
                <w:sz w:val="21"/>
                <w:szCs w:val="21"/>
                <w:highlight w:val="none"/>
              </w:rPr>
            </w:pPr>
          </w:p>
        </w:tc>
        <w:tc>
          <w:tcPr>
            <w:tcW w:w="586" w:type="dxa"/>
            <w:vAlign w:val="center"/>
          </w:tcPr>
          <w:p w14:paraId="516561CF">
            <w:pPr>
              <w:jc w:val="center"/>
              <w:rPr>
                <w:rFonts w:hint="eastAsia"/>
                <w:color w:val="auto"/>
                <w:sz w:val="21"/>
                <w:szCs w:val="21"/>
                <w:highlight w:val="none"/>
              </w:rPr>
            </w:pPr>
          </w:p>
        </w:tc>
        <w:tc>
          <w:tcPr>
            <w:tcW w:w="596" w:type="dxa"/>
            <w:vAlign w:val="center"/>
          </w:tcPr>
          <w:p w14:paraId="3FF66054">
            <w:pPr>
              <w:jc w:val="center"/>
              <w:rPr>
                <w:rFonts w:hint="eastAsia"/>
                <w:color w:val="auto"/>
                <w:sz w:val="21"/>
                <w:szCs w:val="21"/>
                <w:highlight w:val="none"/>
              </w:rPr>
            </w:pPr>
          </w:p>
        </w:tc>
        <w:tc>
          <w:tcPr>
            <w:tcW w:w="596" w:type="dxa"/>
            <w:vAlign w:val="center"/>
          </w:tcPr>
          <w:p w14:paraId="09D5F09B">
            <w:pPr>
              <w:jc w:val="center"/>
              <w:rPr>
                <w:rFonts w:hint="eastAsia"/>
                <w:color w:val="auto"/>
                <w:sz w:val="21"/>
                <w:szCs w:val="21"/>
                <w:highlight w:val="none"/>
              </w:rPr>
            </w:pPr>
          </w:p>
        </w:tc>
        <w:tc>
          <w:tcPr>
            <w:tcW w:w="557" w:type="dxa"/>
            <w:vAlign w:val="center"/>
          </w:tcPr>
          <w:p w14:paraId="694FBAD3">
            <w:pPr>
              <w:jc w:val="center"/>
              <w:rPr>
                <w:rFonts w:hint="eastAsia"/>
                <w:color w:val="auto"/>
                <w:sz w:val="21"/>
                <w:szCs w:val="21"/>
                <w:highlight w:val="none"/>
              </w:rPr>
            </w:pPr>
          </w:p>
        </w:tc>
      </w:tr>
      <w:tr w14:paraId="5BA9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0" w:type="dxa"/>
            <w:vAlign w:val="center"/>
          </w:tcPr>
          <w:p w14:paraId="592CA8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986" w:type="dxa"/>
            <w:vAlign w:val="center"/>
          </w:tcPr>
          <w:p w14:paraId="60D86601">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color w:val="auto"/>
                <w:sz w:val="21"/>
                <w:szCs w:val="21"/>
                <w:highlight w:val="none"/>
              </w:rPr>
            </w:pPr>
            <w:r>
              <w:rPr>
                <w:rFonts w:hint="eastAsia" w:asciiTheme="minorEastAsia" w:hAnsiTheme="minorEastAsia" w:eastAsiaTheme="minorEastAsia" w:cstheme="minorEastAsia"/>
                <w:color w:val="auto"/>
                <w:kern w:val="0"/>
                <w:szCs w:val="21"/>
                <w:lang w:bidi="ar"/>
              </w:rPr>
              <w:t>二代基因测序平台</w:t>
            </w:r>
          </w:p>
        </w:tc>
        <w:tc>
          <w:tcPr>
            <w:tcW w:w="588" w:type="dxa"/>
            <w:vAlign w:val="center"/>
          </w:tcPr>
          <w:p w14:paraId="0AFEAFDC">
            <w:pPr>
              <w:jc w:val="center"/>
              <w:rPr>
                <w:rFonts w:hint="eastAsia"/>
                <w:color w:val="auto"/>
                <w:sz w:val="21"/>
                <w:szCs w:val="21"/>
                <w:highlight w:val="none"/>
              </w:rPr>
            </w:pPr>
          </w:p>
        </w:tc>
        <w:tc>
          <w:tcPr>
            <w:tcW w:w="954" w:type="dxa"/>
            <w:vAlign w:val="center"/>
          </w:tcPr>
          <w:p w14:paraId="10E0034F">
            <w:pPr>
              <w:jc w:val="center"/>
              <w:rPr>
                <w:rFonts w:hint="eastAsia"/>
                <w:color w:val="auto"/>
                <w:sz w:val="21"/>
                <w:szCs w:val="21"/>
                <w:highlight w:val="none"/>
              </w:rPr>
            </w:pPr>
          </w:p>
        </w:tc>
        <w:tc>
          <w:tcPr>
            <w:tcW w:w="738" w:type="dxa"/>
            <w:vAlign w:val="center"/>
          </w:tcPr>
          <w:p w14:paraId="54A4F679">
            <w:pPr>
              <w:jc w:val="center"/>
              <w:rPr>
                <w:rFonts w:hint="eastAsia"/>
                <w:color w:val="auto"/>
                <w:sz w:val="21"/>
                <w:szCs w:val="21"/>
                <w:highlight w:val="none"/>
              </w:rPr>
            </w:pPr>
          </w:p>
        </w:tc>
        <w:tc>
          <w:tcPr>
            <w:tcW w:w="452" w:type="dxa"/>
            <w:vAlign w:val="center"/>
          </w:tcPr>
          <w:p w14:paraId="1115C2A1">
            <w:pPr>
              <w:jc w:val="center"/>
              <w:rPr>
                <w:rFonts w:hint="eastAsia"/>
                <w:color w:val="auto"/>
                <w:sz w:val="21"/>
                <w:szCs w:val="21"/>
                <w:highlight w:val="none"/>
              </w:rPr>
            </w:pPr>
          </w:p>
        </w:tc>
        <w:tc>
          <w:tcPr>
            <w:tcW w:w="452" w:type="dxa"/>
            <w:vAlign w:val="center"/>
          </w:tcPr>
          <w:p w14:paraId="57F0727D">
            <w:pPr>
              <w:jc w:val="center"/>
              <w:rPr>
                <w:rFonts w:hint="eastAsia"/>
                <w:color w:val="auto"/>
                <w:sz w:val="21"/>
                <w:szCs w:val="21"/>
                <w:highlight w:val="none"/>
              </w:rPr>
            </w:pPr>
          </w:p>
        </w:tc>
        <w:tc>
          <w:tcPr>
            <w:tcW w:w="586" w:type="dxa"/>
            <w:vAlign w:val="center"/>
          </w:tcPr>
          <w:p w14:paraId="4841F06E">
            <w:pPr>
              <w:jc w:val="center"/>
              <w:rPr>
                <w:rFonts w:hint="eastAsia"/>
                <w:color w:val="auto"/>
                <w:sz w:val="21"/>
                <w:szCs w:val="21"/>
                <w:highlight w:val="none"/>
              </w:rPr>
            </w:pPr>
          </w:p>
        </w:tc>
        <w:tc>
          <w:tcPr>
            <w:tcW w:w="596" w:type="dxa"/>
            <w:vAlign w:val="center"/>
          </w:tcPr>
          <w:p w14:paraId="35D90C1A">
            <w:pPr>
              <w:jc w:val="center"/>
              <w:rPr>
                <w:rFonts w:hint="eastAsia"/>
                <w:color w:val="auto"/>
                <w:sz w:val="21"/>
                <w:szCs w:val="21"/>
                <w:highlight w:val="none"/>
              </w:rPr>
            </w:pPr>
          </w:p>
        </w:tc>
        <w:tc>
          <w:tcPr>
            <w:tcW w:w="596" w:type="dxa"/>
            <w:vAlign w:val="center"/>
          </w:tcPr>
          <w:p w14:paraId="5F7C21AE">
            <w:pPr>
              <w:jc w:val="center"/>
              <w:rPr>
                <w:rFonts w:hint="eastAsia"/>
                <w:color w:val="auto"/>
                <w:sz w:val="21"/>
                <w:szCs w:val="21"/>
                <w:highlight w:val="none"/>
              </w:rPr>
            </w:pPr>
          </w:p>
        </w:tc>
        <w:tc>
          <w:tcPr>
            <w:tcW w:w="557" w:type="dxa"/>
            <w:vAlign w:val="center"/>
          </w:tcPr>
          <w:p w14:paraId="41F6AF8C">
            <w:pPr>
              <w:jc w:val="center"/>
              <w:rPr>
                <w:rFonts w:hint="eastAsia"/>
                <w:color w:val="auto"/>
                <w:sz w:val="21"/>
                <w:szCs w:val="21"/>
                <w:highlight w:val="none"/>
              </w:rPr>
            </w:pPr>
          </w:p>
        </w:tc>
      </w:tr>
      <w:tr w14:paraId="6836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0" w:type="dxa"/>
            <w:vAlign w:val="center"/>
          </w:tcPr>
          <w:p w14:paraId="39736F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986" w:type="dxa"/>
            <w:vAlign w:val="center"/>
          </w:tcPr>
          <w:p w14:paraId="6D2A280C">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color w:val="auto"/>
                <w:sz w:val="21"/>
                <w:szCs w:val="21"/>
                <w:highlight w:val="none"/>
              </w:rPr>
            </w:pPr>
            <w:r>
              <w:rPr>
                <w:rFonts w:hint="eastAsia" w:asciiTheme="minorEastAsia" w:hAnsiTheme="minorEastAsia" w:eastAsiaTheme="minorEastAsia" w:cstheme="minorEastAsia"/>
                <w:color w:val="auto"/>
                <w:kern w:val="0"/>
                <w:szCs w:val="21"/>
                <w:lang w:bidi="ar"/>
              </w:rPr>
              <w:t>高性能生物计算工业一体机</w:t>
            </w:r>
          </w:p>
        </w:tc>
        <w:tc>
          <w:tcPr>
            <w:tcW w:w="588" w:type="dxa"/>
            <w:vAlign w:val="center"/>
          </w:tcPr>
          <w:p w14:paraId="4942972B">
            <w:pPr>
              <w:jc w:val="center"/>
              <w:rPr>
                <w:rFonts w:hint="eastAsia"/>
                <w:color w:val="auto"/>
                <w:sz w:val="21"/>
                <w:szCs w:val="21"/>
                <w:highlight w:val="none"/>
              </w:rPr>
            </w:pPr>
          </w:p>
        </w:tc>
        <w:tc>
          <w:tcPr>
            <w:tcW w:w="954" w:type="dxa"/>
            <w:vAlign w:val="center"/>
          </w:tcPr>
          <w:p w14:paraId="5DEEFB0A">
            <w:pPr>
              <w:jc w:val="center"/>
              <w:rPr>
                <w:rFonts w:hint="eastAsia"/>
                <w:color w:val="auto"/>
                <w:sz w:val="21"/>
                <w:szCs w:val="21"/>
                <w:highlight w:val="none"/>
              </w:rPr>
            </w:pPr>
          </w:p>
        </w:tc>
        <w:tc>
          <w:tcPr>
            <w:tcW w:w="738" w:type="dxa"/>
            <w:vAlign w:val="center"/>
          </w:tcPr>
          <w:p w14:paraId="69A99EF1">
            <w:pPr>
              <w:jc w:val="center"/>
              <w:rPr>
                <w:rFonts w:hint="eastAsia"/>
                <w:color w:val="auto"/>
                <w:sz w:val="21"/>
                <w:szCs w:val="21"/>
                <w:highlight w:val="none"/>
              </w:rPr>
            </w:pPr>
          </w:p>
        </w:tc>
        <w:tc>
          <w:tcPr>
            <w:tcW w:w="452" w:type="dxa"/>
            <w:vAlign w:val="center"/>
          </w:tcPr>
          <w:p w14:paraId="6C17716B">
            <w:pPr>
              <w:jc w:val="center"/>
              <w:rPr>
                <w:rFonts w:hint="eastAsia"/>
                <w:color w:val="auto"/>
                <w:sz w:val="21"/>
                <w:szCs w:val="21"/>
                <w:highlight w:val="none"/>
              </w:rPr>
            </w:pPr>
          </w:p>
        </w:tc>
        <w:tc>
          <w:tcPr>
            <w:tcW w:w="452" w:type="dxa"/>
            <w:vAlign w:val="center"/>
          </w:tcPr>
          <w:p w14:paraId="6078884A">
            <w:pPr>
              <w:jc w:val="center"/>
              <w:rPr>
                <w:rFonts w:hint="eastAsia"/>
                <w:color w:val="auto"/>
                <w:sz w:val="21"/>
                <w:szCs w:val="21"/>
                <w:highlight w:val="none"/>
              </w:rPr>
            </w:pPr>
          </w:p>
        </w:tc>
        <w:tc>
          <w:tcPr>
            <w:tcW w:w="586" w:type="dxa"/>
            <w:vAlign w:val="center"/>
          </w:tcPr>
          <w:p w14:paraId="14F6FD91">
            <w:pPr>
              <w:jc w:val="center"/>
              <w:rPr>
                <w:rFonts w:hint="eastAsia"/>
                <w:color w:val="auto"/>
                <w:sz w:val="21"/>
                <w:szCs w:val="21"/>
                <w:highlight w:val="none"/>
              </w:rPr>
            </w:pPr>
          </w:p>
        </w:tc>
        <w:tc>
          <w:tcPr>
            <w:tcW w:w="596" w:type="dxa"/>
            <w:vAlign w:val="center"/>
          </w:tcPr>
          <w:p w14:paraId="51E93986">
            <w:pPr>
              <w:jc w:val="center"/>
              <w:rPr>
                <w:rFonts w:hint="eastAsia"/>
                <w:color w:val="auto"/>
                <w:sz w:val="21"/>
                <w:szCs w:val="21"/>
                <w:highlight w:val="none"/>
              </w:rPr>
            </w:pPr>
          </w:p>
        </w:tc>
        <w:tc>
          <w:tcPr>
            <w:tcW w:w="596" w:type="dxa"/>
            <w:vAlign w:val="center"/>
          </w:tcPr>
          <w:p w14:paraId="747D4284">
            <w:pPr>
              <w:jc w:val="center"/>
              <w:rPr>
                <w:rFonts w:hint="eastAsia"/>
                <w:color w:val="auto"/>
                <w:sz w:val="21"/>
                <w:szCs w:val="21"/>
                <w:highlight w:val="none"/>
              </w:rPr>
            </w:pPr>
          </w:p>
        </w:tc>
        <w:tc>
          <w:tcPr>
            <w:tcW w:w="557" w:type="dxa"/>
            <w:vAlign w:val="center"/>
          </w:tcPr>
          <w:p w14:paraId="5861BCEF">
            <w:pPr>
              <w:jc w:val="center"/>
              <w:rPr>
                <w:rFonts w:hint="eastAsia"/>
                <w:color w:val="auto"/>
                <w:sz w:val="21"/>
                <w:szCs w:val="21"/>
                <w:highlight w:val="none"/>
              </w:rPr>
            </w:pPr>
          </w:p>
        </w:tc>
      </w:tr>
      <w:tr w14:paraId="6199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0" w:type="dxa"/>
            <w:vAlign w:val="center"/>
          </w:tcPr>
          <w:p w14:paraId="4FFD7F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986" w:type="dxa"/>
            <w:vAlign w:val="center"/>
          </w:tcPr>
          <w:p w14:paraId="310CD3B3">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color w:val="auto"/>
                <w:sz w:val="21"/>
                <w:szCs w:val="21"/>
                <w:highlight w:val="none"/>
              </w:rPr>
            </w:pPr>
            <w:r>
              <w:rPr>
                <w:rFonts w:hint="eastAsia" w:asciiTheme="minorEastAsia" w:hAnsiTheme="minorEastAsia" w:eastAsiaTheme="minorEastAsia" w:cstheme="minorEastAsia"/>
                <w:color w:val="auto"/>
                <w:kern w:val="0"/>
                <w:szCs w:val="21"/>
                <w:lang w:bidi="ar"/>
              </w:rPr>
              <w:t>离子色谱仪</w:t>
            </w:r>
          </w:p>
        </w:tc>
        <w:tc>
          <w:tcPr>
            <w:tcW w:w="588" w:type="dxa"/>
            <w:vAlign w:val="center"/>
          </w:tcPr>
          <w:p w14:paraId="21BEA495">
            <w:pPr>
              <w:jc w:val="center"/>
              <w:rPr>
                <w:rFonts w:hint="eastAsia"/>
                <w:color w:val="auto"/>
                <w:sz w:val="21"/>
                <w:szCs w:val="21"/>
                <w:highlight w:val="none"/>
              </w:rPr>
            </w:pPr>
          </w:p>
        </w:tc>
        <w:tc>
          <w:tcPr>
            <w:tcW w:w="954" w:type="dxa"/>
            <w:vAlign w:val="center"/>
          </w:tcPr>
          <w:p w14:paraId="2FCE9676">
            <w:pPr>
              <w:jc w:val="center"/>
              <w:rPr>
                <w:rFonts w:hint="eastAsia"/>
                <w:color w:val="auto"/>
                <w:sz w:val="21"/>
                <w:szCs w:val="21"/>
                <w:highlight w:val="none"/>
              </w:rPr>
            </w:pPr>
          </w:p>
        </w:tc>
        <w:tc>
          <w:tcPr>
            <w:tcW w:w="738" w:type="dxa"/>
            <w:vAlign w:val="center"/>
          </w:tcPr>
          <w:p w14:paraId="3ADADDB4">
            <w:pPr>
              <w:jc w:val="center"/>
              <w:rPr>
                <w:rFonts w:hint="eastAsia"/>
                <w:color w:val="auto"/>
                <w:sz w:val="21"/>
                <w:szCs w:val="21"/>
                <w:highlight w:val="none"/>
              </w:rPr>
            </w:pPr>
          </w:p>
        </w:tc>
        <w:tc>
          <w:tcPr>
            <w:tcW w:w="452" w:type="dxa"/>
            <w:vAlign w:val="center"/>
          </w:tcPr>
          <w:p w14:paraId="1C791113">
            <w:pPr>
              <w:jc w:val="center"/>
              <w:rPr>
                <w:rFonts w:hint="eastAsia"/>
                <w:color w:val="auto"/>
                <w:sz w:val="21"/>
                <w:szCs w:val="21"/>
                <w:highlight w:val="none"/>
              </w:rPr>
            </w:pPr>
          </w:p>
        </w:tc>
        <w:tc>
          <w:tcPr>
            <w:tcW w:w="452" w:type="dxa"/>
            <w:vAlign w:val="center"/>
          </w:tcPr>
          <w:p w14:paraId="5D2C0053">
            <w:pPr>
              <w:jc w:val="center"/>
              <w:rPr>
                <w:rFonts w:hint="eastAsia"/>
                <w:color w:val="auto"/>
                <w:sz w:val="21"/>
                <w:szCs w:val="21"/>
                <w:highlight w:val="none"/>
              </w:rPr>
            </w:pPr>
          </w:p>
        </w:tc>
        <w:tc>
          <w:tcPr>
            <w:tcW w:w="586" w:type="dxa"/>
            <w:vAlign w:val="center"/>
          </w:tcPr>
          <w:p w14:paraId="33D32C23">
            <w:pPr>
              <w:jc w:val="center"/>
              <w:rPr>
                <w:rFonts w:hint="eastAsia"/>
                <w:color w:val="auto"/>
                <w:sz w:val="21"/>
                <w:szCs w:val="21"/>
                <w:highlight w:val="none"/>
              </w:rPr>
            </w:pPr>
          </w:p>
        </w:tc>
        <w:tc>
          <w:tcPr>
            <w:tcW w:w="596" w:type="dxa"/>
            <w:vAlign w:val="center"/>
          </w:tcPr>
          <w:p w14:paraId="7B1002ED">
            <w:pPr>
              <w:jc w:val="center"/>
              <w:rPr>
                <w:rFonts w:hint="eastAsia"/>
                <w:color w:val="auto"/>
                <w:sz w:val="21"/>
                <w:szCs w:val="21"/>
                <w:highlight w:val="none"/>
              </w:rPr>
            </w:pPr>
          </w:p>
        </w:tc>
        <w:tc>
          <w:tcPr>
            <w:tcW w:w="596" w:type="dxa"/>
            <w:vAlign w:val="center"/>
          </w:tcPr>
          <w:p w14:paraId="38542FF4">
            <w:pPr>
              <w:jc w:val="center"/>
              <w:rPr>
                <w:rFonts w:hint="eastAsia"/>
                <w:color w:val="auto"/>
                <w:sz w:val="21"/>
                <w:szCs w:val="21"/>
                <w:highlight w:val="none"/>
              </w:rPr>
            </w:pPr>
          </w:p>
        </w:tc>
        <w:tc>
          <w:tcPr>
            <w:tcW w:w="557" w:type="dxa"/>
            <w:vAlign w:val="center"/>
          </w:tcPr>
          <w:p w14:paraId="420E2773">
            <w:pPr>
              <w:jc w:val="center"/>
              <w:rPr>
                <w:rFonts w:hint="eastAsia"/>
                <w:color w:val="auto"/>
                <w:sz w:val="21"/>
                <w:szCs w:val="21"/>
                <w:highlight w:val="none"/>
              </w:rPr>
            </w:pPr>
          </w:p>
        </w:tc>
      </w:tr>
      <w:tr w14:paraId="30BA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0" w:type="dxa"/>
            <w:vAlign w:val="center"/>
          </w:tcPr>
          <w:p w14:paraId="2CF5E6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986" w:type="dxa"/>
            <w:vAlign w:val="center"/>
          </w:tcPr>
          <w:p w14:paraId="15FBF0E6">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color w:val="auto"/>
                <w:sz w:val="21"/>
                <w:szCs w:val="21"/>
                <w:highlight w:val="none"/>
              </w:rPr>
            </w:pPr>
            <w:r>
              <w:rPr>
                <w:rFonts w:hint="eastAsia" w:asciiTheme="minorEastAsia" w:hAnsiTheme="minorEastAsia" w:eastAsiaTheme="minorEastAsia" w:cstheme="minorEastAsia"/>
                <w:color w:val="auto"/>
                <w:kern w:val="0"/>
                <w:szCs w:val="21"/>
                <w:lang w:bidi="ar"/>
              </w:rPr>
              <w:t>全自动固相萃取仪</w:t>
            </w:r>
          </w:p>
        </w:tc>
        <w:tc>
          <w:tcPr>
            <w:tcW w:w="588" w:type="dxa"/>
            <w:vAlign w:val="center"/>
          </w:tcPr>
          <w:p w14:paraId="29FE1967">
            <w:pPr>
              <w:jc w:val="center"/>
              <w:rPr>
                <w:rFonts w:hint="eastAsia"/>
                <w:color w:val="auto"/>
                <w:sz w:val="21"/>
                <w:szCs w:val="21"/>
                <w:highlight w:val="none"/>
              </w:rPr>
            </w:pPr>
          </w:p>
        </w:tc>
        <w:tc>
          <w:tcPr>
            <w:tcW w:w="954" w:type="dxa"/>
            <w:vAlign w:val="center"/>
          </w:tcPr>
          <w:p w14:paraId="654C95AF">
            <w:pPr>
              <w:jc w:val="center"/>
              <w:rPr>
                <w:rFonts w:hint="eastAsia"/>
                <w:color w:val="auto"/>
                <w:sz w:val="21"/>
                <w:szCs w:val="21"/>
                <w:highlight w:val="none"/>
              </w:rPr>
            </w:pPr>
          </w:p>
        </w:tc>
        <w:tc>
          <w:tcPr>
            <w:tcW w:w="738" w:type="dxa"/>
            <w:vAlign w:val="center"/>
          </w:tcPr>
          <w:p w14:paraId="1AB62FD3">
            <w:pPr>
              <w:jc w:val="center"/>
              <w:rPr>
                <w:rFonts w:hint="eastAsia"/>
                <w:color w:val="auto"/>
                <w:sz w:val="21"/>
                <w:szCs w:val="21"/>
                <w:highlight w:val="none"/>
              </w:rPr>
            </w:pPr>
          </w:p>
        </w:tc>
        <w:tc>
          <w:tcPr>
            <w:tcW w:w="452" w:type="dxa"/>
            <w:vAlign w:val="center"/>
          </w:tcPr>
          <w:p w14:paraId="297F27DF">
            <w:pPr>
              <w:jc w:val="center"/>
              <w:rPr>
                <w:rFonts w:hint="eastAsia"/>
                <w:color w:val="auto"/>
                <w:sz w:val="21"/>
                <w:szCs w:val="21"/>
                <w:highlight w:val="none"/>
              </w:rPr>
            </w:pPr>
          </w:p>
        </w:tc>
        <w:tc>
          <w:tcPr>
            <w:tcW w:w="452" w:type="dxa"/>
            <w:vAlign w:val="center"/>
          </w:tcPr>
          <w:p w14:paraId="3A50F41A">
            <w:pPr>
              <w:jc w:val="center"/>
              <w:rPr>
                <w:rFonts w:hint="eastAsia"/>
                <w:color w:val="auto"/>
                <w:sz w:val="21"/>
                <w:szCs w:val="21"/>
                <w:highlight w:val="none"/>
              </w:rPr>
            </w:pPr>
          </w:p>
        </w:tc>
        <w:tc>
          <w:tcPr>
            <w:tcW w:w="586" w:type="dxa"/>
            <w:vAlign w:val="center"/>
          </w:tcPr>
          <w:p w14:paraId="3B145680">
            <w:pPr>
              <w:jc w:val="center"/>
              <w:rPr>
                <w:rFonts w:hint="eastAsia"/>
                <w:color w:val="auto"/>
                <w:sz w:val="21"/>
                <w:szCs w:val="21"/>
                <w:highlight w:val="none"/>
              </w:rPr>
            </w:pPr>
          </w:p>
        </w:tc>
        <w:tc>
          <w:tcPr>
            <w:tcW w:w="596" w:type="dxa"/>
            <w:vAlign w:val="center"/>
          </w:tcPr>
          <w:p w14:paraId="0F29A130">
            <w:pPr>
              <w:jc w:val="center"/>
              <w:rPr>
                <w:rFonts w:hint="eastAsia"/>
                <w:color w:val="auto"/>
                <w:sz w:val="21"/>
                <w:szCs w:val="21"/>
                <w:highlight w:val="none"/>
              </w:rPr>
            </w:pPr>
          </w:p>
        </w:tc>
        <w:tc>
          <w:tcPr>
            <w:tcW w:w="596" w:type="dxa"/>
            <w:vAlign w:val="center"/>
          </w:tcPr>
          <w:p w14:paraId="7631ACE1">
            <w:pPr>
              <w:jc w:val="center"/>
              <w:rPr>
                <w:rFonts w:hint="eastAsia"/>
                <w:color w:val="auto"/>
                <w:sz w:val="21"/>
                <w:szCs w:val="21"/>
                <w:highlight w:val="none"/>
              </w:rPr>
            </w:pPr>
          </w:p>
        </w:tc>
        <w:tc>
          <w:tcPr>
            <w:tcW w:w="557" w:type="dxa"/>
            <w:vAlign w:val="center"/>
          </w:tcPr>
          <w:p w14:paraId="6C6687C1">
            <w:pPr>
              <w:jc w:val="center"/>
              <w:rPr>
                <w:rFonts w:hint="eastAsia"/>
                <w:color w:val="auto"/>
                <w:sz w:val="21"/>
                <w:szCs w:val="21"/>
                <w:highlight w:val="none"/>
              </w:rPr>
            </w:pPr>
          </w:p>
        </w:tc>
      </w:tr>
      <w:tr w14:paraId="0CAF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90" w:type="dxa"/>
            <w:vAlign w:val="center"/>
          </w:tcPr>
          <w:p w14:paraId="395AAB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986" w:type="dxa"/>
            <w:vAlign w:val="center"/>
          </w:tcPr>
          <w:p w14:paraId="30F2A4B9">
            <w:pPr>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bidi w:val="0"/>
              <w:snapToGrid/>
              <w:spacing w:line="384" w:lineRule="auto"/>
              <w:jc w:val="center"/>
              <w:textAlignment w:val="center"/>
              <w:rPr>
                <w:rFonts w:hint="eastAsia"/>
                <w:color w:val="auto"/>
                <w:sz w:val="21"/>
                <w:szCs w:val="21"/>
                <w:highlight w:val="none"/>
              </w:rPr>
            </w:pPr>
            <w:r>
              <w:rPr>
                <w:rFonts w:hint="eastAsia" w:asciiTheme="minorEastAsia" w:hAnsiTheme="minorEastAsia" w:eastAsiaTheme="minorEastAsia" w:cstheme="minorEastAsia"/>
                <w:color w:val="auto"/>
                <w:kern w:val="0"/>
                <w:szCs w:val="21"/>
                <w:lang w:bidi="ar"/>
              </w:rPr>
              <w:t>氮气发生器</w:t>
            </w:r>
          </w:p>
        </w:tc>
        <w:tc>
          <w:tcPr>
            <w:tcW w:w="588" w:type="dxa"/>
            <w:vAlign w:val="center"/>
          </w:tcPr>
          <w:p w14:paraId="38B2A818">
            <w:pPr>
              <w:jc w:val="center"/>
              <w:rPr>
                <w:rFonts w:hint="eastAsia"/>
                <w:color w:val="auto"/>
                <w:sz w:val="21"/>
                <w:szCs w:val="21"/>
                <w:highlight w:val="none"/>
              </w:rPr>
            </w:pPr>
          </w:p>
        </w:tc>
        <w:tc>
          <w:tcPr>
            <w:tcW w:w="954" w:type="dxa"/>
            <w:vAlign w:val="center"/>
          </w:tcPr>
          <w:p w14:paraId="57AC2C7D">
            <w:pPr>
              <w:jc w:val="center"/>
              <w:rPr>
                <w:rFonts w:hint="eastAsia"/>
                <w:color w:val="auto"/>
                <w:sz w:val="21"/>
                <w:szCs w:val="21"/>
                <w:highlight w:val="none"/>
              </w:rPr>
            </w:pPr>
          </w:p>
        </w:tc>
        <w:tc>
          <w:tcPr>
            <w:tcW w:w="738" w:type="dxa"/>
            <w:vAlign w:val="center"/>
          </w:tcPr>
          <w:p w14:paraId="537B1113">
            <w:pPr>
              <w:jc w:val="center"/>
              <w:rPr>
                <w:rFonts w:hint="eastAsia"/>
                <w:color w:val="auto"/>
                <w:sz w:val="21"/>
                <w:szCs w:val="21"/>
                <w:highlight w:val="none"/>
              </w:rPr>
            </w:pPr>
          </w:p>
        </w:tc>
        <w:tc>
          <w:tcPr>
            <w:tcW w:w="452" w:type="dxa"/>
            <w:vAlign w:val="center"/>
          </w:tcPr>
          <w:p w14:paraId="1D3CDFA8">
            <w:pPr>
              <w:jc w:val="center"/>
              <w:rPr>
                <w:rFonts w:hint="eastAsia"/>
                <w:color w:val="auto"/>
                <w:sz w:val="21"/>
                <w:szCs w:val="21"/>
                <w:highlight w:val="none"/>
              </w:rPr>
            </w:pPr>
          </w:p>
        </w:tc>
        <w:tc>
          <w:tcPr>
            <w:tcW w:w="452" w:type="dxa"/>
            <w:vAlign w:val="center"/>
          </w:tcPr>
          <w:p w14:paraId="0CBE6D06">
            <w:pPr>
              <w:jc w:val="center"/>
              <w:rPr>
                <w:rFonts w:hint="eastAsia"/>
                <w:color w:val="auto"/>
                <w:sz w:val="21"/>
                <w:szCs w:val="21"/>
                <w:highlight w:val="none"/>
              </w:rPr>
            </w:pPr>
          </w:p>
        </w:tc>
        <w:tc>
          <w:tcPr>
            <w:tcW w:w="586" w:type="dxa"/>
            <w:vAlign w:val="center"/>
          </w:tcPr>
          <w:p w14:paraId="450785FB">
            <w:pPr>
              <w:jc w:val="center"/>
              <w:rPr>
                <w:rFonts w:hint="eastAsia"/>
                <w:color w:val="auto"/>
                <w:sz w:val="21"/>
                <w:szCs w:val="21"/>
                <w:highlight w:val="none"/>
              </w:rPr>
            </w:pPr>
          </w:p>
        </w:tc>
        <w:tc>
          <w:tcPr>
            <w:tcW w:w="596" w:type="dxa"/>
            <w:vAlign w:val="center"/>
          </w:tcPr>
          <w:p w14:paraId="6171490C">
            <w:pPr>
              <w:jc w:val="center"/>
              <w:rPr>
                <w:rFonts w:hint="eastAsia"/>
                <w:color w:val="auto"/>
                <w:sz w:val="21"/>
                <w:szCs w:val="21"/>
                <w:highlight w:val="none"/>
              </w:rPr>
            </w:pPr>
          </w:p>
        </w:tc>
        <w:tc>
          <w:tcPr>
            <w:tcW w:w="596" w:type="dxa"/>
            <w:vAlign w:val="center"/>
          </w:tcPr>
          <w:p w14:paraId="161054B5">
            <w:pPr>
              <w:jc w:val="center"/>
              <w:rPr>
                <w:rFonts w:hint="eastAsia"/>
                <w:color w:val="auto"/>
                <w:sz w:val="21"/>
                <w:szCs w:val="21"/>
                <w:highlight w:val="none"/>
              </w:rPr>
            </w:pPr>
          </w:p>
        </w:tc>
        <w:tc>
          <w:tcPr>
            <w:tcW w:w="557" w:type="dxa"/>
            <w:vAlign w:val="center"/>
          </w:tcPr>
          <w:p w14:paraId="049A55F1">
            <w:pPr>
              <w:jc w:val="center"/>
              <w:rPr>
                <w:rFonts w:hint="eastAsia"/>
                <w:color w:val="auto"/>
                <w:sz w:val="21"/>
                <w:szCs w:val="21"/>
                <w:highlight w:val="none"/>
              </w:rPr>
            </w:pPr>
          </w:p>
        </w:tc>
      </w:tr>
      <w:tr w14:paraId="68DC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995" w:type="dxa"/>
            <w:gridSpan w:val="11"/>
            <w:vAlign w:val="center"/>
          </w:tcPr>
          <w:p w14:paraId="4D91E4B5">
            <w:pPr>
              <w:jc w:val="left"/>
              <w:rPr>
                <w:rFonts w:hint="default"/>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 xml:space="preserve">总报价（大写）： </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 xml:space="preserve">      小写：</w:t>
            </w:r>
            <w:r>
              <w:rPr>
                <w:rFonts w:hint="default" w:ascii="Arial" w:hAnsi="Arial" w:eastAsia="宋体" w:cs="Arial"/>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single"/>
                <w:lang w:val="en-US" w:eastAsia="zh-CN" w:bidi="ar"/>
              </w:rPr>
              <w:t xml:space="preserve">        </w:t>
            </w:r>
          </w:p>
        </w:tc>
      </w:tr>
      <w:tr w14:paraId="44F9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995" w:type="dxa"/>
            <w:gridSpan w:val="11"/>
            <w:vAlign w:val="center"/>
          </w:tcPr>
          <w:p w14:paraId="1B32C0A2">
            <w:pPr>
              <w:jc w:val="left"/>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合同履行期限（交货时间）</w:t>
            </w:r>
            <w:r>
              <w:rPr>
                <w:rFonts w:hint="eastAsia" w:ascii="宋体" w:hAnsi="宋体" w:cs="宋体"/>
                <w:i w:val="0"/>
                <w:iCs w:val="0"/>
                <w:color w:val="auto"/>
                <w:kern w:val="0"/>
                <w:sz w:val="21"/>
                <w:szCs w:val="21"/>
                <w:highlight w:val="none"/>
                <w:u w:val="none"/>
                <w:lang w:val="en-US" w:eastAsia="zh-CN" w:bidi="ar"/>
              </w:rPr>
              <w:t>：</w:t>
            </w:r>
          </w:p>
        </w:tc>
      </w:tr>
      <w:tr w14:paraId="0FC3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995" w:type="dxa"/>
            <w:gridSpan w:val="11"/>
            <w:vAlign w:val="center"/>
          </w:tcPr>
          <w:p w14:paraId="342DD474">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质量要求：</w:t>
            </w:r>
          </w:p>
        </w:tc>
      </w:tr>
      <w:tr w14:paraId="3FD2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995" w:type="dxa"/>
            <w:gridSpan w:val="11"/>
            <w:vAlign w:val="center"/>
          </w:tcPr>
          <w:p w14:paraId="16154BE2">
            <w:pPr>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说明：报价包含货物的供应、运输、装卸、安装、调试、售后服务、培训服务、税金及设备所需各种配件等。</w:t>
            </w:r>
          </w:p>
        </w:tc>
      </w:tr>
    </w:tbl>
    <w:p w14:paraId="071F4311">
      <w:pPr>
        <w:keepNext w:val="0"/>
        <w:keepLines w:val="0"/>
        <w:widowControl/>
        <w:suppressLineNumbers w:val="0"/>
        <w:ind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说明</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投标人如实填写表格，该表部分内容会随中标公告同时公示。无相应内容可填的，填写“无”“未测试”、“没有相应指标”等明确的回答文字，或用“/”来表示。若单个序号的货物中包含多个产品的，可自行设计报价明细表。</w:t>
      </w:r>
    </w:p>
    <w:p w14:paraId="59D381F5">
      <w:pPr>
        <w:pStyle w:val="17"/>
        <w:ind w:left="0" w:leftChars="0" w:firstLine="0" w:firstLineChars="0"/>
        <w:rPr>
          <w:rFonts w:hint="eastAsia" w:ascii="宋体" w:hAnsi="宋体" w:cs="宋体"/>
          <w:b/>
          <w:snapToGrid w:val="0"/>
          <w:color w:val="auto"/>
          <w:szCs w:val="21"/>
          <w:highlight w:val="none"/>
        </w:rPr>
      </w:pPr>
    </w:p>
    <w:p w14:paraId="18E351A1">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 xml:space="preserve"> 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B6B3BFC">
      <w:pPr>
        <w:pStyle w:val="1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color w:val="auto"/>
          <w:sz w:val="21"/>
          <w:szCs w:val="21"/>
          <w:highlight w:val="none"/>
        </w:rPr>
      </w:pPr>
    </w:p>
    <w:p w14:paraId="0259A309">
      <w:pPr>
        <w:snapToGrid w:val="0"/>
        <w:spacing w:line="460" w:lineRule="exact"/>
        <w:ind w:firstLine="1890" w:firstLineChars="900"/>
        <w:rPr>
          <w:rFonts w:ascii="宋体" w:hAnsi="宋体" w:cs="宋体"/>
          <w:color w:val="auto"/>
          <w:szCs w:val="21"/>
          <w:highlight w:val="none"/>
          <w:u w:val="singl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章）</w:t>
      </w:r>
    </w:p>
    <w:p w14:paraId="186A92FF">
      <w:pPr>
        <w:snapToGrid w:val="0"/>
        <w:spacing w:line="440" w:lineRule="exact"/>
        <w:ind w:firstLine="420" w:firstLineChars="200"/>
        <w:rPr>
          <w:rFonts w:ascii="宋体" w:hAnsi="宋体" w:cs="宋体"/>
          <w:color w:val="auto"/>
          <w:szCs w:val="21"/>
          <w:highlight w:val="none"/>
        </w:rPr>
      </w:pPr>
    </w:p>
    <w:p w14:paraId="61B8E3B9">
      <w:pPr>
        <w:tabs>
          <w:tab w:val="left" w:pos="4000"/>
        </w:tabs>
        <w:snapToGrid w:val="0"/>
        <w:spacing w:line="480" w:lineRule="exact"/>
        <w:rPr>
          <w:rFonts w:ascii="宋体" w:hAnsi="宋体" w:cs="宋体"/>
          <w:bCs/>
          <w:snapToGrid w:val="0"/>
          <w:color w:val="auto"/>
          <w:szCs w:val="21"/>
          <w:highlight w:val="none"/>
        </w:rPr>
      </w:pPr>
      <w:r>
        <w:rPr>
          <w:rFonts w:hint="eastAsia" w:ascii="宋体" w:hAnsi="宋体" w:cs="宋体"/>
          <w:color w:val="auto"/>
          <w:szCs w:val="21"/>
          <w:highlight w:val="none"/>
        </w:rPr>
        <w:t xml:space="preserve">                           日　    期：      年    月    日</w:t>
      </w:r>
    </w:p>
    <w:p w14:paraId="1A9A887F">
      <w:pPr>
        <w:pStyle w:val="17"/>
        <w:ind w:left="0" w:leftChars="0" w:firstLine="0" w:firstLineChars="0"/>
        <w:rPr>
          <w:rFonts w:hint="eastAsia" w:ascii="宋体" w:hAnsi="宋体" w:cs="宋体"/>
          <w:b/>
          <w:snapToGrid w:val="0"/>
          <w:color w:val="auto"/>
          <w:szCs w:val="21"/>
          <w:highlight w:val="none"/>
        </w:rPr>
      </w:pPr>
    </w:p>
    <w:p w14:paraId="161AAFF4">
      <w:pPr>
        <w:pStyle w:val="17"/>
        <w:ind w:left="0" w:leftChars="0" w:firstLine="0" w:firstLineChars="0"/>
        <w:rPr>
          <w:rFonts w:hint="eastAsia" w:ascii="宋体" w:hAnsi="宋体" w:cs="宋体"/>
          <w:b/>
          <w:snapToGrid w:val="0"/>
          <w:color w:val="auto"/>
          <w:szCs w:val="21"/>
          <w:highlight w:val="none"/>
        </w:rPr>
      </w:pPr>
    </w:p>
    <w:p w14:paraId="3A45AC5E">
      <w:pPr>
        <w:pStyle w:val="4"/>
        <w:tabs>
          <w:tab w:val="left" w:pos="0"/>
        </w:tabs>
        <w:spacing w:line="480" w:lineRule="exact"/>
        <w:rPr>
          <w:rFonts w:hint="eastAsia" w:ascii="宋体" w:hAnsi="宋体" w:cs="宋体"/>
          <w:snapToGrid w:val="0"/>
          <w:color w:val="auto"/>
          <w:sz w:val="21"/>
          <w:szCs w:val="21"/>
          <w:highlight w:val="none"/>
        </w:rPr>
        <w:sectPr>
          <w:pgSz w:w="11906" w:h="16838"/>
          <w:pgMar w:top="1474" w:right="1474" w:bottom="1474" w:left="1474" w:header="1020" w:footer="1020" w:gutter="0"/>
          <w:pgNumType w:fmt="numberInDash"/>
          <w:cols w:space="720" w:num="1"/>
          <w:docGrid w:type="linesAndChars" w:linePitch="316" w:charSpace="0"/>
        </w:sectPr>
      </w:pPr>
      <w:bookmarkStart w:id="155" w:name="_Toc8488"/>
    </w:p>
    <w:p w14:paraId="2E044EF3">
      <w:pPr>
        <w:pStyle w:val="4"/>
        <w:tabs>
          <w:tab w:val="left" w:pos="0"/>
        </w:tabs>
        <w:spacing w:line="480" w:lineRule="exact"/>
        <w:rPr>
          <w:rFonts w:ascii="宋体" w:hAnsi="宋体" w:cs="宋体"/>
          <w:color w:val="auto"/>
          <w:sz w:val="21"/>
          <w:szCs w:val="21"/>
          <w:highlight w:val="none"/>
        </w:rPr>
      </w:pPr>
      <w:r>
        <w:rPr>
          <w:rFonts w:hint="eastAsia" w:ascii="宋体" w:hAnsi="宋体" w:cs="宋体"/>
          <w:snapToGrid w:val="0"/>
          <w:color w:val="auto"/>
          <w:sz w:val="21"/>
          <w:szCs w:val="21"/>
          <w:highlight w:val="none"/>
        </w:rPr>
        <w:t>小型、微企业/残疾人福利性单位提供货物/服务明细表格式</w:t>
      </w:r>
    </w:p>
    <w:p w14:paraId="71A4FB7D">
      <w:pPr>
        <w:tabs>
          <w:tab w:val="left" w:pos="630"/>
        </w:tabs>
        <w:spacing w:after="230" w:afterLines="73" w:line="480" w:lineRule="exact"/>
        <w:jc w:val="left"/>
        <w:rPr>
          <w:rFonts w:ascii="宋体" w:hAnsi="宋体" w:cs="宋体"/>
          <w:b/>
          <w:snapToGrid w:val="0"/>
          <w:color w:val="auto"/>
          <w:szCs w:val="21"/>
          <w:highlight w:val="none"/>
        </w:rPr>
      </w:pPr>
      <w:r>
        <w:rPr>
          <w:rFonts w:hint="eastAsia" w:ascii="宋体" w:hAnsi="宋体" w:cs="宋体"/>
          <w:b/>
          <w:snapToGrid w:val="0"/>
          <w:color w:val="auto"/>
          <w:szCs w:val="21"/>
          <w:highlight w:val="none"/>
        </w:rPr>
        <w:t>（若有的话，以包为单位分别填写）</w:t>
      </w:r>
    </w:p>
    <w:p w14:paraId="11B01D4B">
      <w:pPr>
        <w:tabs>
          <w:tab w:val="left" w:pos="630"/>
        </w:tabs>
        <w:spacing w:after="230" w:afterLines="73" w:line="480" w:lineRule="exact"/>
        <w:jc w:val="center"/>
        <w:rPr>
          <w:rFonts w:ascii="宋体" w:hAnsi="宋体" w:cs="宋体"/>
          <w:b/>
          <w:snapToGrid w:val="0"/>
          <w:color w:val="auto"/>
          <w:szCs w:val="21"/>
          <w:highlight w:val="none"/>
        </w:rPr>
      </w:pPr>
      <w:bookmarkStart w:id="156" w:name="_Toc29485"/>
      <w:r>
        <w:rPr>
          <w:rFonts w:hint="eastAsia" w:ascii="宋体" w:hAnsi="宋体" w:cs="宋体"/>
          <w:b/>
          <w:snapToGrid w:val="0"/>
          <w:color w:val="auto"/>
          <w:szCs w:val="21"/>
          <w:highlight w:val="none"/>
        </w:rPr>
        <w:t>小型、微型企业/残疾人福利性单位提供货物、服务明细表</w:t>
      </w:r>
      <w:bookmarkEnd w:id="156"/>
    </w:p>
    <w:p w14:paraId="09480883">
      <w:pPr>
        <w:pStyle w:val="31"/>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113E155">
      <w:pPr>
        <w:pStyle w:val="31"/>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0FEA8BB">
      <w:pPr>
        <w:pStyle w:val="31"/>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14:paraId="0ABBAB41">
      <w:pPr>
        <w:pStyle w:val="31"/>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包    号：</w:t>
      </w:r>
      <w:r>
        <w:rPr>
          <w:rFonts w:hint="eastAsia" w:ascii="宋体" w:hAnsi="宋体" w:cs="宋体"/>
          <w:color w:val="auto"/>
          <w:sz w:val="21"/>
          <w:szCs w:val="21"/>
          <w:highlight w:val="none"/>
          <w:u w:val="single"/>
        </w:rPr>
        <w:t xml:space="preserve">                                   </w:t>
      </w:r>
    </w:p>
    <w:p w14:paraId="5A4211FE">
      <w:pPr>
        <w:spacing w:line="276" w:lineRule="auto"/>
        <w:jc w:val="right"/>
        <w:rPr>
          <w:rFonts w:ascii="宋体" w:hAnsi="宋体" w:cs="宋体"/>
          <w:color w:val="auto"/>
          <w:szCs w:val="21"/>
          <w:highlight w:val="none"/>
          <w:u w:val="single"/>
        </w:rPr>
      </w:pPr>
      <w:r>
        <w:rPr>
          <w:rFonts w:hint="eastAsia" w:ascii="宋体" w:hAnsi="宋体" w:cs="宋体"/>
          <w:color w:val="auto"/>
          <w:szCs w:val="21"/>
          <w:highlight w:val="none"/>
        </w:rPr>
        <w:t xml:space="preserve"> 货币：人民币/元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687"/>
        <w:gridCol w:w="711"/>
        <w:gridCol w:w="711"/>
        <w:gridCol w:w="948"/>
        <w:gridCol w:w="830"/>
        <w:gridCol w:w="943"/>
        <w:gridCol w:w="1520"/>
        <w:gridCol w:w="1807"/>
      </w:tblGrid>
      <w:tr w14:paraId="2FF5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58" w:type="dxa"/>
            <w:vAlign w:val="center"/>
          </w:tcPr>
          <w:p w14:paraId="79060F5F">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687" w:type="dxa"/>
            <w:vAlign w:val="center"/>
          </w:tcPr>
          <w:p w14:paraId="117CD01E">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货物名称</w:t>
            </w:r>
          </w:p>
        </w:tc>
        <w:tc>
          <w:tcPr>
            <w:tcW w:w="711" w:type="dxa"/>
            <w:vAlign w:val="center"/>
          </w:tcPr>
          <w:p w14:paraId="680E5D96">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品牌</w:t>
            </w:r>
          </w:p>
        </w:tc>
        <w:tc>
          <w:tcPr>
            <w:tcW w:w="711" w:type="dxa"/>
            <w:tcBorders>
              <w:bottom w:val="single" w:color="auto" w:sz="4" w:space="0"/>
            </w:tcBorders>
            <w:vAlign w:val="center"/>
          </w:tcPr>
          <w:p w14:paraId="178D28DC">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规格型号</w:t>
            </w:r>
          </w:p>
        </w:tc>
        <w:tc>
          <w:tcPr>
            <w:tcW w:w="948" w:type="dxa"/>
            <w:tcBorders>
              <w:bottom w:val="single" w:color="auto" w:sz="4" w:space="0"/>
            </w:tcBorders>
            <w:vAlign w:val="center"/>
          </w:tcPr>
          <w:p w14:paraId="4E10255B">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产地及厂家</w:t>
            </w:r>
          </w:p>
        </w:tc>
        <w:tc>
          <w:tcPr>
            <w:tcW w:w="830" w:type="dxa"/>
            <w:tcBorders>
              <w:bottom w:val="single" w:color="auto" w:sz="4" w:space="0"/>
            </w:tcBorders>
            <w:vAlign w:val="center"/>
          </w:tcPr>
          <w:p w14:paraId="12671ACD">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数量</w:t>
            </w:r>
          </w:p>
        </w:tc>
        <w:tc>
          <w:tcPr>
            <w:tcW w:w="943" w:type="dxa"/>
            <w:tcBorders>
              <w:bottom w:val="single" w:color="auto" w:sz="4" w:space="0"/>
            </w:tcBorders>
            <w:vAlign w:val="center"/>
          </w:tcPr>
          <w:p w14:paraId="6C4A58DE">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单价</w:t>
            </w:r>
          </w:p>
        </w:tc>
        <w:tc>
          <w:tcPr>
            <w:tcW w:w="1520" w:type="dxa"/>
            <w:tcBorders>
              <w:bottom w:val="single" w:color="auto" w:sz="4" w:space="0"/>
            </w:tcBorders>
            <w:vAlign w:val="center"/>
          </w:tcPr>
          <w:p w14:paraId="4CFC2014">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小微企业产品价格总价</w:t>
            </w:r>
          </w:p>
        </w:tc>
        <w:tc>
          <w:tcPr>
            <w:tcW w:w="1807" w:type="dxa"/>
            <w:tcBorders>
              <w:bottom w:val="single" w:color="auto" w:sz="4" w:space="0"/>
            </w:tcBorders>
            <w:vAlign w:val="center"/>
          </w:tcPr>
          <w:p w14:paraId="63D99554">
            <w:pPr>
              <w:adjustRightInd w:val="0"/>
              <w:snapToGrid w:val="0"/>
              <w:jc w:val="center"/>
              <w:rPr>
                <w:rFonts w:ascii="宋体" w:hAnsi="宋体" w:cs="宋体"/>
                <w:bCs/>
                <w:color w:val="auto"/>
                <w:szCs w:val="21"/>
                <w:highlight w:val="none"/>
              </w:rPr>
            </w:pPr>
            <w:r>
              <w:rPr>
                <w:rFonts w:hint="eastAsia" w:ascii="宋体" w:hAnsi="宋体" w:cs="宋体"/>
                <w:bCs/>
                <w:color w:val="auto"/>
                <w:szCs w:val="21"/>
                <w:highlight w:val="none"/>
              </w:rPr>
              <w:t>残疾人福利单位产品价格总价</w:t>
            </w:r>
          </w:p>
        </w:tc>
      </w:tr>
      <w:tr w14:paraId="5C7D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215F02F1">
            <w:pPr>
              <w:adjustRightInd w:val="0"/>
              <w:snapToGrid w:val="0"/>
              <w:jc w:val="center"/>
              <w:rPr>
                <w:rFonts w:ascii="宋体" w:hAnsi="宋体" w:cs="宋体"/>
                <w:bCs/>
                <w:color w:val="auto"/>
                <w:szCs w:val="21"/>
                <w:highlight w:val="none"/>
              </w:rPr>
            </w:pPr>
          </w:p>
        </w:tc>
        <w:tc>
          <w:tcPr>
            <w:tcW w:w="687" w:type="dxa"/>
            <w:vAlign w:val="center"/>
          </w:tcPr>
          <w:p w14:paraId="0818DC6B">
            <w:pPr>
              <w:adjustRightInd w:val="0"/>
              <w:snapToGrid w:val="0"/>
              <w:jc w:val="center"/>
              <w:rPr>
                <w:rFonts w:ascii="宋体" w:hAnsi="宋体" w:cs="宋体"/>
                <w:bCs/>
                <w:color w:val="auto"/>
                <w:szCs w:val="21"/>
                <w:highlight w:val="none"/>
              </w:rPr>
            </w:pPr>
          </w:p>
        </w:tc>
        <w:tc>
          <w:tcPr>
            <w:tcW w:w="711" w:type="dxa"/>
            <w:vAlign w:val="center"/>
          </w:tcPr>
          <w:p w14:paraId="5097D9C4">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3E1F32EB">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769CCDB8">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644FBA95">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387F643B">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2527E0B1">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54FC7783">
            <w:pPr>
              <w:adjustRightInd w:val="0"/>
              <w:snapToGrid w:val="0"/>
              <w:jc w:val="center"/>
              <w:rPr>
                <w:rFonts w:ascii="宋体" w:hAnsi="宋体" w:cs="宋体"/>
                <w:bCs/>
                <w:color w:val="auto"/>
                <w:szCs w:val="21"/>
                <w:highlight w:val="none"/>
              </w:rPr>
            </w:pPr>
          </w:p>
        </w:tc>
      </w:tr>
      <w:tr w14:paraId="17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792F56FE">
            <w:pPr>
              <w:adjustRightInd w:val="0"/>
              <w:snapToGrid w:val="0"/>
              <w:jc w:val="center"/>
              <w:rPr>
                <w:rFonts w:ascii="宋体" w:hAnsi="宋体" w:cs="宋体"/>
                <w:bCs/>
                <w:color w:val="auto"/>
                <w:szCs w:val="21"/>
                <w:highlight w:val="none"/>
              </w:rPr>
            </w:pPr>
          </w:p>
        </w:tc>
        <w:tc>
          <w:tcPr>
            <w:tcW w:w="687" w:type="dxa"/>
            <w:vAlign w:val="center"/>
          </w:tcPr>
          <w:p w14:paraId="5CCDFA53">
            <w:pPr>
              <w:adjustRightInd w:val="0"/>
              <w:snapToGrid w:val="0"/>
              <w:jc w:val="center"/>
              <w:rPr>
                <w:rFonts w:ascii="宋体" w:hAnsi="宋体" w:cs="宋体"/>
                <w:bCs/>
                <w:color w:val="auto"/>
                <w:szCs w:val="21"/>
                <w:highlight w:val="none"/>
              </w:rPr>
            </w:pPr>
          </w:p>
        </w:tc>
        <w:tc>
          <w:tcPr>
            <w:tcW w:w="711" w:type="dxa"/>
            <w:vAlign w:val="center"/>
          </w:tcPr>
          <w:p w14:paraId="5189BF36">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42313221">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0DF33A10">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70788E3C">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69DEF51E">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4B42A6C7">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651A490B">
            <w:pPr>
              <w:adjustRightInd w:val="0"/>
              <w:snapToGrid w:val="0"/>
              <w:jc w:val="center"/>
              <w:rPr>
                <w:rFonts w:ascii="宋体" w:hAnsi="宋体" w:cs="宋体"/>
                <w:bCs/>
                <w:color w:val="auto"/>
                <w:szCs w:val="21"/>
                <w:highlight w:val="none"/>
              </w:rPr>
            </w:pPr>
          </w:p>
        </w:tc>
      </w:tr>
      <w:tr w14:paraId="4B5F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58" w:type="dxa"/>
            <w:vAlign w:val="center"/>
          </w:tcPr>
          <w:p w14:paraId="7FB7E25F">
            <w:pPr>
              <w:adjustRightInd w:val="0"/>
              <w:snapToGrid w:val="0"/>
              <w:jc w:val="center"/>
              <w:rPr>
                <w:rFonts w:ascii="宋体" w:hAnsi="宋体" w:cs="宋体"/>
                <w:bCs/>
                <w:color w:val="auto"/>
                <w:szCs w:val="21"/>
                <w:highlight w:val="none"/>
              </w:rPr>
            </w:pPr>
          </w:p>
        </w:tc>
        <w:tc>
          <w:tcPr>
            <w:tcW w:w="687" w:type="dxa"/>
            <w:vAlign w:val="center"/>
          </w:tcPr>
          <w:p w14:paraId="6C63259C">
            <w:pPr>
              <w:adjustRightInd w:val="0"/>
              <w:snapToGrid w:val="0"/>
              <w:jc w:val="center"/>
              <w:rPr>
                <w:rFonts w:ascii="宋体" w:hAnsi="宋体" w:cs="宋体"/>
                <w:bCs/>
                <w:color w:val="auto"/>
                <w:szCs w:val="21"/>
                <w:highlight w:val="none"/>
              </w:rPr>
            </w:pPr>
          </w:p>
        </w:tc>
        <w:tc>
          <w:tcPr>
            <w:tcW w:w="711" w:type="dxa"/>
            <w:vAlign w:val="center"/>
          </w:tcPr>
          <w:p w14:paraId="204F039A">
            <w:pPr>
              <w:adjustRightInd w:val="0"/>
              <w:snapToGrid w:val="0"/>
              <w:jc w:val="center"/>
              <w:rPr>
                <w:rFonts w:ascii="宋体" w:hAnsi="宋体" w:cs="宋体"/>
                <w:bCs/>
                <w:color w:val="auto"/>
                <w:szCs w:val="21"/>
                <w:highlight w:val="none"/>
              </w:rPr>
            </w:pPr>
          </w:p>
        </w:tc>
        <w:tc>
          <w:tcPr>
            <w:tcW w:w="711" w:type="dxa"/>
            <w:tcBorders>
              <w:top w:val="single" w:color="auto" w:sz="4" w:space="0"/>
              <w:bottom w:val="single" w:color="auto" w:sz="4" w:space="0"/>
            </w:tcBorders>
            <w:vAlign w:val="center"/>
          </w:tcPr>
          <w:p w14:paraId="7868BD00">
            <w:pPr>
              <w:adjustRightInd w:val="0"/>
              <w:snapToGrid w:val="0"/>
              <w:jc w:val="center"/>
              <w:rPr>
                <w:rFonts w:ascii="宋体" w:hAnsi="宋体" w:cs="宋体"/>
                <w:bCs/>
                <w:color w:val="auto"/>
                <w:szCs w:val="21"/>
                <w:highlight w:val="none"/>
                <w:vertAlign w:val="superscript"/>
              </w:rPr>
            </w:pPr>
          </w:p>
        </w:tc>
        <w:tc>
          <w:tcPr>
            <w:tcW w:w="948" w:type="dxa"/>
            <w:tcBorders>
              <w:top w:val="single" w:color="auto" w:sz="4" w:space="0"/>
              <w:bottom w:val="single" w:color="auto" w:sz="4" w:space="0"/>
            </w:tcBorders>
            <w:vAlign w:val="center"/>
          </w:tcPr>
          <w:p w14:paraId="0F97B43F">
            <w:pPr>
              <w:adjustRightInd w:val="0"/>
              <w:snapToGrid w:val="0"/>
              <w:jc w:val="center"/>
              <w:rPr>
                <w:rFonts w:ascii="宋体" w:hAnsi="宋体" w:cs="宋体"/>
                <w:bCs/>
                <w:color w:val="auto"/>
                <w:szCs w:val="21"/>
                <w:highlight w:val="none"/>
                <w:vertAlign w:val="superscript"/>
              </w:rPr>
            </w:pPr>
          </w:p>
        </w:tc>
        <w:tc>
          <w:tcPr>
            <w:tcW w:w="830" w:type="dxa"/>
            <w:tcBorders>
              <w:top w:val="single" w:color="auto" w:sz="4" w:space="0"/>
            </w:tcBorders>
            <w:vAlign w:val="center"/>
          </w:tcPr>
          <w:p w14:paraId="3E33ECCA">
            <w:pPr>
              <w:adjustRightInd w:val="0"/>
              <w:snapToGrid w:val="0"/>
              <w:jc w:val="center"/>
              <w:rPr>
                <w:rFonts w:ascii="宋体" w:hAnsi="宋体" w:cs="宋体"/>
                <w:bCs/>
                <w:color w:val="auto"/>
                <w:szCs w:val="21"/>
                <w:highlight w:val="none"/>
              </w:rPr>
            </w:pPr>
          </w:p>
        </w:tc>
        <w:tc>
          <w:tcPr>
            <w:tcW w:w="943" w:type="dxa"/>
            <w:tcBorders>
              <w:top w:val="single" w:color="auto" w:sz="4" w:space="0"/>
            </w:tcBorders>
            <w:vAlign w:val="center"/>
          </w:tcPr>
          <w:p w14:paraId="157AED5F">
            <w:pPr>
              <w:adjustRightInd w:val="0"/>
              <w:snapToGrid w:val="0"/>
              <w:jc w:val="center"/>
              <w:rPr>
                <w:rFonts w:ascii="宋体" w:hAnsi="宋体" w:cs="宋体"/>
                <w:bCs/>
                <w:color w:val="auto"/>
                <w:szCs w:val="21"/>
                <w:highlight w:val="none"/>
              </w:rPr>
            </w:pPr>
          </w:p>
        </w:tc>
        <w:tc>
          <w:tcPr>
            <w:tcW w:w="1520" w:type="dxa"/>
            <w:tcBorders>
              <w:top w:val="single" w:color="auto" w:sz="4" w:space="0"/>
            </w:tcBorders>
            <w:vAlign w:val="center"/>
          </w:tcPr>
          <w:p w14:paraId="4AFAE226">
            <w:pPr>
              <w:adjustRightInd w:val="0"/>
              <w:snapToGrid w:val="0"/>
              <w:jc w:val="center"/>
              <w:rPr>
                <w:rFonts w:ascii="宋体" w:hAnsi="宋体" w:cs="宋体"/>
                <w:bCs/>
                <w:color w:val="auto"/>
                <w:szCs w:val="21"/>
                <w:highlight w:val="none"/>
              </w:rPr>
            </w:pPr>
          </w:p>
        </w:tc>
        <w:tc>
          <w:tcPr>
            <w:tcW w:w="1807" w:type="dxa"/>
            <w:tcBorders>
              <w:top w:val="single" w:color="auto" w:sz="4" w:space="0"/>
            </w:tcBorders>
            <w:vAlign w:val="center"/>
          </w:tcPr>
          <w:p w14:paraId="25ECC9D2">
            <w:pPr>
              <w:adjustRightInd w:val="0"/>
              <w:snapToGrid w:val="0"/>
              <w:jc w:val="center"/>
              <w:rPr>
                <w:rFonts w:ascii="宋体" w:hAnsi="宋体" w:cs="宋体"/>
                <w:bCs/>
                <w:color w:val="auto"/>
                <w:szCs w:val="21"/>
                <w:highlight w:val="none"/>
              </w:rPr>
            </w:pPr>
          </w:p>
        </w:tc>
      </w:tr>
      <w:tr w14:paraId="70EF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88" w:type="dxa"/>
            <w:gridSpan w:val="7"/>
            <w:vAlign w:val="center"/>
          </w:tcPr>
          <w:p w14:paraId="113B0A0B">
            <w:pPr>
              <w:adjustRightInd w:val="0"/>
              <w:snapToGrid w:val="0"/>
              <w:rPr>
                <w:rFonts w:ascii="宋体" w:hAnsi="宋体" w:cs="宋体"/>
                <w:bCs/>
                <w:color w:val="auto"/>
                <w:szCs w:val="21"/>
                <w:highlight w:val="none"/>
              </w:rPr>
            </w:pPr>
          </w:p>
        </w:tc>
        <w:tc>
          <w:tcPr>
            <w:tcW w:w="1520" w:type="dxa"/>
            <w:vAlign w:val="center"/>
          </w:tcPr>
          <w:p w14:paraId="53BC4EDE">
            <w:pPr>
              <w:adjustRightInd w:val="0"/>
              <w:snapToGrid w:val="0"/>
              <w:jc w:val="left"/>
              <w:rPr>
                <w:rFonts w:ascii="宋体" w:hAnsi="宋体" w:cs="宋体"/>
                <w:bCs/>
                <w:color w:val="auto"/>
                <w:szCs w:val="21"/>
                <w:highlight w:val="none"/>
              </w:rPr>
            </w:pPr>
            <w:r>
              <w:rPr>
                <w:rFonts w:hint="eastAsia" w:ascii="宋体" w:hAnsi="宋体" w:cs="宋体"/>
                <w:bCs/>
                <w:color w:val="auto"/>
                <w:szCs w:val="21"/>
                <w:highlight w:val="none"/>
              </w:rPr>
              <w:t>小微企业产品价格合计：</w:t>
            </w:r>
          </w:p>
        </w:tc>
        <w:tc>
          <w:tcPr>
            <w:tcW w:w="1807" w:type="dxa"/>
            <w:vAlign w:val="center"/>
          </w:tcPr>
          <w:p w14:paraId="09406798">
            <w:pPr>
              <w:adjustRightInd w:val="0"/>
              <w:snapToGrid w:val="0"/>
              <w:jc w:val="left"/>
              <w:rPr>
                <w:rFonts w:ascii="宋体" w:hAnsi="宋体" w:cs="宋体"/>
                <w:bCs/>
                <w:color w:val="auto"/>
                <w:szCs w:val="21"/>
                <w:highlight w:val="none"/>
              </w:rPr>
            </w:pPr>
            <w:r>
              <w:rPr>
                <w:rFonts w:hint="eastAsia" w:ascii="宋体" w:hAnsi="宋体" w:cs="宋体"/>
                <w:bCs/>
                <w:color w:val="auto"/>
                <w:szCs w:val="21"/>
                <w:highlight w:val="none"/>
              </w:rPr>
              <w:t>残疾人福利单位产品价格合计：</w:t>
            </w:r>
          </w:p>
        </w:tc>
      </w:tr>
    </w:tbl>
    <w:p w14:paraId="2DBCC0A4">
      <w:pPr>
        <w:spacing w:line="360" w:lineRule="auto"/>
        <w:ind w:firstLine="420" w:firstLineChars="200"/>
        <w:rPr>
          <w:rFonts w:ascii="宋体" w:hAnsi="宋体" w:cs="宋体"/>
          <w:color w:val="auto"/>
          <w:szCs w:val="21"/>
          <w:highlight w:val="none"/>
        </w:rPr>
      </w:pPr>
    </w:p>
    <w:p w14:paraId="3449C8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说明：</w:t>
      </w:r>
    </w:p>
    <w:p w14:paraId="1A649206">
      <w:pPr>
        <w:numPr>
          <w:ilvl w:val="0"/>
          <w:numId w:val="16"/>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投标人如实填写表格，无相应内容可填的，填写“无”、“未测试”、“没有相应指标”等明确的回答文字，或用“/”来表示。</w:t>
      </w:r>
    </w:p>
    <w:p w14:paraId="028223CF">
      <w:pPr>
        <w:snapToGrid w:val="0"/>
        <w:spacing w:line="440" w:lineRule="exact"/>
        <w:ind w:firstLine="4200" w:firstLineChars="2000"/>
        <w:jc w:val="left"/>
        <w:rPr>
          <w:rFonts w:ascii="宋体" w:hAnsi="宋体" w:cs="宋体"/>
          <w:color w:val="auto"/>
          <w:szCs w:val="21"/>
          <w:highlight w:val="none"/>
        </w:rPr>
      </w:pPr>
    </w:p>
    <w:p w14:paraId="24B26A3E">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5008F6BB">
      <w:pPr>
        <w:snapToGrid w:val="0"/>
        <w:spacing w:line="440" w:lineRule="exact"/>
        <w:ind w:firstLine="4200" w:firstLineChars="20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CF0EC3F">
      <w:pPr>
        <w:rPr>
          <w:rFonts w:ascii="宋体" w:hAnsi="宋体" w:cs="宋体"/>
          <w:b/>
          <w:bCs/>
          <w:color w:val="auto"/>
          <w:szCs w:val="21"/>
          <w:highlight w:val="none"/>
        </w:rPr>
      </w:pPr>
    </w:p>
    <w:bookmarkEnd w:id="155"/>
    <w:p w14:paraId="3EB177F0">
      <w:pPr>
        <w:pStyle w:val="4"/>
        <w:tabs>
          <w:tab w:val="left" w:pos="0"/>
        </w:tabs>
        <w:spacing w:line="480" w:lineRule="exact"/>
        <w:rPr>
          <w:rFonts w:ascii="宋体" w:hAnsi="宋体" w:cs="宋体"/>
          <w:snapToGrid w:val="0"/>
          <w:color w:val="auto"/>
          <w:sz w:val="21"/>
          <w:szCs w:val="21"/>
          <w:highlight w:val="none"/>
        </w:rPr>
      </w:pPr>
    </w:p>
    <w:p w14:paraId="1A75705C">
      <w:pPr>
        <w:pStyle w:val="4"/>
        <w:tabs>
          <w:tab w:val="left" w:pos="0"/>
        </w:tabs>
        <w:spacing w:line="480" w:lineRule="exact"/>
        <w:rPr>
          <w:rFonts w:ascii="宋体" w:hAnsi="宋体" w:cs="宋体"/>
          <w:snapToGrid w:val="0"/>
          <w:color w:val="auto"/>
          <w:sz w:val="21"/>
          <w:szCs w:val="21"/>
          <w:highlight w:val="none"/>
        </w:rPr>
      </w:pPr>
    </w:p>
    <w:p w14:paraId="6EFC3F32">
      <w:pPr>
        <w:rPr>
          <w:rFonts w:ascii="宋体" w:hAnsi="宋体" w:cs="宋体"/>
          <w:color w:val="auto"/>
          <w:szCs w:val="21"/>
          <w:highlight w:val="none"/>
        </w:rPr>
      </w:pPr>
    </w:p>
    <w:p w14:paraId="4FA3348A">
      <w:pPr>
        <w:rPr>
          <w:rFonts w:ascii="宋体" w:hAnsi="宋体" w:cs="宋体"/>
          <w:color w:val="auto"/>
          <w:szCs w:val="21"/>
          <w:highlight w:val="none"/>
        </w:rPr>
      </w:pPr>
    </w:p>
    <w:p w14:paraId="701F12CD">
      <w:pPr>
        <w:rPr>
          <w:rFonts w:ascii="宋体" w:hAnsi="宋体" w:cs="宋体"/>
          <w:color w:val="auto"/>
          <w:szCs w:val="21"/>
          <w:highlight w:val="none"/>
        </w:rPr>
      </w:pPr>
    </w:p>
    <w:p w14:paraId="3D3E2DA1">
      <w:pPr>
        <w:rPr>
          <w:rFonts w:ascii="宋体" w:hAnsi="宋体" w:cs="宋体"/>
          <w:color w:val="auto"/>
          <w:szCs w:val="21"/>
          <w:highlight w:val="none"/>
        </w:rPr>
      </w:pPr>
    </w:p>
    <w:p w14:paraId="1455D8DE">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中小企业声明函</w:t>
      </w:r>
    </w:p>
    <w:p w14:paraId="4F474794">
      <w:pPr>
        <w:spacing w:line="440" w:lineRule="exact"/>
        <w:ind w:firstLine="415" w:firstLineChars="198"/>
        <w:jc w:val="left"/>
        <w:rPr>
          <w:rFonts w:ascii="宋体" w:hAnsi="宋体" w:cs="宋体"/>
          <w:b/>
          <w:bCs/>
          <w:color w:val="auto"/>
          <w:szCs w:val="21"/>
          <w:highlight w:val="none"/>
        </w:rPr>
      </w:pPr>
      <w:r>
        <w:rPr>
          <w:rFonts w:hint="eastAsia" w:ascii="宋体" w:hAnsi="宋体" w:cs="宋体"/>
          <w:b/>
          <w:bCs/>
          <w:color w:val="auto"/>
          <w:szCs w:val="21"/>
          <w:highlight w:val="none"/>
        </w:rPr>
        <w:t>按《政府采购促进中小企业发展管理办法》(财库[2020)46号)规定提供(若有的话，以包为单位分别填写)</w:t>
      </w:r>
    </w:p>
    <w:p w14:paraId="28B564BA">
      <w:pPr>
        <w:spacing w:line="440" w:lineRule="exact"/>
        <w:ind w:firstLine="415" w:firstLineChars="198"/>
        <w:jc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中小企业声明函(货物)</w:t>
      </w:r>
    </w:p>
    <w:p w14:paraId="20C41338">
      <w:pPr>
        <w:spacing w:line="440" w:lineRule="exact"/>
        <w:ind w:firstLine="415" w:firstLineChars="198"/>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本公司(联合体)郑重声明,根据《政府采购促进中小企业发展管理办法》(财库(2020)46号)的规定，本公司(联合体)参加</w:t>
      </w:r>
      <w:r>
        <w:rPr>
          <w:rFonts w:hint="eastAsia" w:ascii="宋体" w:hAnsi="宋体" w:cs="宋体"/>
          <w:color w:val="auto"/>
          <w:szCs w:val="21"/>
          <w:highlight w:val="none"/>
          <w:u w:val="single"/>
          <w:lang w:bidi="ar"/>
        </w:rPr>
        <w:t>(单位名称)</w:t>
      </w:r>
      <w:r>
        <w:rPr>
          <w:rFonts w:hint="eastAsia" w:ascii="宋体" w:hAnsi="宋体" w:cs="宋体"/>
          <w:color w:val="auto"/>
          <w:szCs w:val="21"/>
          <w:highlight w:val="none"/>
          <w:lang w:bidi="ar"/>
        </w:rPr>
        <w:t>的</w:t>
      </w:r>
      <w:r>
        <w:rPr>
          <w:rFonts w:hint="eastAsia" w:ascii="宋体" w:hAnsi="宋体" w:cs="宋体"/>
          <w:color w:val="auto"/>
          <w:szCs w:val="21"/>
          <w:highlight w:val="none"/>
          <w:u w:val="single"/>
          <w:lang w:bidi="ar"/>
        </w:rPr>
        <w:t>(项目名称)</w:t>
      </w:r>
      <w:r>
        <w:rPr>
          <w:rFonts w:hint="eastAsia" w:ascii="宋体" w:hAnsi="宋体" w:cs="宋体"/>
          <w:color w:val="auto"/>
          <w:szCs w:val="21"/>
          <w:highlight w:val="none"/>
          <w:lang w:bidi="ar"/>
        </w:rPr>
        <w:t>采购活动，提供的货物全部由符合政策要求的中小企业制造。相关企业(含联合体中的中小企业、签订分包意向协议的中小企业)的具体情况如下</w:t>
      </w:r>
      <w:r>
        <w:rPr>
          <w:rFonts w:hint="eastAsia" w:ascii="宋体" w:hAnsi="宋体" w:cs="宋体"/>
          <w:color w:val="auto"/>
          <w:szCs w:val="21"/>
          <w:highlight w:val="none"/>
          <w:lang w:eastAsia="zh-CN" w:bidi="ar"/>
        </w:rPr>
        <w:t>：</w:t>
      </w:r>
    </w:p>
    <w:p w14:paraId="6E106CA0">
      <w:pPr>
        <w:spacing w:line="440" w:lineRule="exact"/>
        <w:ind w:firstLine="415" w:firstLineChars="198"/>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1、</w:t>
      </w:r>
      <w:r>
        <w:rPr>
          <w:rFonts w:hint="eastAsia" w:ascii="宋体" w:hAnsi="宋体" w:cs="宋体"/>
          <w:color w:val="auto"/>
          <w:szCs w:val="21"/>
          <w:highlight w:val="none"/>
          <w:u w:val="single"/>
          <w:lang w:bidi="ar"/>
        </w:rPr>
        <w:t>(标的名称)</w:t>
      </w:r>
      <w:r>
        <w:rPr>
          <w:rFonts w:hint="eastAsia" w:ascii="宋体" w:hAnsi="宋体" w:cs="宋体"/>
          <w:color w:val="auto"/>
          <w:szCs w:val="21"/>
          <w:highlight w:val="none"/>
          <w:lang w:bidi="ar"/>
        </w:rPr>
        <w:t>，属于</w:t>
      </w:r>
      <w:r>
        <w:rPr>
          <w:rFonts w:hint="eastAsia" w:ascii="宋体" w:hAnsi="宋体" w:cs="宋体"/>
          <w:color w:val="auto"/>
          <w:szCs w:val="21"/>
          <w:highlight w:val="none"/>
          <w:u w:val="single"/>
          <w:lang w:bidi="ar"/>
        </w:rPr>
        <w:t>(</w:t>
      </w:r>
      <w:r>
        <w:rPr>
          <w:rFonts w:hint="eastAsia" w:ascii="宋体" w:hAnsi="宋体" w:cs="宋体"/>
          <w:color w:val="auto"/>
          <w:szCs w:val="21"/>
          <w:highlight w:val="none"/>
          <w:u w:val="single"/>
          <w:lang w:eastAsia="zh-CN" w:bidi="ar"/>
        </w:rPr>
        <w:t>招标文件</w:t>
      </w:r>
      <w:r>
        <w:rPr>
          <w:rFonts w:hint="eastAsia" w:ascii="宋体" w:hAnsi="宋体" w:cs="宋体"/>
          <w:color w:val="auto"/>
          <w:szCs w:val="21"/>
          <w:highlight w:val="none"/>
          <w:u w:val="single"/>
          <w:lang w:bidi="ar"/>
        </w:rPr>
        <w:t>中明确的所属行业)</w:t>
      </w:r>
      <w:r>
        <w:rPr>
          <w:rFonts w:hint="eastAsia" w:ascii="宋体" w:hAnsi="宋体" w:cs="宋体"/>
          <w:color w:val="auto"/>
          <w:szCs w:val="21"/>
          <w:highlight w:val="none"/>
          <w:lang w:bidi="ar"/>
        </w:rPr>
        <w:t>行业</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制造商为企业名称)，从业人员_人，营业收入为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万元，属于</w:t>
      </w:r>
      <w:r>
        <w:rPr>
          <w:rFonts w:hint="eastAsia" w:ascii="宋体" w:hAnsi="宋体" w:cs="宋体"/>
          <w:color w:val="auto"/>
          <w:szCs w:val="21"/>
          <w:highlight w:val="none"/>
          <w:u w:val="single"/>
          <w:lang w:bidi="ar"/>
        </w:rPr>
        <w:t>中型企业、小型企业、微型企业</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w:t>
      </w:r>
    </w:p>
    <w:p w14:paraId="3EF89FB8">
      <w:pPr>
        <w:spacing w:line="440" w:lineRule="exact"/>
        <w:ind w:firstLine="415" w:firstLineChars="198"/>
        <w:rPr>
          <w:rFonts w:hint="eastAsia" w:ascii="宋体" w:hAnsi="宋体" w:cs="宋体"/>
          <w:color w:val="auto"/>
          <w:szCs w:val="21"/>
          <w:highlight w:val="none"/>
          <w:u w:val="single"/>
          <w:lang w:eastAsia="zh-CN" w:bidi="ar"/>
        </w:rPr>
      </w:pPr>
      <w:r>
        <w:rPr>
          <w:rFonts w:hint="eastAsia" w:ascii="宋体" w:hAnsi="宋体" w:cs="宋体"/>
          <w:color w:val="auto"/>
          <w:szCs w:val="21"/>
          <w:highlight w:val="none"/>
          <w:lang w:bidi="ar"/>
        </w:rPr>
        <w:t>2、</w:t>
      </w:r>
      <w:r>
        <w:rPr>
          <w:rFonts w:hint="eastAsia" w:ascii="宋体" w:hAnsi="宋体" w:cs="宋体"/>
          <w:color w:val="auto"/>
          <w:szCs w:val="21"/>
          <w:highlight w:val="none"/>
          <w:u w:val="single"/>
          <w:lang w:bidi="ar"/>
        </w:rPr>
        <w:t>(标的名称)</w:t>
      </w:r>
      <w:r>
        <w:rPr>
          <w:rFonts w:hint="eastAsia" w:ascii="宋体" w:hAnsi="宋体" w:cs="宋体"/>
          <w:color w:val="auto"/>
          <w:szCs w:val="21"/>
          <w:highlight w:val="none"/>
          <w:lang w:bidi="ar"/>
        </w:rPr>
        <w:t>，属于</w:t>
      </w:r>
      <w:r>
        <w:rPr>
          <w:rFonts w:hint="eastAsia" w:ascii="宋体" w:hAnsi="宋体" w:cs="宋体"/>
          <w:color w:val="auto"/>
          <w:szCs w:val="21"/>
          <w:highlight w:val="none"/>
          <w:u w:val="single"/>
          <w:lang w:bidi="ar"/>
        </w:rPr>
        <w:t>(</w:t>
      </w:r>
      <w:r>
        <w:rPr>
          <w:rFonts w:hint="eastAsia" w:ascii="宋体" w:hAnsi="宋体" w:cs="宋体"/>
          <w:color w:val="auto"/>
          <w:szCs w:val="21"/>
          <w:highlight w:val="none"/>
          <w:u w:val="single"/>
          <w:lang w:eastAsia="zh-CN" w:bidi="ar"/>
        </w:rPr>
        <w:t>招标文件</w:t>
      </w:r>
      <w:r>
        <w:rPr>
          <w:rFonts w:hint="eastAsia" w:ascii="宋体" w:hAnsi="宋体" w:cs="宋体"/>
          <w:color w:val="auto"/>
          <w:szCs w:val="21"/>
          <w:highlight w:val="none"/>
          <w:u w:val="single"/>
          <w:lang w:bidi="ar"/>
        </w:rPr>
        <w:t>中明确的所属行业)</w:t>
      </w:r>
      <w:r>
        <w:rPr>
          <w:rFonts w:hint="eastAsia" w:ascii="宋体" w:hAnsi="宋体" w:cs="宋体"/>
          <w:color w:val="auto"/>
          <w:szCs w:val="21"/>
          <w:highlight w:val="none"/>
          <w:lang w:bidi="ar"/>
        </w:rPr>
        <w:t>行业</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制造商为(企业名称)，从业人员_人，营业收入为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lang w:bidi="ar"/>
        </w:rPr>
        <w:t>万元，属于</w:t>
      </w:r>
      <w:r>
        <w:rPr>
          <w:rFonts w:hint="eastAsia" w:ascii="宋体" w:hAnsi="宋体" w:cs="宋体"/>
          <w:color w:val="auto"/>
          <w:szCs w:val="21"/>
          <w:highlight w:val="none"/>
          <w:u w:val="single"/>
          <w:lang w:bidi="ar"/>
        </w:rPr>
        <w:t>中型企业、小型企业、徵型企业)</w:t>
      </w:r>
      <w:r>
        <w:rPr>
          <w:rFonts w:hint="eastAsia" w:ascii="宋体" w:hAnsi="宋体" w:cs="宋体"/>
          <w:color w:val="auto"/>
          <w:szCs w:val="21"/>
          <w:highlight w:val="none"/>
          <w:u w:val="single"/>
          <w:lang w:eastAsia="zh-CN" w:bidi="ar"/>
        </w:rPr>
        <w:t>；</w:t>
      </w:r>
    </w:p>
    <w:p w14:paraId="21FE9F48">
      <w:pPr>
        <w:pStyle w:val="17"/>
        <w:ind w:left="0" w:leftChars="0" w:firstLine="630" w:firstLineChars="300"/>
        <w:rPr>
          <w:rFonts w:hint="eastAsia"/>
          <w:color w:val="auto"/>
          <w:highlight w:val="none"/>
          <w:lang w:val="en-US" w:eastAsia="zh-CN"/>
        </w:rPr>
      </w:pPr>
    </w:p>
    <w:p w14:paraId="4D4BA96A">
      <w:pPr>
        <w:pStyle w:val="17"/>
        <w:ind w:left="0" w:leftChars="0" w:firstLine="630" w:firstLineChars="300"/>
        <w:rPr>
          <w:rFonts w:hint="default"/>
          <w:color w:val="auto"/>
          <w:highlight w:val="none"/>
          <w:lang w:val="en-US" w:eastAsia="zh-CN"/>
        </w:rPr>
      </w:pPr>
      <w:r>
        <w:rPr>
          <w:rFonts w:hint="eastAsia"/>
          <w:color w:val="auto"/>
          <w:highlight w:val="none"/>
          <w:lang w:val="en-US" w:eastAsia="zh-CN"/>
        </w:rPr>
        <w:t xml:space="preserve"> ......</w:t>
      </w:r>
    </w:p>
    <w:p w14:paraId="5144051B">
      <w:pPr>
        <w:spacing w:line="440" w:lineRule="exact"/>
        <w:ind w:firstLine="415" w:firstLineChars="198"/>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以上企业，不属于大企业的分支机构，不存在控股股东为大企业的情形，也不存在与大企业的负责人为同一人的情形。</w:t>
      </w:r>
    </w:p>
    <w:p w14:paraId="41A1BB4C">
      <w:pPr>
        <w:spacing w:line="440" w:lineRule="exact"/>
        <w:ind w:firstLine="415" w:firstLineChars="198"/>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 </w:t>
      </w:r>
    </w:p>
    <w:p w14:paraId="2911AFD0">
      <w:pPr>
        <w:spacing w:line="440" w:lineRule="exact"/>
        <w:ind w:firstLine="3353" w:firstLineChars="1597"/>
        <w:rPr>
          <w:rFonts w:hint="eastAsia"/>
          <w:color w:val="auto"/>
          <w:sz w:val="21"/>
          <w:szCs w:val="21"/>
          <w:highlight w:val="none"/>
          <w:lang w:bidi="ar"/>
        </w:rPr>
      </w:pPr>
      <w:r>
        <w:rPr>
          <w:rFonts w:hint="eastAsia"/>
          <w:color w:val="auto"/>
          <w:sz w:val="21"/>
          <w:szCs w:val="21"/>
          <w:highlight w:val="none"/>
          <w:lang w:bidi="ar"/>
        </w:rPr>
        <w:t xml:space="preserve">  </w:t>
      </w:r>
    </w:p>
    <w:p w14:paraId="2FB151E4">
      <w:pPr>
        <w:spacing w:line="440" w:lineRule="exact"/>
        <w:ind w:firstLine="3353" w:firstLineChars="1597"/>
        <w:rPr>
          <w:rFonts w:hint="eastAsia"/>
          <w:color w:val="auto"/>
          <w:sz w:val="21"/>
          <w:szCs w:val="21"/>
          <w:highlight w:val="none"/>
          <w:lang w:bidi="ar"/>
        </w:rPr>
      </w:pPr>
    </w:p>
    <w:p w14:paraId="3AFB50B5">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8E76663">
      <w:pPr>
        <w:snapToGrid w:val="0"/>
        <w:spacing w:line="440" w:lineRule="exact"/>
        <w:ind w:firstLine="4200" w:firstLineChars="20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523BB077">
      <w:pPr>
        <w:spacing w:line="440" w:lineRule="exact"/>
        <w:ind w:firstLine="415" w:firstLineChars="198"/>
        <w:rPr>
          <w:rFonts w:ascii="宋体" w:hAnsi="宋体" w:cs="宋体"/>
          <w:color w:val="auto"/>
          <w:szCs w:val="21"/>
          <w:highlight w:val="none"/>
        </w:rPr>
      </w:pPr>
    </w:p>
    <w:p w14:paraId="1AA940FA">
      <w:pPr>
        <w:pStyle w:val="15"/>
        <w:widowControl w:val="0"/>
        <w:spacing w:before="0" w:beforeAutospacing="0" w:after="0" w:afterAutospacing="0" w:line="440" w:lineRule="exact"/>
        <w:jc w:val="both"/>
        <w:rPr>
          <w:b/>
          <w:color w:val="auto"/>
          <w:sz w:val="21"/>
          <w:szCs w:val="21"/>
          <w:highlight w:val="none"/>
        </w:rPr>
      </w:pPr>
    </w:p>
    <w:p w14:paraId="79850A79">
      <w:pPr>
        <w:pStyle w:val="15"/>
        <w:widowControl w:val="0"/>
        <w:spacing w:before="0" w:beforeAutospacing="0" w:after="0" w:afterAutospacing="0" w:line="440" w:lineRule="exact"/>
        <w:jc w:val="both"/>
        <w:rPr>
          <w:b/>
          <w:color w:val="auto"/>
          <w:sz w:val="21"/>
          <w:szCs w:val="21"/>
          <w:highlight w:val="none"/>
        </w:rPr>
      </w:pPr>
    </w:p>
    <w:p w14:paraId="07EDD9FA">
      <w:pPr>
        <w:pStyle w:val="15"/>
        <w:widowControl w:val="0"/>
        <w:spacing w:before="0" w:beforeAutospacing="0" w:after="0" w:afterAutospacing="0" w:line="440" w:lineRule="exact"/>
        <w:jc w:val="both"/>
        <w:rPr>
          <w:b/>
          <w:color w:val="auto"/>
          <w:sz w:val="21"/>
          <w:szCs w:val="21"/>
          <w:highlight w:val="none"/>
        </w:rPr>
      </w:pPr>
    </w:p>
    <w:p w14:paraId="7B6D5FB7">
      <w:pPr>
        <w:pStyle w:val="15"/>
        <w:widowControl w:val="0"/>
        <w:spacing w:before="0" w:beforeAutospacing="0" w:after="0" w:afterAutospacing="0" w:line="440" w:lineRule="exact"/>
        <w:jc w:val="both"/>
        <w:rPr>
          <w:b/>
          <w:color w:val="auto"/>
          <w:sz w:val="21"/>
          <w:szCs w:val="21"/>
          <w:highlight w:val="none"/>
        </w:rPr>
      </w:pPr>
    </w:p>
    <w:p w14:paraId="63AFE387">
      <w:pPr>
        <w:pStyle w:val="15"/>
        <w:widowControl w:val="0"/>
        <w:spacing w:before="0" w:beforeAutospacing="0" w:after="0" w:afterAutospacing="0" w:line="440" w:lineRule="exact"/>
        <w:jc w:val="both"/>
        <w:rPr>
          <w:b/>
          <w:color w:val="auto"/>
          <w:sz w:val="21"/>
          <w:szCs w:val="21"/>
          <w:highlight w:val="none"/>
        </w:rPr>
      </w:pPr>
    </w:p>
    <w:p w14:paraId="043CC0D4">
      <w:pPr>
        <w:pStyle w:val="15"/>
        <w:widowControl w:val="0"/>
        <w:spacing w:before="0" w:beforeAutospacing="0" w:after="0" w:afterAutospacing="0" w:line="440" w:lineRule="exact"/>
        <w:jc w:val="both"/>
        <w:rPr>
          <w:b/>
          <w:color w:val="auto"/>
          <w:sz w:val="21"/>
          <w:szCs w:val="21"/>
          <w:highlight w:val="none"/>
        </w:rPr>
      </w:pPr>
    </w:p>
    <w:p w14:paraId="39D6ECDD">
      <w:pPr>
        <w:pStyle w:val="15"/>
        <w:widowControl w:val="0"/>
        <w:spacing w:before="0" w:beforeAutospacing="0" w:after="0" w:afterAutospacing="0" w:line="440" w:lineRule="exact"/>
        <w:jc w:val="both"/>
        <w:rPr>
          <w:b/>
          <w:color w:val="auto"/>
          <w:sz w:val="21"/>
          <w:szCs w:val="21"/>
          <w:highlight w:val="none"/>
        </w:rPr>
      </w:pPr>
    </w:p>
    <w:p w14:paraId="6C379706">
      <w:pPr>
        <w:pStyle w:val="15"/>
        <w:widowControl w:val="0"/>
        <w:spacing w:before="0" w:beforeAutospacing="0" w:after="0" w:afterAutospacing="0" w:line="440" w:lineRule="exact"/>
        <w:jc w:val="both"/>
        <w:rPr>
          <w:b/>
          <w:color w:val="auto"/>
          <w:sz w:val="21"/>
          <w:szCs w:val="21"/>
          <w:highlight w:val="none"/>
        </w:rPr>
      </w:pPr>
    </w:p>
    <w:p w14:paraId="4F18897F">
      <w:pPr>
        <w:pStyle w:val="15"/>
        <w:widowControl w:val="0"/>
        <w:spacing w:before="0" w:beforeAutospacing="0" w:after="0" w:afterAutospacing="0" w:line="440" w:lineRule="exact"/>
        <w:jc w:val="both"/>
        <w:rPr>
          <w:b/>
          <w:color w:val="auto"/>
          <w:sz w:val="21"/>
          <w:szCs w:val="21"/>
          <w:highlight w:val="none"/>
        </w:rPr>
      </w:pPr>
    </w:p>
    <w:p w14:paraId="36B67199">
      <w:pPr>
        <w:tabs>
          <w:tab w:val="left" w:pos="1680"/>
        </w:tabs>
        <w:snapToGrid w:val="0"/>
        <w:spacing w:line="440" w:lineRule="exact"/>
        <w:jc w:val="center"/>
        <w:rPr>
          <w:rFonts w:hint="eastAsia" w:ascii="宋体" w:hAnsi="宋体" w:cs="宋体"/>
          <w:b/>
          <w:color w:val="auto"/>
          <w:szCs w:val="21"/>
          <w:highlight w:val="none"/>
          <w:lang w:bidi="ar"/>
        </w:rPr>
        <w:sectPr>
          <w:pgSz w:w="11906" w:h="16838"/>
          <w:pgMar w:top="1474" w:right="1474" w:bottom="1474" w:left="1474" w:header="1020" w:footer="1020" w:gutter="0"/>
          <w:pgNumType w:fmt="numberInDash"/>
          <w:cols w:space="720" w:num="1"/>
          <w:docGrid w:type="linesAndChars" w:linePitch="316" w:charSpace="0"/>
        </w:sectPr>
      </w:pPr>
      <w:bookmarkStart w:id="157" w:name="OLE_LINK13"/>
      <w:bookmarkStart w:id="158" w:name="OLE_LINK14"/>
    </w:p>
    <w:p w14:paraId="54C03AA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中国境内生产的组件成本核算基本规则</w:t>
      </w:r>
    </w:p>
    <w:p w14:paraId="518B11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A2802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一、产品的一级组件是指直接组成产品的组件。产品的二级组件是指直接组成产品一级组件的组件。一级组件不可分解的，视同二级组件。</w:t>
      </w:r>
    </w:p>
    <w:p w14:paraId="6FB8FB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二、二级组件在中国境内生产的，其全部成本计入中国境内生产的组件成本；二级组件不在中国境内生产的，其成本不计入中国境内生产的组件成本。</w:t>
      </w:r>
    </w:p>
    <w:p w14:paraId="20D345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三、产品总成本和组件成本以相关会计核算数据、采购合同、进货记录等为基础进行计算。</w:t>
      </w:r>
    </w:p>
    <w:p w14:paraId="499A9E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四、需要对成本核算规则予以进一步明确的其他有关事项，由财政部会同有关部门另行规定。</w:t>
      </w:r>
    </w:p>
    <w:p w14:paraId="4BC3EE10">
      <w:pPr>
        <w:spacing w:line="360" w:lineRule="auto"/>
        <w:ind w:firstLine="480" w:firstLineChars="200"/>
        <w:rPr>
          <w:rFonts w:ascii="华文中宋" w:hAnsi="华文中宋" w:eastAsia="华文中宋" w:cs="华文中宋"/>
          <w:b/>
          <w:color w:val="auto"/>
          <w:sz w:val="24"/>
          <w:szCs w:val="24"/>
          <w:lang w:bidi="ar"/>
        </w:rPr>
      </w:pPr>
    </w:p>
    <w:p w14:paraId="318B475D">
      <w:pPr>
        <w:spacing w:line="360" w:lineRule="auto"/>
        <w:ind w:firstLine="480" w:firstLineChars="200"/>
        <w:rPr>
          <w:rFonts w:ascii="华文中宋" w:hAnsi="华文中宋" w:eastAsia="华文中宋" w:cs="华文中宋"/>
          <w:b/>
          <w:color w:val="auto"/>
          <w:sz w:val="24"/>
          <w:szCs w:val="24"/>
          <w:lang w:bidi="ar"/>
        </w:rPr>
      </w:pPr>
    </w:p>
    <w:p w14:paraId="4DDDD865">
      <w:pPr>
        <w:spacing w:line="360" w:lineRule="auto"/>
        <w:ind w:firstLine="480" w:firstLineChars="200"/>
        <w:rPr>
          <w:rFonts w:ascii="华文中宋" w:hAnsi="华文中宋" w:eastAsia="华文中宋" w:cs="华文中宋"/>
          <w:b/>
          <w:color w:val="auto"/>
          <w:sz w:val="24"/>
          <w:szCs w:val="24"/>
          <w:lang w:bidi="ar"/>
        </w:rPr>
      </w:pPr>
    </w:p>
    <w:p w14:paraId="4F5D4576">
      <w:pPr>
        <w:spacing w:line="360" w:lineRule="auto"/>
        <w:ind w:firstLine="480" w:firstLineChars="200"/>
        <w:rPr>
          <w:rFonts w:ascii="华文中宋" w:hAnsi="华文中宋" w:eastAsia="华文中宋" w:cs="华文中宋"/>
          <w:b/>
          <w:color w:val="auto"/>
          <w:sz w:val="24"/>
          <w:szCs w:val="24"/>
          <w:lang w:bidi="ar"/>
        </w:rPr>
      </w:pPr>
    </w:p>
    <w:p w14:paraId="68A0B5E1">
      <w:pPr>
        <w:spacing w:line="360" w:lineRule="auto"/>
        <w:ind w:firstLine="480" w:firstLineChars="200"/>
        <w:rPr>
          <w:rFonts w:ascii="华文中宋" w:hAnsi="华文中宋" w:eastAsia="华文中宋" w:cs="华文中宋"/>
          <w:b/>
          <w:color w:val="auto"/>
          <w:sz w:val="24"/>
          <w:szCs w:val="24"/>
          <w:lang w:bidi="ar"/>
        </w:rPr>
      </w:pPr>
    </w:p>
    <w:p w14:paraId="3690AD69">
      <w:pPr>
        <w:spacing w:line="360" w:lineRule="auto"/>
        <w:ind w:firstLine="480" w:firstLineChars="200"/>
        <w:rPr>
          <w:rFonts w:ascii="华文中宋" w:hAnsi="华文中宋" w:eastAsia="华文中宋" w:cs="华文中宋"/>
          <w:b/>
          <w:color w:val="auto"/>
          <w:sz w:val="24"/>
          <w:szCs w:val="24"/>
          <w:lang w:bidi="ar"/>
        </w:rPr>
      </w:pPr>
      <w:r>
        <w:rPr>
          <w:rFonts w:ascii="华文中宋" w:hAnsi="华文中宋" w:eastAsia="华文中宋" w:cs="华文中宋"/>
          <w:b/>
          <w:color w:val="auto"/>
          <w:sz w:val="24"/>
          <w:szCs w:val="24"/>
          <w:lang w:bidi="ar"/>
        </w:rPr>
        <w:t xml:space="preserve"> </w:t>
      </w:r>
    </w:p>
    <w:p w14:paraId="67596790">
      <w:pPr>
        <w:spacing w:line="360" w:lineRule="auto"/>
        <w:ind w:firstLine="480" w:firstLineChars="200"/>
        <w:rPr>
          <w:rFonts w:ascii="华文中宋" w:hAnsi="华文中宋" w:eastAsia="华文中宋" w:cs="华文中宋"/>
          <w:b/>
          <w:color w:val="auto"/>
          <w:sz w:val="24"/>
          <w:szCs w:val="24"/>
          <w:lang w:bidi="ar"/>
        </w:rPr>
      </w:pPr>
    </w:p>
    <w:p w14:paraId="423F182B">
      <w:pPr>
        <w:spacing w:line="360" w:lineRule="auto"/>
        <w:ind w:firstLine="480" w:firstLineChars="200"/>
        <w:rPr>
          <w:rFonts w:ascii="华文中宋" w:hAnsi="华文中宋" w:eastAsia="华文中宋" w:cs="华文中宋"/>
          <w:b/>
          <w:color w:val="auto"/>
          <w:sz w:val="24"/>
          <w:szCs w:val="24"/>
          <w:lang w:bidi="ar"/>
        </w:rPr>
      </w:pPr>
    </w:p>
    <w:p w14:paraId="41D08786">
      <w:pPr>
        <w:pStyle w:val="7"/>
        <w:rPr>
          <w:color w:val="auto"/>
        </w:rPr>
      </w:pPr>
    </w:p>
    <w:p w14:paraId="6BE6F805">
      <w:pPr>
        <w:spacing w:line="360" w:lineRule="auto"/>
        <w:ind w:firstLine="480" w:firstLineChars="200"/>
        <w:rPr>
          <w:rFonts w:ascii="华文中宋" w:hAnsi="华文中宋" w:eastAsia="华文中宋" w:cs="华文中宋"/>
          <w:b/>
          <w:color w:val="auto"/>
          <w:sz w:val="24"/>
          <w:szCs w:val="24"/>
          <w:lang w:bidi="ar"/>
        </w:rPr>
      </w:pPr>
      <w:r>
        <w:rPr>
          <w:rFonts w:ascii="华文中宋" w:hAnsi="华文中宋" w:eastAsia="华文中宋" w:cs="华文中宋"/>
          <w:b/>
          <w:color w:val="auto"/>
          <w:sz w:val="24"/>
          <w:szCs w:val="24"/>
          <w:lang w:bidi="ar"/>
        </w:rPr>
        <w:t xml:space="preserve"> </w:t>
      </w:r>
    </w:p>
    <w:p w14:paraId="16C5C98F">
      <w:pPr>
        <w:spacing w:line="360" w:lineRule="auto"/>
        <w:ind w:firstLine="480" w:firstLineChars="200"/>
        <w:rPr>
          <w:rFonts w:ascii="华文中宋" w:hAnsi="华文中宋" w:eastAsia="华文中宋" w:cs="华文中宋"/>
          <w:b/>
          <w:color w:val="auto"/>
          <w:sz w:val="24"/>
          <w:szCs w:val="24"/>
          <w:lang w:bidi="ar"/>
        </w:rPr>
      </w:pPr>
    </w:p>
    <w:p w14:paraId="54275A81">
      <w:pPr>
        <w:spacing w:line="360" w:lineRule="auto"/>
        <w:ind w:firstLine="480" w:firstLineChars="200"/>
        <w:rPr>
          <w:rFonts w:hint="eastAsia" w:ascii="华文中宋" w:hAnsi="华文中宋" w:eastAsia="华文中宋" w:cs="华文中宋"/>
          <w:b/>
          <w:color w:val="auto"/>
          <w:sz w:val="24"/>
          <w:szCs w:val="24"/>
          <w:lang w:bidi="ar"/>
        </w:rPr>
      </w:pPr>
    </w:p>
    <w:p w14:paraId="51361B65">
      <w:pPr>
        <w:spacing w:line="360" w:lineRule="auto"/>
        <w:ind w:firstLine="480" w:firstLineChars="200"/>
        <w:rPr>
          <w:rFonts w:hint="eastAsia" w:ascii="华文中宋" w:hAnsi="华文中宋" w:eastAsia="华文中宋" w:cs="华文中宋"/>
          <w:b/>
          <w:color w:val="auto"/>
          <w:sz w:val="24"/>
          <w:szCs w:val="24"/>
          <w:lang w:bidi="ar"/>
        </w:rPr>
      </w:pPr>
    </w:p>
    <w:p w14:paraId="4DB7DB6E">
      <w:pPr>
        <w:spacing w:line="360" w:lineRule="auto"/>
        <w:ind w:firstLine="480" w:firstLineChars="200"/>
        <w:jc w:val="center"/>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关于符合本国产品标准的声明函</w:t>
      </w:r>
    </w:p>
    <w:p w14:paraId="4E935A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本公司（单位）郑重声明，根据《国务院办公厅关于在政府采购中实施本国产品标准及相关政策的通知》（国办发〔2025〕34号）的规定，本公司（单位）提供的以下产品属于本国产品。具体情况如下：</w:t>
      </w:r>
    </w:p>
    <w:p w14:paraId="4BD5A5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，生产厂为</w:t>
      </w:r>
      <w:r>
        <w:rPr>
          <w:rFonts w:hint="eastAsia" w:ascii="宋体" w:hAnsi="宋体" w:eastAsia="宋体" w:cs="宋体"/>
          <w:color w:val="auto"/>
          <w:sz w:val="24"/>
          <w:szCs w:val="24"/>
          <w:u w:val="single"/>
          <w:lang w:bidi="ar"/>
        </w:rPr>
        <w:t>（厂名）</w:t>
      </w:r>
      <w:r>
        <w:rPr>
          <w:rFonts w:hint="eastAsia" w:ascii="宋体" w:hAnsi="宋体" w:eastAsia="宋体" w:cs="宋体"/>
          <w:color w:val="auto"/>
          <w:sz w:val="24"/>
          <w:szCs w:val="24"/>
          <w:lang w:bidi="ar"/>
        </w:rPr>
        <w:t>，厂址为</w:t>
      </w:r>
      <w:r>
        <w:rPr>
          <w:rFonts w:hint="eastAsia" w:ascii="宋体" w:hAnsi="宋体" w:eastAsia="宋体" w:cs="宋体"/>
          <w:color w:val="auto"/>
          <w:sz w:val="24"/>
          <w:szCs w:val="24"/>
          <w:u w:val="single"/>
          <w:lang w:bidi="ar"/>
        </w:rPr>
        <w:t>（生产厂址）</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的中国境内生产的组件成本占比≥</w:t>
      </w:r>
      <w:r>
        <w:rPr>
          <w:rFonts w:hint="eastAsia" w:ascii="宋体" w:hAnsi="宋体" w:eastAsia="宋体" w:cs="宋体"/>
          <w:color w:val="auto"/>
          <w:sz w:val="24"/>
          <w:szCs w:val="24"/>
          <w:u w:val="single"/>
          <w:lang w:bidi="ar"/>
        </w:rPr>
        <w:t>（规定比例）</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（关键组件）</w:t>
      </w:r>
      <w:r>
        <w:rPr>
          <w:rFonts w:hint="eastAsia" w:ascii="宋体" w:hAnsi="宋体" w:eastAsia="宋体" w:cs="宋体"/>
          <w:color w:val="auto"/>
          <w:sz w:val="24"/>
          <w:szCs w:val="24"/>
          <w:lang w:bidi="ar"/>
        </w:rPr>
        <w:t>在中国境内生产。</w:t>
      </w:r>
      <w:r>
        <w:rPr>
          <w:rFonts w:hint="eastAsia" w:ascii="宋体" w:hAnsi="宋体" w:eastAsia="宋体" w:cs="宋体"/>
          <w:color w:val="auto"/>
          <w:sz w:val="24"/>
          <w:szCs w:val="24"/>
          <w:u w:val="single"/>
          <w:lang w:bidi="ar"/>
        </w:rPr>
        <w:t>（产品名称1）</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（关键工序）</w:t>
      </w:r>
      <w:r>
        <w:rPr>
          <w:rFonts w:hint="eastAsia" w:ascii="宋体" w:hAnsi="宋体" w:eastAsia="宋体" w:cs="宋体"/>
          <w:color w:val="auto"/>
          <w:sz w:val="24"/>
          <w:szCs w:val="24"/>
          <w:lang w:bidi="ar"/>
        </w:rPr>
        <w:t>在中国境内完成。</w:t>
      </w:r>
    </w:p>
    <w:p w14:paraId="2EDEA5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，生产厂为</w:t>
      </w:r>
      <w:r>
        <w:rPr>
          <w:rFonts w:hint="eastAsia" w:ascii="宋体" w:hAnsi="宋体" w:eastAsia="宋体" w:cs="宋体"/>
          <w:color w:val="auto"/>
          <w:sz w:val="24"/>
          <w:szCs w:val="24"/>
          <w:u w:val="single"/>
          <w:lang w:bidi="ar"/>
        </w:rPr>
        <w:t>（厂名）</w:t>
      </w:r>
      <w:r>
        <w:rPr>
          <w:rFonts w:hint="eastAsia" w:ascii="宋体" w:hAnsi="宋体" w:eastAsia="宋体" w:cs="宋体"/>
          <w:color w:val="auto"/>
          <w:sz w:val="24"/>
          <w:szCs w:val="24"/>
          <w:lang w:bidi="ar"/>
        </w:rPr>
        <w:t>，厂址为</w:t>
      </w:r>
      <w:r>
        <w:rPr>
          <w:rFonts w:hint="eastAsia" w:ascii="宋体" w:hAnsi="宋体" w:eastAsia="宋体" w:cs="宋体"/>
          <w:color w:val="auto"/>
          <w:sz w:val="24"/>
          <w:szCs w:val="24"/>
          <w:u w:val="single"/>
          <w:lang w:bidi="ar"/>
        </w:rPr>
        <w:t>（生产厂址）</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的中国境内生产的组件成本占比≥</w:t>
      </w:r>
      <w:r>
        <w:rPr>
          <w:rFonts w:hint="eastAsia" w:ascii="宋体" w:hAnsi="宋体" w:eastAsia="宋体" w:cs="宋体"/>
          <w:color w:val="auto"/>
          <w:sz w:val="24"/>
          <w:szCs w:val="24"/>
          <w:u w:val="single"/>
          <w:lang w:bidi="ar"/>
        </w:rPr>
        <w:t>（规定比例）</w:t>
      </w:r>
      <w:r>
        <w:rPr>
          <w:rFonts w:hint="eastAsia" w:ascii="宋体" w:hAnsi="宋体" w:eastAsia="宋体" w:cs="宋体"/>
          <w:color w:val="auto"/>
          <w:sz w:val="24"/>
          <w:szCs w:val="24"/>
          <w:lang w:bidi="ar"/>
        </w:rPr>
        <w:t>。</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（关键组件）</w:t>
      </w:r>
      <w:r>
        <w:rPr>
          <w:rFonts w:hint="eastAsia" w:ascii="宋体" w:hAnsi="宋体" w:eastAsia="宋体" w:cs="宋体"/>
          <w:color w:val="auto"/>
          <w:sz w:val="24"/>
          <w:szCs w:val="24"/>
          <w:lang w:bidi="ar"/>
        </w:rPr>
        <w:t>在中国境内生产。</w:t>
      </w:r>
      <w:r>
        <w:rPr>
          <w:rFonts w:hint="eastAsia" w:ascii="宋体" w:hAnsi="宋体" w:eastAsia="宋体" w:cs="宋体"/>
          <w:color w:val="auto"/>
          <w:sz w:val="24"/>
          <w:szCs w:val="24"/>
          <w:u w:val="single"/>
          <w:lang w:bidi="ar"/>
        </w:rPr>
        <w:t>（产品名称2）</w:t>
      </w:r>
      <w:r>
        <w:rPr>
          <w:rFonts w:hint="eastAsia" w:ascii="宋体" w:hAnsi="宋体" w:eastAsia="宋体" w:cs="宋体"/>
          <w:color w:val="auto"/>
          <w:sz w:val="24"/>
          <w:szCs w:val="24"/>
          <w:lang w:bidi="ar"/>
        </w:rPr>
        <w:t>的</w:t>
      </w:r>
      <w:r>
        <w:rPr>
          <w:rFonts w:hint="eastAsia" w:ascii="宋体" w:hAnsi="宋体" w:eastAsia="宋体" w:cs="宋体"/>
          <w:color w:val="auto"/>
          <w:sz w:val="24"/>
          <w:szCs w:val="24"/>
          <w:u w:val="single"/>
          <w:lang w:bidi="ar"/>
        </w:rPr>
        <w:t>（关键工序）</w:t>
      </w:r>
      <w:r>
        <w:rPr>
          <w:rFonts w:hint="eastAsia" w:ascii="宋体" w:hAnsi="宋体" w:eastAsia="宋体" w:cs="宋体"/>
          <w:color w:val="auto"/>
          <w:sz w:val="24"/>
          <w:szCs w:val="24"/>
          <w:lang w:bidi="ar"/>
        </w:rPr>
        <w:t>在中国境内完成。</w:t>
      </w:r>
    </w:p>
    <w:p w14:paraId="4E7221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w:t>
      </w:r>
    </w:p>
    <w:p w14:paraId="0771A7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本公司（单位）对上述声明内容的真实性负责。如有虚假，愿承担相应法律责任。</w:t>
      </w:r>
    </w:p>
    <w:p w14:paraId="10B805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lang w:bidi="ar"/>
        </w:rPr>
      </w:pPr>
      <w:r>
        <w:rPr>
          <w:rFonts w:hint="eastAsia" w:ascii="宋体" w:hAnsi="宋体" w:eastAsia="宋体" w:cs="宋体"/>
          <w:b/>
          <w:color w:val="auto"/>
          <w:sz w:val="24"/>
          <w:szCs w:val="24"/>
          <w:lang w:bidi="ar"/>
        </w:rPr>
        <w:t xml:space="preserve"> </w:t>
      </w:r>
    </w:p>
    <w:p w14:paraId="7ECA99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24"/>
          <w:szCs w:val="24"/>
          <w:lang w:bidi="ar"/>
        </w:rPr>
      </w:pPr>
    </w:p>
    <w:p w14:paraId="3D79F2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bidi="ar"/>
        </w:rPr>
        <w:t>公司（单位）名称（盖章）：</w:t>
      </w:r>
    </w:p>
    <w:p w14:paraId="0B9400C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b/>
          <w:color w:val="auto"/>
          <w:sz w:val="24"/>
          <w:szCs w:val="24"/>
          <w:lang w:bidi="ar"/>
        </w:rPr>
      </w:pPr>
      <w:r>
        <w:rPr>
          <w:rFonts w:hint="eastAsia" w:ascii="宋体" w:hAnsi="宋体" w:eastAsia="宋体" w:cs="宋体"/>
          <w:color w:val="auto"/>
          <w:sz w:val="24"/>
          <w:szCs w:val="24"/>
          <w:lang w:bidi="ar"/>
        </w:rPr>
        <w:t>日期：  年　  月　  日 </w:t>
      </w:r>
      <w:r>
        <w:rPr>
          <w:rFonts w:hint="eastAsia" w:ascii="宋体" w:hAnsi="宋体" w:eastAsia="宋体" w:cs="宋体"/>
          <w:b/>
          <w:color w:val="auto"/>
          <w:sz w:val="24"/>
          <w:szCs w:val="24"/>
          <w:lang w:bidi="ar"/>
        </w:rPr>
        <w:t>        </w:t>
      </w:r>
    </w:p>
    <w:p w14:paraId="51F625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1.产品如有型号，请在“产品名称”栏一并填写。</w:t>
      </w:r>
    </w:p>
    <w:p w14:paraId="413127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2.生产厂名与厂址应与生产厂营业执照载明的相关信息保持一致。</w:t>
      </w:r>
    </w:p>
    <w:p w14:paraId="11DF27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3.该产品的中国境内生产的组件成本占比相关要求实施前，“规定比例”栏可不填，下同。</w:t>
      </w:r>
    </w:p>
    <w:p w14:paraId="057334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4.该产品的关键组件要求实施前，“关键组件”栏可不填，下同。</w:t>
      </w:r>
    </w:p>
    <w:p w14:paraId="390C27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5.该产品的关键工序要求实施前，“关键工序”栏可不填，下同。</w:t>
      </w:r>
    </w:p>
    <w:p w14:paraId="7B4C513B">
      <w:pPr>
        <w:tabs>
          <w:tab w:val="left" w:pos="1680"/>
        </w:tabs>
        <w:snapToGrid w:val="0"/>
        <w:spacing w:line="440" w:lineRule="exact"/>
        <w:jc w:val="center"/>
        <w:rPr>
          <w:rFonts w:hint="eastAsia" w:ascii="宋体" w:hAnsi="宋体" w:cs="宋体"/>
          <w:b/>
          <w:color w:val="auto"/>
          <w:szCs w:val="21"/>
          <w:highlight w:val="none"/>
          <w:lang w:bidi="ar"/>
        </w:rPr>
        <w:sectPr>
          <w:pgSz w:w="11906" w:h="16838"/>
          <w:pgMar w:top="1474" w:right="1474" w:bottom="1474" w:left="1474" w:header="1020" w:footer="1020" w:gutter="0"/>
          <w:pgNumType w:fmt="numberInDash"/>
          <w:cols w:space="720" w:num="1"/>
          <w:docGrid w:type="linesAndChars" w:linePitch="316" w:charSpace="0"/>
        </w:sectPr>
      </w:pPr>
    </w:p>
    <w:p w14:paraId="4B7DB65B">
      <w:pPr>
        <w:tabs>
          <w:tab w:val="left" w:pos="1680"/>
        </w:tabs>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lang w:bidi="ar"/>
        </w:rPr>
        <w:t>附件2残疾人福利性单位声明函</w:t>
      </w:r>
    </w:p>
    <w:bookmarkEnd w:id="157"/>
    <w:bookmarkEnd w:id="158"/>
    <w:p w14:paraId="6FB35847">
      <w:pPr>
        <w:spacing w:line="440" w:lineRule="exact"/>
        <w:rPr>
          <w:rFonts w:ascii="宋体" w:hAnsi="宋体" w:cs="宋体"/>
          <w:b/>
          <w:color w:val="auto"/>
          <w:spacing w:val="6"/>
          <w:szCs w:val="21"/>
          <w:highlight w:val="none"/>
        </w:rPr>
      </w:pPr>
    </w:p>
    <w:p w14:paraId="0A992124">
      <w:pPr>
        <w:pStyle w:val="15"/>
        <w:widowControl w:val="0"/>
        <w:tabs>
          <w:tab w:val="left" w:pos="709"/>
        </w:tabs>
        <w:adjustRightInd w:val="0"/>
        <w:snapToGrid w:val="0"/>
        <w:spacing w:before="0" w:beforeAutospacing="0" w:after="0" w:afterAutospacing="0" w:line="440" w:lineRule="exact"/>
        <w:ind w:firstLine="420" w:firstLineChars="200"/>
        <w:jc w:val="both"/>
        <w:rPr>
          <w:bCs/>
          <w:color w:val="auto"/>
          <w:sz w:val="21"/>
          <w:szCs w:val="21"/>
          <w:highlight w:val="none"/>
        </w:rPr>
      </w:pPr>
      <w:r>
        <w:rPr>
          <w:rFonts w:hint="eastAsia"/>
          <w:bCs/>
          <w:color w:val="auto"/>
          <w:sz w:val="21"/>
          <w:szCs w:val="21"/>
          <w:highlight w:val="none"/>
          <w:lang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584C80">
      <w:pPr>
        <w:pStyle w:val="15"/>
        <w:widowControl w:val="0"/>
        <w:tabs>
          <w:tab w:val="left" w:pos="709"/>
        </w:tabs>
        <w:adjustRightInd w:val="0"/>
        <w:snapToGrid w:val="0"/>
        <w:spacing w:before="0" w:beforeAutospacing="0" w:after="0" w:afterAutospacing="0" w:line="440" w:lineRule="exact"/>
        <w:ind w:firstLine="420" w:firstLineChars="200"/>
        <w:jc w:val="both"/>
        <w:rPr>
          <w:bCs/>
          <w:color w:val="auto"/>
          <w:sz w:val="21"/>
          <w:szCs w:val="21"/>
          <w:highlight w:val="none"/>
        </w:rPr>
      </w:pPr>
      <w:r>
        <w:rPr>
          <w:rFonts w:hint="eastAsia"/>
          <w:bCs/>
          <w:color w:val="auto"/>
          <w:sz w:val="21"/>
          <w:szCs w:val="21"/>
          <w:highlight w:val="none"/>
          <w:lang w:bidi="ar"/>
        </w:rPr>
        <w:t>本单位对上述声明的真实性负责。如有虚假，将依法承担相应责任。</w:t>
      </w:r>
    </w:p>
    <w:p w14:paraId="2CAA4D86">
      <w:pPr>
        <w:pStyle w:val="6"/>
        <w:numPr>
          <w:ilvl w:val="0"/>
          <w:numId w:val="0"/>
        </w:numPr>
        <w:ind w:leftChars="200"/>
        <w:rPr>
          <w:rFonts w:ascii="宋体" w:hAnsi="宋体" w:eastAsia="宋体" w:cs="宋体"/>
          <w:color w:val="auto"/>
          <w:szCs w:val="21"/>
          <w:highlight w:val="none"/>
        </w:rPr>
      </w:pPr>
    </w:p>
    <w:p w14:paraId="75DD960A">
      <w:pPr>
        <w:rPr>
          <w:rFonts w:ascii="宋体" w:hAnsi="宋体" w:cs="宋体"/>
          <w:b/>
          <w:color w:val="auto"/>
          <w:kern w:val="0"/>
          <w:szCs w:val="21"/>
          <w:highlight w:val="none"/>
        </w:rPr>
      </w:pPr>
    </w:p>
    <w:p w14:paraId="4C9AF817">
      <w:pPr>
        <w:pStyle w:val="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br w:type="page"/>
      </w:r>
      <w:bookmarkStart w:id="159" w:name="_Toc78559544"/>
      <w:r>
        <w:rPr>
          <w:rFonts w:hint="eastAsia" w:ascii="宋体" w:hAnsi="宋体" w:eastAsia="宋体" w:cs="宋体"/>
          <w:color w:val="auto"/>
          <w:kern w:val="0"/>
          <w:sz w:val="21"/>
          <w:szCs w:val="21"/>
          <w:highlight w:val="none"/>
        </w:rPr>
        <w:t>商务技术</w:t>
      </w:r>
      <w:bookmarkEnd w:id="159"/>
      <w:r>
        <w:rPr>
          <w:rFonts w:hint="eastAsia" w:ascii="宋体" w:hAnsi="宋体" w:eastAsia="宋体" w:cs="宋体"/>
          <w:color w:val="auto"/>
          <w:kern w:val="0"/>
          <w:sz w:val="21"/>
          <w:szCs w:val="21"/>
          <w:highlight w:val="none"/>
          <w:lang w:eastAsia="zh-CN"/>
        </w:rPr>
        <w:t>投标文件</w:t>
      </w:r>
    </w:p>
    <w:p w14:paraId="481A6CDF">
      <w:pPr>
        <w:pStyle w:val="3"/>
        <w:numPr>
          <w:ilvl w:val="0"/>
          <w:numId w:val="0"/>
        </w:numPr>
        <w:spacing w:line="480" w:lineRule="exact"/>
        <w:ind w:left="0" w:leftChars="0" w:firstLine="0" w:firstLineChars="0"/>
        <w:rPr>
          <w:rFonts w:ascii="宋体" w:hAnsi="宋体" w:eastAsia="宋体" w:cs="宋体"/>
          <w:color w:val="auto"/>
          <w:kern w:val="0"/>
          <w:sz w:val="21"/>
          <w:szCs w:val="21"/>
          <w:highlight w:val="none"/>
        </w:rPr>
      </w:pPr>
      <w:bookmarkStart w:id="160" w:name="_Toc78559545"/>
      <w:r>
        <w:rPr>
          <w:rFonts w:hint="eastAsia" w:ascii="宋体" w:hAnsi="宋体" w:eastAsia="宋体" w:cs="宋体"/>
          <w:b/>
          <w:bCs/>
          <w:color w:val="auto"/>
          <w:kern w:val="0"/>
          <w:sz w:val="21"/>
          <w:szCs w:val="21"/>
          <w:highlight w:val="none"/>
          <w:lang w:val="en-US" w:eastAsia="zh-CN" w:bidi="ar-SA"/>
        </w:rPr>
        <w:t>一、</w:t>
      </w:r>
      <w:r>
        <w:rPr>
          <w:rFonts w:hint="eastAsia" w:ascii="宋体" w:hAnsi="宋体" w:eastAsia="宋体" w:cs="宋体"/>
          <w:color w:val="auto"/>
          <w:kern w:val="0"/>
          <w:sz w:val="21"/>
          <w:szCs w:val="21"/>
          <w:highlight w:val="none"/>
        </w:rPr>
        <w:t>对商务要求的响应内容格式</w:t>
      </w:r>
      <w:bookmarkEnd w:id="160"/>
    </w:p>
    <w:p w14:paraId="46ABB50D">
      <w:pPr>
        <w:autoSpaceDE w:val="0"/>
        <w:autoSpaceDN w:val="0"/>
        <w:adjustRightInd w:val="0"/>
        <w:spacing w:after="158" w:afterLines="50" w:line="440" w:lineRule="exact"/>
        <w:ind w:firstLine="105" w:firstLineChars="50"/>
        <w:jc w:val="left"/>
        <w:rPr>
          <w:rFonts w:ascii="宋体" w:hAnsi="宋体" w:cs="宋体"/>
          <w:b/>
          <w:color w:val="auto"/>
          <w:kern w:val="0"/>
          <w:szCs w:val="21"/>
          <w:highlight w:val="none"/>
        </w:rPr>
      </w:pPr>
      <w:r>
        <w:rPr>
          <w:rFonts w:hint="eastAsia" w:ascii="宋体" w:hAnsi="宋体" w:cs="宋体"/>
          <w:b/>
          <w:color w:val="auto"/>
          <w:kern w:val="0"/>
          <w:szCs w:val="21"/>
          <w:highlight w:val="none"/>
        </w:rPr>
        <w:t>根据本文件第四部分中商务要求内容进行响应；（若有的话，以包为单位分别填写）</w:t>
      </w:r>
    </w:p>
    <w:p w14:paraId="2C3128AA">
      <w:pPr>
        <w:autoSpaceDE w:val="0"/>
        <w:autoSpaceDN w:val="0"/>
        <w:adjustRightInd w:val="0"/>
        <w:spacing w:after="158" w:afterLines="50" w:line="440" w:lineRule="exact"/>
        <w:ind w:firstLine="105" w:firstLineChars="50"/>
        <w:jc w:val="center"/>
        <w:rPr>
          <w:rFonts w:ascii="宋体" w:hAnsi="宋体" w:cs="宋体"/>
          <w:b/>
          <w:color w:val="auto"/>
          <w:kern w:val="0"/>
          <w:szCs w:val="21"/>
          <w:highlight w:val="none"/>
        </w:rPr>
      </w:pPr>
      <w:r>
        <w:rPr>
          <w:rFonts w:hint="eastAsia" w:ascii="宋体" w:hAnsi="宋体" w:cs="宋体"/>
          <w:b/>
          <w:color w:val="auto"/>
          <w:kern w:val="0"/>
          <w:szCs w:val="21"/>
          <w:highlight w:val="none"/>
        </w:rPr>
        <w:t>商务要求响应内容表</w:t>
      </w:r>
    </w:p>
    <w:p w14:paraId="40D73E86">
      <w:pPr>
        <w:pStyle w:val="31"/>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DEE07DB">
      <w:pPr>
        <w:pStyle w:val="31"/>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2E99D578">
      <w:pPr>
        <w:pStyle w:val="31"/>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rPr>
        <w:t xml:space="preserve">                                   </w:t>
      </w:r>
    </w:p>
    <w:tbl>
      <w:tblPr>
        <w:tblStyle w:val="18"/>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4564"/>
        <w:gridCol w:w="1151"/>
        <w:gridCol w:w="1159"/>
      </w:tblGrid>
      <w:tr w14:paraId="45E6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3634F9D8">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536F7E75">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4564" w:type="dxa"/>
            <w:vAlign w:val="center"/>
          </w:tcPr>
          <w:p w14:paraId="76F072EF">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招标文件商务要求内容</w:t>
            </w:r>
          </w:p>
        </w:tc>
        <w:tc>
          <w:tcPr>
            <w:tcW w:w="1151" w:type="dxa"/>
            <w:vAlign w:val="center"/>
          </w:tcPr>
          <w:p w14:paraId="6D6C2336">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是否响应</w:t>
            </w:r>
          </w:p>
        </w:tc>
        <w:tc>
          <w:tcPr>
            <w:tcW w:w="1159" w:type="dxa"/>
            <w:vAlign w:val="center"/>
          </w:tcPr>
          <w:p w14:paraId="66490289">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85F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77DBE930">
            <w:pPr>
              <w:adjustRightInd w:val="0"/>
              <w:snapToGrid w:val="0"/>
              <w:spacing w:line="312" w:lineRule="auto"/>
              <w:jc w:val="center"/>
              <w:rPr>
                <w:rFonts w:ascii="宋体" w:hAnsi="宋体" w:cs="宋体"/>
                <w:color w:val="auto"/>
                <w:szCs w:val="21"/>
                <w:highlight w:val="none"/>
              </w:rPr>
            </w:pPr>
          </w:p>
        </w:tc>
        <w:tc>
          <w:tcPr>
            <w:tcW w:w="2012" w:type="dxa"/>
            <w:vAlign w:val="center"/>
          </w:tcPr>
          <w:p w14:paraId="24C69D8D">
            <w:pPr>
              <w:adjustRightInd w:val="0"/>
              <w:snapToGrid w:val="0"/>
              <w:jc w:val="center"/>
              <w:rPr>
                <w:rFonts w:ascii="宋体" w:hAnsi="宋体" w:cs="宋体"/>
                <w:color w:val="auto"/>
                <w:szCs w:val="21"/>
                <w:highlight w:val="none"/>
              </w:rPr>
            </w:pPr>
          </w:p>
        </w:tc>
        <w:tc>
          <w:tcPr>
            <w:tcW w:w="4564" w:type="dxa"/>
            <w:vAlign w:val="center"/>
          </w:tcPr>
          <w:p w14:paraId="6EA9352A">
            <w:pPr>
              <w:adjustRightInd w:val="0"/>
              <w:snapToGrid w:val="0"/>
              <w:jc w:val="center"/>
              <w:rPr>
                <w:rFonts w:ascii="宋体" w:hAnsi="宋体" w:cs="宋体"/>
                <w:color w:val="auto"/>
                <w:szCs w:val="21"/>
                <w:highlight w:val="none"/>
              </w:rPr>
            </w:pPr>
          </w:p>
        </w:tc>
        <w:tc>
          <w:tcPr>
            <w:tcW w:w="1151" w:type="dxa"/>
            <w:vAlign w:val="center"/>
          </w:tcPr>
          <w:p w14:paraId="70EB1E3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405B8D6F">
            <w:pPr>
              <w:adjustRightInd w:val="0"/>
              <w:snapToGrid w:val="0"/>
              <w:jc w:val="center"/>
              <w:rPr>
                <w:rFonts w:ascii="宋体" w:hAnsi="宋体" w:cs="宋体"/>
                <w:b/>
                <w:color w:val="auto"/>
                <w:szCs w:val="21"/>
                <w:highlight w:val="none"/>
              </w:rPr>
            </w:pPr>
          </w:p>
        </w:tc>
      </w:tr>
      <w:tr w14:paraId="5BA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222E471E">
            <w:pPr>
              <w:adjustRightInd w:val="0"/>
              <w:snapToGrid w:val="0"/>
              <w:spacing w:line="312" w:lineRule="auto"/>
              <w:jc w:val="center"/>
              <w:rPr>
                <w:rFonts w:ascii="宋体" w:hAnsi="宋体" w:cs="宋体"/>
                <w:color w:val="auto"/>
                <w:szCs w:val="21"/>
                <w:highlight w:val="none"/>
              </w:rPr>
            </w:pPr>
          </w:p>
        </w:tc>
        <w:tc>
          <w:tcPr>
            <w:tcW w:w="2012" w:type="dxa"/>
            <w:vAlign w:val="center"/>
          </w:tcPr>
          <w:p w14:paraId="21250357">
            <w:pPr>
              <w:adjustRightInd w:val="0"/>
              <w:snapToGrid w:val="0"/>
              <w:jc w:val="center"/>
              <w:rPr>
                <w:rFonts w:ascii="宋体" w:hAnsi="宋体" w:cs="宋体"/>
                <w:color w:val="auto"/>
                <w:szCs w:val="21"/>
                <w:highlight w:val="none"/>
              </w:rPr>
            </w:pPr>
          </w:p>
        </w:tc>
        <w:tc>
          <w:tcPr>
            <w:tcW w:w="4564" w:type="dxa"/>
            <w:vAlign w:val="center"/>
          </w:tcPr>
          <w:p w14:paraId="3625E420">
            <w:pPr>
              <w:adjustRightInd w:val="0"/>
              <w:snapToGrid w:val="0"/>
              <w:jc w:val="center"/>
              <w:rPr>
                <w:rFonts w:ascii="宋体" w:hAnsi="宋体" w:cs="宋体"/>
                <w:color w:val="auto"/>
                <w:szCs w:val="21"/>
                <w:highlight w:val="none"/>
              </w:rPr>
            </w:pPr>
          </w:p>
        </w:tc>
        <w:tc>
          <w:tcPr>
            <w:tcW w:w="1151" w:type="dxa"/>
            <w:vAlign w:val="center"/>
          </w:tcPr>
          <w:p w14:paraId="1BC8763F">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083E59D">
            <w:pPr>
              <w:adjustRightInd w:val="0"/>
              <w:snapToGrid w:val="0"/>
              <w:spacing w:line="312" w:lineRule="auto"/>
              <w:jc w:val="center"/>
              <w:rPr>
                <w:rFonts w:ascii="宋体" w:hAnsi="宋体" w:cs="宋体"/>
                <w:b/>
                <w:color w:val="auto"/>
                <w:szCs w:val="21"/>
                <w:highlight w:val="none"/>
              </w:rPr>
            </w:pPr>
          </w:p>
        </w:tc>
      </w:tr>
      <w:tr w14:paraId="5ACC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2970A71F">
            <w:pPr>
              <w:adjustRightInd w:val="0"/>
              <w:snapToGrid w:val="0"/>
              <w:spacing w:line="312" w:lineRule="auto"/>
              <w:jc w:val="center"/>
              <w:rPr>
                <w:rFonts w:ascii="宋体" w:hAnsi="宋体" w:cs="宋体"/>
                <w:color w:val="auto"/>
                <w:szCs w:val="21"/>
                <w:highlight w:val="none"/>
              </w:rPr>
            </w:pPr>
          </w:p>
        </w:tc>
        <w:tc>
          <w:tcPr>
            <w:tcW w:w="2012" w:type="dxa"/>
            <w:vAlign w:val="center"/>
          </w:tcPr>
          <w:p w14:paraId="6CBE99F0">
            <w:pPr>
              <w:jc w:val="center"/>
              <w:rPr>
                <w:rFonts w:ascii="宋体" w:hAnsi="宋体" w:cs="宋体"/>
                <w:color w:val="auto"/>
                <w:szCs w:val="21"/>
                <w:highlight w:val="none"/>
              </w:rPr>
            </w:pPr>
          </w:p>
        </w:tc>
        <w:tc>
          <w:tcPr>
            <w:tcW w:w="4564" w:type="dxa"/>
            <w:vAlign w:val="center"/>
          </w:tcPr>
          <w:p w14:paraId="5E143E0E">
            <w:pPr>
              <w:jc w:val="center"/>
              <w:rPr>
                <w:rFonts w:ascii="宋体" w:hAnsi="宋体" w:cs="宋体"/>
                <w:color w:val="auto"/>
                <w:szCs w:val="21"/>
                <w:highlight w:val="none"/>
              </w:rPr>
            </w:pPr>
          </w:p>
        </w:tc>
        <w:tc>
          <w:tcPr>
            <w:tcW w:w="1151" w:type="dxa"/>
            <w:vAlign w:val="center"/>
          </w:tcPr>
          <w:p w14:paraId="72FD7CD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40CF2EF">
            <w:pPr>
              <w:adjustRightInd w:val="0"/>
              <w:snapToGrid w:val="0"/>
              <w:spacing w:line="312" w:lineRule="auto"/>
              <w:jc w:val="center"/>
              <w:rPr>
                <w:rFonts w:ascii="宋体" w:hAnsi="宋体" w:cs="宋体"/>
                <w:b/>
                <w:color w:val="auto"/>
                <w:szCs w:val="21"/>
                <w:highlight w:val="none"/>
              </w:rPr>
            </w:pPr>
          </w:p>
        </w:tc>
      </w:tr>
      <w:tr w14:paraId="4C1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6D9029E3">
            <w:pPr>
              <w:adjustRightInd w:val="0"/>
              <w:snapToGrid w:val="0"/>
              <w:spacing w:line="312" w:lineRule="auto"/>
              <w:jc w:val="center"/>
              <w:rPr>
                <w:rFonts w:ascii="宋体" w:hAnsi="宋体" w:cs="宋体"/>
                <w:color w:val="auto"/>
                <w:szCs w:val="21"/>
                <w:highlight w:val="none"/>
              </w:rPr>
            </w:pPr>
          </w:p>
        </w:tc>
        <w:tc>
          <w:tcPr>
            <w:tcW w:w="2012" w:type="dxa"/>
            <w:vAlign w:val="center"/>
          </w:tcPr>
          <w:p w14:paraId="33DE390B">
            <w:pPr>
              <w:adjustRightInd w:val="0"/>
              <w:snapToGrid w:val="0"/>
              <w:jc w:val="center"/>
              <w:rPr>
                <w:rFonts w:ascii="宋体" w:hAnsi="宋体" w:cs="宋体"/>
                <w:color w:val="auto"/>
                <w:szCs w:val="21"/>
                <w:highlight w:val="none"/>
              </w:rPr>
            </w:pPr>
          </w:p>
        </w:tc>
        <w:tc>
          <w:tcPr>
            <w:tcW w:w="4564" w:type="dxa"/>
            <w:vAlign w:val="center"/>
          </w:tcPr>
          <w:p w14:paraId="219C1DAC">
            <w:pPr>
              <w:adjustRightInd w:val="0"/>
              <w:snapToGrid w:val="0"/>
              <w:jc w:val="center"/>
              <w:rPr>
                <w:rFonts w:ascii="宋体" w:hAnsi="宋体" w:cs="宋体"/>
                <w:color w:val="auto"/>
                <w:szCs w:val="21"/>
                <w:highlight w:val="none"/>
              </w:rPr>
            </w:pPr>
          </w:p>
        </w:tc>
        <w:tc>
          <w:tcPr>
            <w:tcW w:w="1151" w:type="dxa"/>
            <w:vAlign w:val="center"/>
          </w:tcPr>
          <w:p w14:paraId="701AF61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399D34C3">
            <w:pPr>
              <w:adjustRightInd w:val="0"/>
              <w:snapToGrid w:val="0"/>
              <w:spacing w:line="312" w:lineRule="auto"/>
              <w:jc w:val="center"/>
              <w:rPr>
                <w:rFonts w:ascii="宋体" w:hAnsi="宋体" w:cs="宋体"/>
                <w:b/>
                <w:color w:val="auto"/>
                <w:szCs w:val="21"/>
                <w:highlight w:val="none"/>
              </w:rPr>
            </w:pPr>
          </w:p>
        </w:tc>
      </w:tr>
      <w:tr w14:paraId="7D39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3A892497">
            <w:pPr>
              <w:adjustRightInd w:val="0"/>
              <w:snapToGrid w:val="0"/>
              <w:spacing w:line="312" w:lineRule="auto"/>
              <w:jc w:val="center"/>
              <w:rPr>
                <w:rFonts w:ascii="宋体" w:hAnsi="宋体" w:cs="宋体"/>
                <w:color w:val="auto"/>
                <w:szCs w:val="21"/>
                <w:highlight w:val="none"/>
              </w:rPr>
            </w:pPr>
          </w:p>
        </w:tc>
        <w:tc>
          <w:tcPr>
            <w:tcW w:w="2012" w:type="dxa"/>
            <w:vAlign w:val="center"/>
          </w:tcPr>
          <w:p w14:paraId="51254647">
            <w:pPr>
              <w:adjustRightInd w:val="0"/>
              <w:snapToGrid w:val="0"/>
              <w:jc w:val="center"/>
              <w:rPr>
                <w:rFonts w:ascii="宋体" w:hAnsi="宋体" w:cs="宋体"/>
                <w:color w:val="auto"/>
                <w:szCs w:val="21"/>
                <w:highlight w:val="none"/>
              </w:rPr>
            </w:pPr>
          </w:p>
        </w:tc>
        <w:tc>
          <w:tcPr>
            <w:tcW w:w="4564" w:type="dxa"/>
            <w:vAlign w:val="center"/>
          </w:tcPr>
          <w:p w14:paraId="5B05BC6E">
            <w:pPr>
              <w:adjustRightInd w:val="0"/>
              <w:snapToGrid w:val="0"/>
              <w:jc w:val="center"/>
              <w:rPr>
                <w:rFonts w:ascii="宋体" w:hAnsi="宋体" w:cs="宋体"/>
                <w:color w:val="auto"/>
                <w:szCs w:val="21"/>
                <w:highlight w:val="none"/>
              </w:rPr>
            </w:pPr>
          </w:p>
        </w:tc>
        <w:tc>
          <w:tcPr>
            <w:tcW w:w="1151" w:type="dxa"/>
            <w:vAlign w:val="center"/>
          </w:tcPr>
          <w:p w14:paraId="1C79EA5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8BF6EE0">
            <w:pPr>
              <w:adjustRightInd w:val="0"/>
              <w:snapToGrid w:val="0"/>
              <w:spacing w:line="312" w:lineRule="auto"/>
              <w:jc w:val="center"/>
              <w:rPr>
                <w:rFonts w:ascii="宋体" w:hAnsi="宋体" w:cs="宋体"/>
                <w:b/>
                <w:color w:val="auto"/>
                <w:szCs w:val="21"/>
                <w:highlight w:val="none"/>
              </w:rPr>
            </w:pPr>
          </w:p>
        </w:tc>
      </w:tr>
      <w:tr w14:paraId="67F8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6F7BD02">
            <w:pPr>
              <w:adjustRightInd w:val="0"/>
              <w:snapToGrid w:val="0"/>
              <w:spacing w:line="312" w:lineRule="auto"/>
              <w:jc w:val="center"/>
              <w:rPr>
                <w:rFonts w:ascii="宋体" w:hAnsi="宋体" w:cs="宋体"/>
                <w:color w:val="auto"/>
                <w:szCs w:val="21"/>
                <w:highlight w:val="none"/>
              </w:rPr>
            </w:pPr>
          </w:p>
        </w:tc>
        <w:tc>
          <w:tcPr>
            <w:tcW w:w="2012" w:type="dxa"/>
            <w:vAlign w:val="center"/>
          </w:tcPr>
          <w:p w14:paraId="155E2DF1">
            <w:pPr>
              <w:adjustRightInd w:val="0"/>
              <w:snapToGrid w:val="0"/>
              <w:jc w:val="center"/>
              <w:rPr>
                <w:rFonts w:ascii="宋体" w:hAnsi="宋体" w:cs="宋体"/>
                <w:color w:val="auto"/>
                <w:szCs w:val="21"/>
                <w:highlight w:val="none"/>
              </w:rPr>
            </w:pPr>
          </w:p>
        </w:tc>
        <w:tc>
          <w:tcPr>
            <w:tcW w:w="4564" w:type="dxa"/>
            <w:vAlign w:val="center"/>
          </w:tcPr>
          <w:p w14:paraId="01438B6A">
            <w:pPr>
              <w:adjustRightInd w:val="0"/>
              <w:snapToGrid w:val="0"/>
              <w:jc w:val="center"/>
              <w:rPr>
                <w:rFonts w:ascii="宋体" w:hAnsi="宋体" w:cs="宋体"/>
                <w:color w:val="auto"/>
                <w:szCs w:val="21"/>
                <w:highlight w:val="none"/>
              </w:rPr>
            </w:pPr>
          </w:p>
        </w:tc>
        <w:tc>
          <w:tcPr>
            <w:tcW w:w="1151" w:type="dxa"/>
            <w:vAlign w:val="center"/>
          </w:tcPr>
          <w:p w14:paraId="36799DDB">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A67B814">
            <w:pPr>
              <w:adjustRightInd w:val="0"/>
              <w:snapToGrid w:val="0"/>
              <w:spacing w:line="312" w:lineRule="auto"/>
              <w:jc w:val="center"/>
              <w:rPr>
                <w:rFonts w:ascii="宋体" w:hAnsi="宋体" w:cs="宋体"/>
                <w:b/>
                <w:color w:val="auto"/>
                <w:szCs w:val="21"/>
                <w:highlight w:val="none"/>
              </w:rPr>
            </w:pPr>
          </w:p>
        </w:tc>
      </w:tr>
      <w:tr w14:paraId="412C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3129AAE8">
            <w:pPr>
              <w:adjustRightInd w:val="0"/>
              <w:snapToGrid w:val="0"/>
              <w:spacing w:line="312" w:lineRule="auto"/>
              <w:jc w:val="center"/>
              <w:rPr>
                <w:rFonts w:ascii="宋体" w:hAnsi="宋体" w:cs="宋体"/>
                <w:color w:val="auto"/>
                <w:szCs w:val="21"/>
                <w:highlight w:val="none"/>
              </w:rPr>
            </w:pPr>
          </w:p>
        </w:tc>
        <w:tc>
          <w:tcPr>
            <w:tcW w:w="2012" w:type="dxa"/>
            <w:vAlign w:val="center"/>
          </w:tcPr>
          <w:p w14:paraId="79EEE3EB">
            <w:pPr>
              <w:adjustRightInd w:val="0"/>
              <w:snapToGrid w:val="0"/>
              <w:jc w:val="center"/>
              <w:rPr>
                <w:rFonts w:ascii="宋体" w:hAnsi="宋体" w:cs="宋体"/>
                <w:color w:val="auto"/>
                <w:szCs w:val="21"/>
                <w:highlight w:val="none"/>
              </w:rPr>
            </w:pPr>
          </w:p>
        </w:tc>
        <w:tc>
          <w:tcPr>
            <w:tcW w:w="4564" w:type="dxa"/>
            <w:vAlign w:val="center"/>
          </w:tcPr>
          <w:p w14:paraId="27035E4C">
            <w:pPr>
              <w:adjustRightInd w:val="0"/>
              <w:snapToGrid w:val="0"/>
              <w:jc w:val="center"/>
              <w:rPr>
                <w:rFonts w:ascii="宋体" w:hAnsi="宋体" w:cs="宋体"/>
                <w:color w:val="auto"/>
                <w:szCs w:val="21"/>
                <w:highlight w:val="none"/>
              </w:rPr>
            </w:pPr>
          </w:p>
        </w:tc>
        <w:tc>
          <w:tcPr>
            <w:tcW w:w="1151" w:type="dxa"/>
            <w:vAlign w:val="center"/>
          </w:tcPr>
          <w:p w14:paraId="68E4EE07">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842A743">
            <w:pPr>
              <w:adjustRightInd w:val="0"/>
              <w:snapToGrid w:val="0"/>
              <w:spacing w:line="312" w:lineRule="auto"/>
              <w:jc w:val="center"/>
              <w:rPr>
                <w:rFonts w:ascii="宋体" w:hAnsi="宋体" w:cs="宋体"/>
                <w:b/>
                <w:color w:val="auto"/>
                <w:szCs w:val="21"/>
                <w:highlight w:val="none"/>
              </w:rPr>
            </w:pPr>
          </w:p>
        </w:tc>
      </w:tr>
    </w:tbl>
    <w:p w14:paraId="7D5A190B">
      <w:pPr>
        <w:adjustRightInd w:val="0"/>
        <w:snapToGrid w:val="0"/>
        <w:spacing w:line="312" w:lineRule="auto"/>
        <w:rPr>
          <w:rFonts w:ascii="宋体" w:hAnsi="宋体" w:cs="宋体"/>
          <w:b/>
          <w:color w:val="auto"/>
          <w:szCs w:val="21"/>
          <w:highlight w:val="none"/>
        </w:rPr>
      </w:pPr>
    </w:p>
    <w:p w14:paraId="5A96463F">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19FD7035">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6297A1F1">
      <w:pPr>
        <w:spacing w:line="480" w:lineRule="exact"/>
        <w:ind w:firstLine="420" w:firstLineChars="200"/>
        <w:rPr>
          <w:rFonts w:ascii="宋体" w:hAnsi="宋体" w:cs="宋体"/>
          <w:color w:val="auto"/>
          <w:kern w:val="0"/>
          <w:szCs w:val="21"/>
          <w:highlight w:val="none"/>
        </w:rPr>
      </w:pPr>
    </w:p>
    <w:p w14:paraId="1438A79E">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1F6D46A">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w:t>
      </w:r>
      <w:r>
        <w:rPr>
          <w:rFonts w:hint="eastAsia" w:ascii="宋体" w:hAnsi="宋体" w:cs="宋体"/>
          <w:color w:val="auto"/>
          <w:szCs w:val="21"/>
          <w:highlight w:val="none"/>
        </w:rPr>
        <w:t xml:space="preserve">章） </w:t>
      </w:r>
    </w:p>
    <w:p w14:paraId="5022770E">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日     期：     年    月    日</w:t>
      </w:r>
    </w:p>
    <w:p w14:paraId="64927ECF">
      <w:pPr>
        <w:pStyle w:val="3"/>
        <w:numPr>
          <w:ilvl w:val="0"/>
          <w:numId w:val="0"/>
        </w:numPr>
        <w:spacing w:line="480" w:lineRule="exact"/>
        <w:ind w:left="0" w:leftChars="0" w:firstLine="0" w:firstLineChars="0"/>
        <w:rPr>
          <w:rFonts w:ascii="宋体" w:hAnsi="宋体" w:eastAsia="宋体" w:cs="宋体"/>
          <w:color w:val="auto"/>
          <w:kern w:val="0"/>
          <w:sz w:val="21"/>
          <w:szCs w:val="21"/>
          <w:highlight w:val="none"/>
        </w:rPr>
      </w:pPr>
      <w:bookmarkStart w:id="161" w:name="_Toc78559546"/>
      <w:r>
        <w:rPr>
          <w:rFonts w:hint="eastAsia" w:ascii="宋体" w:hAnsi="宋体" w:eastAsia="宋体" w:cs="宋体"/>
          <w:b/>
          <w:bCs/>
          <w:color w:val="auto"/>
          <w:kern w:val="0"/>
          <w:sz w:val="21"/>
          <w:szCs w:val="21"/>
          <w:highlight w:val="none"/>
          <w:lang w:val="en-US" w:eastAsia="zh-CN" w:bidi="ar-SA"/>
        </w:rPr>
        <w:t>二、</w:t>
      </w:r>
      <w:r>
        <w:rPr>
          <w:rFonts w:hint="eastAsia" w:ascii="宋体" w:hAnsi="宋体" w:eastAsia="宋体" w:cs="宋体"/>
          <w:color w:val="auto"/>
          <w:kern w:val="0"/>
          <w:sz w:val="21"/>
          <w:szCs w:val="21"/>
          <w:highlight w:val="none"/>
        </w:rPr>
        <w:t>实质性要求响应内容格式</w:t>
      </w:r>
      <w:bookmarkEnd w:id="161"/>
    </w:p>
    <w:p w14:paraId="0BFA5D86">
      <w:pPr>
        <w:tabs>
          <w:tab w:val="left" w:pos="1680"/>
        </w:tabs>
        <w:snapToGri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根据本文件第四部分中实质性要求内容进行响应；（若涉及以下格式资料内容，请按内容填写）</w:t>
      </w:r>
    </w:p>
    <w:p w14:paraId="352C5877">
      <w:pPr>
        <w:spacing w:line="480" w:lineRule="exact"/>
        <w:rPr>
          <w:rFonts w:ascii="宋体" w:hAnsi="宋体" w:cs="宋体"/>
          <w:b/>
          <w:color w:val="auto"/>
          <w:szCs w:val="21"/>
          <w:highlight w:val="none"/>
        </w:rPr>
      </w:pPr>
      <w:r>
        <w:rPr>
          <w:rFonts w:hint="eastAsia" w:ascii="宋体" w:hAnsi="宋体" w:cs="宋体"/>
          <w:b/>
          <w:color w:val="auto"/>
          <w:szCs w:val="21"/>
          <w:highlight w:val="none"/>
        </w:rPr>
        <w:t>政府强制采购产品明细表格式（若有的话，以包为单位分别填写）</w:t>
      </w:r>
    </w:p>
    <w:p w14:paraId="4AFBB156">
      <w:pPr>
        <w:spacing w:line="480" w:lineRule="exact"/>
        <w:jc w:val="center"/>
        <w:rPr>
          <w:rFonts w:ascii="宋体" w:hAnsi="宋体" w:cs="宋体"/>
          <w:b/>
          <w:color w:val="auto"/>
          <w:szCs w:val="21"/>
          <w:highlight w:val="none"/>
        </w:rPr>
      </w:pPr>
      <w:bookmarkStart w:id="162" w:name="_Toc12691"/>
      <w:r>
        <w:rPr>
          <w:rFonts w:hint="eastAsia" w:ascii="宋体" w:hAnsi="宋体" w:cs="宋体"/>
          <w:b/>
          <w:color w:val="auto"/>
          <w:szCs w:val="21"/>
          <w:highlight w:val="none"/>
        </w:rPr>
        <w:t>政府强制采购产品明细表</w:t>
      </w:r>
      <w:bookmarkEnd w:id="16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974"/>
        <w:gridCol w:w="1342"/>
        <w:gridCol w:w="745"/>
        <w:gridCol w:w="1341"/>
        <w:gridCol w:w="1550"/>
        <w:gridCol w:w="2025"/>
      </w:tblGrid>
      <w:tr w14:paraId="6F51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0" w:type="dxa"/>
            <w:vAlign w:val="center"/>
          </w:tcPr>
          <w:p w14:paraId="2D66E11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包号</w:t>
            </w:r>
          </w:p>
        </w:tc>
        <w:tc>
          <w:tcPr>
            <w:tcW w:w="974" w:type="dxa"/>
            <w:vAlign w:val="center"/>
          </w:tcPr>
          <w:p w14:paraId="44BF3FC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产品名称</w:t>
            </w:r>
          </w:p>
        </w:tc>
        <w:tc>
          <w:tcPr>
            <w:tcW w:w="1342" w:type="dxa"/>
            <w:vAlign w:val="center"/>
          </w:tcPr>
          <w:p w14:paraId="4BEB7A0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制造商</w:t>
            </w:r>
          </w:p>
        </w:tc>
        <w:tc>
          <w:tcPr>
            <w:tcW w:w="745" w:type="dxa"/>
            <w:vAlign w:val="center"/>
          </w:tcPr>
          <w:p w14:paraId="20ABD191">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产品型号</w:t>
            </w:r>
          </w:p>
        </w:tc>
        <w:tc>
          <w:tcPr>
            <w:tcW w:w="1341" w:type="dxa"/>
            <w:vAlign w:val="center"/>
          </w:tcPr>
          <w:p w14:paraId="5FF2A50F">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节能产品认证证书号</w:t>
            </w:r>
          </w:p>
        </w:tc>
        <w:tc>
          <w:tcPr>
            <w:tcW w:w="1550" w:type="dxa"/>
            <w:vAlign w:val="center"/>
          </w:tcPr>
          <w:p w14:paraId="4B22280A">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认证证书有效截止日期</w:t>
            </w:r>
          </w:p>
        </w:tc>
        <w:tc>
          <w:tcPr>
            <w:tcW w:w="2025" w:type="dxa"/>
            <w:vAlign w:val="center"/>
          </w:tcPr>
          <w:p w14:paraId="3BAA34A7">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认证证书影印件</w:t>
            </w:r>
          </w:p>
        </w:tc>
      </w:tr>
      <w:tr w14:paraId="6F02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 w:type="dxa"/>
          </w:tcPr>
          <w:p w14:paraId="635C8C70">
            <w:pPr>
              <w:adjustRightInd w:val="0"/>
              <w:snapToGrid w:val="0"/>
              <w:rPr>
                <w:rFonts w:ascii="宋体" w:hAnsi="宋体" w:cs="宋体"/>
                <w:b/>
                <w:color w:val="auto"/>
                <w:szCs w:val="21"/>
                <w:highlight w:val="none"/>
              </w:rPr>
            </w:pPr>
          </w:p>
        </w:tc>
        <w:tc>
          <w:tcPr>
            <w:tcW w:w="974" w:type="dxa"/>
          </w:tcPr>
          <w:p w14:paraId="44972CBD">
            <w:pPr>
              <w:adjustRightInd w:val="0"/>
              <w:snapToGrid w:val="0"/>
              <w:rPr>
                <w:rFonts w:ascii="宋体" w:hAnsi="宋体" w:cs="宋体"/>
                <w:b/>
                <w:color w:val="auto"/>
                <w:szCs w:val="21"/>
                <w:highlight w:val="none"/>
              </w:rPr>
            </w:pPr>
          </w:p>
        </w:tc>
        <w:tc>
          <w:tcPr>
            <w:tcW w:w="1342" w:type="dxa"/>
          </w:tcPr>
          <w:p w14:paraId="7AAF8602">
            <w:pPr>
              <w:adjustRightInd w:val="0"/>
              <w:snapToGrid w:val="0"/>
              <w:rPr>
                <w:rFonts w:ascii="宋体" w:hAnsi="宋体" w:cs="宋体"/>
                <w:b/>
                <w:color w:val="auto"/>
                <w:szCs w:val="21"/>
                <w:highlight w:val="none"/>
              </w:rPr>
            </w:pPr>
          </w:p>
        </w:tc>
        <w:tc>
          <w:tcPr>
            <w:tcW w:w="745" w:type="dxa"/>
          </w:tcPr>
          <w:p w14:paraId="36F39AFD">
            <w:pPr>
              <w:adjustRightInd w:val="0"/>
              <w:snapToGrid w:val="0"/>
              <w:rPr>
                <w:rFonts w:ascii="宋体" w:hAnsi="宋体" w:cs="宋体"/>
                <w:b/>
                <w:color w:val="auto"/>
                <w:szCs w:val="21"/>
                <w:highlight w:val="none"/>
              </w:rPr>
            </w:pPr>
          </w:p>
        </w:tc>
        <w:tc>
          <w:tcPr>
            <w:tcW w:w="1341" w:type="dxa"/>
          </w:tcPr>
          <w:p w14:paraId="2615D8DE">
            <w:pPr>
              <w:adjustRightInd w:val="0"/>
              <w:snapToGrid w:val="0"/>
              <w:rPr>
                <w:rFonts w:ascii="宋体" w:hAnsi="宋体" w:cs="宋体"/>
                <w:b/>
                <w:color w:val="auto"/>
                <w:szCs w:val="21"/>
                <w:highlight w:val="none"/>
              </w:rPr>
            </w:pPr>
          </w:p>
        </w:tc>
        <w:tc>
          <w:tcPr>
            <w:tcW w:w="1550" w:type="dxa"/>
          </w:tcPr>
          <w:p w14:paraId="11FFB577">
            <w:pPr>
              <w:adjustRightInd w:val="0"/>
              <w:snapToGrid w:val="0"/>
              <w:rPr>
                <w:rFonts w:ascii="宋体" w:hAnsi="宋体" w:cs="宋体"/>
                <w:b/>
                <w:color w:val="auto"/>
                <w:szCs w:val="21"/>
                <w:highlight w:val="none"/>
              </w:rPr>
            </w:pPr>
          </w:p>
        </w:tc>
        <w:tc>
          <w:tcPr>
            <w:tcW w:w="2025" w:type="dxa"/>
            <w:vAlign w:val="center"/>
          </w:tcPr>
          <w:p w14:paraId="2131C519">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3CD4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 w:type="dxa"/>
          </w:tcPr>
          <w:p w14:paraId="28CCCE90">
            <w:pPr>
              <w:adjustRightInd w:val="0"/>
              <w:snapToGrid w:val="0"/>
              <w:rPr>
                <w:rFonts w:ascii="宋体" w:hAnsi="宋体" w:cs="宋体"/>
                <w:b/>
                <w:color w:val="auto"/>
                <w:szCs w:val="21"/>
                <w:highlight w:val="none"/>
              </w:rPr>
            </w:pPr>
          </w:p>
        </w:tc>
        <w:tc>
          <w:tcPr>
            <w:tcW w:w="974" w:type="dxa"/>
          </w:tcPr>
          <w:p w14:paraId="2B84CE43">
            <w:pPr>
              <w:adjustRightInd w:val="0"/>
              <w:snapToGrid w:val="0"/>
              <w:rPr>
                <w:rFonts w:ascii="宋体" w:hAnsi="宋体" w:cs="宋体"/>
                <w:b/>
                <w:color w:val="auto"/>
                <w:szCs w:val="21"/>
                <w:highlight w:val="none"/>
              </w:rPr>
            </w:pPr>
          </w:p>
        </w:tc>
        <w:tc>
          <w:tcPr>
            <w:tcW w:w="1342" w:type="dxa"/>
          </w:tcPr>
          <w:p w14:paraId="639E75C1">
            <w:pPr>
              <w:adjustRightInd w:val="0"/>
              <w:snapToGrid w:val="0"/>
              <w:rPr>
                <w:rFonts w:ascii="宋体" w:hAnsi="宋体" w:cs="宋体"/>
                <w:b/>
                <w:color w:val="auto"/>
                <w:szCs w:val="21"/>
                <w:highlight w:val="none"/>
              </w:rPr>
            </w:pPr>
          </w:p>
        </w:tc>
        <w:tc>
          <w:tcPr>
            <w:tcW w:w="745" w:type="dxa"/>
          </w:tcPr>
          <w:p w14:paraId="0B5A1954">
            <w:pPr>
              <w:adjustRightInd w:val="0"/>
              <w:snapToGrid w:val="0"/>
              <w:rPr>
                <w:rFonts w:ascii="宋体" w:hAnsi="宋体" w:cs="宋体"/>
                <w:b/>
                <w:color w:val="auto"/>
                <w:szCs w:val="21"/>
                <w:highlight w:val="none"/>
              </w:rPr>
            </w:pPr>
          </w:p>
        </w:tc>
        <w:tc>
          <w:tcPr>
            <w:tcW w:w="1341" w:type="dxa"/>
          </w:tcPr>
          <w:p w14:paraId="077C31B1">
            <w:pPr>
              <w:adjustRightInd w:val="0"/>
              <w:snapToGrid w:val="0"/>
              <w:rPr>
                <w:rFonts w:ascii="宋体" w:hAnsi="宋体" w:cs="宋体"/>
                <w:b/>
                <w:color w:val="auto"/>
                <w:szCs w:val="21"/>
                <w:highlight w:val="none"/>
              </w:rPr>
            </w:pPr>
          </w:p>
        </w:tc>
        <w:tc>
          <w:tcPr>
            <w:tcW w:w="1550" w:type="dxa"/>
          </w:tcPr>
          <w:p w14:paraId="392063DB">
            <w:pPr>
              <w:adjustRightInd w:val="0"/>
              <w:snapToGrid w:val="0"/>
              <w:rPr>
                <w:rFonts w:ascii="宋体" w:hAnsi="宋体" w:cs="宋体"/>
                <w:b/>
                <w:color w:val="auto"/>
                <w:szCs w:val="21"/>
                <w:highlight w:val="none"/>
              </w:rPr>
            </w:pPr>
          </w:p>
        </w:tc>
        <w:tc>
          <w:tcPr>
            <w:tcW w:w="2025" w:type="dxa"/>
            <w:vAlign w:val="center"/>
          </w:tcPr>
          <w:p w14:paraId="57C7A865">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364F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80" w:type="dxa"/>
          </w:tcPr>
          <w:p w14:paraId="5CCD96B2">
            <w:pPr>
              <w:adjustRightInd w:val="0"/>
              <w:snapToGrid w:val="0"/>
              <w:rPr>
                <w:rFonts w:ascii="宋体" w:hAnsi="宋体" w:cs="宋体"/>
                <w:b/>
                <w:color w:val="auto"/>
                <w:szCs w:val="21"/>
                <w:highlight w:val="none"/>
              </w:rPr>
            </w:pPr>
          </w:p>
        </w:tc>
        <w:tc>
          <w:tcPr>
            <w:tcW w:w="974" w:type="dxa"/>
          </w:tcPr>
          <w:p w14:paraId="2D89C480">
            <w:pPr>
              <w:adjustRightInd w:val="0"/>
              <w:snapToGrid w:val="0"/>
              <w:rPr>
                <w:rFonts w:ascii="宋体" w:hAnsi="宋体" w:cs="宋体"/>
                <w:b/>
                <w:color w:val="auto"/>
                <w:szCs w:val="21"/>
                <w:highlight w:val="none"/>
              </w:rPr>
            </w:pPr>
          </w:p>
        </w:tc>
        <w:tc>
          <w:tcPr>
            <w:tcW w:w="1342" w:type="dxa"/>
          </w:tcPr>
          <w:p w14:paraId="1F1DB979">
            <w:pPr>
              <w:adjustRightInd w:val="0"/>
              <w:snapToGrid w:val="0"/>
              <w:rPr>
                <w:rFonts w:ascii="宋体" w:hAnsi="宋体" w:cs="宋体"/>
                <w:b/>
                <w:color w:val="auto"/>
                <w:szCs w:val="21"/>
                <w:highlight w:val="none"/>
              </w:rPr>
            </w:pPr>
          </w:p>
        </w:tc>
        <w:tc>
          <w:tcPr>
            <w:tcW w:w="745" w:type="dxa"/>
          </w:tcPr>
          <w:p w14:paraId="095E2C1F">
            <w:pPr>
              <w:adjustRightInd w:val="0"/>
              <w:snapToGrid w:val="0"/>
              <w:rPr>
                <w:rFonts w:ascii="宋体" w:hAnsi="宋体" w:cs="宋体"/>
                <w:b/>
                <w:color w:val="auto"/>
                <w:szCs w:val="21"/>
                <w:highlight w:val="none"/>
              </w:rPr>
            </w:pPr>
          </w:p>
        </w:tc>
        <w:tc>
          <w:tcPr>
            <w:tcW w:w="1341" w:type="dxa"/>
          </w:tcPr>
          <w:p w14:paraId="611EC18C">
            <w:pPr>
              <w:adjustRightInd w:val="0"/>
              <w:snapToGrid w:val="0"/>
              <w:rPr>
                <w:rFonts w:ascii="宋体" w:hAnsi="宋体" w:cs="宋体"/>
                <w:b/>
                <w:color w:val="auto"/>
                <w:szCs w:val="21"/>
                <w:highlight w:val="none"/>
              </w:rPr>
            </w:pPr>
          </w:p>
        </w:tc>
        <w:tc>
          <w:tcPr>
            <w:tcW w:w="1550" w:type="dxa"/>
          </w:tcPr>
          <w:p w14:paraId="0E498E84">
            <w:pPr>
              <w:adjustRightInd w:val="0"/>
              <w:snapToGrid w:val="0"/>
              <w:rPr>
                <w:rFonts w:ascii="宋体" w:hAnsi="宋体" w:cs="宋体"/>
                <w:b/>
                <w:color w:val="auto"/>
                <w:szCs w:val="21"/>
                <w:highlight w:val="none"/>
              </w:rPr>
            </w:pPr>
          </w:p>
        </w:tc>
        <w:tc>
          <w:tcPr>
            <w:tcW w:w="2025" w:type="dxa"/>
            <w:vAlign w:val="center"/>
          </w:tcPr>
          <w:p w14:paraId="04EAD316">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78CD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80" w:type="dxa"/>
          </w:tcPr>
          <w:p w14:paraId="37145156">
            <w:pPr>
              <w:adjustRightInd w:val="0"/>
              <w:snapToGrid w:val="0"/>
              <w:rPr>
                <w:rFonts w:ascii="宋体" w:hAnsi="宋体" w:cs="宋体"/>
                <w:b/>
                <w:color w:val="auto"/>
                <w:szCs w:val="21"/>
                <w:highlight w:val="none"/>
              </w:rPr>
            </w:pPr>
          </w:p>
        </w:tc>
        <w:tc>
          <w:tcPr>
            <w:tcW w:w="974" w:type="dxa"/>
          </w:tcPr>
          <w:p w14:paraId="7994D083">
            <w:pPr>
              <w:adjustRightInd w:val="0"/>
              <w:snapToGrid w:val="0"/>
              <w:rPr>
                <w:rFonts w:ascii="宋体" w:hAnsi="宋体" w:cs="宋体"/>
                <w:b/>
                <w:color w:val="auto"/>
                <w:szCs w:val="21"/>
                <w:highlight w:val="none"/>
              </w:rPr>
            </w:pPr>
          </w:p>
        </w:tc>
        <w:tc>
          <w:tcPr>
            <w:tcW w:w="1342" w:type="dxa"/>
          </w:tcPr>
          <w:p w14:paraId="37CC7370">
            <w:pPr>
              <w:adjustRightInd w:val="0"/>
              <w:snapToGrid w:val="0"/>
              <w:rPr>
                <w:rFonts w:ascii="宋体" w:hAnsi="宋体" w:cs="宋体"/>
                <w:b/>
                <w:color w:val="auto"/>
                <w:szCs w:val="21"/>
                <w:highlight w:val="none"/>
              </w:rPr>
            </w:pPr>
          </w:p>
        </w:tc>
        <w:tc>
          <w:tcPr>
            <w:tcW w:w="745" w:type="dxa"/>
          </w:tcPr>
          <w:p w14:paraId="02008666">
            <w:pPr>
              <w:adjustRightInd w:val="0"/>
              <w:snapToGrid w:val="0"/>
              <w:rPr>
                <w:rFonts w:ascii="宋体" w:hAnsi="宋体" w:cs="宋体"/>
                <w:b/>
                <w:color w:val="auto"/>
                <w:szCs w:val="21"/>
                <w:highlight w:val="none"/>
              </w:rPr>
            </w:pPr>
          </w:p>
        </w:tc>
        <w:tc>
          <w:tcPr>
            <w:tcW w:w="1341" w:type="dxa"/>
          </w:tcPr>
          <w:p w14:paraId="21DF7002">
            <w:pPr>
              <w:adjustRightInd w:val="0"/>
              <w:snapToGrid w:val="0"/>
              <w:rPr>
                <w:rFonts w:ascii="宋体" w:hAnsi="宋体" w:cs="宋体"/>
                <w:b/>
                <w:color w:val="auto"/>
                <w:szCs w:val="21"/>
                <w:highlight w:val="none"/>
              </w:rPr>
            </w:pPr>
          </w:p>
        </w:tc>
        <w:tc>
          <w:tcPr>
            <w:tcW w:w="1550" w:type="dxa"/>
          </w:tcPr>
          <w:p w14:paraId="1540FF01">
            <w:pPr>
              <w:adjustRightInd w:val="0"/>
              <w:snapToGrid w:val="0"/>
              <w:rPr>
                <w:rFonts w:ascii="宋体" w:hAnsi="宋体" w:cs="宋体"/>
                <w:b/>
                <w:color w:val="auto"/>
                <w:szCs w:val="21"/>
                <w:highlight w:val="none"/>
              </w:rPr>
            </w:pPr>
          </w:p>
        </w:tc>
        <w:tc>
          <w:tcPr>
            <w:tcW w:w="2025" w:type="dxa"/>
            <w:vAlign w:val="center"/>
          </w:tcPr>
          <w:p w14:paraId="64B0AC9B">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bl>
    <w:p w14:paraId="3EB62424">
      <w:pPr>
        <w:spacing w:line="480" w:lineRule="exact"/>
        <w:rPr>
          <w:rFonts w:ascii="宋体" w:hAnsi="宋体" w:cs="宋体"/>
          <w:b/>
          <w:color w:val="auto"/>
          <w:szCs w:val="21"/>
          <w:highlight w:val="none"/>
        </w:rPr>
      </w:pPr>
    </w:p>
    <w:p w14:paraId="760DFF53">
      <w:pPr>
        <w:spacing w:line="480" w:lineRule="exact"/>
        <w:rPr>
          <w:rFonts w:ascii="宋体" w:hAnsi="宋体" w:cs="宋体"/>
          <w:b/>
          <w:color w:val="auto"/>
          <w:szCs w:val="21"/>
          <w:highlight w:val="none"/>
        </w:rPr>
      </w:pPr>
      <w:r>
        <w:rPr>
          <w:rFonts w:hint="eastAsia" w:ascii="宋体" w:hAnsi="宋体" w:cs="宋体"/>
          <w:b/>
          <w:color w:val="auto"/>
          <w:szCs w:val="21"/>
          <w:highlight w:val="none"/>
        </w:rPr>
        <w:t>正版软件承诺格式（若有的话，以包为单位分别填写）</w:t>
      </w:r>
    </w:p>
    <w:p w14:paraId="52E23773">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正版软件承诺</w:t>
      </w:r>
    </w:p>
    <w:p w14:paraId="627635AD">
      <w:pPr>
        <w:pStyle w:val="15"/>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本单位现参与</w:t>
      </w:r>
      <w:r>
        <w:rPr>
          <w:rFonts w:hint="eastAsia"/>
          <w:color w:val="auto"/>
          <w:sz w:val="21"/>
          <w:szCs w:val="21"/>
          <w:highlight w:val="none"/>
          <w:u w:val="single"/>
        </w:rPr>
        <w:t xml:space="preserve">                             </w:t>
      </w:r>
      <w:r>
        <w:rPr>
          <w:rFonts w:hint="eastAsia"/>
          <w:color w:val="auto"/>
          <w:sz w:val="21"/>
          <w:szCs w:val="21"/>
          <w:highlight w:val="none"/>
        </w:rPr>
        <w:t>项目（项目编号：</w:t>
      </w:r>
      <w:r>
        <w:rPr>
          <w:rFonts w:hint="eastAsia"/>
          <w:color w:val="auto"/>
          <w:sz w:val="21"/>
          <w:szCs w:val="21"/>
          <w:highlight w:val="none"/>
          <w:u w:val="single"/>
        </w:rPr>
        <w:t xml:space="preserve">             </w:t>
      </w:r>
      <w:r>
        <w:rPr>
          <w:rFonts w:hint="eastAsia"/>
          <w:color w:val="auto"/>
          <w:sz w:val="21"/>
          <w:szCs w:val="21"/>
          <w:highlight w:val="none"/>
        </w:rPr>
        <w:t>）的采购活动，本公司承诺投报的计算机产品预装正版操作系统，投报的硬件产品内的预装软件为正版软件。</w:t>
      </w:r>
    </w:p>
    <w:p w14:paraId="66ED9C47">
      <w:pPr>
        <w:pStyle w:val="15"/>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如上述声明不真实，愿意按照政府采购有关法律法规的规定接受处罚。</w:t>
      </w:r>
    </w:p>
    <w:p w14:paraId="78AF29A8">
      <w:pPr>
        <w:pStyle w:val="15"/>
        <w:widowControl w:val="0"/>
        <w:adjustRightInd w:val="0"/>
        <w:snapToGrid w:val="0"/>
        <w:spacing w:before="0" w:beforeAutospacing="0" w:after="0" w:afterAutospacing="0" w:line="480" w:lineRule="exact"/>
        <w:ind w:firstLine="420" w:firstLineChars="200"/>
        <w:jc w:val="both"/>
        <w:rPr>
          <w:color w:val="auto"/>
          <w:sz w:val="21"/>
          <w:szCs w:val="21"/>
          <w:highlight w:val="none"/>
        </w:rPr>
      </w:pPr>
      <w:r>
        <w:rPr>
          <w:rFonts w:hint="eastAsia"/>
          <w:color w:val="auto"/>
          <w:sz w:val="21"/>
          <w:szCs w:val="21"/>
          <w:highlight w:val="none"/>
        </w:rPr>
        <w:t>特此声明</w:t>
      </w:r>
    </w:p>
    <w:p w14:paraId="263F26FC">
      <w:pPr>
        <w:snapToGrid w:val="0"/>
        <w:spacing w:line="440" w:lineRule="exact"/>
        <w:ind w:firstLine="3780" w:firstLineChars="1800"/>
        <w:jc w:val="left"/>
        <w:rPr>
          <w:rFonts w:ascii="宋体" w:hAnsi="宋体" w:cs="宋体"/>
          <w:color w:val="auto"/>
          <w:szCs w:val="21"/>
          <w:highlight w:val="none"/>
        </w:rPr>
      </w:pPr>
    </w:p>
    <w:p w14:paraId="48F0E713">
      <w:pPr>
        <w:snapToGrid w:val="0"/>
        <w:spacing w:line="440" w:lineRule="exact"/>
        <w:ind w:firstLine="3780" w:firstLineChars="1800"/>
        <w:jc w:val="left"/>
        <w:rPr>
          <w:rFonts w:ascii="宋体" w:hAnsi="宋体" w:cs="宋体"/>
          <w:color w:val="auto"/>
          <w:szCs w:val="21"/>
          <w:highlight w:val="none"/>
        </w:rPr>
      </w:pPr>
    </w:p>
    <w:p w14:paraId="5ED457E7">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191403CC">
      <w:pPr>
        <w:snapToGrid w:val="0"/>
        <w:spacing w:line="440" w:lineRule="exact"/>
        <w:ind w:firstLine="3990" w:firstLineChars="19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5618456">
      <w:pPr>
        <w:spacing w:line="480" w:lineRule="exact"/>
        <w:ind w:firstLine="420" w:firstLineChars="200"/>
        <w:rPr>
          <w:rFonts w:ascii="宋体" w:hAnsi="宋体" w:cs="宋体"/>
          <w:color w:val="auto"/>
          <w:szCs w:val="21"/>
          <w:highlight w:val="none"/>
        </w:rPr>
      </w:pPr>
    </w:p>
    <w:p w14:paraId="5B780434">
      <w:pPr>
        <w:spacing w:line="480" w:lineRule="exact"/>
        <w:rPr>
          <w:rFonts w:ascii="宋体" w:hAnsi="宋体" w:cs="宋体"/>
          <w:b/>
          <w:color w:val="auto"/>
          <w:szCs w:val="21"/>
          <w:highlight w:val="none"/>
        </w:rPr>
      </w:pPr>
    </w:p>
    <w:p w14:paraId="3BC9B3A9">
      <w:pPr>
        <w:snapToGrid w:val="0"/>
        <w:spacing w:line="440" w:lineRule="exact"/>
        <w:rPr>
          <w:rFonts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 xml:space="preserve"> </w:t>
      </w:r>
      <w:bookmarkStart w:id="163" w:name="_Toc78559547"/>
      <w:r>
        <w:rPr>
          <w:rFonts w:hint="eastAsia" w:ascii="宋体" w:hAnsi="宋体" w:cs="宋体"/>
          <w:b/>
          <w:bCs w:val="0"/>
          <w:color w:val="auto"/>
          <w:szCs w:val="21"/>
          <w:highlight w:val="none"/>
          <w:lang w:val="en-US" w:eastAsia="zh-CN"/>
        </w:rPr>
        <w:t>三、</w:t>
      </w:r>
      <w:r>
        <w:rPr>
          <w:rFonts w:hint="eastAsia" w:ascii="宋体" w:hAnsi="宋体" w:cs="宋体"/>
          <w:b/>
          <w:bCs w:val="0"/>
          <w:color w:val="auto"/>
          <w:szCs w:val="21"/>
          <w:highlight w:val="none"/>
        </w:rPr>
        <w:t>对非实质性要求的响应内容格式</w:t>
      </w:r>
      <w:bookmarkEnd w:id="163"/>
    </w:p>
    <w:p w14:paraId="0C1C0F98">
      <w:pPr>
        <w:tabs>
          <w:tab w:val="left" w:pos="1680"/>
        </w:tabs>
        <w:snapToGrid w:val="0"/>
        <w:spacing w:line="480" w:lineRule="exact"/>
        <w:jc w:val="left"/>
        <w:rPr>
          <w:rFonts w:ascii="宋体" w:hAnsi="宋体" w:cs="宋体"/>
          <w:b/>
          <w:color w:val="auto"/>
          <w:szCs w:val="21"/>
          <w:highlight w:val="none"/>
        </w:rPr>
      </w:pPr>
      <w:r>
        <w:rPr>
          <w:rFonts w:hint="eastAsia" w:ascii="宋体" w:hAnsi="宋体" w:cs="宋体"/>
          <w:b/>
          <w:color w:val="auto"/>
          <w:szCs w:val="21"/>
          <w:highlight w:val="none"/>
        </w:rPr>
        <w:t>根据本文件第四部分非实质性要求中的内容进行响应；（若涉及以下格式资料内容，请按内容填写；若有的话，以包为单位分别填写）</w:t>
      </w:r>
    </w:p>
    <w:p w14:paraId="3457D529">
      <w:pPr>
        <w:autoSpaceDE w:val="0"/>
        <w:autoSpaceDN w:val="0"/>
        <w:adjustRightInd w:val="0"/>
        <w:spacing w:after="158" w:afterLines="50" w:line="440" w:lineRule="exact"/>
        <w:ind w:firstLine="105" w:firstLineChars="50"/>
        <w:jc w:val="center"/>
        <w:rPr>
          <w:rFonts w:ascii="宋体" w:hAnsi="宋体" w:cs="宋体"/>
          <w:b/>
          <w:color w:val="auto"/>
          <w:kern w:val="0"/>
          <w:szCs w:val="21"/>
          <w:highlight w:val="none"/>
        </w:rPr>
      </w:pPr>
      <w:r>
        <w:rPr>
          <w:rFonts w:hint="eastAsia" w:ascii="宋体" w:hAnsi="宋体" w:cs="宋体"/>
          <w:b/>
          <w:color w:val="auto"/>
          <w:kern w:val="0"/>
          <w:szCs w:val="21"/>
          <w:highlight w:val="none"/>
        </w:rPr>
        <w:t>非实质性要求响应内容表</w:t>
      </w:r>
    </w:p>
    <w:p w14:paraId="503F194D">
      <w:pPr>
        <w:pStyle w:val="31"/>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A2372C9">
      <w:pPr>
        <w:pStyle w:val="31"/>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2D2F0EA9">
      <w:pPr>
        <w:pStyle w:val="31"/>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614"/>
        <w:gridCol w:w="1616"/>
        <w:gridCol w:w="1629"/>
      </w:tblGrid>
      <w:tr w14:paraId="1119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3" w:type="dxa"/>
            <w:vAlign w:val="center"/>
          </w:tcPr>
          <w:p w14:paraId="58ED9123">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614" w:type="dxa"/>
            <w:vAlign w:val="center"/>
          </w:tcPr>
          <w:p w14:paraId="3B098626">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招标文件非实质性要求内容</w:t>
            </w:r>
          </w:p>
        </w:tc>
        <w:tc>
          <w:tcPr>
            <w:tcW w:w="1616" w:type="dxa"/>
            <w:vAlign w:val="center"/>
          </w:tcPr>
          <w:p w14:paraId="4BFD0F3D">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是否响应</w:t>
            </w:r>
          </w:p>
        </w:tc>
        <w:tc>
          <w:tcPr>
            <w:tcW w:w="1629" w:type="dxa"/>
            <w:vAlign w:val="center"/>
          </w:tcPr>
          <w:p w14:paraId="3075FF22">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B28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31E2098F">
            <w:pPr>
              <w:adjustRightInd w:val="0"/>
              <w:snapToGrid w:val="0"/>
              <w:spacing w:line="312" w:lineRule="auto"/>
              <w:jc w:val="center"/>
              <w:rPr>
                <w:rFonts w:ascii="宋体" w:hAnsi="宋体" w:cs="宋体"/>
                <w:color w:val="auto"/>
                <w:szCs w:val="21"/>
                <w:highlight w:val="none"/>
              </w:rPr>
            </w:pPr>
          </w:p>
        </w:tc>
        <w:tc>
          <w:tcPr>
            <w:tcW w:w="4614" w:type="dxa"/>
            <w:vAlign w:val="center"/>
          </w:tcPr>
          <w:p w14:paraId="40227A27">
            <w:pPr>
              <w:adjustRightInd w:val="0"/>
              <w:snapToGrid w:val="0"/>
              <w:jc w:val="center"/>
              <w:rPr>
                <w:rFonts w:ascii="宋体" w:hAnsi="宋体" w:cs="宋体"/>
                <w:color w:val="auto"/>
                <w:szCs w:val="21"/>
                <w:highlight w:val="none"/>
              </w:rPr>
            </w:pPr>
          </w:p>
        </w:tc>
        <w:tc>
          <w:tcPr>
            <w:tcW w:w="1616" w:type="dxa"/>
            <w:vAlign w:val="center"/>
          </w:tcPr>
          <w:p w14:paraId="48CF260A">
            <w:pPr>
              <w:adjustRightInd w:val="0"/>
              <w:snapToGrid w:val="0"/>
              <w:spacing w:line="312" w:lineRule="auto"/>
              <w:jc w:val="center"/>
              <w:rPr>
                <w:rFonts w:ascii="宋体" w:hAnsi="宋体" w:cs="宋体"/>
                <w:b/>
                <w:color w:val="auto"/>
                <w:szCs w:val="21"/>
                <w:highlight w:val="none"/>
              </w:rPr>
            </w:pPr>
          </w:p>
        </w:tc>
        <w:tc>
          <w:tcPr>
            <w:tcW w:w="1629" w:type="dxa"/>
            <w:vAlign w:val="center"/>
          </w:tcPr>
          <w:p w14:paraId="5EDBA600">
            <w:pPr>
              <w:adjustRightInd w:val="0"/>
              <w:snapToGrid w:val="0"/>
              <w:jc w:val="center"/>
              <w:rPr>
                <w:rFonts w:ascii="宋体" w:hAnsi="宋体" w:cs="宋体"/>
                <w:b/>
                <w:color w:val="auto"/>
                <w:szCs w:val="21"/>
                <w:highlight w:val="none"/>
              </w:rPr>
            </w:pPr>
          </w:p>
        </w:tc>
      </w:tr>
      <w:tr w14:paraId="5E08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6D173203">
            <w:pPr>
              <w:adjustRightInd w:val="0"/>
              <w:snapToGrid w:val="0"/>
              <w:spacing w:line="312" w:lineRule="auto"/>
              <w:jc w:val="center"/>
              <w:rPr>
                <w:rFonts w:ascii="宋体" w:hAnsi="宋体" w:cs="宋体"/>
                <w:color w:val="auto"/>
                <w:szCs w:val="21"/>
                <w:highlight w:val="none"/>
              </w:rPr>
            </w:pPr>
          </w:p>
        </w:tc>
        <w:tc>
          <w:tcPr>
            <w:tcW w:w="4614" w:type="dxa"/>
            <w:vAlign w:val="center"/>
          </w:tcPr>
          <w:p w14:paraId="68B87CEB">
            <w:pPr>
              <w:adjustRightInd w:val="0"/>
              <w:snapToGrid w:val="0"/>
              <w:jc w:val="center"/>
              <w:rPr>
                <w:rFonts w:ascii="宋体" w:hAnsi="宋体" w:cs="宋体"/>
                <w:color w:val="auto"/>
                <w:szCs w:val="21"/>
                <w:highlight w:val="none"/>
              </w:rPr>
            </w:pPr>
          </w:p>
        </w:tc>
        <w:tc>
          <w:tcPr>
            <w:tcW w:w="1616" w:type="dxa"/>
            <w:vAlign w:val="center"/>
          </w:tcPr>
          <w:p w14:paraId="6CAFC651">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9346F0D">
            <w:pPr>
              <w:adjustRightInd w:val="0"/>
              <w:snapToGrid w:val="0"/>
              <w:spacing w:line="312" w:lineRule="auto"/>
              <w:jc w:val="center"/>
              <w:rPr>
                <w:rFonts w:ascii="宋体" w:hAnsi="宋体" w:cs="宋体"/>
                <w:b/>
                <w:color w:val="auto"/>
                <w:szCs w:val="21"/>
                <w:highlight w:val="none"/>
              </w:rPr>
            </w:pPr>
          </w:p>
        </w:tc>
      </w:tr>
      <w:tr w14:paraId="4E73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6EE36DB5">
            <w:pPr>
              <w:adjustRightInd w:val="0"/>
              <w:snapToGrid w:val="0"/>
              <w:spacing w:line="312" w:lineRule="auto"/>
              <w:jc w:val="center"/>
              <w:rPr>
                <w:rFonts w:ascii="宋体" w:hAnsi="宋体" w:cs="宋体"/>
                <w:color w:val="auto"/>
                <w:szCs w:val="21"/>
                <w:highlight w:val="none"/>
              </w:rPr>
            </w:pPr>
          </w:p>
        </w:tc>
        <w:tc>
          <w:tcPr>
            <w:tcW w:w="4614" w:type="dxa"/>
            <w:vAlign w:val="center"/>
          </w:tcPr>
          <w:p w14:paraId="77F94B08">
            <w:pPr>
              <w:jc w:val="center"/>
              <w:rPr>
                <w:rFonts w:ascii="宋体" w:hAnsi="宋体" w:cs="宋体"/>
                <w:color w:val="auto"/>
                <w:szCs w:val="21"/>
                <w:highlight w:val="none"/>
              </w:rPr>
            </w:pPr>
          </w:p>
        </w:tc>
        <w:tc>
          <w:tcPr>
            <w:tcW w:w="1616" w:type="dxa"/>
            <w:vAlign w:val="center"/>
          </w:tcPr>
          <w:p w14:paraId="2B23C0C4">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07A40BB">
            <w:pPr>
              <w:adjustRightInd w:val="0"/>
              <w:snapToGrid w:val="0"/>
              <w:spacing w:line="312" w:lineRule="auto"/>
              <w:jc w:val="center"/>
              <w:rPr>
                <w:rFonts w:ascii="宋体" w:hAnsi="宋体" w:cs="宋体"/>
                <w:b/>
                <w:color w:val="auto"/>
                <w:szCs w:val="21"/>
                <w:highlight w:val="none"/>
              </w:rPr>
            </w:pPr>
          </w:p>
        </w:tc>
      </w:tr>
      <w:tr w14:paraId="5C13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0CD35145">
            <w:pPr>
              <w:adjustRightInd w:val="0"/>
              <w:snapToGrid w:val="0"/>
              <w:spacing w:line="312" w:lineRule="auto"/>
              <w:jc w:val="center"/>
              <w:rPr>
                <w:rFonts w:ascii="宋体" w:hAnsi="宋体" w:cs="宋体"/>
                <w:color w:val="auto"/>
                <w:szCs w:val="21"/>
                <w:highlight w:val="none"/>
              </w:rPr>
            </w:pPr>
          </w:p>
        </w:tc>
        <w:tc>
          <w:tcPr>
            <w:tcW w:w="4614" w:type="dxa"/>
            <w:vAlign w:val="center"/>
          </w:tcPr>
          <w:p w14:paraId="6AAAF2C5">
            <w:pPr>
              <w:adjustRightInd w:val="0"/>
              <w:snapToGrid w:val="0"/>
              <w:jc w:val="center"/>
              <w:rPr>
                <w:rFonts w:ascii="宋体" w:hAnsi="宋体" w:cs="宋体"/>
                <w:color w:val="auto"/>
                <w:szCs w:val="21"/>
                <w:highlight w:val="none"/>
              </w:rPr>
            </w:pPr>
          </w:p>
        </w:tc>
        <w:tc>
          <w:tcPr>
            <w:tcW w:w="1616" w:type="dxa"/>
            <w:vAlign w:val="center"/>
          </w:tcPr>
          <w:p w14:paraId="168E44F8">
            <w:pPr>
              <w:adjustRightInd w:val="0"/>
              <w:snapToGrid w:val="0"/>
              <w:spacing w:line="312" w:lineRule="auto"/>
              <w:jc w:val="center"/>
              <w:rPr>
                <w:rFonts w:ascii="宋体" w:hAnsi="宋体" w:cs="宋体"/>
                <w:b/>
                <w:color w:val="auto"/>
                <w:szCs w:val="21"/>
                <w:highlight w:val="none"/>
              </w:rPr>
            </w:pPr>
          </w:p>
        </w:tc>
        <w:tc>
          <w:tcPr>
            <w:tcW w:w="1629" w:type="dxa"/>
            <w:vAlign w:val="center"/>
          </w:tcPr>
          <w:p w14:paraId="6439F6A6">
            <w:pPr>
              <w:adjustRightInd w:val="0"/>
              <w:snapToGrid w:val="0"/>
              <w:spacing w:line="312" w:lineRule="auto"/>
              <w:jc w:val="center"/>
              <w:rPr>
                <w:rFonts w:ascii="宋体" w:hAnsi="宋体" w:cs="宋体"/>
                <w:b/>
                <w:color w:val="auto"/>
                <w:szCs w:val="21"/>
                <w:highlight w:val="none"/>
              </w:rPr>
            </w:pPr>
          </w:p>
        </w:tc>
      </w:tr>
      <w:tr w14:paraId="01DA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04DFF67D">
            <w:pPr>
              <w:adjustRightInd w:val="0"/>
              <w:snapToGrid w:val="0"/>
              <w:spacing w:line="312" w:lineRule="auto"/>
              <w:jc w:val="center"/>
              <w:rPr>
                <w:rFonts w:ascii="宋体" w:hAnsi="宋体" w:cs="宋体"/>
                <w:color w:val="auto"/>
                <w:szCs w:val="21"/>
                <w:highlight w:val="none"/>
              </w:rPr>
            </w:pPr>
          </w:p>
        </w:tc>
        <w:tc>
          <w:tcPr>
            <w:tcW w:w="4614" w:type="dxa"/>
            <w:vAlign w:val="center"/>
          </w:tcPr>
          <w:p w14:paraId="00C2E8C1">
            <w:pPr>
              <w:adjustRightInd w:val="0"/>
              <w:snapToGrid w:val="0"/>
              <w:jc w:val="center"/>
              <w:rPr>
                <w:rFonts w:ascii="宋体" w:hAnsi="宋体" w:cs="宋体"/>
                <w:color w:val="auto"/>
                <w:szCs w:val="21"/>
                <w:highlight w:val="none"/>
              </w:rPr>
            </w:pPr>
          </w:p>
        </w:tc>
        <w:tc>
          <w:tcPr>
            <w:tcW w:w="1616" w:type="dxa"/>
            <w:vAlign w:val="center"/>
          </w:tcPr>
          <w:p w14:paraId="5C963EB0">
            <w:pPr>
              <w:adjustRightInd w:val="0"/>
              <w:snapToGrid w:val="0"/>
              <w:spacing w:line="312" w:lineRule="auto"/>
              <w:jc w:val="center"/>
              <w:rPr>
                <w:rFonts w:ascii="宋体" w:hAnsi="宋体" w:cs="宋体"/>
                <w:b/>
                <w:color w:val="auto"/>
                <w:szCs w:val="21"/>
                <w:highlight w:val="none"/>
              </w:rPr>
            </w:pPr>
          </w:p>
        </w:tc>
        <w:tc>
          <w:tcPr>
            <w:tcW w:w="1629" w:type="dxa"/>
            <w:vAlign w:val="center"/>
          </w:tcPr>
          <w:p w14:paraId="7A11843C">
            <w:pPr>
              <w:adjustRightInd w:val="0"/>
              <w:snapToGrid w:val="0"/>
              <w:spacing w:line="312" w:lineRule="auto"/>
              <w:jc w:val="center"/>
              <w:rPr>
                <w:rFonts w:ascii="宋体" w:hAnsi="宋体" w:cs="宋体"/>
                <w:b/>
                <w:color w:val="auto"/>
                <w:szCs w:val="21"/>
                <w:highlight w:val="none"/>
              </w:rPr>
            </w:pPr>
          </w:p>
        </w:tc>
      </w:tr>
    </w:tbl>
    <w:p w14:paraId="116A233F">
      <w:pPr>
        <w:adjustRightInd w:val="0"/>
        <w:snapToGrid w:val="0"/>
        <w:spacing w:line="312" w:lineRule="auto"/>
        <w:rPr>
          <w:rFonts w:ascii="宋体" w:hAnsi="宋体" w:cs="宋体"/>
          <w:b/>
          <w:color w:val="auto"/>
          <w:szCs w:val="21"/>
          <w:highlight w:val="none"/>
        </w:rPr>
      </w:pPr>
    </w:p>
    <w:p w14:paraId="1B6111C6">
      <w:pPr>
        <w:autoSpaceDE w:val="0"/>
        <w:autoSpaceDN w:val="0"/>
        <w:adjustRightIn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2655A195">
      <w:pPr>
        <w:spacing w:line="480" w:lineRule="exact"/>
        <w:jc w:val="left"/>
        <w:rPr>
          <w:rFonts w:ascii="宋体" w:hAnsi="宋体" w:cs="宋体"/>
          <w:b/>
          <w:color w:val="auto"/>
          <w:szCs w:val="21"/>
          <w:highlight w:val="none"/>
        </w:rPr>
      </w:pPr>
    </w:p>
    <w:p w14:paraId="684D381F">
      <w:pPr>
        <w:spacing w:line="360" w:lineRule="auto"/>
        <w:ind w:left="2100" w:firstLine="420"/>
        <w:rPr>
          <w:rFonts w:ascii="宋体" w:hAnsi="宋体" w:cs="宋体"/>
          <w:b/>
          <w:color w:val="auto"/>
          <w:szCs w:val="21"/>
          <w:highlight w:val="none"/>
        </w:rPr>
      </w:pPr>
      <w:r>
        <w:rPr>
          <w:rFonts w:hint="eastAsia" w:ascii="宋体" w:hAnsi="宋体" w:cs="宋体"/>
          <w:b/>
          <w:color w:val="auto"/>
          <w:szCs w:val="21"/>
          <w:highlight w:val="none"/>
        </w:rPr>
        <w:t>非政府强制采购产品明细表</w:t>
      </w:r>
    </w:p>
    <w:tbl>
      <w:tblPr>
        <w:tblStyle w:val="18"/>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943"/>
        <w:gridCol w:w="943"/>
        <w:gridCol w:w="943"/>
        <w:gridCol w:w="1625"/>
        <w:gridCol w:w="2060"/>
        <w:gridCol w:w="2060"/>
      </w:tblGrid>
      <w:tr w14:paraId="4295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14:paraId="3A1C1D67">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943" w:type="dxa"/>
            <w:tcBorders>
              <w:top w:val="single" w:color="auto" w:sz="4" w:space="0"/>
              <w:left w:val="single" w:color="auto" w:sz="4" w:space="0"/>
              <w:bottom w:val="single" w:color="auto" w:sz="4" w:space="0"/>
              <w:right w:val="single" w:color="auto" w:sz="4" w:space="0"/>
            </w:tcBorders>
            <w:vAlign w:val="center"/>
          </w:tcPr>
          <w:p w14:paraId="2520C32B">
            <w:pPr>
              <w:jc w:val="center"/>
              <w:rPr>
                <w:rFonts w:ascii="宋体" w:hAnsi="宋体" w:cs="宋体"/>
                <w:b/>
                <w:bCs/>
                <w:color w:val="auto"/>
                <w:szCs w:val="21"/>
                <w:highlight w:val="none"/>
              </w:rPr>
            </w:pPr>
            <w:r>
              <w:rPr>
                <w:rFonts w:hint="eastAsia" w:ascii="宋体" w:hAnsi="宋体" w:cs="宋体"/>
                <w:b/>
                <w:bCs/>
                <w:color w:val="auto"/>
                <w:szCs w:val="21"/>
                <w:highlight w:val="none"/>
              </w:rPr>
              <w:t>产品名称</w:t>
            </w:r>
          </w:p>
        </w:tc>
        <w:tc>
          <w:tcPr>
            <w:tcW w:w="943" w:type="dxa"/>
            <w:tcBorders>
              <w:top w:val="single" w:color="auto" w:sz="4" w:space="0"/>
              <w:left w:val="single" w:color="auto" w:sz="4" w:space="0"/>
              <w:bottom w:val="single" w:color="auto" w:sz="4" w:space="0"/>
              <w:right w:val="single" w:color="auto" w:sz="4" w:space="0"/>
            </w:tcBorders>
            <w:vAlign w:val="center"/>
          </w:tcPr>
          <w:p w14:paraId="19273C09">
            <w:pPr>
              <w:jc w:val="center"/>
              <w:rPr>
                <w:rFonts w:ascii="宋体" w:hAnsi="宋体" w:cs="宋体"/>
                <w:b/>
                <w:bCs/>
                <w:color w:val="auto"/>
                <w:szCs w:val="21"/>
                <w:highlight w:val="none"/>
              </w:rPr>
            </w:pPr>
            <w:r>
              <w:rPr>
                <w:rFonts w:hint="eastAsia" w:ascii="宋体" w:hAnsi="宋体" w:cs="宋体"/>
                <w:b/>
                <w:bCs/>
                <w:color w:val="auto"/>
                <w:szCs w:val="21"/>
                <w:highlight w:val="none"/>
              </w:rPr>
              <w:t>制造商</w:t>
            </w:r>
          </w:p>
        </w:tc>
        <w:tc>
          <w:tcPr>
            <w:tcW w:w="943" w:type="dxa"/>
            <w:tcBorders>
              <w:top w:val="single" w:color="auto" w:sz="4" w:space="0"/>
              <w:left w:val="single" w:color="auto" w:sz="4" w:space="0"/>
              <w:bottom w:val="single" w:color="auto" w:sz="4" w:space="0"/>
              <w:right w:val="single" w:color="auto" w:sz="4" w:space="0"/>
            </w:tcBorders>
            <w:vAlign w:val="center"/>
          </w:tcPr>
          <w:p w14:paraId="61E513BA">
            <w:pPr>
              <w:jc w:val="center"/>
              <w:rPr>
                <w:rFonts w:ascii="宋体" w:hAnsi="宋体" w:cs="宋体"/>
                <w:b/>
                <w:bCs/>
                <w:color w:val="auto"/>
                <w:szCs w:val="21"/>
                <w:highlight w:val="none"/>
              </w:rPr>
            </w:pPr>
            <w:r>
              <w:rPr>
                <w:rFonts w:hint="eastAsia" w:ascii="宋体" w:hAnsi="宋体" w:cs="宋体"/>
                <w:b/>
                <w:bCs/>
                <w:color w:val="auto"/>
                <w:szCs w:val="21"/>
                <w:highlight w:val="none"/>
              </w:rPr>
              <w:t>产品型号</w:t>
            </w:r>
          </w:p>
        </w:tc>
        <w:tc>
          <w:tcPr>
            <w:tcW w:w="1625" w:type="dxa"/>
            <w:tcBorders>
              <w:top w:val="single" w:color="auto" w:sz="4" w:space="0"/>
              <w:left w:val="single" w:color="auto" w:sz="4" w:space="0"/>
              <w:bottom w:val="single" w:color="auto" w:sz="4" w:space="0"/>
              <w:right w:val="single" w:color="auto" w:sz="4" w:space="0"/>
            </w:tcBorders>
            <w:vAlign w:val="center"/>
          </w:tcPr>
          <w:p w14:paraId="3B5E23AC">
            <w:pPr>
              <w:jc w:val="center"/>
              <w:rPr>
                <w:rFonts w:ascii="宋体" w:hAnsi="宋体" w:cs="宋体"/>
                <w:b/>
                <w:bCs/>
                <w:color w:val="auto"/>
                <w:szCs w:val="21"/>
                <w:highlight w:val="none"/>
              </w:rPr>
            </w:pPr>
            <w:r>
              <w:rPr>
                <w:rFonts w:hint="eastAsia" w:ascii="宋体" w:hAnsi="宋体" w:cs="宋体"/>
                <w:b/>
                <w:bCs/>
                <w:color w:val="auto"/>
                <w:szCs w:val="21"/>
                <w:highlight w:val="none"/>
              </w:rPr>
              <w:t>产品认证证书号</w:t>
            </w:r>
          </w:p>
        </w:tc>
        <w:tc>
          <w:tcPr>
            <w:tcW w:w="2060" w:type="dxa"/>
            <w:tcBorders>
              <w:top w:val="single" w:color="auto" w:sz="4" w:space="0"/>
              <w:left w:val="single" w:color="auto" w:sz="4" w:space="0"/>
              <w:bottom w:val="single" w:color="auto" w:sz="4" w:space="0"/>
              <w:right w:val="single" w:color="auto" w:sz="4" w:space="0"/>
            </w:tcBorders>
            <w:vAlign w:val="center"/>
          </w:tcPr>
          <w:p w14:paraId="4E72B9DE">
            <w:pPr>
              <w:jc w:val="center"/>
              <w:rPr>
                <w:rFonts w:ascii="宋体" w:hAnsi="宋体" w:cs="宋体"/>
                <w:b/>
                <w:bCs/>
                <w:color w:val="auto"/>
                <w:szCs w:val="21"/>
                <w:highlight w:val="none"/>
              </w:rPr>
            </w:pPr>
            <w:r>
              <w:rPr>
                <w:rFonts w:hint="eastAsia" w:ascii="宋体" w:hAnsi="宋体" w:cs="宋体"/>
                <w:b/>
                <w:bCs/>
                <w:color w:val="auto"/>
                <w:szCs w:val="21"/>
                <w:highlight w:val="none"/>
              </w:rPr>
              <w:t>认证证书有效截止日期</w:t>
            </w:r>
          </w:p>
        </w:tc>
        <w:tc>
          <w:tcPr>
            <w:tcW w:w="2060" w:type="dxa"/>
            <w:tcBorders>
              <w:top w:val="single" w:color="auto" w:sz="4" w:space="0"/>
              <w:left w:val="single" w:color="auto" w:sz="4" w:space="0"/>
              <w:bottom w:val="single" w:color="auto" w:sz="4" w:space="0"/>
              <w:right w:val="single" w:color="auto" w:sz="4" w:space="0"/>
            </w:tcBorders>
            <w:vAlign w:val="center"/>
          </w:tcPr>
          <w:p w14:paraId="7CEEED93">
            <w:pPr>
              <w:jc w:val="center"/>
              <w:rPr>
                <w:rFonts w:ascii="宋体" w:hAnsi="宋体" w:cs="宋体"/>
                <w:b/>
                <w:bCs/>
                <w:color w:val="auto"/>
                <w:szCs w:val="21"/>
                <w:highlight w:val="none"/>
              </w:rPr>
            </w:pPr>
            <w:r>
              <w:rPr>
                <w:rFonts w:hint="eastAsia" w:ascii="宋体" w:hAnsi="宋体" w:cs="宋体"/>
                <w:b/>
                <w:bCs/>
                <w:color w:val="auto"/>
                <w:szCs w:val="21"/>
                <w:highlight w:val="none"/>
              </w:rPr>
              <w:t>认证证书</w:t>
            </w:r>
          </w:p>
          <w:p w14:paraId="790A5152">
            <w:pPr>
              <w:jc w:val="center"/>
              <w:rPr>
                <w:rFonts w:ascii="宋体" w:hAnsi="宋体" w:cs="宋体"/>
                <w:b/>
                <w:bCs/>
                <w:color w:val="auto"/>
                <w:szCs w:val="21"/>
                <w:highlight w:val="none"/>
              </w:rPr>
            </w:pPr>
            <w:r>
              <w:rPr>
                <w:rFonts w:hint="eastAsia" w:ascii="宋体" w:hAnsi="宋体" w:cs="宋体"/>
                <w:b/>
                <w:bCs/>
                <w:color w:val="auto"/>
                <w:szCs w:val="21"/>
                <w:highlight w:val="none"/>
              </w:rPr>
              <w:t>影印件</w:t>
            </w:r>
          </w:p>
        </w:tc>
      </w:tr>
      <w:tr w14:paraId="02CF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33521EA8">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14DF3D5D">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50FFE181">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B4BB70A">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2562068E">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28D66A56">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2D7289D2">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118C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52CD088B">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0F96F1B4">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6BB3577">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1BA67C76">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4223A720">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0E1B2235">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vAlign w:val="center"/>
          </w:tcPr>
          <w:p w14:paraId="3B179145">
            <w:pPr>
              <w:spacing w:line="480" w:lineRule="exact"/>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r w14:paraId="0348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1" w:type="dxa"/>
            <w:tcBorders>
              <w:top w:val="single" w:color="auto" w:sz="4" w:space="0"/>
              <w:left w:val="single" w:color="auto" w:sz="4" w:space="0"/>
              <w:bottom w:val="single" w:color="auto" w:sz="4" w:space="0"/>
              <w:right w:val="single" w:color="auto" w:sz="4" w:space="0"/>
            </w:tcBorders>
          </w:tcPr>
          <w:p w14:paraId="5D18BB99">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0EF6703F">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4939B17E">
            <w:pPr>
              <w:spacing w:line="360" w:lineRule="auto"/>
              <w:rPr>
                <w:rFonts w:ascii="宋体" w:hAnsi="宋体" w:cs="宋体"/>
                <w:color w:val="auto"/>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5622EBE6">
            <w:pPr>
              <w:spacing w:line="360" w:lineRule="auto"/>
              <w:rPr>
                <w:rFonts w:ascii="宋体" w:hAnsi="宋体" w:cs="宋体"/>
                <w:color w:val="auto"/>
                <w:szCs w:val="21"/>
                <w:highlight w:val="none"/>
              </w:rPr>
            </w:pPr>
          </w:p>
        </w:tc>
        <w:tc>
          <w:tcPr>
            <w:tcW w:w="1625" w:type="dxa"/>
            <w:tcBorders>
              <w:top w:val="single" w:color="auto" w:sz="4" w:space="0"/>
              <w:left w:val="single" w:color="auto" w:sz="4" w:space="0"/>
              <w:bottom w:val="single" w:color="auto" w:sz="4" w:space="0"/>
              <w:right w:val="single" w:color="auto" w:sz="4" w:space="0"/>
            </w:tcBorders>
          </w:tcPr>
          <w:p w14:paraId="6557FE8F">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189CF7D2">
            <w:pPr>
              <w:spacing w:line="360" w:lineRule="auto"/>
              <w:rPr>
                <w:rFonts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14:paraId="2924BC6B">
            <w:pPr>
              <w:spacing w:line="480" w:lineRule="exact"/>
              <w:ind w:firstLine="105" w:firstLineChars="50"/>
              <w:jc w:val="center"/>
              <w:rPr>
                <w:rFonts w:ascii="宋体" w:hAnsi="宋体" w:cs="宋体"/>
                <w:color w:val="auto"/>
                <w:szCs w:val="21"/>
                <w:highlight w:val="none"/>
              </w:rPr>
            </w:pPr>
            <w:r>
              <w:rPr>
                <w:rFonts w:hint="eastAsia" w:ascii="宋体" w:hAnsi="宋体" w:cs="宋体"/>
                <w:b/>
                <w:color w:val="auto"/>
                <w:szCs w:val="21"/>
                <w:highlight w:val="none"/>
              </w:rPr>
              <w:t>见</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页</w:t>
            </w:r>
          </w:p>
        </w:tc>
      </w:tr>
    </w:tbl>
    <w:p w14:paraId="352F538D">
      <w:pPr>
        <w:pStyle w:val="15"/>
        <w:widowControl w:val="0"/>
        <w:adjustRightInd w:val="0"/>
        <w:snapToGrid w:val="0"/>
        <w:spacing w:before="0" w:beforeAutospacing="0" w:after="0" w:afterAutospacing="0" w:line="480" w:lineRule="exact"/>
        <w:ind w:firstLine="420" w:firstLineChars="200"/>
        <w:rPr>
          <w:b/>
          <w:bCs/>
          <w:color w:val="auto"/>
          <w:sz w:val="21"/>
          <w:szCs w:val="21"/>
          <w:highlight w:val="none"/>
        </w:rPr>
      </w:pPr>
      <w:r>
        <w:rPr>
          <w:rFonts w:hint="eastAsia"/>
          <w:b/>
          <w:bCs/>
          <w:color w:val="auto"/>
          <w:sz w:val="21"/>
          <w:szCs w:val="21"/>
          <w:highlight w:val="none"/>
        </w:rPr>
        <w:t>认证证书附后（有效期之内的节能产品、环境标志产品证书）。</w:t>
      </w:r>
    </w:p>
    <w:p w14:paraId="6D871146">
      <w:pPr>
        <w:pStyle w:val="15"/>
        <w:widowControl w:val="0"/>
        <w:adjustRightInd w:val="0"/>
        <w:snapToGrid w:val="0"/>
        <w:spacing w:before="0" w:beforeAutospacing="0" w:after="0" w:afterAutospacing="0" w:line="480" w:lineRule="exact"/>
        <w:ind w:firstLine="420" w:firstLineChars="200"/>
        <w:rPr>
          <w:b/>
          <w:bCs/>
          <w:color w:val="auto"/>
          <w:sz w:val="21"/>
          <w:szCs w:val="21"/>
          <w:highlight w:val="none"/>
        </w:rPr>
      </w:pPr>
    </w:p>
    <w:p w14:paraId="42A20DD3">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087AF63D">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w:t>
      </w:r>
    </w:p>
    <w:p w14:paraId="36134C87">
      <w:pPr>
        <w:snapToGrid w:val="0"/>
        <w:spacing w:line="440" w:lineRule="exact"/>
        <w:ind w:firstLine="2940" w:firstLineChars="1400"/>
        <w:jc w:val="left"/>
        <w:rPr>
          <w:rFonts w:ascii="宋体" w:hAnsi="宋体" w:cs="宋体"/>
          <w:color w:val="auto"/>
          <w:szCs w:val="21"/>
          <w:highlight w:val="none"/>
        </w:rPr>
        <w:sectPr>
          <w:pgSz w:w="11906" w:h="16838"/>
          <w:pgMar w:top="1474" w:right="1474" w:bottom="1474" w:left="1474" w:header="1020" w:footer="1020" w:gutter="0"/>
          <w:pgNumType w:fmt="numberInDash"/>
          <w:cols w:space="720" w:num="1"/>
          <w:docGrid w:type="linesAndChars" w:linePitch="316" w:charSpace="0"/>
        </w:sectPr>
      </w:pPr>
      <w:r>
        <w:rPr>
          <w:rFonts w:hint="eastAsia" w:ascii="宋体" w:hAnsi="宋体" w:cs="宋体"/>
          <w:color w:val="auto"/>
          <w:szCs w:val="21"/>
          <w:highlight w:val="none"/>
        </w:rPr>
        <w:t>日期：   年  月  日</w:t>
      </w:r>
    </w:p>
    <w:p w14:paraId="701EFA5B">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bookmarkStart w:id="164" w:name="_Toc78559548"/>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color w:val="auto"/>
          <w:sz w:val="21"/>
          <w:szCs w:val="21"/>
          <w:highlight w:val="none"/>
        </w:rPr>
        <w:t>对服务</w:t>
      </w:r>
      <w:r>
        <w:rPr>
          <w:rFonts w:hint="eastAsia" w:ascii="宋体" w:hAnsi="宋体" w:eastAsia="宋体" w:cs="宋体"/>
          <w:color w:val="auto"/>
          <w:kern w:val="0"/>
          <w:sz w:val="21"/>
          <w:szCs w:val="21"/>
          <w:highlight w:val="none"/>
        </w:rPr>
        <w:t>要求</w:t>
      </w:r>
      <w:r>
        <w:rPr>
          <w:rFonts w:hint="eastAsia" w:ascii="宋体" w:hAnsi="宋体" w:eastAsia="宋体" w:cs="宋体"/>
          <w:color w:val="auto"/>
          <w:sz w:val="21"/>
          <w:szCs w:val="21"/>
          <w:highlight w:val="none"/>
        </w:rPr>
        <w:t>的响应内容格式</w:t>
      </w:r>
    </w:p>
    <w:p w14:paraId="6EC7184F">
      <w:pPr>
        <w:tabs>
          <w:tab w:val="left" w:pos="1680"/>
        </w:tabs>
        <w:adjustRightInd w:val="0"/>
        <w:snapToGrid w:val="0"/>
        <w:spacing w:line="312" w:lineRule="auto"/>
        <w:jc w:val="left"/>
        <w:rPr>
          <w:rFonts w:ascii="宋体" w:hAnsi="宋体" w:cs="宋体"/>
          <w:b/>
          <w:color w:val="auto"/>
          <w:szCs w:val="21"/>
          <w:highlight w:val="none"/>
        </w:rPr>
      </w:pPr>
      <w:r>
        <w:rPr>
          <w:rFonts w:hint="eastAsia" w:ascii="宋体" w:hAnsi="宋体" w:cs="宋体"/>
          <w:b/>
          <w:color w:val="auto"/>
          <w:szCs w:val="21"/>
          <w:highlight w:val="none"/>
        </w:rPr>
        <w:t>（若有的话，以包为单位分别填写）</w:t>
      </w:r>
    </w:p>
    <w:p w14:paraId="2D546F61">
      <w:pPr>
        <w:tabs>
          <w:tab w:val="left" w:pos="1680"/>
        </w:tabs>
        <w:adjustRightInd w:val="0"/>
        <w:snapToGrid w:val="0"/>
        <w:spacing w:line="312" w:lineRule="auto"/>
        <w:jc w:val="center"/>
        <w:rPr>
          <w:rFonts w:ascii="宋体" w:hAnsi="宋体" w:cs="宋体"/>
          <w:b/>
          <w:color w:val="auto"/>
          <w:szCs w:val="21"/>
          <w:highlight w:val="none"/>
        </w:rPr>
      </w:pPr>
      <w:r>
        <w:rPr>
          <w:rFonts w:hint="eastAsia" w:ascii="宋体" w:hAnsi="宋体" w:cs="宋体"/>
          <w:b/>
          <w:color w:val="auto"/>
          <w:szCs w:val="21"/>
          <w:highlight w:val="none"/>
        </w:rPr>
        <w:t>服务响应内容表</w:t>
      </w:r>
    </w:p>
    <w:p w14:paraId="306AB6C5">
      <w:pPr>
        <w:pStyle w:val="31"/>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88FF0B5">
      <w:pPr>
        <w:pStyle w:val="31"/>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14:paraId="063A7F5B">
      <w:pPr>
        <w:pStyle w:val="31"/>
        <w:spacing w:line="440" w:lineRule="exact"/>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14:paraId="006D8A79">
      <w:pPr>
        <w:widowControl/>
        <w:tabs>
          <w:tab w:val="left" w:pos="4000"/>
        </w:tabs>
        <w:snapToGrid w:val="0"/>
        <w:spacing w:line="460" w:lineRule="exact"/>
        <w:jc w:val="center"/>
        <w:rPr>
          <w:rFonts w:ascii="宋体" w:hAnsi="宋体" w:cs="宋体"/>
          <w:color w:val="auto"/>
          <w:spacing w:val="20"/>
          <w:kern w:val="0"/>
          <w:szCs w:val="21"/>
          <w:highlight w:val="none"/>
        </w:rPr>
      </w:pPr>
    </w:p>
    <w:p w14:paraId="06EB9BC8">
      <w:pPr>
        <w:tabs>
          <w:tab w:val="right" w:leader="middleDot" w:pos="7350"/>
          <w:tab w:val="right" w:leader="middleDot" w:pos="7392"/>
        </w:tabs>
        <w:rPr>
          <w:rFonts w:ascii="宋体" w:hAnsi="宋体" w:cs="宋体"/>
          <w:color w:val="auto"/>
          <w:szCs w:val="21"/>
          <w:highlight w:val="none"/>
        </w:rPr>
      </w:pPr>
    </w:p>
    <w:tbl>
      <w:tblPr>
        <w:tblStyle w:val="18"/>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3803"/>
        <w:gridCol w:w="1912"/>
        <w:gridCol w:w="1159"/>
      </w:tblGrid>
      <w:tr w14:paraId="62DC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101BF03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799D6E5C">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3803" w:type="dxa"/>
            <w:vAlign w:val="center"/>
          </w:tcPr>
          <w:p w14:paraId="5D163A6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w:t>
            </w:r>
            <w:r>
              <w:rPr>
                <w:rFonts w:hint="eastAsia" w:ascii="宋体" w:hAnsi="宋体" w:cs="宋体"/>
                <w:b/>
                <w:color w:val="auto"/>
                <w:szCs w:val="21"/>
                <w:highlight w:val="none"/>
              </w:rPr>
              <w:t>服务</w:t>
            </w:r>
            <w:r>
              <w:rPr>
                <w:rFonts w:hint="eastAsia" w:ascii="宋体" w:hAnsi="宋体" w:cs="宋体"/>
                <w:b/>
                <w:color w:val="auto"/>
                <w:kern w:val="0"/>
                <w:szCs w:val="21"/>
                <w:highlight w:val="none"/>
              </w:rPr>
              <w:t>要求内容</w:t>
            </w:r>
          </w:p>
        </w:tc>
        <w:tc>
          <w:tcPr>
            <w:tcW w:w="1912" w:type="dxa"/>
            <w:vAlign w:val="center"/>
          </w:tcPr>
          <w:p w14:paraId="68FD5907">
            <w:pPr>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是否响应</w:t>
            </w:r>
          </w:p>
        </w:tc>
        <w:tc>
          <w:tcPr>
            <w:tcW w:w="1159" w:type="dxa"/>
            <w:vAlign w:val="center"/>
          </w:tcPr>
          <w:p w14:paraId="056F58ED">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5BEC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12642994">
            <w:pPr>
              <w:adjustRightInd w:val="0"/>
              <w:snapToGrid w:val="0"/>
              <w:spacing w:line="312" w:lineRule="auto"/>
              <w:jc w:val="center"/>
              <w:rPr>
                <w:rFonts w:ascii="宋体" w:hAnsi="宋体" w:cs="宋体"/>
                <w:color w:val="auto"/>
                <w:szCs w:val="21"/>
                <w:highlight w:val="none"/>
              </w:rPr>
            </w:pPr>
          </w:p>
        </w:tc>
        <w:tc>
          <w:tcPr>
            <w:tcW w:w="2012" w:type="dxa"/>
            <w:vAlign w:val="center"/>
          </w:tcPr>
          <w:p w14:paraId="3520B109">
            <w:pPr>
              <w:adjustRightInd w:val="0"/>
              <w:snapToGrid w:val="0"/>
              <w:jc w:val="center"/>
              <w:rPr>
                <w:rFonts w:ascii="宋体" w:hAnsi="宋体" w:cs="宋体"/>
                <w:color w:val="auto"/>
                <w:szCs w:val="21"/>
                <w:highlight w:val="none"/>
              </w:rPr>
            </w:pPr>
          </w:p>
        </w:tc>
        <w:tc>
          <w:tcPr>
            <w:tcW w:w="3803" w:type="dxa"/>
            <w:vAlign w:val="center"/>
          </w:tcPr>
          <w:p w14:paraId="69588093">
            <w:pPr>
              <w:adjustRightInd w:val="0"/>
              <w:snapToGrid w:val="0"/>
              <w:jc w:val="center"/>
              <w:rPr>
                <w:rFonts w:ascii="宋体" w:hAnsi="宋体" w:cs="宋体"/>
                <w:color w:val="auto"/>
                <w:szCs w:val="21"/>
                <w:highlight w:val="none"/>
              </w:rPr>
            </w:pPr>
          </w:p>
        </w:tc>
        <w:tc>
          <w:tcPr>
            <w:tcW w:w="1912" w:type="dxa"/>
            <w:vAlign w:val="center"/>
          </w:tcPr>
          <w:p w14:paraId="4D67F1FC">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A9A362D">
            <w:pPr>
              <w:adjustRightInd w:val="0"/>
              <w:snapToGrid w:val="0"/>
              <w:jc w:val="center"/>
              <w:rPr>
                <w:rFonts w:ascii="宋体" w:hAnsi="宋体" w:cs="宋体"/>
                <w:b/>
                <w:color w:val="auto"/>
                <w:szCs w:val="21"/>
                <w:highlight w:val="none"/>
              </w:rPr>
            </w:pPr>
          </w:p>
        </w:tc>
      </w:tr>
      <w:tr w14:paraId="79BF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15794482">
            <w:pPr>
              <w:adjustRightInd w:val="0"/>
              <w:snapToGrid w:val="0"/>
              <w:spacing w:line="312" w:lineRule="auto"/>
              <w:jc w:val="center"/>
              <w:rPr>
                <w:rFonts w:ascii="宋体" w:hAnsi="宋体" w:cs="宋体"/>
                <w:color w:val="auto"/>
                <w:szCs w:val="21"/>
                <w:highlight w:val="none"/>
              </w:rPr>
            </w:pPr>
          </w:p>
        </w:tc>
        <w:tc>
          <w:tcPr>
            <w:tcW w:w="2012" w:type="dxa"/>
            <w:vAlign w:val="center"/>
          </w:tcPr>
          <w:p w14:paraId="105B264A">
            <w:pPr>
              <w:adjustRightInd w:val="0"/>
              <w:snapToGrid w:val="0"/>
              <w:jc w:val="center"/>
              <w:rPr>
                <w:rFonts w:ascii="宋体" w:hAnsi="宋体" w:cs="宋体"/>
                <w:color w:val="auto"/>
                <w:szCs w:val="21"/>
                <w:highlight w:val="none"/>
              </w:rPr>
            </w:pPr>
          </w:p>
        </w:tc>
        <w:tc>
          <w:tcPr>
            <w:tcW w:w="3803" w:type="dxa"/>
            <w:vAlign w:val="center"/>
          </w:tcPr>
          <w:p w14:paraId="1507BC65">
            <w:pPr>
              <w:adjustRightInd w:val="0"/>
              <w:snapToGrid w:val="0"/>
              <w:jc w:val="center"/>
              <w:rPr>
                <w:rFonts w:ascii="宋体" w:hAnsi="宋体" w:cs="宋体"/>
                <w:color w:val="auto"/>
                <w:szCs w:val="21"/>
                <w:highlight w:val="none"/>
              </w:rPr>
            </w:pPr>
          </w:p>
        </w:tc>
        <w:tc>
          <w:tcPr>
            <w:tcW w:w="1912" w:type="dxa"/>
            <w:vAlign w:val="center"/>
          </w:tcPr>
          <w:p w14:paraId="2CB01497">
            <w:pPr>
              <w:adjustRightInd w:val="0"/>
              <w:snapToGrid w:val="0"/>
              <w:spacing w:line="312" w:lineRule="auto"/>
              <w:jc w:val="center"/>
              <w:rPr>
                <w:rFonts w:ascii="宋体" w:hAnsi="宋体" w:cs="宋体"/>
                <w:b/>
                <w:color w:val="auto"/>
                <w:szCs w:val="21"/>
                <w:highlight w:val="none"/>
              </w:rPr>
            </w:pPr>
          </w:p>
        </w:tc>
        <w:tc>
          <w:tcPr>
            <w:tcW w:w="1159" w:type="dxa"/>
            <w:vAlign w:val="center"/>
          </w:tcPr>
          <w:p w14:paraId="10CADCDD">
            <w:pPr>
              <w:adjustRightInd w:val="0"/>
              <w:snapToGrid w:val="0"/>
              <w:spacing w:line="312" w:lineRule="auto"/>
              <w:jc w:val="center"/>
              <w:rPr>
                <w:rFonts w:ascii="宋体" w:hAnsi="宋体" w:cs="宋体"/>
                <w:b/>
                <w:color w:val="auto"/>
                <w:szCs w:val="21"/>
                <w:highlight w:val="none"/>
              </w:rPr>
            </w:pPr>
          </w:p>
        </w:tc>
      </w:tr>
      <w:tr w14:paraId="30B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692A91A">
            <w:pPr>
              <w:adjustRightInd w:val="0"/>
              <w:snapToGrid w:val="0"/>
              <w:spacing w:line="312" w:lineRule="auto"/>
              <w:jc w:val="center"/>
              <w:rPr>
                <w:rFonts w:ascii="宋体" w:hAnsi="宋体" w:cs="宋体"/>
                <w:color w:val="auto"/>
                <w:szCs w:val="21"/>
                <w:highlight w:val="none"/>
              </w:rPr>
            </w:pPr>
          </w:p>
        </w:tc>
        <w:tc>
          <w:tcPr>
            <w:tcW w:w="2012" w:type="dxa"/>
            <w:vAlign w:val="center"/>
          </w:tcPr>
          <w:p w14:paraId="6BFDDE42">
            <w:pPr>
              <w:jc w:val="center"/>
              <w:rPr>
                <w:rFonts w:ascii="宋体" w:hAnsi="宋体" w:cs="宋体"/>
                <w:color w:val="auto"/>
                <w:szCs w:val="21"/>
                <w:highlight w:val="none"/>
              </w:rPr>
            </w:pPr>
          </w:p>
        </w:tc>
        <w:tc>
          <w:tcPr>
            <w:tcW w:w="3803" w:type="dxa"/>
            <w:vAlign w:val="center"/>
          </w:tcPr>
          <w:p w14:paraId="4AED2974">
            <w:pPr>
              <w:jc w:val="center"/>
              <w:rPr>
                <w:rFonts w:ascii="宋体" w:hAnsi="宋体" w:cs="宋体"/>
                <w:color w:val="auto"/>
                <w:szCs w:val="21"/>
                <w:highlight w:val="none"/>
              </w:rPr>
            </w:pPr>
          </w:p>
        </w:tc>
        <w:tc>
          <w:tcPr>
            <w:tcW w:w="1912" w:type="dxa"/>
            <w:vAlign w:val="center"/>
          </w:tcPr>
          <w:p w14:paraId="696D5214">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7F34423">
            <w:pPr>
              <w:adjustRightInd w:val="0"/>
              <w:snapToGrid w:val="0"/>
              <w:spacing w:line="312" w:lineRule="auto"/>
              <w:jc w:val="center"/>
              <w:rPr>
                <w:rFonts w:ascii="宋体" w:hAnsi="宋体" w:cs="宋体"/>
                <w:b/>
                <w:color w:val="auto"/>
                <w:szCs w:val="21"/>
                <w:highlight w:val="none"/>
              </w:rPr>
            </w:pPr>
          </w:p>
        </w:tc>
      </w:tr>
      <w:tr w14:paraId="3703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692FA284">
            <w:pPr>
              <w:adjustRightInd w:val="0"/>
              <w:snapToGrid w:val="0"/>
              <w:spacing w:line="312" w:lineRule="auto"/>
              <w:jc w:val="center"/>
              <w:rPr>
                <w:rFonts w:ascii="宋体" w:hAnsi="宋体" w:cs="宋体"/>
                <w:color w:val="auto"/>
                <w:szCs w:val="21"/>
                <w:highlight w:val="none"/>
              </w:rPr>
            </w:pPr>
          </w:p>
        </w:tc>
        <w:tc>
          <w:tcPr>
            <w:tcW w:w="2012" w:type="dxa"/>
            <w:vAlign w:val="center"/>
          </w:tcPr>
          <w:p w14:paraId="5DA1C40C">
            <w:pPr>
              <w:adjustRightInd w:val="0"/>
              <w:snapToGrid w:val="0"/>
              <w:jc w:val="center"/>
              <w:rPr>
                <w:rFonts w:ascii="宋体" w:hAnsi="宋体" w:cs="宋体"/>
                <w:color w:val="auto"/>
                <w:szCs w:val="21"/>
                <w:highlight w:val="none"/>
              </w:rPr>
            </w:pPr>
          </w:p>
        </w:tc>
        <w:tc>
          <w:tcPr>
            <w:tcW w:w="3803" w:type="dxa"/>
            <w:vAlign w:val="center"/>
          </w:tcPr>
          <w:p w14:paraId="06DDCAD7">
            <w:pPr>
              <w:adjustRightInd w:val="0"/>
              <w:snapToGrid w:val="0"/>
              <w:jc w:val="center"/>
              <w:rPr>
                <w:rFonts w:ascii="宋体" w:hAnsi="宋体" w:cs="宋体"/>
                <w:color w:val="auto"/>
                <w:szCs w:val="21"/>
                <w:highlight w:val="none"/>
              </w:rPr>
            </w:pPr>
          </w:p>
        </w:tc>
        <w:tc>
          <w:tcPr>
            <w:tcW w:w="1912" w:type="dxa"/>
            <w:vAlign w:val="center"/>
          </w:tcPr>
          <w:p w14:paraId="112D41D0">
            <w:pPr>
              <w:adjustRightInd w:val="0"/>
              <w:snapToGrid w:val="0"/>
              <w:spacing w:line="312" w:lineRule="auto"/>
              <w:jc w:val="center"/>
              <w:rPr>
                <w:rFonts w:ascii="宋体" w:hAnsi="宋体" w:cs="宋体"/>
                <w:b/>
                <w:color w:val="auto"/>
                <w:szCs w:val="21"/>
                <w:highlight w:val="none"/>
              </w:rPr>
            </w:pPr>
          </w:p>
        </w:tc>
        <w:tc>
          <w:tcPr>
            <w:tcW w:w="1159" w:type="dxa"/>
            <w:vAlign w:val="center"/>
          </w:tcPr>
          <w:p w14:paraId="5A81B256">
            <w:pPr>
              <w:adjustRightInd w:val="0"/>
              <w:snapToGrid w:val="0"/>
              <w:spacing w:line="312" w:lineRule="auto"/>
              <w:jc w:val="center"/>
              <w:rPr>
                <w:rFonts w:ascii="宋体" w:hAnsi="宋体" w:cs="宋体"/>
                <w:b/>
                <w:color w:val="auto"/>
                <w:szCs w:val="21"/>
                <w:highlight w:val="none"/>
              </w:rPr>
            </w:pPr>
          </w:p>
        </w:tc>
      </w:tr>
      <w:tr w14:paraId="25C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41FFD1D6">
            <w:pPr>
              <w:adjustRightInd w:val="0"/>
              <w:snapToGrid w:val="0"/>
              <w:spacing w:line="312" w:lineRule="auto"/>
              <w:jc w:val="center"/>
              <w:rPr>
                <w:rFonts w:ascii="宋体" w:hAnsi="宋体" w:cs="宋体"/>
                <w:color w:val="auto"/>
                <w:szCs w:val="21"/>
                <w:highlight w:val="none"/>
              </w:rPr>
            </w:pPr>
          </w:p>
        </w:tc>
        <w:tc>
          <w:tcPr>
            <w:tcW w:w="2012" w:type="dxa"/>
            <w:vAlign w:val="center"/>
          </w:tcPr>
          <w:p w14:paraId="17729631">
            <w:pPr>
              <w:adjustRightInd w:val="0"/>
              <w:snapToGrid w:val="0"/>
              <w:jc w:val="center"/>
              <w:rPr>
                <w:rFonts w:ascii="宋体" w:hAnsi="宋体" w:cs="宋体"/>
                <w:color w:val="auto"/>
                <w:szCs w:val="21"/>
                <w:highlight w:val="none"/>
              </w:rPr>
            </w:pPr>
          </w:p>
        </w:tc>
        <w:tc>
          <w:tcPr>
            <w:tcW w:w="3803" w:type="dxa"/>
            <w:vAlign w:val="center"/>
          </w:tcPr>
          <w:p w14:paraId="131A3B7B">
            <w:pPr>
              <w:adjustRightInd w:val="0"/>
              <w:snapToGrid w:val="0"/>
              <w:jc w:val="center"/>
              <w:rPr>
                <w:rFonts w:ascii="宋体" w:hAnsi="宋体" w:cs="宋体"/>
                <w:color w:val="auto"/>
                <w:szCs w:val="21"/>
                <w:highlight w:val="none"/>
              </w:rPr>
            </w:pPr>
          </w:p>
        </w:tc>
        <w:tc>
          <w:tcPr>
            <w:tcW w:w="1912" w:type="dxa"/>
            <w:vAlign w:val="center"/>
          </w:tcPr>
          <w:p w14:paraId="63038A06">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6004F1C">
            <w:pPr>
              <w:adjustRightInd w:val="0"/>
              <w:snapToGrid w:val="0"/>
              <w:spacing w:line="312" w:lineRule="auto"/>
              <w:jc w:val="center"/>
              <w:rPr>
                <w:rFonts w:ascii="宋体" w:hAnsi="宋体" w:cs="宋体"/>
                <w:b/>
                <w:color w:val="auto"/>
                <w:szCs w:val="21"/>
                <w:highlight w:val="none"/>
              </w:rPr>
            </w:pPr>
          </w:p>
        </w:tc>
      </w:tr>
      <w:tr w14:paraId="503A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7545058">
            <w:pPr>
              <w:adjustRightInd w:val="0"/>
              <w:snapToGrid w:val="0"/>
              <w:spacing w:line="312" w:lineRule="auto"/>
              <w:jc w:val="center"/>
              <w:rPr>
                <w:rFonts w:ascii="宋体" w:hAnsi="宋体" w:cs="宋体"/>
                <w:color w:val="auto"/>
                <w:szCs w:val="21"/>
                <w:highlight w:val="none"/>
              </w:rPr>
            </w:pPr>
          </w:p>
        </w:tc>
        <w:tc>
          <w:tcPr>
            <w:tcW w:w="2012" w:type="dxa"/>
            <w:vAlign w:val="center"/>
          </w:tcPr>
          <w:p w14:paraId="36963A6B">
            <w:pPr>
              <w:adjustRightInd w:val="0"/>
              <w:snapToGrid w:val="0"/>
              <w:jc w:val="center"/>
              <w:rPr>
                <w:rFonts w:ascii="宋体" w:hAnsi="宋体" w:cs="宋体"/>
                <w:color w:val="auto"/>
                <w:szCs w:val="21"/>
                <w:highlight w:val="none"/>
              </w:rPr>
            </w:pPr>
          </w:p>
        </w:tc>
        <w:tc>
          <w:tcPr>
            <w:tcW w:w="3803" w:type="dxa"/>
            <w:vAlign w:val="center"/>
          </w:tcPr>
          <w:p w14:paraId="3558BB63">
            <w:pPr>
              <w:adjustRightInd w:val="0"/>
              <w:snapToGrid w:val="0"/>
              <w:jc w:val="center"/>
              <w:rPr>
                <w:rFonts w:ascii="宋体" w:hAnsi="宋体" w:cs="宋体"/>
                <w:color w:val="auto"/>
                <w:szCs w:val="21"/>
                <w:highlight w:val="none"/>
              </w:rPr>
            </w:pPr>
          </w:p>
        </w:tc>
        <w:tc>
          <w:tcPr>
            <w:tcW w:w="1912" w:type="dxa"/>
            <w:vAlign w:val="center"/>
          </w:tcPr>
          <w:p w14:paraId="4EF473DB">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9C66863">
            <w:pPr>
              <w:adjustRightInd w:val="0"/>
              <w:snapToGrid w:val="0"/>
              <w:spacing w:line="312" w:lineRule="auto"/>
              <w:jc w:val="center"/>
              <w:rPr>
                <w:rFonts w:ascii="宋体" w:hAnsi="宋体" w:cs="宋体"/>
                <w:b/>
                <w:color w:val="auto"/>
                <w:szCs w:val="21"/>
                <w:highlight w:val="none"/>
              </w:rPr>
            </w:pPr>
          </w:p>
        </w:tc>
      </w:tr>
      <w:tr w14:paraId="1713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1D336524">
            <w:pPr>
              <w:adjustRightInd w:val="0"/>
              <w:snapToGrid w:val="0"/>
              <w:spacing w:line="312" w:lineRule="auto"/>
              <w:jc w:val="center"/>
              <w:rPr>
                <w:rFonts w:ascii="宋体" w:hAnsi="宋体" w:cs="宋体"/>
                <w:color w:val="auto"/>
                <w:szCs w:val="21"/>
                <w:highlight w:val="none"/>
              </w:rPr>
            </w:pPr>
          </w:p>
        </w:tc>
        <w:tc>
          <w:tcPr>
            <w:tcW w:w="2012" w:type="dxa"/>
            <w:vAlign w:val="center"/>
          </w:tcPr>
          <w:p w14:paraId="57853852">
            <w:pPr>
              <w:adjustRightInd w:val="0"/>
              <w:snapToGrid w:val="0"/>
              <w:jc w:val="center"/>
              <w:rPr>
                <w:rFonts w:ascii="宋体" w:hAnsi="宋体" w:cs="宋体"/>
                <w:color w:val="auto"/>
                <w:szCs w:val="21"/>
                <w:highlight w:val="none"/>
              </w:rPr>
            </w:pPr>
          </w:p>
        </w:tc>
        <w:tc>
          <w:tcPr>
            <w:tcW w:w="3803" w:type="dxa"/>
            <w:vAlign w:val="center"/>
          </w:tcPr>
          <w:p w14:paraId="58F8F144">
            <w:pPr>
              <w:adjustRightInd w:val="0"/>
              <w:snapToGrid w:val="0"/>
              <w:jc w:val="center"/>
              <w:rPr>
                <w:rFonts w:ascii="宋体" w:hAnsi="宋体" w:cs="宋体"/>
                <w:color w:val="auto"/>
                <w:szCs w:val="21"/>
                <w:highlight w:val="none"/>
              </w:rPr>
            </w:pPr>
          </w:p>
        </w:tc>
        <w:tc>
          <w:tcPr>
            <w:tcW w:w="1912" w:type="dxa"/>
            <w:vAlign w:val="center"/>
          </w:tcPr>
          <w:p w14:paraId="5860D8C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5D4B6AF">
            <w:pPr>
              <w:adjustRightInd w:val="0"/>
              <w:snapToGrid w:val="0"/>
              <w:spacing w:line="312" w:lineRule="auto"/>
              <w:jc w:val="center"/>
              <w:rPr>
                <w:rFonts w:ascii="宋体" w:hAnsi="宋体" w:cs="宋体"/>
                <w:b/>
                <w:color w:val="auto"/>
                <w:szCs w:val="21"/>
                <w:highlight w:val="none"/>
              </w:rPr>
            </w:pPr>
          </w:p>
        </w:tc>
      </w:tr>
    </w:tbl>
    <w:p w14:paraId="3D9BCD3A">
      <w:pPr>
        <w:widowControl/>
        <w:snapToGrid w:val="0"/>
        <w:spacing w:line="460" w:lineRule="exact"/>
        <w:jc w:val="left"/>
        <w:rPr>
          <w:rFonts w:ascii="宋体" w:hAnsi="宋体" w:cs="宋体"/>
          <w:color w:val="auto"/>
          <w:spacing w:val="20"/>
          <w:kern w:val="0"/>
          <w:szCs w:val="21"/>
          <w:highlight w:val="none"/>
        </w:rPr>
      </w:pPr>
    </w:p>
    <w:p w14:paraId="22262C13">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771FA778">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3ED663CB">
      <w:pPr>
        <w:widowControl/>
        <w:snapToGrid w:val="0"/>
        <w:spacing w:line="460" w:lineRule="exact"/>
        <w:jc w:val="left"/>
        <w:rPr>
          <w:rFonts w:ascii="宋体" w:hAnsi="宋体" w:cs="宋体"/>
          <w:color w:val="auto"/>
          <w:spacing w:val="20"/>
          <w:kern w:val="0"/>
          <w:szCs w:val="21"/>
          <w:highlight w:val="none"/>
        </w:rPr>
      </w:pPr>
    </w:p>
    <w:p w14:paraId="2F589AD8">
      <w:pPr>
        <w:widowControl/>
        <w:snapToGrid w:val="0"/>
        <w:spacing w:line="460" w:lineRule="exact"/>
        <w:jc w:val="left"/>
        <w:rPr>
          <w:rFonts w:ascii="宋体" w:hAnsi="宋体" w:cs="宋体"/>
          <w:color w:val="auto"/>
          <w:spacing w:val="20"/>
          <w:kern w:val="0"/>
          <w:szCs w:val="21"/>
          <w:highlight w:val="none"/>
        </w:rPr>
      </w:pPr>
    </w:p>
    <w:p w14:paraId="5371058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7BB5E77C">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14ADA099">
      <w:pPr>
        <w:snapToGrid w:val="0"/>
        <w:spacing w:line="440" w:lineRule="exact"/>
        <w:ind w:firstLine="2940" w:firstLineChars="1400"/>
        <w:jc w:val="left"/>
        <w:rPr>
          <w:rFonts w:ascii="宋体" w:hAnsi="宋体" w:cs="宋体"/>
          <w:color w:val="auto"/>
          <w:szCs w:val="21"/>
          <w:highlight w:val="none"/>
        </w:rPr>
        <w:sectPr>
          <w:footerReference r:id="rId10" w:type="default"/>
          <w:pgSz w:w="11906" w:h="16838"/>
          <w:pgMar w:top="1474" w:right="1474" w:bottom="1474" w:left="1474" w:header="1020" w:footer="1020" w:gutter="0"/>
          <w:pgNumType w:fmt="numberInDash"/>
          <w:cols w:space="720" w:num="1"/>
          <w:docGrid w:type="linesAndChars" w:linePitch="316" w:charSpace="0"/>
        </w:sectPr>
      </w:pPr>
      <w:r>
        <w:rPr>
          <w:rFonts w:hint="eastAsia" w:ascii="宋体" w:hAnsi="宋体" w:cs="宋体"/>
          <w:color w:val="auto"/>
          <w:szCs w:val="21"/>
          <w:highlight w:val="none"/>
        </w:rPr>
        <w:t>日期：   年  月  日</w:t>
      </w:r>
    </w:p>
    <w:p w14:paraId="1F345729">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五、</w:t>
      </w:r>
      <w:r>
        <w:rPr>
          <w:rFonts w:hint="eastAsia" w:ascii="宋体" w:hAnsi="宋体" w:eastAsia="宋体" w:cs="宋体"/>
          <w:color w:val="auto"/>
          <w:sz w:val="21"/>
          <w:szCs w:val="21"/>
          <w:highlight w:val="none"/>
        </w:rPr>
        <w:t>对技术</w:t>
      </w:r>
      <w:r>
        <w:rPr>
          <w:rFonts w:hint="eastAsia" w:ascii="宋体" w:hAnsi="宋体" w:eastAsia="宋体" w:cs="宋体"/>
          <w:color w:val="auto"/>
          <w:kern w:val="0"/>
          <w:sz w:val="21"/>
          <w:szCs w:val="21"/>
          <w:highlight w:val="none"/>
        </w:rPr>
        <w:t>要求</w:t>
      </w:r>
      <w:r>
        <w:rPr>
          <w:rFonts w:hint="eastAsia" w:ascii="宋体" w:hAnsi="宋体" w:eastAsia="宋体" w:cs="宋体"/>
          <w:color w:val="auto"/>
          <w:sz w:val="21"/>
          <w:szCs w:val="21"/>
          <w:highlight w:val="none"/>
        </w:rPr>
        <w:t>的响应内容格式</w:t>
      </w:r>
      <w:bookmarkEnd w:id="164"/>
    </w:p>
    <w:p w14:paraId="39F93B13">
      <w:pPr>
        <w:tabs>
          <w:tab w:val="left" w:pos="1680"/>
        </w:tabs>
        <w:adjustRightInd w:val="0"/>
        <w:snapToGrid w:val="0"/>
        <w:spacing w:line="312" w:lineRule="auto"/>
        <w:jc w:val="left"/>
        <w:rPr>
          <w:rFonts w:ascii="宋体" w:hAnsi="宋体" w:cs="宋体"/>
          <w:b/>
          <w:color w:val="auto"/>
          <w:szCs w:val="21"/>
          <w:highlight w:val="none"/>
        </w:rPr>
      </w:pPr>
      <w:r>
        <w:rPr>
          <w:rFonts w:hint="eastAsia" w:ascii="宋体" w:hAnsi="宋体" w:cs="宋体"/>
          <w:b/>
          <w:color w:val="auto"/>
          <w:szCs w:val="21"/>
          <w:highlight w:val="none"/>
        </w:rPr>
        <w:t>（若有的话，以包为单位分别填写）</w:t>
      </w:r>
    </w:p>
    <w:p w14:paraId="38FD48CB">
      <w:pPr>
        <w:tabs>
          <w:tab w:val="left" w:pos="1680"/>
        </w:tabs>
        <w:adjustRightInd w:val="0"/>
        <w:snapToGrid w:val="0"/>
        <w:spacing w:line="312" w:lineRule="auto"/>
        <w:jc w:val="center"/>
        <w:rPr>
          <w:rFonts w:ascii="宋体" w:hAnsi="宋体" w:cs="宋体"/>
          <w:b/>
          <w:color w:val="auto"/>
          <w:szCs w:val="21"/>
          <w:highlight w:val="none"/>
        </w:rPr>
      </w:pPr>
      <w:r>
        <w:rPr>
          <w:rFonts w:hint="eastAsia" w:ascii="宋体" w:hAnsi="宋体" w:cs="宋体"/>
          <w:b/>
          <w:color w:val="auto"/>
          <w:szCs w:val="21"/>
          <w:highlight w:val="none"/>
        </w:rPr>
        <w:t>技术响应内容表</w:t>
      </w:r>
    </w:p>
    <w:p w14:paraId="081646E9">
      <w:pPr>
        <w:pStyle w:val="31"/>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C7ABD6A">
      <w:pPr>
        <w:pStyle w:val="31"/>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02298C28">
      <w:pPr>
        <w:pStyle w:val="31"/>
        <w:spacing w:line="440" w:lineRule="exact"/>
        <w:rPr>
          <w:rFonts w:ascii="宋体" w:hAnsi="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14:paraId="259190EB">
      <w:pPr>
        <w:widowControl/>
        <w:tabs>
          <w:tab w:val="left" w:pos="4000"/>
        </w:tabs>
        <w:snapToGrid w:val="0"/>
        <w:spacing w:line="460" w:lineRule="exact"/>
        <w:jc w:val="center"/>
        <w:rPr>
          <w:rFonts w:ascii="宋体" w:hAnsi="宋体" w:cs="宋体"/>
          <w:color w:val="auto"/>
          <w:spacing w:val="20"/>
          <w:kern w:val="0"/>
          <w:szCs w:val="21"/>
          <w:highlight w:val="none"/>
        </w:rPr>
      </w:pPr>
    </w:p>
    <w:p w14:paraId="119FFA4D">
      <w:pPr>
        <w:tabs>
          <w:tab w:val="right" w:leader="middleDot" w:pos="7350"/>
          <w:tab w:val="right" w:leader="middleDot" w:pos="7392"/>
        </w:tabs>
        <w:rPr>
          <w:rFonts w:ascii="宋体" w:hAnsi="宋体" w:cs="宋体"/>
          <w:color w:val="auto"/>
          <w:szCs w:val="21"/>
          <w:highlight w:val="none"/>
        </w:rPr>
      </w:pPr>
    </w:p>
    <w:tbl>
      <w:tblPr>
        <w:tblStyle w:val="18"/>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12"/>
        <w:gridCol w:w="3803"/>
        <w:gridCol w:w="1912"/>
        <w:gridCol w:w="1159"/>
      </w:tblGrid>
      <w:tr w14:paraId="6B74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91" w:type="dxa"/>
            <w:vAlign w:val="center"/>
          </w:tcPr>
          <w:p w14:paraId="1BD51280">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012" w:type="dxa"/>
            <w:vAlign w:val="center"/>
          </w:tcPr>
          <w:p w14:paraId="70BB6873">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名称</w:t>
            </w:r>
          </w:p>
        </w:tc>
        <w:tc>
          <w:tcPr>
            <w:tcW w:w="3803" w:type="dxa"/>
            <w:vAlign w:val="center"/>
          </w:tcPr>
          <w:p w14:paraId="187B68A7">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w:t>
            </w:r>
            <w:r>
              <w:rPr>
                <w:rFonts w:hint="eastAsia" w:ascii="宋体" w:hAnsi="宋体" w:cs="宋体"/>
                <w:b/>
                <w:color w:val="auto"/>
                <w:szCs w:val="21"/>
                <w:highlight w:val="none"/>
              </w:rPr>
              <w:t>技术</w:t>
            </w:r>
            <w:r>
              <w:rPr>
                <w:rFonts w:hint="eastAsia" w:ascii="宋体" w:hAnsi="宋体" w:cs="宋体"/>
                <w:b/>
                <w:color w:val="auto"/>
                <w:kern w:val="0"/>
                <w:szCs w:val="21"/>
                <w:highlight w:val="none"/>
              </w:rPr>
              <w:t>要求内容</w:t>
            </w:r>
          </w:p>
        </w:tc>
        <w:tc>
          <w:tcPr>
            <w:tcW w:w="1912" w:type="dxa"/>
            <w:vAlign w:val="center"/>
          </w:tcPr>
          <w:p w14:paraId="71044287">
            <w:pPr>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是否响应</w:t>
            </w:r>
          </w:p>
        </w:tc>
        <w:tc>
          <w:tcPr>
            <w:tcW w:w="1159" w:type="dxa"/>
            <w:vAlign w:val="center"/>
          </w:tcPr>
          <w:p w14:paraId="1B7300FB">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响应情况</w:t>
            </w:r>
          </w:p>
        </w:tc>
      </w:tr>
      <w:tr w14:paraId="6A4B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2CCF95B0">
            <w:pPr>
              <w:adjustRightInd w:val="0"/>
              <w:snapToGrid w:val="0"/>
              <w:spacing w:line="312" w:lineRule="auto"/>
              <w:jc w:val="center"/>
              <w:rPr>
                <w:rFonts w:ascii="宋体" w:hAnsi="宋体" w:cs="宋体"/>
                <w:color w:val="auto"/>
                <w:szCs w:val="21"/>
                <w:highlight w:val="none"/>
              </w:rPr>
            </w:pPr>
          </w:p>
        </w:tc>
        <w:tc>
          <w:tcPr>
            <w:tcW w:w="2012" w:type="dxa"/>
            <w:vAlign w:val="center"/>
          </w:tcPr>
          <w:p w14:paraId="58145B2A">
            <w:pPr>
              <w:adjustRightInd w:val="0"/>
              <w:snapToGrid w:val="0"/>
              <w:jc w:val="center"/>
              <w:rPr>
                <w:rFonts w:ascii="宋体" w:hAnsi="宋体" w:cs="宋体"/>
                <w:color w:val="auto"/>
                <w:szCs w:val="21"/>
                <w:highlight w:val="none"/>
              </w:rPr>
            </w:pPr>
          </w:p>
        </w:tc>
        <w:tc>
          <w:tcPr>
            <w:tcW w:w="3803" w:type="dxa"/>
            <w:vAlign w:val="center"/>
          </w:tcPr>
          <w:p w14:paraId="3441CCB8">
            <w:pPr>
              <w:adjustRightInd w:val="0"/>
              <w:snapToGrid w:val="0"/>
              <w:jc w:val="center"/>
              <w:rPr>
                <w:rFonts w:ascii="宋体" w:hAnsi="宋体" w:cs="宋体"/>
                <w:color w:val="auto"/>
                <w:szCs w:val="21"/>
                <w:highlight w:val="none"/>
              </w:rPr>
            </w:pPr>
          </w:p>
        </w:tc>
        <w:tc>
          <w:tcPr>
            <w:tcW w:w="1912" w:type="dxa"/>
            <w:vAlign w:val="center"/>
          </w:tcPr>
          <w:p w14:paraId="38FF95C0">
            <w:pPr>
              <w:adjustRightInd w:val="0"/>
              <w:snapToGrid w:val="0"/>
              <w:spacing w:line="312" w:lineRule="auto"/>
              <w:jc w:val="center"/>
              <w:rPr>
                <w:rFonts w:ascii="宋体" w:hAnsi="宋体" w:cs="宋体"/>
                <w:b/>
                <w:color w:val="auto"/>
                <w:szCs w:val="21"/>
                <w:highlight w:val="none"/>
              </w:rPr>
            </w:pPr>
          </w:p>
        </w:tc>
        <w:tc>
          <w:tcPr>
            <w:tcW w:w="1159" w:type="dxa"/>
            <w:vAlign w:val="center"/>
          </w:tcPr>
          <w:p w14:paraId="0DE7191B">
            <w:pPr>
              <w:adjustRightInd w:val="0"/>
              <w:snapToGrid w:val="0"/>
              <w:jc w:val="center"/>
              <w:rPr>
                <w:rFonts w:ascii="宋体" w:hAnsi="宋体" w:cs="宋体"/>
                <w:b/>
                <w:color w:val="auto"/>
                <w:szCs w:val="21"/>
                <w:highlight w:val="none"/>
              </w:rPr>
            </w:pPr>
          </w:p>
        </w:tc>
      </w:tr>
      <w:tr w14:paraId="36BE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3D801098">
            <w:pPr>
              <w:adjustRightInd w:val="0"/>
              <w:snapToGrid w:val="0"/>
              <w:spacing w:line="312" w:lineRule="auto"/>
              <w:jc w:val="center"/>
              <w:rPr>
                <w:rFonts w:ascii="宋体" w:hAnsi="宋体" w:cs="宋体"/>
                <w:color w:val="auto"/>
                <w:szCs w:val="21"/>
                <w:highlight w:val="none"/>
              </w:rPr>
            </w:pPr>
          </w:p>
        </w:tc>
        <w:tc>
          <w:tcPr>
            <w:tcW w:w="2012" w:type="dxa"/>
            <w:vAlign w:val="center"/>
          </w:tcPr>
          <w:p w14:paraId="6111D555">
            <w:pPr>
              <w:adjustRightInd w:val="0"/>
              <w:snapToGrid w:val="0"/>
              <w:jc w:val="center"/>
              <w:rPr>
                <w:rFonts w:ascii="宋体" w:hAnsi="宋体" w:cs="宋体"/>
                <w:color w:val="auto"/>
                <w:szCs w:val="21"/>
                <w:highlight w:val="none"/>
              </w:rPr>
            </w:pPr>
          </w:p>
        </w:tc>
        <w:tc>
          <w:tcPr>
            <w:tcW w:w="3803" w:type="dxa"/>
            <w:vAlign w:val="center"/>
          </w:tcPr>
          <w:p w14:paraId="07D66047">
            <w:pPr>
              <w:adjustRightInd w:val="0"/>
              <w:snapToGrid w:val="0"/>
              <w:jc w:val="center"/>
              <w:rPr>
                <w:rFonts w:ascii="宋体" w:hAnsi="宋体" w:cs="宋体"/>
                <w:color w:val="auto"/>
                <w:szCs w:val="21"/>
                <w:highlight w:val="none"/>
              </w:rPr>
            </w:pPr>
          </w:p>
        </w:tc>
        <w:tc>
          <w:tcPr>
            <w:tcW w:w="1912" w:type="dxa"/>
            <w:vAlign w:val="center"/>
          </w:tcPr>
          <w:p w14:paraId="44CDA64A">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C009ECE">
            <w:pPr>
              <w:adjustRightInd w:val="0"/>
              <w:snapToGrid w:val="0"/>
              <w:spacing w:line="312" w:lineRule="auto"/>
              <w:jc w:val="center"/>
              <w:rPr>
                <w:rFonts w:ascii="宋体" w:hAnsi="宋体" w:cs="宋体"/>
                <w:b/>
                <w:color w:val="auto"/>
                <w:szCs w:val="21"/>
                <w:highlight w:val="none"/>
              </w:rPr>
            </w:pPr>
          </w:p>
        </w:tc>
      </w:tr>
      <w:tr w14:paraId="1062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4EB3659E">
            <w:pPr>
              <w:adjustRightInd w:val="0"/>
              <w:snapToGrid w:val="0"/>
              <w:spacing w:line="312" w:lineRule="auto"/>
              <w:jc w:val="center"/>
              <w:rPr>
                <w:rFonts w:ascii="宋体" w:hAnsi="宋体" w:cs="宋体"/>
                <w:color w:val="auto"/>
                <w:szCs w:val="21"/>
                <w:highlight w:val="none"/>
              </w:rPr>
            </w:pPr>
          </w:p>
        </w:tc>
        <w:tc>
          <w:tcPr>
            <w:tcW w:w="2012" w:type="dxa"/>
            <w:vAlign w:val="center"/>
          </w:tcPr>
          <w:p w14:paraId="2B772235">
            <w:pPr>
              <w:jc w:val="center"/>
              <w:rPr>
                <w:rFonts w:ascii="宋体" w:hAnsi="宋体" w:cs="宋体"/>
                <w:color w:val="auto"/>
                <w:szCs w:val="21"/>
                <w:highlight w:val="none"/>
              </w:rPr>
            </w:pPr>
          </w:p>
        </w:tc>
        <w:tc>
          <w:tcPr>
            <w:tcW w:w="3803" w:type="dxa"/>
            <w:vAlign w:val="center"/>
          </w:tcPr>
          <w:p w14:paraId="1F608934">
            <w:pPr>
              <w:jc w:val="center"/>
              <w:rPr>
                <w:rFonts w:ascii="宋体" w:hAnsi="宋体" w:cs="宋体"/>
                <w:color w:val="auto"/>
                <w:szCs w:val="21"/>
                <w:highlight w:val="none"/>
              </w:rPr>
            </w:pPr>
          </w:p>
        </w:tc>
        <w:tc>
          <w:tcPr>
            <w:tcW w:w="1912" w:type="dxa"/>
            <w:vAlign w:val="center"/>
          </w:tcPr>
          <w:p w14:paraId="55DD7849">
            <w:pPr>
              <w:adjustRightInd w:val="0"/>
              <w:snapToGrid w:val="0"/>
              <w:spacing w:line="312" w:lineRule="auto"/>
              <w:jc w:val="center"/>
              <w:rPr>
                <w:rFonts w:ascii="宋体" w:hAnsi="宋体" w:cs="宋体"/>
                <w:b/>
                <w:color w:val="auto"/>
                <w:szCs w:val="21"/>
                <w:highlight w:val="none"/>
              </w:rPr>
            </w:pPr>
          </w:p>
        </w:tc>
        <w:tc>
          <w:tcPr>
            <w:tcW w:w="1159" w:type="dxa"/>
            <w:vAlign w:val="center"/>
          </w:tcPr>
          <w:p w14:paraId="3110A4AA">
            <w:pPr>
              <w:adjustRightInd w:val="0"/>
              <w:snapToGrid w:val="0"/>
              <w:spacing w:line="312" w:lineRule="auto"/>
              <w:jc w:val="center"/>
              <w:rPr>
                <w:rFonts w:ascii="宋体" w:hAnsi="宋体" w:cs="宋体"/>
                <w:b/>
                <w:color w:val="auto"/>
                <w:szCs w:val="21"/>
                <w:highlight w:val="none"/>
              </w:rPr>
            </w:pPr>
          </w:p>
        </w:tc>
      </w:tr>
      <w:tr w14:paraId="5289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91" w:type="dxa"/>
            <w:vAlign w:val="center"/>
          </w:tcPr>
          <w:p w14:paraId="085B0A51">
            <w:pPr>
              <w:adjustRightInd w:val="0"/>
              <w:snapToGrid w:val="0"/>
              <w:spacing w:line="312" w:lineRule="auto"/>
              <w:jc w:val="center"/>
              <w:rPr>
                <w:rFonts w:ascii="宋体" w:hAnsi="宋体" w:cs="宋体"/>
                <w:color w:val="auto"/>
                <w:szCs w:val="21"/>
                <w:highlight w:val="none"/>
              </w:rPr>
            </w:pPr>
          </w:p>
        </w:tc>
        <w:tc>
          <w:tcPr>
            <w:tcW w:w="2012" w:type="dxa"/>
            <w:vAlign w:val="center"/>
          </w:tcPr>
          <w:p w14:paraId="64FE79FB">
            <w:pPr>
              <w:adjustRightInd w:val="0"/>
              <w:snapToGrid w:val="0"/>
              <w:jc w:val="center"/>
              <w:rPr>
                <w:rFonts w:ascii="宋体" w:hAnsi="宋体" w:cs="宋体"/>
                <w:color w:val="auto"/>
                <w:szCs w:val="21"/>
                <w:highlight w:val="none"/>
              </w:rPr>
            </w:pPr>
          </w:p>
        </w:tc>
        <w:tc>
          <w:tcPr>
            <w:tcW w:w="3803" w:type="dxa"/>
            <w:vAlign w:val="center"/>
          </w:tcPr>
          <w:p w14:paraId="341A9B06">
            <w:pPr>
              <w:adjustRightInd w:val="0"/>
              <w:snapToGrid w:val="0"/>
              <w:jc w:val="center"/>
              <w:rPr>
                <w:rFonts w:ascii="宋体" w:hAnsi="宋体" w:cs="宋体"/>
                <w:color w:val="auto"/>
                <w:szCs w:val="21"/>
                <w:highlight w:val="none"/>
              </w:rPr>
            </w:pPr>
          </w:p>
        </w:tc>
        <w:tc>
          <w:tcPr>
            <w:tcW w:w="1912" w:type="dxa"/>
            <w:vAlign w:val="center"/>
          </w:tcPr>
          <w:p w14:paraId="573F71D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665852CA">
            <w:pPr>
              <w:adjustRightInd w:val="0"/>
              <w:snapToGrid w:val="0"/>
              <w:spacing w:line="312" w:lineRule="auto"/>
              <w:jc w:val="center"/>
              <w:rPr>
                <w:rFonts w:ascii="宋体" w:hAnsi="宋体" w:cs="宋体"/>
                <w:b/>
                <w:color w:val="auto"/>
                <w:szCs w:val="21"/>
                <w:highlight w:val="none"/>
              </w:rPr>
            </w:pPr>
          </w:p>
        </w:tc>
      </w:tr>
      <w:tr w14:paraId="09AF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1C74F130">
            <w:pPr>
              <w:adjustRightInd w:val="0"/>
              <w:snapToGrid w:val="0"/>
              <w:spacing w:line="312" w:lineRule="auto"/>
              <w:jc w:val="center"/>
              <w:rPr>
                <w:rFonts w:ascii="宋体" w:hAnsi="宋体" w:cs="宋体"/>
                <w:color w:val="auto"/>
                <w:szCs w:val="21"/>
                <w:highlight w:val="none"/>
              </w:rPr>
            </w:pPr>
          </w:p>
        </w:tc>
        <w:tc>
          <w:tcPr>
            <w:tcW w:w="2012" w:type="dxa"/>
            <w:vAlign w:val="center"/>
          </w:tcPr>
          <w:p w14:paraId="00485185">
            <w:pPr>
              <w:adjustRightInd w:val="0"/>
              <w:snapToGrid w:val="0"/>
              <w:jc w:val="center"/>
              <w:rPr>
                <w:rFonts w:ascii="宋体" w:hAnsi="宋体" w:cs="宋体"/>
                <w:color w:val="auto"/>
                <w:szCs w:val="21"/>
                <w:highlight w:val="none"/>
              </w:rPr>
            </w:pPr>
          </w:p>
        </w:tc>
        <w:tc>
          <w:tcPr>
            <w:tcW w:w="3803" w:type="dxa"/>
            <w:vAlign w:val="center"/>
          </w:tcPr>
          <w:p w14:paraId="20A0BADE">
            <w:pPr>
              <w:adjustRightInd w:val="0"/>
              <w:snapToGrid w:val="0"/>
              <w:jc w:val="center"/>
              <w:rPr>
                <w:rFonts w:ascii="宋体" w:hAnsi="宋体" w:cs="宋体"/>
                <w:color w:val="auto"/>
                <w:szCs w:val="21"/>
                <w:highlight w:val="none"/>
              </w:rPr>
            </w:pPr>
          </w:p>
        </w:tc>
        <w:tc>
          <w:tcPr>
            <w:tcW w:w="1912" w:type="dxa"/>
            <w:vAlign w:val="center"/>
          </w:tcPr>
          <w:p w14:paraId="166F2626">
            <w:pPr>
              <w:adjustRightInd w:val="0"/>
              <w:snapToGrid w:val="0"/>
              <w:spacing w:line="312" w:lineRule="auto"/>
              <w:jc w:val="center"/>
              <w:rPr>
                <w:rFonts w:ascii="宋体" w:hAnsi="宋体" w:cs="宋体"/>
                <w:b/>
                <w:color w:val="auto"/>
                <w:szCs w:val="21"/>
                <w:highlight w:val="none"/>
              </w:rPr>
            </w:pPr>
          </w:p>
        </w:tc>
        <w:tc>
          <w:tcPr>
            <w:tcW w:w="1159" w:type="dxa"/>
            <w:vAlign w:val="center"/>
          </w:tcPr>
          <w:p w14:paraId="294188EE">
            <w:pPr>
              <w:adjustRightInd w:val="0"/>
              <w:snapToGrid w:val="0"/>
              <w:spacing w:line="312" w:lineRule="auto"/>
              <w:jc w:val="center"/>
              <w:rPr>
                <w:rFonts w:ascii="宋体" w:hAnsi="宋体" w:cs="宋体"/>
                <w:b/>
                <w:color w:val="auto"/>
                <w:szCs w:val="21"/>
                <w:highlight w:val="none"/>
              </w:rPr>
            </w:pPr>
          </w:p>
        </w:tc>
      </w:tr>
      <w:tr w14:paraId="72D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91" w:type="dxa"/>
            <w:vAlign w:val="center"/>
          </w:tcPr>
          <w:p w14:paraId="5950338C">
            <w:pPr>
              <w:adjustRightInd w:val="0"/>
              <w:snapToGrid w:val="0"/>
              <w:spacing w:line="312" w:lineRule="auto"/>
              <w:jc w:val="center"/>
              <w:rPr>
                <w:rFonts w:ascii="宋体" w:hAnsi="宋体" w:cs="宋体"/>
                <w:color w:val="auto"/>
                <w:szCs w:val="21"/>
                <w:highlight w:val="none"/>
              </w:rPr>
            </w:pPr>
          </w:p>
        </w:tc>
        <w:tc>
          <w:tcPr>
            <w:tcW w:w="2012" w:type="dxa"/>
            <w:vAlign w:val="center"/>
          </w:tcPr>
          <w:p w14:paraId="045D65BA">
            <w:pPr>
              <w:adjustRightInd w:val="0"/>
              <w:snapToGrid w:val="0"/>
              <w:jc w:val="center"/>
              <w:rPr>
                <w:rFonts w:ascii="宋体" w:hAnsi="宋体" w:cs="宋体"/>
                <w:color w:val="auto"/>
                <w:szCs w:val="21"/>
                <w:highlight w:val="none"/>
              </w:rPr>
            </w:pPr>
          </w:p>
        </w:tc>
        <w:tc>
          <w:tcPr>
            <w:tcW w:w="3803" w:type="dxa"/>
            <w:vAlign w:val="center"/>
          </w:tcPr>
          <w:p w14:paraId="73CF0849">
            <w:pPr>
              <w:adjustRightInd w:val="0"/>
              <w:snapToGrid w:val="0"/>
              <w:jc w:val="center"/>
              <w:rPr>
                <w:rFonts w:ascii="宋体" w:hAnsi="宋体" w:cs="宋体"/>
                <w:color w:val="auto"/>
                <w:szCs w:val="21"/>
                <w:highlight w:val="none"/>
              </w:rPr>
            </w:pPr>
          </w:p>
        </w:tc>
        <w:tc>
          <w:tcPr>
            <w:tcW w:w="1912" w:type="dxa"/>
            <w:vAlign w:val="center"/>
          </w:tcPr>
          <w:p w14:paraId="06EECD34">
            <w:pPr>
              <w:adjustRightInd w:val="0"/>
              <w:snapToGrid w:val="0"/>
              <w:spacing w:line="312" w:lineRule="auto"/>
              <w:jc w:val="center"/>
              <w:rPr>
                <w:rFonts w:ascii="宋体" w:hAnsi="宋体" w:cs="宋体"/>
                <w:b/>
                <w:color w:val="auto"/>
                <w:szCs w:val="21"/>
                <w:highlight w:val="none"/>
              </w:rPr>
            </w:pPr>
          </w:p>
        </w:tc>
        <w:tc>
          <w:tcPr>
            <w:tcW w:w="1159" w:type="dxa"/>
            <w:vAlign w:val="center"/>
          </w:tcPr>
          <w:p w14:paraId="79D5F5FD">
            <w:pPr>
              <w:adjustRightInd w:val="0"/>
              <w:snapToGrid w:val="0"/>
              <w:spacing w:line="312" w:lineRule="auto"/>
              <w:jc w:val="center"/>
              <w:rPr>
                <w:rFonts w:ascii="宋体" w:hAnsi="宋体" w:cs="宋体"/>
                <w:b/>
                <w:color w:val="auto"/>
                <w:szCs w:val="21"/>
                <w:highlight w:val="none"/>
              </w:rPr>
            </w:pPr>
          </w:p>
        </w:tc>
      </w:tr>
      <w:tr w14:paraId="3713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91" w:type="dxa"/>
            <w:vAlign w:val="center"/>
          </w:tcPr>
          <w:p w14:paraId="62703436">
            <w:pPr>
              <w:adjustRightInd w:val="0"/>
              <w:snapToGrid w:val="0"/>
              <w:spacing w:line="312" w:lineRule="auto"/>
              <w:jc w:val="center"/>
              <w:rPr>
                <w:rFonts w:ascii="宋体" w:hAnsi="宋体" w:cs="宋体"/>
                <w:color w:val="auto"/>
                <w:szCs w:val="21"/>
                <w:highlight w:val="none"/>
              </w:rPr>
            </w:pPr>
          </w:p>
        </w:tc>
        <w:tc>
          <w:tcPr>
            <w:tcW w:w="2012" w:type="dxa"/>
            <w:vAlign w:val="center"/>
          </w:tcPr>
          <w:p w14:paraId="10A2E35A">
            <w:pPr>
              <w:adjustRightInd w:val="0"/>
              <w:snapToGrid w:val="0"/>
              <w:jc w:val="center"/>
              <w:rPr>
                <w:rFonts w:ascii="宋体" w:hAnsi="宋体" w:cs="宋体"/>
                <w:color w:val="auto"/>
                <w:szCs w:val="21"/>
                <w:highlight w:val="none"/>
              </w:rPr>
            </w:pPr>
          </w:p>
        </w:tc>
        <w:tc>
          <w:tcPr>
            <w:tcW w:w="3803" w:type="dxa"/>
            <w:vAlign w:val="center"/>
          </w:tcPr>
          <w:p w14:paraId="54C9CD64">
            <w:pPr>
              <w:adjustRightInd w:val="0"/>
              <w:snapToGrid w:val="0"/>
              <w:jc w:val="center"/>
              <w:rPr>
                <w:rFonts w:ascii="宋体" w:hAnsi="宋体" w:cs="宋体"/>
                <w:color w:val="auto"/>
                <w:szCs w:val="21"/>
                <w:highlight w:val="none"/>
              </w:rPr>
            </w:pPr>
          </w:p>
        </w:tc>
        <w:tc>
          <w:tcPr>
            <w:tcW w:w="1912" w:type="dxa"/>
            <w:vAlign w:val="center"/>
          </w:tcPr>
          <w:p w14:paraId="232E56A3">
            <w:pPr>
              <w:adjustRightInd w:val="0"/>
              <w:snapToGrid w:val="0"/>
              <w:spacing w:line="312" w:lineRule="auto"/>
              <w:jc w:val="center"/>
              <w:rPr>
                <w:rFonts w:ascii="宋体" w:hAnsi="宋体" w:cs="宋体"/>
                <w:b/>
                <w:color w:val="auto"/>
                <w:szCs w:val="21"/>
                <w:highlight w:val="none"/>
              </w:rPr>
            </w:pPr>
          </w:p>
        </w:tc>
        <w:tc>
          <w:tcPr>
            <w:tcW w:w="1159" w:type="dxa"/>
            <w:vAlign w:val="center"/>
          </w:tcPr>
          <w:p w14:paraId="1FC887D1">
            <w:pPr>
              <w:adjustRightInd w:val="0"/>
              <w:snapToGrid w:val="0"/>
              <w:spacing w:line="312" w:lineRule="auto"/>
              <w:jc w:val="center"/>
              <w:rPr>
                <w:rFonts w:ascii="宋体" w:hAnsi="宋体" w:cs="宋体"/>
                <w:b/>
                <w:color w:val="auto"/>
                <w:szCs w:val="21"/>
                <w:highlight w:val="none"/>
              </w:rPr>
            </w:pPr>
          </w:p>
        </w:tc>
      </w:tr>
    </w:tbl>
    <w:p w14:paraId="34263148">
      <w:pPr>
        <w:widowControl/>
        <w:snapToGrid w:val="0"/>
        <w:spacing w:line="460" w:lineRule="exact"/>
        <w:jc w:val="left"/>
        <w:rPr>
          <w:rFonts w:ascii="宋体" w:hAnsi="宋体" w:cs="宋体"/>
          <w:color w:val="auto"/>
          <w:spacing w:val="20"/>
          <w:kern w:val="0"/>
          <w:szCs w:val="21"/>
          <w:highlight w:val="none"/>
        </w:rPr>
      </w:pPr>
    </w:p>
    <w:p w14:paraId="2C414674">
      <w:pPr>
        <w:autoSpaceDE w:val="0"/>
        <w:autoSpaceDN w:val="0"/>
        <w:adjustRightInd w:val="0"/>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注：</w:t>
      </w:r>
    </w:p>
    <w:p w14:paraId="218F63D9">
      <w:pPr>
        <w:spacing w:line="4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如投标人完全响应，则请在“是否响应”栏内打“√”，对空白或打“×”视为偏离，请在“响应情况”栏内扼要说明偏离情况，响应情况内容较多时可在表格填写响应内容所在页码（如：见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页）。</w:t>
      </w:r>
    </w:p>
    <w:p w14:paraId="3B8C9D59">
      <w:pPr>
        <w:widowControl/>
        <w:snapToGrid w:val="0"/>
        <w:spacing w:line="460" w:lineRule="exact"/>
        <w:jc w:val="left"/>
        <w:rPr>
          <w:rFonts w:ascii="宋体" w:hAnsi="宋体" w:cs="宋体"/>
          <w:color w:val="auto"/>
          <w:spacing w:val="20"/>
          <w:kern w:val="0"/>
          <w:szCs w:val="21"/>
          <w:highlight w:val="none"/>
        </w:rPr>
      </w:pPr>
    </w:p>
    <w:p w14:paraId="2DD45B86">
      <w:pPr>
        <w:widowControl/>
        <w:snapToGrid w:val="0"/>
        <w:spacing w:line="460" w:lineRule="exact"/>
        <w:jc w:val="left"/>
        <w:rPr>
          <w:rFonts w:ascii="宋体" w:hAnsi="宋体" w:cs="宋体"/>
          <w:color w:val="auto"/>
          <w:spacing w:val="20"/>
          <w:kern w:val="0"/>
          <w:szCs w:val="21"/>
          <w:highlight w:val="none"/>
        </w:rPr>
      </w:pPr>
    </w:p>
    <w:p w14:paraId="391314DF">
      <w:pPr>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EE88F21">
      <w:pPr>
        <w:snapToGrid w:val="0"/>
        <w:spacing w:line="440" w:lineRule="exact"/>
        <w:ind w:firstLine="2940" w:firstLineChars="14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24003605">
      <w:pPr>
        <w:snapToGrid w:val="0"/>
        <w:spacing w:line="440" w:lineRule="exact"/>
        <w:ind w:firstLine="2940" w:firstLineChars="1400"/>
        <w:jc w:val="left"/>
        <w:rPr>
          <w:rFonts w:ascii="宋体" w:hAnsi="宋体" w:cs="宋体"/>
          <w:color w:val="auto"/>
          <w:szCs w:val="21"/>
          <w:highlight w:val="none"/>
        </w:rPr>
        <w:sectPr>
          <w:pgSz w:w="11906" w:h="16838"/>
          <w:pgMar w:top="1474" w:right="1474" w:bottom="1474" w:left="1474" w:header="1020" w:footer="1020" w:gutter="0"/>
          <w:pgNumType w:fmt="numberInDash"/>
          <w:cols w:space="720" w:num="1"/>
          <w:docGrid w:type="linesAndChars" w:linePitch="316" w:charSpace="0"/>
        </w:sectPr>
      </w:pPr>
      <w:r>
        <w:rPr>
          <w:rFonts w:hint="eastAsia" w:ascii="宋体" w:hAnsi="宋体" w:cs="宋体"/>
          <w:color w:val="auto"/>
          <w:szCs w:val="21"/>
          <w:highlight w:val="none"/>
        </w:rPr>
        <w:t>日期：   年  月  日</w:t>
      </w:r>
    </w:p>
    <w:p w14:paraId="712BC4B7">
      <w:pPr>
        <w:pStyle w:val="27"/>
        <w:numPr>
          <w:ilvl w:val="0"/>
          <w:numId w:val="0"/>
        </w:numPr>
        <w:spacing w:before="316" w:beforeLines="100" w:line="460" w:lineRule="exact"/>
        <w:jc w:val="both"/>
        <w:rPr>
          <w:rFonts w:ascii="宋体" w:hAnsi="宋体" w:cs="宋体"/>
          <w:b/>
          <w:bCs/>
          <w:color w:val="auto"/>
          <w:szCs w:val="21"/>
          <w:highlight w:val="none"/>
        </w:rPr>
      </w:pPr>
      <w:bookmarkStart w:id="165" w:name="_Toc78559550"/>
      <w:r>
        <w:rPr>
          <w:rFonts w:hint="eastAsia" w:ascii="宋体" w:hAnsi="宋体"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w:t>
      </w:r>
      <w:r>
        <w:rPr>
          <w:rFonts w:hint="eastAsia" w:ascii="宋体" w:hAnsi="宋体" w:cs="宋体"/>
          <w:b/>
          <w:color w:val="auto"/>
          <w:kern w:val="0"/>
          <w:szCs w:val="21"/>
          <w:highlight w:val="none"/>
        </w:rPr>
        <w:t>拟派往本项目的技术团队人员配备情况</w:t>
      </w:r>
      <w:r>
        <w:rPr>
          <w:rFonts w:hint="eastAsia" w:ascii="宋体" w:hAnsi="宋体" w:cs="宋体"/>
          <w:b/>
          <w:color w:val="auto"/>
          <w:kern w:val="0"/>
          <w:szCs w:val="21"/>
          <w:highlight w:val="none"/>
          <w:lang w:val="zh-CN"/>
        </w:rPr>
        <w:t>（格式）</w:t>
      </w:r>
    </w:p>
    <w:tbl>
      <w:tblPr>
        <w:tblStyle w:val="18"/>
        <w:tblpPr w:leftFromText="180" w:rightFromText="180" w:vertAnchor="text" w:horzAnchor="page" w:tblpX="1470" w:tblpY="504"/>
        <w:tblOverlap w:val="never"/>
        <w:tblW w:w="48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927"/>
        <w:gridCol w:w="987"/>
        <w:gridCol w:w="754"/>
        <w:gridCol w:w="927"/>
        <w:gridCol w:w="927"/>
        <w:gridCol w:w="987"/>
        <w:gridCol w:w="1203"/>
        <w:gridCol w:w="991"/>
      </w:tblGrid>
      <w:tr w14:paraId="291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337" w:type="pct"/>
            <w:vAlign w:val="center"/>
          </w:tcPr>
          <w:p w14:paraId="6A340850">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561" w:type="pct"/>
            <w:vAlign w:val="center"/>
          </w:tcPr>
          <w:p w14:paraId="412F845E">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  名</w:t>
            </w:r>
          </w:p>
        </w:tc>
        <w:tc>
          <w:tcPr>
            <w:tcW w:w="597" w:type="pct"/>
            <w:vAlign w:val="center"/>
          </w:tcPr>
          <w:p w14:paraId="05E3FE6C">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身份证号</w:t>
            </w:r>
          </w:p>
        </w:tc>
        <w:tc>
          <w:tcPr>
            <w:tcW w:w="456" w:type="pct"/>
            <w:vAlign w:val="center"/>
          </w:tcPr>
          <w:p w14:paraId="02D12241">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561" w:type="pct"/>
            <w:vAlign w:val="center"/>
          </w:tcPr>
          <w:p w14:paraId="2294ADEC">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  称</w:t>
            </w:r>
          </w:p>
        </w:tc>
        <w:tc>
          <w:tcPr>
            <w:tcW w:w="561" w:type="pct"/>
            <w:vAlign w:val="center"/>
          </w:tcPr>
          <w:p w14:paraId="5C2013E1">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从事专业</w:t>
            </w:r>
          </w:p>
        </w:tc>
        <w:tc>
          <w:tcPr>
            <w:tcW w:w="597" w:type="pct"/>
            <w:vAlign w:val="center"/>
          </w:tcPr>
          <w:p w14:paraId="681C20B8">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工作时间</w:t>
            </w:r>
          </w:p>
        </w:tc>
        <w:tc>
          <w:tcPr>
            <w:tcW w:w="728" w:type="pct"/>
            <w:vAlign w:val="center"/>
          </w:tcPr>
          <w:p w14:paraId="0B26F36A">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本项目职务</w:t>
            </w:r>
          </w:p>
        </w:tc>
        <w:tc>
          <w:tcPr>
            <w:tcW w:w="599" w:type="pct"/>
            <w:vAlign w:val="center"/>
          </w:tcPr>
          <w:p w14:paraId="4091C322">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r>
      <w:tr w14:paraId="29C7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trPr>
        <w:tc>
          <w:tcPr>
            <w:tcW w:w="337" w:type="pct"/>
            <w:vAlign w:val="center"/>
          </w:tcPr>
          <w:p w14:paraId="6261F7E9">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61" w:type="pct"/>
            <w:vAlign w:val="center"/>
          </w:tcPr>
          <w:p w14:paraId="270EB4F3">
            <w:pPr>
              <w:pStyle w:val="8"/>
              <w:ind w:firstLine="480"/>
              <w:jc w:val="center"/>
              <w:rPr>
                <w:rFonts w:ascii="宋体" w:hAnsi="宋体" w:eastAsia="宋体" w:cs="宋体"/>
                <w:color w:val="auto"/>
                <w:kern w:val="2"/>
                <w:sz w:val="21"/>
                <w:szCs w:val="21"/>
                <w:highlight w:val="none"/>
              </w:rPr>
            </w:pPr>
          </w:p>
        </w:tc>
        <w:tc>
          <w:tcPr>
            <w:tcW w:w="597" w:type="pct"/>
            <w:vAlign w:val="center"/>
          </w:tcPr>
          <w:p w14:paraId="491D59D9">
            <w:pPr>
              <w:pStyle w:val="8"/>
              <w:ind w:firstLine="480"/>
              <w:jc w:val="center"/>
              <w:rPr>
                <w:rFonts w:ascii="宋体" w:hAnsi="宋体" w:eastAsia="宋体" w:cs="宋体"/>
                <w:color w:val="auto"/>
                <w:kern w:val="2"/>
                <w:sz w:val="21"/>
                <w:szCs w:val="21"/>
                <w:highlight w:val="none"/>
              </w:rPr>
            </w:pPr>
          </w:p>
        </w:tc>
        <w:tc>
          <w:tcPr>
            <w:tcW w:w="456" w:type="pct"/>
            <w:vAlign w:val="center"/>
          </w:tcPr>
          <w:p w14:paraId="72B568EB">
            <w:pPr>
              <w:pStyle w:val="8"/>
              <w:ind w:firstLine="480"/>
              <w:jc w:val="center"/>
              <w:rPr>
                <w:rFonts w:ascii="宋体" w:hAnsi="宋体" w:eastAsia="宋体" w:cs="宋体"/>
                <w:color w:val="auto"/>
                <w:kern w:val="2"/>
                <w:sz w:val="21"/>
                <w:szCs w:val="21"/>
                <w:highlight w:val="none"/>
              </w:rPr>
            </w:pPr>
          </w:p>
        </w:tc>
        <w:tc>
          <w:tcPr>
            <w:tcW w:w="561" w:type="pct"/>
            <w:vAlign w:val="center"/>
          </w:tcPr>
          <w:p w14:paraId="3FE58F1C">
            <w:pPr>
              <w:pStyle w:val="8"/>
              <w:ind w:firstLine="480"/>
              <w:jc w:val="center"/>
              <w:rPr>
                <w:rFonts w:ascii="宋体" w:hAnsi="宋体" w:eastAsia="宋体" w:cs="宋体"/>
                <w:color w:val="auto"/>
                <w:kern w:val="2"/>
                <w:sz w:val="21"/>
                <w:szCs w:val="21"/>
                <w:highlight w:val="none"/>
              </w:rPr>
            </w:pPr>
          </w:p>
        </w:tc>
        <w:tc>
          <w:tcPr>
            <w:tcW w:w="561" w:type="pct"/>
            <w:vAlign w:val="center"/>
          </w:tcPr>
          <w:p w14:paraId="77C372D6">
            <w:pPr>
              <w:pStyle w:val="8"/>
              <w:ind w:firstLine="480"/>
              <w:jc w:val="center"/>
              <w:rPr>
                <w:rFonts w:ascii="宋体" w:hAnsi="宋体" w:eastAsia="宋体" w:cs="宋体"/>
                <w:color w:val="auto"/>
                <w:kern w:val="2"/>
                <w:sz w:val="21"/>
                <w:szCs w:val="21"/>
                <w:highlight w:val="none"/>
              </w:rPr>
            </w:pPr>
          </w:p>
        </w:tc>
        <w:tc>
          <w:tcPr>
            <w:tcW w:w="597" w:type="pct"/>
            <w:vAlign w:val="center"/>
          </w:tcPr>
          <w:p w14:paraId="55BF22F3">
            <w:pPr>
              <w:pStyle w:val="8"/>
              <w:ind w:firstLine="480"/>
              <w:jc w:val="center"/>
              <w:rPr>
                <w:rFonts w:ascii="宋体" w:hAnsi="宋体" w:eastAsia="宋体" w:cs="宋体"/>
                <w:color w:val="auto"/>
                <w:kern w:val="2"/>
                <w:sz w:val="21"/>
                <w:szCs w:val="21"/>
                <w:highlight w:val="none"/>
              </w:rPr>
            </w:pPr>
          </w:p>
        </w:tc>
        <w:tc>
          <w:tcPr>
            <w:tcW w:w="728" w:type="pct"/>
            <w:vAlign w:val="center"/>
          </w:tcPr>
          <w:p w14:paraId="5000019D">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项目负责人</w:t>
            </w:r>
          </w:p>
        </w:tc>
        <w:tc>
          <w:tcPr>
            <w:tcW w:w="599" w:type="pct"/>
            <w:vAlign w:val="center"/>
          </w:tcPr>
          <w:p w14:paraId="2E01327A">
            <w:pPr>
              <w:pStyle w:val="8"/>
              <w:jc w:val="center"/>
              <w:rPr>
                <w:rFonts w:ascii="宋体" w:hAnsi="宋体" w:eastAsia="宋体" w:cs="宋体"/>
                <w:color w:val="auto"/>
                <w:kern w:val="2"/>
                <w:sz w:val="21"/>
                <w:szCs w:val="21"/>
                <w:highlight w:val="none"/>
              </w:rPr>
            </w:pPr>
          </w:p>
        </w:tc>
      </w:tr>
      <w:tr w14:paraId="7873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34310CAB">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61" w:type="pct"/>
            <w:vAlign w:val="center"/>
          </w:tcPr>
          <w:p w14:paraId="5A4D5994">
            <w:pPr>
              <w:pStyle w:val="8"/>
              <w:ind w:firstLine="480"/>
              <w:jc w:val="center"/>
              <w:rPr>
                <w:rFonts w:ascii="宋体" w:hAnsi="宋体" w:eastAsia="宋体" w:cs="宋体"/>
                <w:color w:val="auto"/>
                <w:kern w:val="2"/>
                <w:sz w:val="21"/>
                <w:szCs w:val="21"/>
                <w:highlight w:val="none"/>
              </w:rPr>
            </w:pPr>
          </w:p>
        </w:tc>
        <w:tc>
          <w:tcPr>
            <w:tcW w:w="597" w:type="pct"/>
            <w:vAlign w:val="center"/>
          </w:tcPr>
          <w:p w14:paraId="7CB8E21F">
            <w:pPr>
              <w:pStyle w:val="8"/>
              <w:ind w:firstLine="480"/>
              <w:jc w:val="center"/>
              <w:rPr>
                <w:rFonts w:ascii="宋体" w:hAnsi="宋体" w:eastAsia="宋体" w:cs="宋体"/>
                <w:color w:val="auto"/>
                <w:kern w:val="2"/>
                <w:sz w:val="21"/>
                <w:szCs w:val="21"/>
                <w:highlight w:val="none"/>
              </w:rPr>
            </w:pPr>
          </w:p>
        </w:tc>
        <w:tc>
          <w:tcPr>
            <w:tcW w:w="456" w:type="pct"/>
            <w:vAlign w:val="center"/>
          </w:tcPr>
          <w:p w14:paraId="7B6CE731">
            <w:pPr>
              <w:pStyle w:val="8"/>
              <w:ind w:firstLine="480"/>
              <w:jc w:val="center"/>
              <w:rPr>
                <w:rFonts w:ascii="宋体" w:hAnsi="宋体" w:eastAsia="宋体" w:cs="宋体"/>
                <w:color w:val="auto"/>
                <w:kern w:val="2"/>
                <w:sz w:val="21"/>
                <w:szCs w:val="21"/>
                <w:highlight w:val="none"/>
              </w:rPr>
            </w:pPr>
          </w:p>
        </w:tc>
        <w:tc>
          <w:tcPr>
            <w:tcW w:w="561" w:type="pct"/>
            <w:vAlign w:val="center"/>
          </w:tcPr>
          <w:p w14:paraId="0DE84D2D">
            <w:pPr>
              <w:pStyle w:val="8"/>
              <w:ind w:firstLine="480"/>
              <w:jc w:val="center"/>
              <w:rPr>
                <w:rFonts w:ascii="宋体" w:hAnsi="宋体" w:eastAsia="宋体" w:cs="宋体"/>
                <w:color w:val="auto"/>
                <w:kern w:val="2"/>
                <w:sz w:val="21"/>
                <w:szCs w:val="21"/>
                <w:highlight w:val="none"/>
              </w:rPr>
            </w:pPr>
          </w:p>
        </w:tc>
        <w:tc>
          <w:tcPr>
            <w:tcW w:w="561" w:type="pct"/>
            <w:vAlign w:val="center"/>
          </w:tcPr>
          <w:p w14:paraId="6DDE9559">
            <w:pPr>
              <w:pStyle w:val="8"/>
              <w:ind w:firstLine="480"/>
              <w:jc w:val="center"/>
              <w:rPr>
                <w:rFonts w:ascii="宋体" w:hAnsi="宋体" w:eastAsia="宋体" w:cs="宋体"/>
                <w:color w:val="auto"/>
                <w:kern w:val="2"/>
                <w:sz w:val="21"/>
                <w:szCs w:val="21"/>
                <w:highlight w:val="none"/>
              </w:rPr>
            </w:pPr>
          </w:p>
        </w:tc>
        <w:tc>
          <w:tcPr>
            <w:tcW w:w="597" w:type="pct"/>
            <w:vAlign w:val="center"/>
          </w:tcPr>
          <w:p w14:paraId="2A50B2F0">
            <w:pPr>
              <w:pStyle w:val="8"/>
              <w:ind w:firstLine="480"/>
              <w:jc w:val="center"/>
              <w:rPr>
                <w:rFonts w:ascii="宋体" w:hAnsi="宋体" w:eastAsia="宋体" w:cs="宋体"/>
                <w:color w:val="auto"/>
                <w:kern w:val="2"/>
                <w:sz w:val="21"/>
                <w:szCs w:val="21"/>
                <w:highlight w:val="none"/>
              </w:rPr>
            </w:pPr>
          </w:p>
        </w:tc>
        <w:tc>
          <w:tcPr>
            <w:tcW w:w="728" w:type="pct"/>
            <w:vAlign w:val="center"/>
          </w:tcPr>
          <w:p w14:paraId="303E7FD6">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p>
        </w:tc>
        <w:tc>
          <w:tcPr>
            <w:tcW w:w="599" w:type="pct"/>
            <w:vAlign w:val="center"/>
          </w:tcPr>
          <w:p w14:paraId="07F4CDEF">
            <w:pPr>
              <w:pStyle w:val="8"/>
              <w:jc w:val="center"/>
              <w:rPr>
                <w:rFonts w:ascii="宋体" w:hAnsi="宋体" w:eastAsia="宋体" w:cs="宋体"/>
                <w:color w:val="auto"/>
                <w:kern w:val="2"/>
                <w:sz w:val="21"/>
                <w:szCs w:val="21"/>
                <w:highlight w:val="none"/>
              </w:rPr>
            </w:pPr>
          </w:p>
        </w:tc>
      </w:tr>
      <w:tr w14:paraId="0927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6482EDB2">
            <w:pPr>
              <w:pStyle w:val="8"/>
              <w:jc w:val="center"/>
              <w:rPr>
                <w:rFonts w:ascii="宋体" w:hAnsi="宋体" w:eastAsia="宋体" w:cs="宋体"/>
                <w:color w:val="auto"/>
                <w:kern w:val="2"/>
                <w:sz w:val="21"/>
                <w:szCs w:val="21"/>
                <w:highlight w:val="none"/>
              </w:rPr>
            </w:pPr>
          </w:p>
        </w:tc>
        <w:tc>
          <w:tcPr>
            <w:tcW w:w="561" w:type="pct"/>
            <w:vAlign w:val="center"/>
          </w:tcPr>
          <w:p w14:paraId="4775AACE">
            <w:pPr>
              <w:pStyle w:val="8"/>
              <w:ind w:firstLine="480"/>
              <w:jc w:val="center"/>
              <w:rPr>
                <w:rFonts w:ascii="宋体" w:hAnsi="宋体" w:eastAsia="宋体" w:cs="宋体"/>
                <w:color w:val="auto"/>
                <w:kern w:val="2"/>
                <w:sz w:val="21"/>
                <w:szCs w:val="21"/>
                <w:highlight w:val="none"/>
              </w:rPr>
            </w:pPr>
          </w:p>
        </w:tc>
        <w:tc>
          <w:tcPr>
            <w:tcW w:w="597" w:type="pct"/>
            <w:vAlign w:val="center"/>
          </w:tcPr>
          <w:p w14:paraId="143EE4B3">
            <w:pPr>
              <w:pStyle w:val="8"/>
              <w:ind w:firstLine="480"/>
              <w:jc w:val="center"/>
              <w:rPr>
                <w:rFonts w:ascii="宋体" w:hAnsi="宋体" w:eastAsia="宋体" w:cs="宋体"/>
                <w:color w:val="auto"/>
                <w:kern w:val="2"/>
                <w:sz w:val="21"/>
                <w:szCs w:val="21"/>
                <w:highlight w:val="none"/>
              </w:rPr>
            </w:pPr>
          </w:p>
        </w:tc>
        <w:tc>
          <w:tcPr>
            <w:tcW w:w="456" w:type="pct"/>
            <w:vAlign w:val="center"/>
          </w:tcPr>
          <w:p w14:paraId="631B7B39">
            <w:pPr>
              <w:pStyle w:val="8"/>
              <w:ind w:firstLine="480"/>
              <w:jc w:val="center"/>
              <w:rPr>
                <w:rFonts w:ascii="宋体" w:hAnsi="宋体" w:eastAsia="宋体" w:cs="宋体"/>
                <w:color w:val="auto"/>
                <w:kern w:val="2"/>
                <w:sz w:val="21"/>
                <w:szCs w:val="21"/>
                <w:highlight w:val="none"/>
              </w:rPr>
            </w:pPr>
          </w:p>
        </w:tc>
        <w:tc>
          <w:tcPr>
            <w:tcW w:w="561" w:type="pct"/>
            <w:vAlign w:val="center"/>
          </w:tcPr>
          <w:p w14:paraId="204FDCC4">
            <w:pPr>
              <w:pStyle w:val="8"/>
              <w:ind w:firstLine="480"/>
              <w:jc w:val="center"/>
              <w:rPr>
                <w:rFonts w:ascii="宋体" w:hAnsi="宋体" w:eastAsia="宋体" w:cs="宋体"/>
                <w:color w:val="auto"/>
                <w:kern w:val="2"/>
                <w:sz w:val="21"/>
                <w:szCs w:val="21"/>
                <w:highlight w:val="none"/>
              </w:rPr>
            </w:pPr>
          </w:p>
        </w:tc>
        <w:tc>
          <w:tcPr>
            <w:tcW w:w="561" w:type="pct"/>
            <w:vAlign w:val="center"/>
          </w:tcPr>
          <w:p w14:paraId="4FA78062">
            <w:pPr>
              <w:pStyle w:val="8"/>
              <w:ind w:firstLine="480"/>
              <w:jc w:val="center"/>
              <w:rPr>
                <w:rFonts w:ascii="宋体" w:hAnsi="宋体" w:eastAsia="宋体" w:cs="宋体"/>
                <w:color w:val="auto"/>
                <w:kern w:val="2"/>
                <w:sz w:val="21"/>
                <w:szCs w:val="21"/>
                <w:highlight w:val="none"/>
              </w:rPr>
            </w:pPr>
          </w:p>
        </w:tc>
        <w:tc>
          <w:tcPr>
            <w:tcW w:w="597" w:type="pct"/>
            <w:vAlign w:val="center"/>
          </w:tcPr>
          <w:p w14:paraId="7A2F7AB2">
            <w:pPr>
              <w:pStyle w:val="8"/>
              <w:ind w:firstLine="480"/>
              <w:jc w:val="center"/>
              <w:rPr>
                <w:rFonts w:ascii="宋体" w:hAnsi="宋体" w:eastAsia="宋体" w:cs="宋体"/>
                <w:color w:val="auto"/>
                <w:kern w:val="2"/>
                <w:sz w:val="21"/>
                <w:szCs w:val="21"/>
                <w:highlight w:val="none"/>
              </w:rPr>
            </w:pPr>
          </w:p>
        </w:tc>
        <w:tc>
          <w:tcPr>
            <w:tcW w:w="728" w:type="pct"/>
            <w:vAlign w:val="center"/>
          </w:tcPr>
          <w:p w14:paraId="7CC73BAA">
            <w:pPr>
              <w:pStyle w:val="8"/>
              <w:jc w:val="center"/>
              <w:rPr>
                <w:rFonts w:ascii="宋体" w:hAnsi="宋体" w:eastAsia="宋体" w:cs="宋体"/>
                <w:color w:val="auto"/>
                <w:kern w:val="2"/>
                <w:sz w:val="21"/>
                <w:szCs w:val="21"/>
                <w:highlight w:val="none"/>
              </w:rPr>
            </w:pPr>
          </w:p>
        </w:tc>
        <w:tc>
          <w:tcPr>
            <w:tcW w:w="599" w:type="pct"/>
            <w:vAlign w:val="center"/>
          </w:tcPr>
          <w:p w14:paraId="0AE5BFA6">
            <w:pPr>
              <w:pStyle w:val="8"/>
              <w:jc w:val="center"/>
              <w:rPr>
                <w:rFonts w:ascii="宋体" w:hAnsi="宋体" w:eastAsia="宋体" w:cs="宋体"/>
                <w:color w:val="auto"/>
                <w:kern w:val="2"/>
                <w:sz w:val="21"/>
                <w:szCs w:val="21"/>
                <w:highlight w:val="none"/>
              </w:rPr>
            </w:pPr>
          </w:p>
        </w:tc>
      </w:tr>
      <w:tr w14:paraId="196C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337" w:type="pct"/>
            <w:vAlign w:val="center"/>
          </w:tcPr>
          <w:p w14:paraId="0F7807B8">
            <w:pPr>
              <w:pStyle w:val="8"/>
              <w:jc w:val="center"/>
              <w:rPr>
                <w:rFonts w:ascii="宋体" w:hAnsi="宋体" w:eastAsia="宋体" w:cs="宋体"/>
                <w:color w:val="auto"/>
                <w:kern w:val="2"/>
                <w:sz w:val="21"/>
                <w:szCs w:val="21"/>
                <w:highlight w:val="none"/>
              </w:rPr>
            </w:pPr>
          </w:p>
        </w:tc>
        <w:tc>
          <w:tcPr>
            <w:tcW w:w="561" w:type="pct"/>
            <w:vAlign w:val="center"/>
          </w:tcPr>
          <w:p w14:paraId="6FEE02CB">
            <w:pPr>
              <w:pStyle w:val="8"/>
              <w:ind w:firstLine="480"/>
              <w:jc w:val="center"/>
              <w:rPr>
                <w:rFonts w:ascii="宋体" w:hAnsi="宋体" w:eastAsia="宋体" w:cs="宋体"/>
                <w:color w:val="auto"/>
                <w:kern w:val="2"/>
                <w:sz w:val="21"/>
                <w:szCs w:val="21"/>
                <w:highlight w:val="none"/>
              </w:rPr>
            </w:pPr>
          </w:p>
        </w:tc>
        <w:tc>
          <w:tcPr>
            <w:tcW w:w="597" w:type="pct"/>
            <w:vAlign w:val="center"/>
          </w:tcPr>
          <w:p w14:paraId="6035ACA0">
            <w:pPr>
              <w:pStyle w:val="8"/>
              <w:ind w:firstLine="480"/>
              <w:jc w:val="center"/>
              <w:rPr>
                <w:rFonts w:ascii="宋体" w:hAnsi="宋体" w:eastAsia="宋体" w:cs="宋体"/>
                <w:color w:val="auto"/>
                <w:kern w:val="2"/>
                <w:sz w:val="21"/>
                <w:szCs w:val="21"/>
                <w:highlight w:val="none"/>
              </w:rPr>
            </w:pPr>
          </w:p>
        </w:tc>
        <w:tc>
          <w:tcPr>
            <w:tcW w:w="456" w:type="pct"/>
            <w:vAlign w:val="center"/>
          </w:tcPr>
          <w:p w14:paraId="2AEDA654">
            <w:pPr>
              <w:pStyle w:val="8"/>
              <w:ind w:firstLine="480"/>
              <w:jc w:val="center"/>
              <w:rPr>
                <w:rFonts w:ascii="宋体" w:hAnsi="宋体" w:eastAsia="宋体" w:cs="宋体"/>
                <w:color w:val="auto"/>
                <w:kern w:val="2"/>
                <w:sz w:val="21"/>
                <w:szCs w:val="21"/>
                <w:highlight w:val="none"/>
              </w:rPr>
            </w:pPr>
          </w:p>
        </w:tc>
        <w:tc>
          <w:tcPr>
            <w:tcW w:w="561" w:type="pct"/>
            <w:vAlign w:val="center"/>
          </w:tcPr>
          <w:p w14:paraId="13C59BE3">
            <w:pPr>
              <w:pStyle w:val="8"/>
              <w:ind w:firstLine="480"/>
              <w:jc w:val="center"/>
              <w:rPr>
                <w:rFonts w:ascii="宋体" w:hAnsi="宋体" w:eastAsia="宋体" w:cs="宋体"/>
                <w:color w:val="auto"/>
                <w:kern w:val="2"/>
                <w:sz w:val="21"/>
                <w:szCs w:val="21"/>
                <w:highlight w:val="none"/>
              </w:rPr>
            </w:pPr>
          </w:p>
        </w:tc>
        <w:tc>
          <w:tcPr>
            <w:tcW w:w="561" w:type="pct"/>
            <w:vAlign w:val="center"/>
          </w:tcPr>
          <w:p w14:paraId="6658198B">
            <w:pPr>
              <w:pStyle w:val="8"/>
              <w:ind w:firstLine="480"/>
              <w:jc w:val="center"/>
              <w:rPr>
                <w:rFonts w:ascii="宋体" w:hAnsi="宋体" w:eastAsia="宋体" w:cs="宋体"/>
                <w:color w:val="auto"/>
                <w:kern w:val="2"/>
                <w:sz w:val="21"/>
                <w:szCs w:val="21"/>
                <w:highlight w:val="none"/>
              </w:rPr>
            </w:pPr>
          </w:p>
        </w:tc>
        <w:tc>
          <w:tcPr>
            <w:tcW w:w="597" w:type="pct"/>
            <w:vAlign w:val="center"/>
          </w:tcPr>
          <w:p w14:paraId="7D3D47A5">
            <w:pPr>
              <w:pStyle w:val="8"/>
              <w:ind w:firstLine="480"/>
              <w:jc w:val="center"/>
              <w:rPr>
                <w:rFonts w:ascii="宋体" w:hAnsi="宋体" w:eastAsia="宋体" w:cs="宋体"/>
                <w:color w:val="auto"/>
                <w:kern w:val="2"/>
                <w:sz w:val="21"/>
                <w:szCs w:val="21"/>
                <w:highlight w:val="none"/>
              </w:rPr>
            </w:pPr>
          </w:p>
        </w:tc>
        <w:tc>
          <w:tcPr>
            <w:tcW w:w="728" w:type="pct"/>
            <w:vAlign w:val="center"/>
          </w:tcPr>
          <w:p w14:paraId="422D48B8">
            <w:pPr>
              <w:pStyle w:val="8"/>
              <w:jc w:val="center"/>
              <w:rPr>
                <w:rFonts w:ascii="宋体" w:hAnsi="宋体" w:eastAsia="宋体" w:cs="宋体"/>
                <w:color w:val="auto"/>
                <w:kern w:val="2"/>
                <w:sz w:val="21"/>
                <w:szCs w:val="21"/>
                <w:highlight w:val="none"/>
              </w:rPr>
            </w:pPr>
          </w:p>
        </w:tc>
        <w:tc>
          <w:tcPr>
            <w:tcW w:w="599" w:type="pct"/>
            <w:vAlign w:val="center"/>
          </w:tcPr>
          <w:p w14:paraId="0DC03BA8">
            <w:pPr>
              <w:pStyle w:val="8"/>
              <w:jc w:val="center"/>
              <w:rPr>
                <w:rFonts w:ascii="宋体" w:hAnsi="宋体" w:eastAsia="宋体" w:cs="宋体"/>
                <w:color w:val="auto"/>
                <w:kern w:val="2"/>
                <w:sz w:val="21"/>
                <w:szCs w:val="21"/>
                <w:highlight w:val="none"/>
              </w:rPr>
            </w:pPr>
          </w:p>
        </w:tc>
      </w:tr>
      <w:tr w14:paraId="5E24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337" w:type="pct"/>
            <w:vAlign w:val="center"/>
          </w:tcPr>
          <w:p w14:paraId="00B57E20">
            <w:pPr>
              <w:pStyle w:val="8"/>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61" w:type="pct"/>
            <w:vAlign w:val="center"/>
          </w:tcPr>
          <w:p w14:paraId="1029C30C">
            <w:pPr>
              <w:pStyle w:val="8"/>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97" w:type="pct"/>
            <w:vAlign w:val="center"/>
          </w:tcPr>
          <w:p w14:paraId="4F28FBFE">
            <w:pPr>
              <w:pStyle w:val="8"/>
              <w:ind w:firstLine="480"/>
              <w:jc w:val="center"/>
              <w:rPr>
                <w:rFonts w:ascii="宋体" w:hAnsi="宋体" w:eastAsia="宋体" w:cs="宋体"/>
                <w:color w:val="auto"/>
                <w:kern w:val="2"/>
                <w:sz w:val="21"/>
                <w:szCs w:val="21"/>
                <w:highlight w:val="none"/>
              </w:rPr>
            </w:pPr>
          </w:p>
        </w:tc>
        <w:tc>
          <w:tcPr>
            <w:tcW w:w="456" w:type="pct"/>
            <w:vAlign w:val="center"/>
          </w:tcPr>
          <w:p w14:paraId="0802BD5A">
            <w:pPr>
              <w:pStyle w:val="8"/>
              <w:ind w:firstLine="480"/>
              <w:jc w:val="center"/>
              <w:rPr>
                <w:rFonts w:ascii="宋体" w:hAnsi="宋体" w:eastAsia="宋体" w:cs="宋体"/>
                <w:color w:val="auto"/>
                <w:kern w:val="2"/>
                <w:sz w:val="21"/>
                <w:szCs w:val="21"/>
                <w:highlight w:val="none"/>
              </w:rPr>
            </w:pPr>
          </w:p>
        </w:tc>
        <w:tc>
          <w:tcPr>
            <w:tcW w:w="561" w:type="pct"/>
            <w:vAlign w:val="center"/>
          </w:tcPr>
          <w:p w14:paraId="73626A74">
            <w:pPr>
              <w:pStyle w:val="8"/>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61" w:type="pct"/>
            <w:vAlign w:val="center"/>
          </w:tcPr>
          <w:p w14:paraId="14AB53B2">
            <w:pPr>
              <w:pStyle w:val="8"/>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597" w:type="pct"/>
            <w:vAlign w:val="center"/>
          </w:tcPr>
          <w:p w14:paraId="577ECEEE">
            <w:pPr>
              <w:pStyle w:val="8"/>
              <w:ind w:firstLine="48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728" w:type="pct"/>
            <w:vAlign w:val="center"/>
          </w:tcPr>
          <w:p w14:paraId="2D8B1219">
            <w:pPr>
              <w:pStyle w:val="8"/>
              <w:ind w:firstLine="480"/>
              <w:jc w:val="center"/>
              <w:rPr>
                <w:rFonts w:ascii="宋体" w:hAnsi="宋体" w:eastAsia="宋体" w:cs="宋体"/>
                <w:color w:val="auto"/>
                <w:kern w:val="2"/>
                <w:sz w:val="21"/>
                <w:szCs w:val="21"/>
                <w:highlight w:val="none"/>
              </w:rPr>
            </w:pPr>
          </w:p>
        </w:tc>
        <w:tc>
          <w:tcPr>
            <w:tcW w:w="599" w:type="pct"/>
            <w:vAlign w:val="center"/>
          </w:tcPr>
          <w:p w14:paraId="608BFE72">
            <w:pPr>
              <w:pStyle w:val="8"/>
              <w:ind w:firstLine="480"/>
              <w:jc w:val="center"/>
              <w:rPr>
                <w:rFonts w:ascii="宋体" w:hAnsi="宋体" w:eastAsia="宋体" w:cs="宋体"/>
                <w:color w:val="auto"/>
                <w:kern w:val="2"/>
                <w:sz w:val="21"/>
                <w:szCs w:val="21"/>
                <w:highlight w:val="none"/>
              </w:rPr>
            </w:pPr>
          </w:p>
        </w:tc>
      </w:tr>
    </w:tbl>
    <w:p w14:paraId="7A76CCC9">
      <w:pPr>
        <w:snapToGrid w:val="0"/>
        <w:spacing w:line="440" w:lineRule="exact"/>
        <w:rPr>
          <w:rFonts w:ascii="宋体" w:hAnsi="宋体" w:cs="宋体"/>
          <w:color w:val="auto"/>
          <w:szCs w:val="21"/>
          <w:highlight w:val="none"/>
        </w:rPr>
      </w:pPr>
    </w:p>
    <w:tbl>
      <w:tblPr>
        <w:tblStyle w:val="18"/>
        <w:tblpPr w:leftFromText="180" w:rightFromText="180" w:vertAnchor="text" w:tblpX="14451" w:tblpY="-36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0092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7365FDF">
            <w:pPr>
              <w:snapToGrid w:val="0"/>
              <w:spacing w:line="440" w:lineRule="exact"/>
              <w:rPr>
                <w:rFonts w:ascii="宋体" w:hAnsi="宋体" w:cs="宋体"/>
                <w:color w:val="auto"/>
                <w:szCs w:val="21"/>
                <w:highlight w:val="none"/>
              </w:rPr>
            </w:pPr>
          </w:p>
        </w:tc>
      </w:tr>
    </w:tbl>
    <w:p w14:paraId="22EE8B72">
      <w:pPr>
        <w:snapToGrid w:val="0"/>
        <w:spacing w:line="440" w:lineRule="exact"/>
        <w:ind w:left="420" w:leftChars="200" w:firstLine="3570" w:firstLineChars="1700"/>
        <w:jc w:val="left"/>
        <w:rPr>
          <w:rFonts w:ascii="宋体" w:hAnsi="宋体" w:cs="宋体"/>
          <w:color w:val="auto"/>
          <w:szCs w:val="21"/>
          <w:highlight w:val="none"/>
        </w:rPr>
      </w:pPr>
    </w:p>
    <w:p w14:paraId="17116A80">
      <w:pPr>
        <w:snapToGrid w:val="0"/>
        <w:spacing w:line="440" w:lineRule="exact"/>
        <w:ind w:left="420" w:leftChars="200" w:firstLine="3570" w:firstLineChars="1700"/>
        <w:jc w:val="left"/>
        <w:rPr>
          <w:rFonts w:ascii="宋体" w:hAnsi="宋体" w:cs="宋体"/>
          <w:color w:val="auto"/>
          <w:szCs w:val="21"/>
          <w:highlight w:val="none"/>
        </w:rPr>
      </w:pPr>
    </w:p>
    <w:p w14:paraId="64946E36">
      <w:pPr>
        <w:spacing w:line="360" w:lineRule="auto"/>
        <w:ind w:firstLine="2940" w:firstLineChars="1400"/>
        <w:rPr>
          <w:rFonts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（加盖法人电子签章）</w:t>
      </w:r>
    </w:p>
    <w:p w14:paraId="35EBF1CC">
      <w:pPr>
        <w:snapToGrid w:val="0"/>
        <w:spacing w:line="440" w:lineRule="exact"/>
        <w:ind w:firstLine="2520" w:firstLineChars="1200"/>
        <w:jc w:val="left"/>
        <w:rPr>
          <w:rFonts w:ascii="宋体" w:hAnsi="宋体" w:cs="宋体"/>
          <w:color w:val="auto"/>
          <w:szCs w:val="21"/>
          <w:highlight w:val="none"/>
        </w:rPr>
      </w:pPr>
      <w:r>
        <w:rPr>
          <w:rFonts w:hint="eastAsia" w:ascii="宋体" w:hAnsi="宋体" w:cs="宋体"/>
          <w:color w:val="auto"/>
          <w:szCs w:val="21"/>
          <w:highlight w:val="none"/>
        </w:rPr>
        <w:t>法定代表人（负责人）：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szCs w:val="21"/>
          <w:highlight w:val="none"/>
          <w:lang w:val="en-US" w:eastAsia="zh-CN"/>
        </w:rPr>
        <w:t>签字或盖章</w:t>
      </w:r>
      <w:r>
        <w:rPr>
          <w:rFonts w:hint="eastAsia" w:ascii="宋体" w:hAnsi="宋体" w:cs="宋体"/>
          <w:color w:val="auto"/>
          <w:szCs w:val="21"/>
          <w:highlight w:val="none"/>
        </w:rPr>
        <w:t xml:space="preserve">） </w:t>
      </w:r>
    </w:p>
    <w:p w14:paraId="403865DD">
      <w:pPr>
        <w:pStyle w:val="27"/>
        <w:snapToGrid w:val="0"/>
        <w:spacing w:line="440" w:lineRule="exact"/>
        <w:ind w:left="420" w:leftChars="200" w:firstLine="5670" w:firstLineChars="27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25AD9444">
      <w:pPr>
        <w:pStyle w:val="3"/>
        <w:spacing w:line="480" w:lineRule="exact"/>
        <w:rPr>
          <w:rFonts w:ascii="宋体" w:hAnsi="宋体" w:eastAsia="宋体" w:cs="宋体"/>
          <w:color w:val="auto"/>
          <w:sz w:val="21"/>
          <w:szCs w:val="21"/>
          <w:highlight w:val="none"/>
        </w:rPr>
      </w:pPr>
    </w:p>
    <w:p w14:paraId="6549D4A8">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七、</w:t>
      </w:r>
      <w:r>
        <w:rPr>
          <w:rFonts w:hint="eastAsia" w:ascii="宋体" w:hAnsi="宋体" w:eastAsia="宋体" w:cs="宋体"/>
          <w:color w:val="auto"/>
          <w:sz w:val="21"/>
          <w:szCs w:val="21"/>
          <w:highlight w:val="none"/>
          <w:lang w:eastAsia="zh-CN"/>
        </w:rPr>
        <w:t>类似合同案例及相关证明资料</w:t>
      </w:r>
      <w:r>
        <w:rPr>
          <w:rFonts w:hint="eastAsia" w:ascii="宋体" w:hAnsi="宋体" w:eastAsia="宋体" w:cs="宋体"/>
          <w:color w:val="auto"/>
          <w:sz w:val="21"/>
          <w:szCs w:val="21"/>
          <w:highlight w:val="none"/>
        </w:rPr>
        <w:t>格式</w:t>
      </w:r>
      <w:bookmarkEnd w:id="165"/>
    </w:p>
    <w:p w14:paraId="04157A0F">
      <w:pPr>
        <w:pStyle w:val="3"/>
        <w:spacing w:line="480" w:lineRule="exact"/>
        <w:ind w:firstLine="420"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（若有的话，以包为单位分别填写）格式自拟。</w:t>
      </w:r>
    </w:p>
    <w:p w14:paraId="4ED569C8">
      <w:pPr>
        <w:pStyle w:val="3"/>
        <w:numPr>
          <w:ilvl w:val="0"/>
          <w:numId w:val="0"/>
        </w:numPr>
        <w:spacing w:line="480" w:lineRule="exact"/>
        <w:ind w:left="0" w:leftChars="0" w:firstLine="0" w:firstLineChars="0"/>
        <w:rPr>
          <w:rFonts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八、</w:t>
      </w:r>
      <w:r>
        <w:rPr>
          <w:rFonts w:hint="eastAsia" w:ascii="宋体" w:hAnsi="宋体" w:eastAsia="宋体" w:cs="宋体"/>
          <w:color w:val="auto"/>
          <w:sz w:val="21"/>
          <w:szCs w:val="21"/>
          <w:highlight w:val="none"/>
          <w:lang w:eastAsia="zh-CN"/>
        </w:rPr>
        <w:t>响应方案</w:t>
      </w:r>
      <w:r>
        <w:rPr>
          <w:rFonts w:hint="eastAsia" w:ascii="宋体" w:hAnsi="宋体" w:eastAsia="宋体" w:cs="宋体"/>
          <w:color w:val="auto"/>
          <w:sz w:val="21"/>
          <w:szCs w:val="21"/>
          <w:highlight w:val="none"/>
        </w:rPr>
        <w:t>（格式自拟）</w:t>
      </w:r>
    </w:p>
    <w:p w14:paraId="480C5DFB">
      <w:pPr>
        <w:pStyle w:val="2"/>
        <w:spacing w:line="480" w:lineRule="exact"/>
        <w:ind w:left="0" w:leftChars="0"/>
        <w:jc w:val="both"/>
        <w:rPr>
          <w:rFonts w:ascii="宋体" w:hAnsi="宋体" w:eastAsia="宋体" w:cs="宋体"/>
          <w:color w:val="auto"/>
          <w:sz w:val="21"/>
          <w:szCs w:val="21"/>
          <w:highlight w:val="none"/>
        </w:rPr>
      </w:pPr>
      <w:bookmarkStart w:id="166" w:name="_Toc29785"/>
      <w:bookmarkStart w:id="167" w:name="_Toc15292"/>
      <w:r>
        <w:rPr>
          <w:rFonts w:hint="eastAsia" w:ascii="宋体" w:hAnsi="宋体" w:eastAsia="宋体" w:cs="宋体"/>
          <w:b/>
          <w:color w:val="auto"/>
          <w:kern w:val="2"/>
          <w:sz w:val="21"/>
          <w:szCs w:val="21"/>
          <w:highlight w:val="none"/>
          <w:lang w:val="en-US" w:eastAsia="zh-CN"/>
        </w:rPr>
        <w:t>九</w:t>
      </w:r>
      <w:r>
        <w:rPr>
          <w:rFonts w:hint="eastAsia" w:ascii="宋体" w:hAnsi="宋体" w:eastAsia="宋体" w:cs="宋体"/>
          <w:b/>
          <w:color w:val="auto"/>
          <w:kern w:val="2"/>
          <w:sz w:val="21"/>
          <w:szCs w:val="21"/>
          <w:highlight w:val="none"/>
        </w:rPr>
        <w:t>、招标文件要求或投标人认为需要提供的其他商务技术材料/文件</w:t>
      </w:r>
      <w:r>
        <w:rPr>
          <w:rFonts w:hint="eastAsia" w:ascii="宋体" w:hAnsi="宋体" w:eastAsia="宋体" w:cs="宋体"/>
          <w:color w:val="auto"/>
          <w:sz w:val="21"/>
          <w:szCs w:val="21"/>
          <w:highlight w:val="none"/>
        </w:rPr>
        <w:br w:type="page"/>
      </w:r>
      <w:bookmarkStart w:id="168" w:name="_Toc6425"/>
      <w:bookmarkStart w:id="169" w:name="_Toc20098"/>
      <w:bookmarkStart w:id="170" w:name="_Toc78559551"/>
      <w:r>
        <w:rPr>
          <w:rFonts w:hint="eastAsia" w:ascii="宋体" w:hAnsi="宋体" w:eastAsia="宋体" w:cs="宋体"/>
          <w:b/>
          <w:bCs w:val="0"/>
          <w:color w:val="auto"/>
          <w:sz w:val="21"/>
          <w:szCs w:val="21"/>
          <w:highlight w:val="none"/>
        </w:rPr>
        <w:t xml:space="preserve">第九部分 </w:t>
      </w:r>
      <w:bookmarkEnd w:id="168"/>
      <w:bookmarkEnd w:id="169"/>
      <w:r>
        <w:rPr>
          <w:rFonts w:hint="eastAsia" w:ascii="宋体" w:hAnsi="宋体" w:eastAsia="宋体" w:cs="宋体"/>
          <w:b/>
          <w:bCs w:val="0"/>
          <w:color w:val="auto"/>
          <w:sz w:val="21"/>
          <w:szCs w:val="21"/>
          <w:highlight w:val="none"/>
        </w:rPr>
        <w:t>附件</w:t>
      </w:r>
      <w:bookmarkEnd w:id="166"/>
      <w:bookmarkEnd w:id="167"/>
      <w:bookmarkEnd w:id="170"/>
    </w:p>
    <w:p w14:paraId="02CFD455">
      <w:pPr>
        <w:adjustRightInd w:val="0"/>
        <w:snapToGrid w:val="0"/>
        <w:jc w:val="center"/>
        <w:rPr>
          <w:rFonts w:ascii="宋体" w:hAnsi="宋体" w:cs="宋体"/>
          <w:b/>
          <w:bCs/>
          <w:color w:val="auto"/>
          <w:szCs w:val="21"/>
          <w:highlight w:val="none"/>
        </w:rPr>
      </w:pPr>
    </w:p>
    <w:p w14:paraId="502CA2C1">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质疑函</w:t>
      </w:r>
    </w:p>
    <w:p w14:paraId="5833528A">
      <w:pPr>
        <w:adjustRightInd w:val="0"/>
        <w:snapToGrid w:val="0"/>
        <w:spacing w:before="316" w:beforeLines="100" w:line="312" w:lineRule="auto"/>
        <w:rPr>
          <w:rFonts w:ascii="宋体" w:hAnsi="宋体" w:cs="宋体"/>
          <w:bCs/>
          <w:color w:val="auto"/>
          <w:szCs w:val="21"/>
          <w:highlight w:val="none"/>
        </w:rPr>
      </w:pPr>
      <w:r>
        <w:rPr>
          <w:rFonts w:hint="eastAsia" w:ascii="宋体" w:hAnsi="宋体" w:cs="宋体"/>
          <w:bCs/>
          <w:color w:val="auto"/>
          <w:szCs w:val="21"/>
          <w:highlight w:val="none"/>
        </w:rPr>
        <w:t>一、质疑</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基本信息</w:t>
      </w:r>
    </w:p>
    <w:p w14:paraId="7B25301D">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w:t>
      </w:r>
      <w:r>
        <w:rPr>
          <w:rFonts w:hint="eastAsia" w:ascii="宋体" w:hAnsi="宋体" w:cs="宋体"/>
          <w:color w:val="auto"/>
          <w:szCs w:val="21"/>
          <w:highlight w:val="none"/>
          <w:u w:val="dotted"/>
        </w:rPr>
        <w:t xml:space="preserve">                                        </w:t>
      </w:r>
    </w:p>
    <w:p w14:paraId="37382907">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2D6D9BF0">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0960C6C6">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u w:val="dotted"/>
        </w:rPr>
        <w:t xml:space="preserve">                                          </w:t>
      </w:r>
    </w:p>
    <w:p w14:paraId="361EF0D0">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 xml:space="preserve"> </w:t>
      </w:r>
    </w:p>
    <w:p w14:paraId="4DBBE06A">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dotted"/>
        </w:rPr>
        <w:t xml:space="preserve">                                                </w:t>
      </w:r>
    </w:p>
    <w:p w14:paraId="34E08581">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二、质疑项目基本情况</w:t>
      </w:r>
    </w:p>
    <w:p w14:paraId="25A53781">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质疑项目的名称：</w:t>
      </w:r>
      <w:r>
        <w:rPr>
          <w:rFonts w:hint="eastAsia" w:ascii="宋体" w:hAnsi="宋体" w:cs="宋体"/>
          <w:color w:val="auto"/>
          <w:szCs w:val="21"/>
          <w:highlight w:val="none"/>
          <w:u w:val="dotted"/>
        </w:rPr>
        <w:t xml:space="preserve">                                      </w:t>
      </w:r>
    </w:p>
    <w:p w14:paraId="513629E8">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质疑项目的编号：</w:t>
      </w:r>
      <w:r>
        <w:rPr>
          <w:rFonts w:hint="eastAsia" w:ascii="宋体" w:hAnsi="宋体" w:cs="宋体"/>
          <w:color w:val="auto"/>
          <w:szCs w:val="21"/>
          <w:highlight w:val="none"/>
          <w:u w:val="dotted"/>
        </w:rPr>
        <w:t xml:space="preserve">               </w:t>
      </w:r>
      <w:r>
        <w:rPr>
          <w:rFonts w:hint="eastAsia" w:ascii="宋体" w:hAnsi="宋体" w:cs="宋体"/>
          <w:color w:val="auto"/>
          <w:szCs w:val="21"/>
          <w:highlight w:val="none"/>
        </w:rPr>
        <w:t>包号：</w:t>
      </w:r>
      <w:r>
        <w:rPr>
          <w:rFonts w:hint="eastAsia" w:ascii="宋体" w:hAnsi="宋体" w:cs="宋体"/>
          <w:color w:val="auto"/>
          <w:szCs w:val="21"/>
          <w:highlight w:val="none"/>
          <w:u w:val="dotted"/>
        </w:rPr>
        <w:t xml:space="preserve">                 </w:t>
      </w:r>
    </w:p>
    <w:p w14:paraId="75E1331C">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名称：</w:t>
      </w:r>
      <w:r>
        <w:rPr>
          <w:rFonts w:hint="eastAsia" w:ascii="宋体" w:hAnsi="宋体" w:cs="宋体"/>
          <w:color w:val="auto"/>
          <w:szCs w:val="21"/>
          <w:highlight w:val="none"/>
          <w:u w:val="dotted"/>
        </w:rPr>
        <w:t xml:space="preserve">                                         </w:t>
      </w:r>
    </w:p>
    <w:p w14:paraId="6468EFA3">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获取日期：</w:t>
      </w:r>
      <w:r>
        <w:rPr>
          <w:rFonts w:hint="eastAsia" w:ascii="宋体" w:hAnsi="宋体" w:cs="宋体"/>
          <w:color w:val="auto"/>
          <w:szCs w:val="21"/>
          <w:highlight w:val="none"/>
          <w:u w:val="dotted"/>
        </w:rPr>
        <w:t xml:space="preserve">                                           </w:t>
      </w:r>
    </w:p>
    <w:p w14:paraId="7FFCC146">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三、质疑事项具体内容</w:t>
      </w:r>
    </w:p>
    <w:p w14:paraId="46C02953">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质疑事项1：</w:t>
      </w:r>
      <w:r>
        <w:rPr>
          <w:rFonts w:hint="eastAsia" w:ascii="宋体" w:hAnsi="宋体" w:cs="宋体"/>
          <w:color w:val="auto"/>
          <w:szCs w:val="21"/>
          <w:highlight w:val="none"/>
          <w:u w:val="dotted"/>
        </w:rPr>
        <w:t xml:space="preserve">                                         </w:t>
      </w:r>
    </w:p>
    <w:p w14:paraId="59828F80">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事实依据：</w:t>
      </w:r>
      <w:r>
        <w:rPr>
          <w:rFonts w:hint="eastAsia" w:ascii="宋体" w:hAnsi="宋体" w:cs="宋体"/>
          <w:color w:val="auto"/>
          <w:szCs w:val="21"/>
          <w:highlight w:val="none"/>
          <w:u w:val="dotted"/>
        </w:rPr>
        <w:t xml:space="preserve">                                          </w:t>
      </w:r>
    </w:p>
    <w:p w14:paraId="6418252F">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u w:val="dotted"/>
        </w:rPr>
        <w:t xml:space="preserve">                                                       </w:t>
      </w:r>
    </w:p>
    <w:p w14:paraId="3349A31E">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法律依据：</w:t>
      </w:r>
      <w:r>
        <w:rPr>
          <w:rFonts w:hint="eastAsia" w:ascii="宋体" w:hAnsi="宋体" w:cs="宋体"/>
          <w:color w:val="auto"/>
          <w:szCs w:val="21"/>
          <w:highlight w:val="none"/>
          <w:u w:val="dotted"/>
        </w:rPr>
        <w:t xml:space="preserve">                                          </w:t>
      </w:r>
    </w:p>
    <w:p w14:paraId="6A3B99C0">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质疑事项2</w:t>
      </w:r>
    </w:p>
    <w:p w14:paraId="4AAFA438">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w:t>
      </w:r>
    </w:p>
    <w:p w14:paraId="07BC0E37">
      <w:pPr>
        <w:adjustRightInd w:val="0"/>
        <w:snapToGrid w:val="0"/>
        <w:spacing w:line="312" w:lineRule="auto"/>
        <w:rPr>
          <w:rFonts w:ascii="宋体" w:hAnsi="宋体" w:cs="宋体"/>
          <w:bCs/>
          <w:color w:val="auto"/>
          <w:szCs w:val="21"/>
          <w:highlight w:val="none"/>
        </w:rPr>
      </w:pPr>
      <w:r>
        <w:rPr>
          <w:rFonts w:hint="eastAsia" w:ascii="宋体" w:hAnsi="宋体" w:cs="宋体"/>
          <w:bCs/>
          <w:color w:val="auto"/>
          <w:szCs w:val="21"/>
          <w:highlight w:val="none"/>
        </w:rPr>
        <w:t>四、与质疑事项相关的质疑请求</w:t>
      </w:r>
    </w:p>
    <w:p w14:paraId="26FF9AF3">
      <w:pPr>
        <w:adjustRightInd w:val="0"/>
        <w:snapToGrid w:val="0"/>
        <w:spacing w:line="312" w:lineRule="auto"/>
        <w:rPr>
          <w:rFonts w:ascii="宋体" w:hAnsi="宋体" w:cs="宋体"/>
          <w:color w:val="auto"/>
          <w:szCs w:val="21"/>
          <w:highlight w:val="none"/>
          <w:u w:val="dotted"/>
        </w:rPr>
      </w:pPr>
      <w:r>
        <w:rPr>
          <w:rFonts w:hint="eastAsia" w:ascii="宋体" w:hAnsi="宋体" w:cs="宋体"/>
          <w:color w:val="auto"/>
          <w:szCs w:val="21"/>
          <w:highlight w:val="none"/>
        </w:rPr>
        <w:t>请求：</w:t>
      </w:r>
      <w:r>
        <w:rPr>
          <w:rFonts w:hint="eastAsia" w:ascii="宋体" w:hAnsi="宋体" w:cs="宋体"/>
          <w:color w:val="auto"/>
          <w:szCs w:val="21"/>
          <w:highlight w:val="none"/>
          <w:u w:val="dotted"/>
        </w:rPr>
        <w:t xml:space="preserve">                                               </w:t>
      </w:r>
    </w:p>
    <w:p w14:paraId="34BD2B4D">
      <w:pPr>
        <w:adjustRightInd w:val="0"/>
        <w:snapToGrid w:val="0"/>
        <w:spacing w:line="312" w:lineRule="auto"/>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5BF0B1A0">
      <w:pPr>
        <w:adjustRightInd w:val="0"/>
        <w:snapToGrid w:val="0"/>
        <w:spacing w:line="312" w:lineRule="auto"/>
        <w:rPr>
          <w:rFonts w:ascii="宋体" w:hAnsi="宋体" w:cs="宋体"/>
          <w:b/>
          <w:color w:val="auto"/>
          <w:szCs w:val="21"/>
          <w:highlight w:val="none"/>
        </w:rPr>
      </w:pPr>
      <w:r>
        <w:rPr>
          <w:rFonts w:hint="eastAsia" w:ascii="宋体" w:hAnsi="宋体" w:cs="宋体"/>
          <w:color w:val="auto"/>
          <w:szCs w:val="21"/>
          <w:highlight w:val="none"/>
        </w:rPr>
        <w:t xml:space="preserve">日期：    </w:t>
      </w:r>
    </w:p>
    <w:p w14:paraId="3E68C9A0">
      <w:pPr>
        <w:adjustRightInd w:val="0"/>
        <w:snapToGrid w:val="0"/>
        <w:rPr>
          <w:rFonts w:ascii="宋体" w:hAnsi="宋体" w:cs="宋体"/>
          <w:b/>
          <w:color w:val="auto"/>
          <w:szCs w:val="21"/>
          <w:highlight w:val="none"/>
        </w:rPr>
      </w:pPr>
    </w:p>
    <w:p w14:paraId="75248779">
      <w:pPr>
        <w:spacing w:line="480" w:lineRule="exact"/>
        <w:rPr>
          <w:rFonts w:ascii="宋体" w:hAnsi="宋体" w:cs="宋体"/>
          <w:color w:val="auto"/>
          <w:sz w:val="24"/>
          <w:highlight w:val="none"/>
        </w:rPr>
      </w:pPr>
    </w:p>
    <w:p w14:paraId="43F4C838">
      <w:pPr>
        <w:snapToGrid w:val="0"/>
        <w:spacing w:before="100" w:beforeAutospacing="1" w:after="100" w:afterAutospacing="1" w:line="480" w:lineRule="exact"/>
        <w:rPr>
          <w:rFonts w:ascii="宋体" w:hAnsi="宋体" w:cs="宋体"/>
          <w:b/>
          <w:color w:val="auto"/>
          <w:szCs w:val="21"/>
          <w:highlight w:val="none"/>
        </w:rPr>
      </w:pPr>
    </w:p>
    <w:p w14:paraId="3DB4E8B9">
      <w:pPr>
        <w:spacing w:line="360" w:lineRule="auto"/>
        <w:rPr>
          <w:color w:val="auto"/>
          <w:highlight w:val="none"/>
        </w:rPr>
      </w:pPr>
    </w:p>
    <w:p w14:paraId="153ADE54">
      <w:pPr>
        <w:snapToGrid w:val="0"/>
        <w:spacing w:line="460" w:lineRule="exact"/>
        <w:jc w:val="both"/>
        <w:rPr>
          <w:rFonts w:asciiTheme="minorEastAsia" w:hAnsiTheme="minorEastAsia" w:eastAsiaTheme="minorEastAsia"/>
          <w:color w:val="auto"/>
          <w:sz w:val="28"/>
          <w:szCs w:val="28"/>
        </w:rPr>
      </w:pPr>
    </w:p>
    <w:p w14:paraId="77390897">
      <w:pPr>
        <w:rPr>
          <w:color w:val="auto"/>
        </w:rPr>
      </w:pPr>
    </w:p>
    <w:sectPr>
      <w:headerReference r:id="rId11" w:type="default"/>
      <w:footerReference r:id="rId12" w:type="default"/>
      <w:pgSz w:w="11906" w:h="16838"/>
      <w:pgMar w:top="1474" w:right="1797" w:bottom="1247" w:left="179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1759A57-1A60-41DA-90DA-57A704E41497}"/>
  </w:font>
  <w:font w:name="Arial">
    <w:panose1 w:val="020B0604020202020204"/>
    <w:charset w:val="01"/>
    <w:family w:val="swiss"/>
    <w:pitch w:val="default"/>
    <w:sig w:usb0="E0002EFF" w:usb1="C000785B" w:usb2="00000009" w:usb3="00000000" w:csb0="400001FF" w:csb1="FFFF0000"/>
    <w:embedRegular r:id="rId2" w:fontKey="{E3BEC78D-6023-4997-A425-6203FD92A7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D56A353-B920-4301-AA92-BDFD6A197CD1}"/>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BD0ACE8D-87A1-473C-9810-E2100689F18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8B4A">
    <w:pPr>
      <w:pStyle w:val="11"/>
      <w:pBdr>
        <w:between w:val="single" w:color="auto" w:sz="4" w:space="0"/>
      </w:pBdr>
      <w:jc w:val="center"/>
      <w:rPr>
        <w:rFonts w:ascii="华文中宋" w:hAnsi="华文中宋" w:cs="华文中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863E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AA12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FAA12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1F63">
    <w:pPr>
      <w:pStyle w:val="11"/>
      <w:pBdr>
        <w:between w:val="single" w:color="auto" w:sz="4" w:space="0"/>
      </w:pBdr>
      <w:jc w:val="center"/>
      <w:rPr>
        <w:rFonts w:ascii="华文中宋" w:hAnsi="华文中宋" w:cs="华文中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36D8E">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336D8E">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37B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E6E2E5">
                          <w:pPr>
                            <w:pStyle w:val="11"/>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55E6E2E5">
                    <w:pPr>
                      <w:pStyle w:val="11"/>
                    </w:pPr>
                    <w:r>
                      <w:rPr>
                        <w:rFonts w:hint="eastAsia" w:ascii="华文中宋" w:hAnsi="华文中宋" w:cs="华文中宋"/>
                        <w:b/>
                        <w:bCs/>
                      </w:rPr>
                      <w:fldChar w:fldCharType="begin"/>
                    </w:r>
                    <w:r>
                      <w:rPr>
                        <w:rFonts w:hint="eastAsia" w:ascii="华文中宋" w:hAnsi="华文中宋" w:cs="华文中宋"/>
                        <w:b/>
                        <w:bCs/>
                      </w:rPr>
                      <w:instrText xml:space="preserve"> PAGE  \* MERGEFORMAT </w:instrText>
                    </w:r>
                    <w:r>
                      <w:rPr>
                        <w:rFonts w:hint="eastAsia" w:ascii="华文中宋" w:hAnsi="华文中宋" w:cs="华文中宋"/>
                        <w:b/>
                        <w:bCs/>
                      </w:rPr>
                      <w:fldChar w:fldCharType="separate"/>
                    </w:r>
                    <w:r>
                      <w:rPr>
                        <w:rFonts w:ascii="华文中宋" w:hAnsi="华文中宋" w:cs="华文中宋"/>
                        <w:b/>
                        <w:bCs/>
                      </w:rPr>
                      <w:t>- 65 -</w:t>
                    </w:r>
                    <w:r>
                      <w:rPr>
                        <w:rFonts w:hint="eastAsia" w:ascii="华文中宋" w:hAnsi="华文中宋" w:cs="华文中宋"/>
                        <w:b/>
                        <w:bCs/>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0771">
    <w:pPr>
      <w:pStyle w:val="11"/>
      <w:pBdr>
        <w:between w:val="single" w:color="auto" w:sz="4" w:space="0"/>
      </w:pBdr>
      <w:jc w:val="both"/>
      <w:rPr>
        <w:rFonts w:ascii="华文中宋" w:hAnsi="华文中宋" w:cs="华文中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D441B">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11D441B">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D1D27">
    <w:pPr>
      <w:pStyle w:val="11"/>
      <w:rPr>
        <w:rStyle w:val="21"/>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FEB53">
                          <w:pPr>
                            <w:pStyle w:val="1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DFEB53">
                    <w:pPr>
                      <w:pStyle w:val="11"/>
                    </w:pPr>
                    <w:r>
                      <w:fldChar w:fldCharType="begin"/>
                    </w:r>
                    <w:r>
                      <w:instrText xml:space="preserve"> PAGE  \* MERGEFORMAT </w:instrText>
                    </w:r>
                    <w:r>
                      <w:fldChar w:fldCharType="separate"/>
                    </w:r>
                    <w:r>
                      <w:t>67</w:t>
                    </w:r>
                    <w:r>
                      <w:fldChar w:fldCharType="end"/>
                    </w:r>
                  </w:p>
                </w:txbxContent>
              </v:textbox>
            </v:shape>
          </w:pict>
        </mc:Fallback>
      </mc:AlternateContent>
    </w:r>
  </w:p>
  <w:p w14:paraId="6FE453BB">
    <w:pPr>
      <w:pStyle w:val="11"/>
      <w:ind w:right="720" w:firstLine="180" w:firstLineChars="10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B9194">
    <w:pPr>
      <w:pStyle w:val="12"/>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BAD5">
    <w:pPr>
      <w:pStyle w:val="1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75E1">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6C3E">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7F80"/>
    <w:multiLevelType w:val="singleLevel"/>
    <w:tmpl w:val="890C7F80"/>
    <w:lvl w:ilvl="0" w:tentative="0">
      <w:start w:val="1"/>
      <w:numFmt w:val="chineseCounting"/>
      <w:suff w:val="nothing"/>
      <w:lvlText w:val="%1、"/>
      <w:lvlJc w:val="left"/>
      <w:pPr>
        <w:ind w:left="0" w:firstLine="420"/>
      </w:pPr>
      <w:rPr>
        <w:rFonts w:hint="eastAsia"/>
      </w:rPr>
    </w:lvl>
  </w:abstractNum>
  <w:abstractNum w:abstractNumId="1">
    <w:nsid w:val="A7DFF514"/>
    <w:multiLevelType w:val="singleLevel"/>
    <w:tmpl w:val="A7DFF514"/>
    <w:lvl w:ilvl="0" w:tentative="0">
      <w:start w:val="9"/>
      <w:numFmt w:val="decimal"/>
      <w:suff w:val="space"/>
      <w:lvlText w:val="%1."/>
      <w:lvlJc w:val="left"/>
    </w:lvl>
  </w:abstractNum>
  <w:abstractNum w:abstractNumId="2">
    <w:nsid w:val="AC3F13B2"/>
    <w:multiLevelType w:val="singleLevel"/>
    <w:tmpl w:val="AC3F13B2"/>
    <w:lvl w:ilvl="0" w:tentative="0">
      <w:start w:val="2"/>
      <w:numFmt w:val="decimal"/>
      <w:suff w:val="space"/>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BFFE8ADF"/>
    <w:multiLevelType w:val="singleLevel"/>
    <w:tmpl w:val="BFFE8ADF"/>
    <w:lvl w:ilvl="0" w:tentative="0">
      <w:start w:val="7"/>
      <w:numFmt w:val="decimal"/>
      <w:lvlText w:val="%1."/>
      <w:lvlJc w:val="left"/>
      <w:pPr>
        <w:tabs>
          <w:tab w:val="left" w:pos="312"/>
        </w:tabs>
      </w:p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54E092F"/>
    <w:multiLevelType w:val="singleLevel"/>
    <w:tmpl w:val="E54E092F"/>
    <w:lvl w:ilvl="0" w:tentative="0">
      <w:start w:val="1"/>
      <w:numFmt w:val="decimal"/>
      <w:suff w:val="nothing"/>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2213619F"/>
    <w:multiLevelType w:val="multilevel"/>
    <w:tmpl w:val="2213619F"/>
    <w:lvl w:ilvl="0" w:tentative="0">
      <w:start w:val="1"/>
      <w:numFmt w:val="decimal"/>
      <w:pStyle w:val="6"/>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2">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6EF799FB"/>
    <w:multiLevelType w:val="singleLevel"/>
    <w:tmpl w:val="6EF799FB"/>
    <w:lvl w:ilvl="0" w:tentative="0">
      <w:start w:val="6"/>
      <w:numFmt w:val="chineseCounting"/>
      <w:suff w:val="nothing"/>
      <w:lvlText w:val="%1、"/>
      <w:lvlJc w:val="left"/>
      <w:rPr>
        <w:rFonts w:hint="eastAsia"/>
      </w:rPr>
    </w:lvl>
  </w:abstractNum>
  <w:abstractNum w:abstractNumId="14">
    <w:nsid w:val="779C48D1"/>
    <w:multiLevelType w:val="singleLevel"/>
    <w:tmpl w:val="779C48D1"/>
    <w:lvl w:ilvl="0" w:tentative="0">
      <w:start w:val="8"/>
      <w:numFmt w:val="decimal"/>
      <w:suff w:val="space"/>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1"/>
  </w:num>
  <w:num w:numId="2">
    <w:abstractNumId w:val="13"/>
  </w:num>
  <w:num w:numId="3">
    <w:abstractNumId w:val="4"/>
  </w:num>
  <w:num w:numId="4">
    <w:abstractNumId w:val="1"/>
  </w:num>
  <w:num w:numId="5">
    <w:abstractNumId w:val="2"/>
  </w:num>
  <w:num w:numId="6">
    <w:abstractNumId w:val="14"/>
  </w:num>
  <w:num w:numId="7">
    <w:abstractNumId w:val="12"/>
  </w:num>
  <w:num w:numId="8">
    <w:abstractNumId w:val="15"/>
  </w:num>
  <w:num w:numId="9">
    <w:abstractNumId w:val="5"/>
  </w:num>
  <w:num w:numId="10">
    <w:abstractNumId w:val="10"/>
  </w:num>
  <w:num w:numId="11">
    <w:abstractNumId w:val="7"/>
  </w:num>
  <w:num w:numId="12">
    <w:abstractNumId w:val="6"/>
  </w:num>
  <w:num w:numId="13">
    <w:abstractNumId w:val="3"/>
  </w:num>
  <w:num w:numId="14">
    <w:abstractNumId w:val="8"/>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2BE"/>
    <w:rsid w:val="008F14F9"/>
    <w:rsid w:val="00AE7472"/>
    <w:rsid w:val="00D46154"/>
    <w:rsid w:val="010C40C8"/>
    <w:rsid w:val="010F7712"/>
    <w:rsid w:val="014D51F1"/>
    <w:rsid w:val="01620BDE"/>
    <w:rsid w:val="01E12373"/>
    <w:rsid w:val="02174A09"/>
    <w:rsid w:val="026705D6"/>
    <w:rsid w:val="02E10292"/>
    <w:rsid w:val="031321C1"/>
    <w:rsid w:val="031F1A8F"/>
    <w:rsid w:val="033B6065"/>
    <w:rsid w:val="03645123"/>
    <w:rsid w:val="03692D9B"/>
    <w:rsid w:val="03C179C7"/>
    <w:rsid w:val="03D60598"/>
    <w:rsid w:val="043F1447"/>
    <w:rsid w:val="04437452"/>
    <w:rsid w:val="049060DF"/>
    <w:rsid w:val="04B82150"/>
    <w:rsid w:val="04E862DB"/>
    <w:rsid w:val="04F87287"/>
    <w:rsid w:val="053E7F71"/>
    <w:rsid w:val="05D913DF"/>
    <w:rsid w:val="05ED13A7"/>
    <w:rsid w:val="06012EE9"/>
    <w:rsid w:val="062058CC"/>
    <w:rsid w:val="06AD5B98"/>
    <w:rsid w:val="06FF38A6"/>
    <w:rsid w:val="073D1D4C"/>
    <w:rsid w:val="07624E3E"/>
    <w:rsid w:val="077F5C9A"/>
    <w:rsid w:val="07871CE8"/>
    <w:rsid w:val="078B7FE3"/>
    <w:rsid w:val="07B40D93"/>
    <w:rsid w:val="07B67DF4"/>
    <w:rsid w:val="07E605D3"/>
    <w:rsid w:val="07ED61F6"/>
    <w:rsid w:val="083F7E5E"/>
    <w:rsid w:val="08731876"/>
    <w:rsid w:val="087D0EC1"/>
    <w:rsid w:val="08A810B4"/>
    <w:rsid w:val="08B7640F"/>
    <w:rsid w:val="08D75A7B"/>
    <w:rsid w:val="08FA312F"/>
    <w:rsid w:val="096114AD"/>
    <w:rsid w:val="097C6A5F"/>
    <w:rsid w:val="09DB5EE5"/>
    <w:rsid w:val="09EF18D2"/>
    <w:rsid w:val="09FA715D"/>
    <w:rsid w:val="0A1A7BDF"/>
    <w:rsid w:val="0A1B0132"/>
    <w:rsid w:val="0A343959"/>
    <w:rsid w:val="0A4C5AEB"/>
    <w:rsid w:val="0A5A706C"/>
    <w:rsid w:val="0A6863F8"/>
    <w:rsid w:val="0A7811C7"/>
    <w:rsid w:val="0A7D56CA"/>
    <w:rsid w:val="0A83496C"/>
    <w:rsid w:val="0AAE1529"/>
    <w:rsid w:val="0AD7797F"/>
    <w:rsid w:val="0B781250"/>
    <w:rsid w:val="0B8E1181"/>
    <w:rsid w:val="0BB12C80"/>
    <w:rsid w:val="0BBD717A"/>
    <w:rsid w:val="0BE75182"/>
    <w:rsid w:val="0BF3318F"/>
    <w:rsid w:val="0C2D3F0A"/>
    <w:rsid w:val="0C475196"/>
    <w:rsid w:val="0C532CF8"/>
    <w:rsid w:val="0CBB10ED"/>
    <w:rsid w:val="0CC1341D"/>
    <w:rsid w:val="0CDF213D"/>
    <w:rsid w:val="0CF42468"/>
    <w:rsid w:val="0D1C6357"/>
    <w:rsid w:val="0D201A75"/>
    <w:rsid w:val="0D4B58C6"/>
    <w:rsid w:val="0D935E8F"/>
    <w:rsid w:val="0DAB34DD"/>
    <w:rsid w:val="0DF34932"/>
    <w:rsid w:val="0E8B503B"/>
    <w:rsid w:val="0E951E47"/>
    <w:rsid w:val="0E9B7FF8"/>
    <w:rsid w:val="0EB01404"/>
    <w:rsid w:val="0EB04873"/>
    <w:rsid w:val="0EDE6F90"/>
    <w:rsid w:val="0F143FF8"/>
    <w:rsid w:val="0F2E04D2"/>
    <w:rsid w:val="0F327798"/>
    <w:rsid w:val="0F374528"/>
    <w:rsid w:val="0F4E49E7"/>
    <w:rsid w:val="0F732267"/>
    <w:rsid w:val="0F7A3C2A"/>
    <w:rsid w:val="0F984B71"/>
    <w:rsid w:val="0FE93BA6"/>
    <w:rsid w:val="0FEC0D42"/>
    <w:rsid w:val="0FF26776"/>
    <w:rsid w:val="108F5DB9"/>
    <w:rsid w:val="10D3724F"/>
    <w:rsid w:val="10E73E8C"/>
    <w:rsid w:val="10EE76F7"/>
    <w:rsid w:val="110F7FD7"/>
    <w:rsid w:val="11230CE8"/>
    <w:rsid w:val="11577A45"/>
    <w:rsid w:val="128050A7"/>
    <w:rsid w:val="12902B61"/>
    <w:rsid w:val="12936C7F"/>
    <w:rsid w:val="129757B1"/>
    <w:rsid w:val="129A7E91"/>
    <w:rsid w:val="129B2D0F"/>
    <w:rsid w:val="12C3576F"/>
    <w:rsid w:val="12D6098E"/>
    <w:rsid w:val="12D7663B"/>
    <w:rsid w:val="12DC777A"/>
    <w:rsid w:val="130971AD"/>
    <w:rsid w:val="130B7F7A"/>
    <w:rsid w:val="132B6752"/>
    <w:rsid w:val="13731329"/>
    <w:rsid w:val="13916094"/>
    <w:rsid w:val="13DA3E37"/>
    <w:rsid w:val="13FF12B5"/>
    <w:rsid w:val="14461DE7"/>
    <w:rsid w:val="144A06D0"/>
    <w:rsid w:val="144D0697"/>
    <w:rsid w:val="149A14AF"/>
    <w:rsid w:val="14E05738"/>
    <w:rsid w:val="14E24293"/>
    <w:rsid w:val="14E63A25"/>
    <w:rsid w:val="15513223"/>
    <w:rsid w:val="1592562E"/>
    <w:rsid w:val="15A2174D"/>
    <w:rsid w:val="15C23856"/>
    <w:rsid w:val="15DA5F7D"/>
    <w:rsid w:val="15EC2E78"/>
    <w:rsid w:val="15F32E1B"/>
    <w:rsid w:val="16115718"/>
    <w:rsid w:val="16663DFB"/>
    <w:rsid w:val="1688122C"/>
    <w:rsid w:val="16B935A6"/>
    <w:rsid w:val="16D33D22"/>
    <w:rsid w:val="16E7152C"/>
    <w:rsid w:val="16EC1AA9"/>
    <w:rsid w:val="172A243F"/>
    <w:rsid w:val="17520976"/>
    <w:rsid w:val="17657CF3"/>
    <w:rsid w:val="1769242B"/>
    <w:rsid w:val="17AE0D27"/>
    <w:rsid w:val="17DE4DC3"/>
    <w:rsid w:val="182D76BE"/>
    <w:rsid w:val="183D7278"/>
    <w:rsid w:val="183F38EB"/>
    <w:rsid w:val="18437F32"/>
    <w:rsid w:val="18626C21"/>
    <w:rsid w:val="1889113C"/>
    <w:rsid w:val="195473A7"/>
    <w:rsid w:val="19A91868"/>
    <w:rsid w:val="19DC2FA1"/>
    <w:rsid w:val="1A0544A5"/>
    <w:rsid w:val="1A2107C4"/>
    <w:rsid w:val="1A4204B2"/>
    <w:rsid w:val="1A48770C"/>
    <w:rsid w:val="1A705801"/>
    <w:rsid w:val="1ABC61AD"/>
    <w:rsid w:val="1ACA16A7"/>
    <w:rsid w:val="1B3F0995"/>
    <w:rsid w:val="1B554994"/>
    <w:rsid w:val="1BD042B2"/>
    <w:rsid w:val="1C1F2A7D"/>
    <w:rsid w:val="1C2C327E"/>
    <w:rsid w:val="1C403CDE"/>
    <w:rsid w:val="1C47574A"/>
    <w:rsid w:val="1C8E15E3"/>
    <w:rsid w:val="1CB803EB"/>
    <w:rsid w:val="1CD15624"/>
    <w:rsid w:val="1CEE5ABB"/>
    <w:rsid w:val="1CF9360C"/>
    <w:rsid w:val="1D032569"/>
    <w:rsid w:val="1D0E036E"/>
    <w:rsid w:val="1D7675F8"/>
    <w:rsid w:val="1DEB32C1"/>
    <w:rsid w:val="1DED091F"/>
    <w:rsid w:val="1E1E0F45"/>
    <w:rsid w:val="1E2716C8"/>
    <w:rsid w:val="1E4B0B1C"/>
    <w:rsid w:val="1E4E5131"/>
    <w:rsid w:val="1E9C5951"/>
    <w:rsid w:val="1EA95492"/>
    <w:rsid w:val="1EAB0162"/>
    <w:rsid w:val="1EC94A1D"/>
    <w:rsid w:val="1ECE5B36"/>
    <w:rsid w:val="1F742977"/>
    <w:rsid w:val="1FB20434"/>
    <w:rsid w:val="1FDE46A4"/>
    <w:rsid w:val="203110E7"/>
    <w:rsid w:val="206D5832"/>
    <w:rsid w:val="20C65A49"/>
    <w:rsid w:val="20D601BD"/>
    <w:rsid w:val="20D835D0"/>
    <w:rsid w:val="210D3C69"/>
    <w:rsid w:val="216529A6"/>
    <w:rsid w:val="218A4338"/>
    <w:rsid w:val="21AC3CDC"/>
    <w:rsid w:val="21B861CA"/>
    <w:rsid w:val="21DB5909"/>
    <w:rsid w:val="21F537E5"/>
    <w:rsid w:val="221065C4"/>
    <w:rsid w:val="221B1864"/>
    <w:rsid w:val="22737F4B"/>
    <w:rsid w:val="22927AAC"/>
    <w:rsid w:val="22A04DA9"/>
    <w:rsid w:val="22A7380C"/>
    <w:rsid w:val="23012AB6"/>
    <w:rsid w:val="231E5F5E"/>
    <w:rsid w:val="23455C32"/>
    <w:rsid w:val="236D5D5A"/>
    <w:rsid w:val="2375019E"/>
    <w:rsid w:val="237F582B"/>
    <w:rsid w:val="23F2720D"/>
    <w:rsid w:val="23FE085B"/>
    <w:rsid w:val="24C65A3C"/>
    <w:rsid w:val="24C84D58"/>
    <w:rsid w:val="24F5279B"/>
    <w:rsid w:val="24FE08E0"/>
    <w:rsid w:val="253A34A8"/>
    <w:rsid w:val="259C2074"/>
    <w:rsid w:val="25EE09A2"/>
    <w:rsid w:val="25FE039E"/>
    <w:rsid w:val="260114E6"/>
    <w:rsid w:val="260C2CF6"/>
    <w:rsid w:val="26154892"/>
    <w:rsid w:val="264A545E"/>
    <w:rsid w:val="268325BC"/>
    <w:rsid w:val="26B223DB"/>
    <w:rsid w:val="26BD7A56"/>
    <w:rsid w:val="26D4286E"/>
    <w:rsid w:val="26FC6969"/>
    <w:rsid w:val="27004F75"/>
    <w:rsid w:val="270A1C3A"/>
    <w:rsid w:val="27127A47"/>
    <w:rsid w:val="27146483"/>
    <w:rsid w:val="271F423A"/>
    <w:rsid w:val="27526679"/>
    <w:rsid w:val="275B4DC8"/>
    <w:rsid w:val="27B1639A"/>
    <w:rsid w:val="27D142A6"/>
    <w:rsid w:val="27D74BC7"/>
    <w:rsid w:val="27DC624C"/>
    <w:rsid w:val="27E33AA2"/>
    <w:rsid w:val="27EC4A83"/>
    <w:rsid w:val="2825260B"/>
    <w:rsid w:val="284345B2"/>
    <w:rsid w:val="28975FF4"/>
    <w:rsid w:val="28C1732E"/>
    <w:rsid w:val="28F41433"/>
    <w:rsid w:val="28F513B6"/>
    <w:rsid w:val="29042275"/>
    <w:rsid w:val="293B383A"/>
    <w:rsid w:val="29543DF1"/>
    <w:rsid w:val="299620A5"/>
    <w:rsid w:val="29D830E0"/>
    <w:rsid w:val="2A305283"/>
    <w:rsid w:val="2A5151E0"/>
    <w:rsid w:val="2AF215D6"/>
    <w:rsid w:val="2B044061"/>
    <w:rsid w:val="2B107301"/>
    <w:rsid w:val="2B303ADF"/>
    <w:rsid w:val="2B3447DA"/>
    <w:rsid w:val="2B595161"/>
    <w:rsid w:val="2B6827A6"/>
    <w:rsid w:val="2B6B6ED5"/>
    <w:rsid w:val="2B6D5A6A"/>
    <w:rsid w:val="2BA86E60"/>
    <w:rsid w:val="2BB70B4B"/>
    <w:rsid w:val="2BD620D4"/>
    <w:rsid w:val="2BE37432"/>
    <w:rsid w:val="2BFC0782"/>
    <w:rsid w:val="2C26711F"/>
    <w:rsid w:val="2C2D2BA8"/>
    <w:rsid w:val="2C314DC3"/>
    <w:rsid w:val="2C3E086E"/>
    <w:rsid w:val="2C6D4CA5"/>
    <w:rsid w:val="2C8C329D"/>
    <w:rsid w:val="2CA248FC"/>
    <w:rsid w:val="2CEB58DA"/>
    <w:rsid w:val="2CEF0127"/>
    <w:rsid w:val="2D103E71"/>
    <w:rsid w:val="2D226130"/>
    <w:rsid w:val="2D4869BC"/>
    <w:rsid w:val="2D8C010C"/>
    <w:rsid w:val="2D8C280C"/>
    <w:rsid w:val="2D9F0EC9"/>
    <w:rsid w:val="2DD0404F"/>
    <w:rsid w:val="2E310125"/>
    <w:rsid w:val="2E413E0F"/>
    <w:rsid w:val="2E7951E0"/>
    <w:rsid w:val="2E8B0A67"/>
    <w:rsid w:val="2EB84C1E"/>
    <w:rsid w:val="2EF35855"/>
    <w:rsid w:val="2F1B76A7"/>
    <w:rsid w:val="2F636AF1"/>
    <w:rsid w:val="2F9D7E31"/>
    <w:rsid w:val="2F9E72A9"/>
    <w:rsid w:val="2FAE1251"/>
    <w:rsid w:val="2FE92B0C"/>
    <w:rsid w:val="2FEF7E3C"/>
    <w:rsid w:val="2FFB5C57"/>
    <w:rsid w:val="3003050A"/>
    <w:rsid w:val="300D5082"/>
    <w:rsid w:val="30254061"/>
    <w:rsid w:val="304B39B4"/>
    <w:rsid w:val="304C7EED"/>
    <w:rsid w:val="30542290"/>
    <w:rsid w:val="3087476F"/>
    <w:rsid w:val="30970E41"/>
    <w:rsid w:val="30A55F03"/>
    <w:rsid w:val="30E63AB9"/>
    <w:rsid w:val="30F34D4D"/>
    <w:rsid w:val="30FB6B43"/>
    <w:rsid w:val="318519E3"/>
    <w:rsid w:val="31976F92"/>
    <w:rsid w:val="31996BA5"/>
    <w:rsid w:val="31B763DE"/>
    <w:rsid w:val="31D2343C"/>
    <w:rsid w:val="31D702E5"/>
    <w:rsid w:val="31E948F1"/>
    <w:rsid w:val="32165719"/>
    <w:rsid w:val="323415C8"/>
    <w:rsid w:val="3237730D"/>
    <w:rsid w:val="3272696B"/>
    <w:rsid w:val="327A1F2F"/>
    <w:rsid w:val="327A37BE"/>
    <w:rsid w:val="329C687A"/>
    <w:rsid w:val="32B34705"/>
    <w:rsid w:val="32D07C23"/>
    <w:rsid w:val="330B71DD"/>
    <w:rsid w:val="33592802"/>
    <w:rsid w:val="33917AC9"/>
    <w:rsid w:val="33B44792"/>
    <w:rsid w:val="33E25B36"/>
    <w:rsid w:val="343A1FF6"/>
    <w:rsid w:val="34720C80"/>
    <w:rsid w:val="34A365A0"/>
    <w:rsid w:val="34E06C2B"/>
    <w:rsid w:val="34FB61CF"/>
    <w:rsid w:val="351D0F7D"/>
    <w:rsid w:val="353D586E"/>
    <w:rsid w:val="35847249"/>
    <w:rsid w:val="35BD22B5"/>
    <w:rsid w:val="35E119F2"/>
    <w:rsid w:val="35E807AB"/>
    <w:rsid w:val="35F01024"/>
    <w:rsid w:val="361421D2"/>
    <w:rsid w:val="364E0457"/>
    <w:rsid w:val="3696394D"/>
    <w:rsid w:val="36AA5B89"/>
    <w:rsid w:val="36AF2FAF"/>
    <w:rsid w:val="36B94FD5"/>
    <w:rsid w:val="370166C7"/>
    <w:rsid w:val="376A3AD5"/>
    <w:rsid w:val="37706DB7"/>
    <w:rsid w:val="37B7434C"/>
    <w:rsid w:val="37FB45C0"/>
    <w:rsid w:val="38AB5CB1"/>
    <w:rsid w:val="390E0276"/>
    <w:rsid w:val="39100F32"/>
    <w:rsid w:val="394E5BF6"/>
    <w:rsid w:val="39762C8F"/>
    <w:rsid w:val="3990617C"/>
    <w:rsid w:val="39EE77C8"/>
    <w:rsid w:val="3A1041D9"/>
    <w:rsid w:val="3A60107F"/>
    <w:rsid w:val="3A9D6B3E"/>
    <w:rsid w:val="3AD51165"/>
    <w:rsid w:val="3ADA68BB"/>
    <w:rsid w:val="3AF7158E"/>
    <w:rsid w:val="3B3D36D4"/>
    <w:rsid w:val="3B545CC7"/>
    <w:rsid w:val="3B9D639E"/>
    <w:rsid w:val="3BCE1A40"/>
    <w:rsid w:val="3BE863A1"/>
    <w:rsid w:val="3BE9091D"/>
    <w:rsid w:val="3BF463AE"/>
    <w:rsid w:val="3BF80354"/>
    <w:rsid w:val="3C425705"/>
    <w:rsid w:val="3C644074"/>
    <w:rsid w:val="3C784BE6"/>
    <w:rsid w:val="3C873DBF"/>
    <w:rsid w:val="3D1E2DFF"/>
    <w:rsid w:val="3D3878CF"/>
    <w:rsid w:val="3D980334"/>
    <w:rsid w:val="3DDA1EEB"/>
    <w:rsid w:val="3DEC23D2"/>
    <w:rsid w:val="3E045321"/>
    <w:rsid w:val="3E173A5D"/>
    <w:rsid w:val="3E30543E"/>
    <w:rsid w:val="3E494559"/>
    <w:rsid w:val="3E6F19D5"/>
    <w:rsid w:val="3E81476D"/>
    <w:rsid w:val="3E83729F"/>
    <w:rsid w:val="3EAA351C"/>
    <w:rsid w:val="3EAE6B8F"/>
    <w:rsid w:val="3ECC5DB5"/>
    <w:rsid w:val="3F014DAB"/>
    <w:rsid w:val="3F0E79E4"/>
    <w:rsid w:val="3F2E6582"/>
    <w:rsid w:val="3FCF2EAA"/>
    <w:rsid w:val="400D2532"/>
    <w:rsid w:val="40104B5B"/>
    <w:rsid w:val="401B2CF8"/>
    <w:rsid w:val="401F62A3"/>
    <w:rsid w:val="40452EA4"/>
    <w:rsid w:val="404E5441"/>
    <w:rsid w:val="408656BD"/>
    <w:rsid w:val="408D3084"/>
    <w:rsid w:val="409242D8"/>
    <w:rsid w:val="409C2198"/>
    <w:rsid w:val="40A963FA"/>
    <w:rsid w:val="40C97AA0"/>
    <w:rsid w:val="410B0A0A"/>
    <w:rsid w:val="410D5270"/>
    <w:rsid w:val="41944ED6"/>
    <w:rsid w:val="41964450"/>
    <w:rsid w:val="41AE1BD1"/>
    <w:rsid w:val="41C7736B"/>
    <w:rsid w:val="41E54EA6"/>
    <w:rsid w:val="4242137C"/>
    <w:rsid w:val="42590124"/>
    <w:rsid w:val="43446C92"/>
    <w:rsid w:val="43671CA2"/>
    <w:rsid w:val="43B658ED"/>
    <w:rsid w:val="43C331DF"/>
    <w:rsid w:val="43DF651F"/>
    <w:rsid w:val="43E76C30"/>
    <w:rsid w:val="43F0400B"/>
    <w:rsid w:val="44120963"/>
    <w:rsid w:val="448B5F83"/>
    <w:rsid w:val="44A66DF4"/>
    <w:rsid w:val="44D953B0"/>
    <w:rsid w:val="44E3710F"/>
    <w:rsid w:val="44EF3543"/>
    <w:rsid w:val="451E3CB6"/>
    <w:rsid w:val="45212FD3"/>
    <w:rsid w:val="453B46D9"/>
    <w:rsid w:val="4557312B"/>
    <w:rsid w:val="45583589"/>
    <w:rsid w:val="45850940"/>
    <w:rsid w:val="45981F79"/>
    <w:rsid w:val="45A02FE2"/>
    <w:rsid w:val="45B0427A"/>
    <w:rsid w:val="45B948D7"/>
    <w:rsid w:val="45D84636"/>
    <w:rsid w:val="45E9523A"/>
    <w:rsid w:val="45EA3C16"/>
    <w:rsid w:val="4636433B"/>
    <w:rsid w:val="46412447"/>
    <w:rsid w:val="46A336BD"/>
    <w:rsid w:val="46B921AD"/>
    <w:rsid w:val="46D83050"/>
    <w:rsid w:val="47475EA8"/>
    <w:rsid w:val="47640C62"/>
    <w:rsid w:val="476E4CC0"/>
    <w:rsid w:val="47D97BA6"/>
    <w:rsid w:val="47E9462C"/>
    <w:rsid w:val="481A36B9"/>
    <w:rsid w:val="481C0C28"/>
    <w:rsid w:val="486A7E1C"/>
    <w:rsid w:val="486E2566"/>
    <w:rsid w:val="487E19D5"/>
    <w:rsid w:val="48955307"/>
    <w:rsid w:val="48964F27"/>
    <w:rsid w:val="48A96494"/>
    <w:rsid w:val="48B16FC5"/>
    <w:rsid w:val="48F56383"/>
    <w:rsid w:val="491202BD"/>
    <w:rsid w:val="49126477"/>
    <w:rsid w:val="492A52F8"/>
    <w:rsid w:val="4933587F"/>
    <w:rsid w:val="494E4532"/>
    <w:rsid w:val="49695008"/>
    <w:rsid w:val="496A31B3"/>
    <w:rsid w:val="497375B6"/>
    <w:rsid w:val="497B4290"/>
    <w:rsid w:val="499F457C"/>
    <w:rsid w:val="49BB7B6B"/>
    <w:rsid w:val="49BC60B8"/>
    <w:rsid w:val="49C64B61"/>
    <w:rsid w:val="49CC6D5D"/>
    <w:rsid w:val="4A0112CE"/>
    <w:rsid w:val="4A47222F"/>
    <w:rsid w:val="4A5A7F9E"/>
    <w:rsid w:val="4A624B12"/>
    <w:rsid w:val="4AAA0D69"/>
    <w:rsid w:val="4AC527F6"/>
    <w:rsid w:val="4AC565D8"/>
    <w:rsid w:val="4ADF4F0A"/>
    <w:rsid w:val="4AE12996"/>
    <w:rsid w:val="4B1E5AD0"/>
    <w:rsid w:val="4B2D5F77"/>
    <w:rsid w:val="4B5E5FFE"/>
    <w:rsid w:val="4B920F0E"/>
    <w:rsid w:val="4B9810A6"/>
    <w:rsid w:val="4B9E261A"/>
    <w:rsid w:val="4BD819E8"/>
    <w:rsid w:val="4C1411AA"/>
    <w:rsid w:val="4C1514F4"/>
    <w:rsid w:val="4C301883"/>
    <w:rsid w:val="4C387187"/>
    <w:rsid w:val="4C3E0E41"/>
    <w:rsid w:val="4C3E636A"/>
    <w:rsid w:val="4C95039D"/>
    <w:rsid w:val="4CA23D4B"/>
    <w:rsid w:val="4CB768AC"/>
    <w:rsid w:val="4CD13FBD"/>
    <w:rsid w:val="4CE71E2E"/>
    <w:rsid w:val="4CEE608B"/>
    <w:rsid w:val="4D156466"/>
    <w:rsid w:val="4D2F4E16"/>
    <w:rsid w:val="4D4D27ED"/>
    <w:rsid w:val="4D6C2965"/>
    <w:rsid w:val="4D8A314E"/>
    <w:rsid w:val="4E081329"/>
    <w:rsid w:val="4E1B321C"/>
    <w:rsid w:val="4E5A260E"/>
    <w:rsid w:val="4E6C175B"/>
    <w:rsid w:val="4EA81619"/>
    <w:rsid w:val="4F151407"/>
    <w:rsid w:val="4F3150BA"/>
    <w:rsid w:val="4F4C1923"/>
    <w:rsid w:val="4F53691F"/>
    <w:rsid w:val="4F55023D"/>
    <w:rsid w:val="4F5823C9"/>
    <w:rsid w:val="4FA31B3E"/>
    <w:rsid w:val="4FAB21E4"/>
    <w:rsid w:val="4FDA0D78"/>
    <w:rsid w:val="4FE6368E"/>
    <w:rsid w:val="5017053E"/>
    <w:rsid w:val="5029625E"/>
    <w:rsid w:val="503C253E"/>
    <w:rsid w:val="50723845"/>
    <w:rsid w:val="50767327"/>
    <w:rsid w:val="50797DB0"/>
    <w:rsid w:val="50F97878"/>
    <w:rsid w:val="519B025E"/>
    <w:rsid w:val="51EC118C"/>
    <w:rsid w:val="51FA41C5"/>
    <w:rsid w:val="51FC0BBD"/>
    <w:rsid w:val="520A028C"/>
    <w:rsid w:val="524B5631"/>
    <w:rsid w:val="526E0CBB"/>
    <w:rsid w:val="52D04700"/>
    <w:rsid w:val="5301198D"/>
    <w:rsid w:val="532F197C"/>
    <w:rsid w:val="53646832"/>
    <w:rsid w:val="539A2E59"/>
    <w:rsid w:val="53A31398"/>
    <w:rsid w:val="53CF4D05"/>
    <w:rsid w:val="53D36373"/>
    <w:rsid w:val="53FB4669"/>
    <w:rsid w:val="541E144C"/>
    <w:rsid w:val="541E6F43"/>
    <w:rsid w:val="544644B9"/>
    <w:rsid w:val="54925F40"/>
    <w:rsid w:val="54AB632B"/>
    <w:rsid w:val="54B52772"/>
    <w:rsid w:val="54CA0740"/>
    <w:rsid w:val="55023C40"/>
    <w:rsid w:val="55382661"/>
    <w:rsid w:val="553C26C5"/>
    <w:rsid w:val="555D0E45"/>
    <w:rsid w:val="558A073A"/>
    <w:rsid w:val="55BA7B93"/>
    <w:rsid w:val="55D13C2B"/>
    <w:rsid w:val="55ED7D35"/>
    <w:rsid w:val="56083C9C"/>
    <w:rsid w:val="560A3822"/>
    <w:rsid w:val="560F1F83"/>
    <w:rsid w:val="56133509"/>
    <w:rsid w:val="56805D05"/>
    <w:rsid w:val="56AB537D"/>
    <w:rsid w:val="56B41B65"/>
    <w:rsid w:val="56CD0D36"/>
    <w:rsid w:val="56DB7C59"/>
    <w:rsid w:val="56E431B4"/>
    <w:rsid w:val="571914AD"/>
    <w:rsid w:val="57293602"/>
    <w:rsid w:val="572A3F78"/>
    <w:rsid w:val="57346231"/>
    <w:rsid w:val="57375081"/>
    <w:rsid w:val="573C6B0B"/>
    <w:rsid w:val="576232C1"/>
    <w:rsid w:val="579F4CDA"/>
    <w:rsid w:val="57CB4FD0"/>
    <w:rsid w:val="58240184"/>
    <w:rsid w:val="584964DA"/>
    <w:rsid w:val="585E3AC9"/>
    <w:rsid w:val="586317F9"/>
    <w:rsid w:val="58734CDD"/>
    <w:rsid w:val="589D317D"/>
    <w:rsid w:val="58DC3A1D"/>
    <w:rsid w:val="58DE0A0D"/>
    <w:rsid w:val="58E90656"/>
    <w:rsid w:val="58F67C0C"/>
    <w:rsid w:val="58FB4B97"/>
    <w:rsid w:val="59012538"/>
    <w:rsid w:val="5907076E"/>
    <w:rsid w:val="591B5BEE"/>
    <w:rsid w:val="59496BE0"/>
    <w:rsid w:val="59CB5FA5"/>
    <w:rsid w:val="59DB0BD9"/>
    <w:rsid w:val="5A4D7DDF"/>
    <w:rsid w:val="5A5E591D"/>
    <w:rsid w:val="5A716580"/>
    <w:rsid w:val="5A9B1401"/>
    <w:rsid w:val="5AD175B0"/>
    <w:rsid w:val="5AEE3E50"/>
    <w:rsid w:val="5AF26B48"/>
    <w:rsid w:val="5B4B27D5"/>
    <w:rsid w:val="5B8F242C"/>
    <w:rsid w:val="5BA54373"/>
    <w:rsid w:val="5BB25205"/>
    <w:rsid w:val="5BC03C68"/>
    <w:rsid w:val="5BDC4FC3"/>
    <w:rsid w:val="5BF60870"/>
    <w:rsid w:val="5C281A89"/>
    <w:rsid w:val="5C3F5E8D"/>
    <w:rsid w:val="5C5E6713"/>
    <w:rsid w:val="5C737ADE"/>
    <w:rsid w:val="5CB64727"/>
    <w:rsid w:val="5CC55F6E"/>
    <w:rsid w:val="5CD90793"/>
    <w:rsid w:val="5CE1544F"/>
    <w:rsid w:val="5D185B66"/>
    <w:rsid w:val="5D2004C8"/>
    <w:rsid w:val="5D791149"/>
    <w:rsid w:val="5DCA63D2"/>
    <w:rsid w:val="5DCD481D"/>
    <w:rsid w:val="5DEB76D0"/>
    <w:rsid w:val="5DFA795E"/>
    <w:rsid w:val="5E286DA5"/>
    <w:rsid w:val="5E5215B5"/>
    <w:rsid w:val="5ED02E5B"/>
    <w:rsid w:val="5EDD34C9"/>
    <w:rsid w:val="5EE44548"/>
    <w:rsid w:val="5EE44BCF"/>
    <w:rsid w:val="5EF04B54"/>
    <w:rsid w:val="5EF104FB"/>
    <w:rsid w:val="5F491AC1"/>
    <w:rsid w:val="5F4F3516"/>
    <w:rsid w:val="5F757B77"/>
    <w:rsid w:val="5FCB29D2"/>
    <w:rsid w:val="5FEB2E9D"/>
    <w:rsid w:val="5FEF362E"/>
    <w:rsid w:val="5FF1677A"/>
    <w:rsid w:val="60BC6EA9"/>
    <w:rsid w:val="61A9588E"/>
    <w:rsid w:val="61B84F10"/>
    <w:rsid w:val="61EA647B"/>
    <w:rsid w:val="6220739D"/>
    <w:rsid w:val="62366D65"/>
    <w:rsid w:val="624C2F55"/>
    <w:rsid w:val="62626B60"/>
    <w:rsid w:val="62746455"/>
    <w:rsid w:val="62793AF1"/>
    <w:rsid w:val="62936513"/>
    <w:rsid w:val="62A95313"/>
    <w:rsid w:val="62D56051"/>
    <w:rsid w:val="62F53627"/>
    <w:rsid w:val="63032502"/>
    <w:rsid w:val="630750B4"/>
    <w:rsid w:val="631B58C7"/>
    <w:rsid w:val="6324538E"/>
    <w:rsid w:val="63574C3E"/>
    <w:rsid w:val="63621971"/>
    <w:rsid w:val="639A7A46"/>
    <w:rsid w:val="63D43CFA"/>
    <w:rsid w:val="64064951"/>
    <w:rsid w:val="641D5FA3"/>
    <w:rsid w:val="647442CA"/>
    <w:rsid w:val="64A57AC2"/>
    <w:rsid w:val="64D81633"/>
    <w:rsid w:val="64EE35E3"/>
    <w:rsid w:val="650B3DA0"/>
    <w:rsid w:val="65294C99"/>
    <w:rsid w:val="653F6DD2"/>
    <w:rsid w:val="65517241"/>
    <w:rsid w:val="6561347D"/>
    <w:rsid w:val="65623007"/>
    <w:rsid w:val="65724351"/>
    <w:rsid w:val="65794D4E"/>
    <w:rsid w:val="658936AC"/>
    <w:rsid w:val="65AB5EA5"/>
    <w:rsid w:val="664A7CE8"/>
    <w:rsid w:val="667476BF"/>
    <w:rsid w:val="672357D6"/>
    <w:rsid w:val="67302FA7"/>
    <w:rsid w:val="67587885"/>
    <w:rsid w:val="676F2C64"/>
    <w:rsid w:val="676F3B44"/>
    <w:rsid w:val="67B12D85"/>
    <w:rsid w:val="67B44B2C"/>
    <w:rsid w:val="67D61043"/>
    <w:rsid w:val="67DA4851"/>
    <w:rsid w:val="67DD3A75"/>
    <w:rsid w:val="67E5274E"/>
    <w:rsid w:val="6815360A"/>
    <w:rsid w:val="684E2067"/>
    <w:rsid w:val="687D4E76"/>
    <w:rsid w:val="688C7172"/>
    <w:rsid w:val="688F41D5"/>
    <w:rsid w:val="68B22DB9"/>
    <w:rsid w:val="68BC7BE5"/>
    <w:rsid w:val="68F0776A"/>
    <w:rsid w:val="68F5022C"/>
    <w:rsid w:val="69230884"/>
    <w:rsid w:val="692C0A03"/>
    <w:rsid w:val="6936528C"/>
    <w:rsid w:val="694004CF"/>
    <w:rsid w:val="69445697"/>
    <w:rsid w:val="696004D7"/>
    <w:rsid w:val="6972033E"/>
    <w:rsid w:val="69B676C1"/>
    <w:rsid w:val="69EF73D7"/>
    <w:rsid w:val="69F47EBD"/>
    <w:rsid w:val="6A036314"/>
    <w:rsid w:val="6A0571EA"/>
    <w:rsid w:val="6A523AD8"/>
    <w:rsid w:val="6A720199"/>
    <w:rsid w:val="6A8D3AA7"/>
    <w:rsid w:val="6A9105FA"/>
    <w:rsid w:val="6AA3504A"/>
    <w:rsid w:val="6AD31EE4"/>
    <w:rsid w:val="6AD8449D"/>
    <w:rsid w:val="6B0472AD"/>
    <w:rsid w:val="6B2055D0"/>
    <w:rsid w:val="6B3D76B8"/>
    <w:rsid w:val="6B400045"/>
    <w:rsid w:val="6B470F83"/>
    <w:rsid w:val="6B6C7336"/>
    <w:rsid w:val="6BC0759B"/>
    <w:rsid w:val="6BD74591"/>
    <w:rsid w:val="6C3543F3"/>
    <w:rsid w:val="6C456467"/>
    <w:rsid w:val="6C9C4EB6"/>
    <w:rsid w:val="6CD46148"/>
    <w:rsid w:val="6CE2616C"/>
    <w:rsid w:val="6CF161E6"/>
    <w:rsid w:val="6D647E81"/>
    <w:rsid w:val="6D87520A"/>
    <w:rsid w:val="6D8A5E0A"/>
    <w:rsid w:val="6DAD51E6"/>
    <w:rsid w:val="6E0B072B"/>
    <w:rsid w:val="6E4A12AE"/>
    <w:rsid w:val="6EA46A27"/>
    <w:rsid w:val="6EED49FB"/>
    <w:rsid w:val="6EFC403B"/>
    <w:rsid w:val="6F2E7F63"/>
    <w:rsid w:val="6F360B5A"/>
    <w:rsid w:val="6F465EFC"/>
    <w:rsid w:val="6F521812"/>
    <w:rsid w:val="6F6151F0"/>
    <w:rsid w:val="6FC93AF8"/>
    <w:rsid w:val="6FDE7689"/>
    <w:rsid w:val="6FE77EAF"/>
    <w:rsid w:val="702B0E1E"/>
    <w:rsid w:val="703737B1"/>
    <w:rsid w:val="70472395"/>
    <w:rsid w:val="7060080A"/>
    <w:rsid w:val="70D375C6"/>
    <w:rsid w:val="710B4ADF"/>
    <w:rsid w:val="712175E0"/>
    <w:rsid w:val="712667E5"/>
    <w:rsid w:val="713A2C57"/>
    <w:rsid w:val="71FB5A87"/>
    <w:rsid w:val="726A75E7"/>
    <w:rsid w:val="727046CF"/>
    <w:rsid w:val="72840CC4"/>
    <w:rsid w:val="7294008E"/>
    <w:rsid w:val="729674DD"/>
    <w:rsid w:val="72A15111"/>
    <w:rsid w:val="72BF4555"/>
    <w:rsid w:val="72CE4AEC"/>
    <w:rsid w:val="732A0499"/>
    <w:rsid w:val="73383A03"/>
    <w:rsid w:val="733876B4"/>
    <w:rsid w:val="73530EC4"/>
    <w:rsid w:val="7403428B"/>
    <w:rsid w:val="74305C09"/>
    <w:rsid w:val="74811F3F"/>
    <w:rsid w:val="74A01C59"/>
    <w:rsid w:val="74B81FA6"/>
    <w:rsid w:val="74EC7B6E"/>
    <w:rsid w:val="75070F70"/>
    <w:rsid w:val="753A65B4"/>
    <w:rsid w:val="75695165"/>
    <w:rsid w:val="75AA311E"/>
    <w:rsid w:val="75B64814"/>
    <w:rsid w:val="75C86BA5"/>
    <w:rsid w:val="75D80D44"/>
    <w:rsid w:val="75F861A5"/>
    <w:rsid w:val="75F96667"/>
    <w:rsid w:val="76971494"/>
    <w:rsid w:val="76BE1DD6"/>
    <w:rsid w:val="76CE5DFA"/>
    <w:rsid w:val="76DA05A1"/>
    <w:rsid w:val="77A85E2D"/>
    <w:rsid w:val="77B04DD0"/>
    <w:rsid w:val="780E0CCA"/>
    <w:rsid w:val="782E30AF"/>
    <w:rsid w:val="784134C0"/>
    <w:rsid w:val="78414C03"/>
    <w:rsid w:val="7847098F"/>
    <w:rsid w:val="784E5DBC"/>
    <w:rsid w:val="78517523"/>
    <w:rsid w:val="787B68E6"/>
    <w:rsid w:val="78B26BA5"/>
    <w:rsid w:val="78F978F6"/>
    <w:rsid w:val="7912737A"/>
    <w:rsid w:val="79356A2F"/>
    <w:rsid w:val="7938752E"/>
    <w:rsid w:val="79510DD6"/>
    <w:rsid w:val="79A96762"/>
    <w:rsid w:val="79A968F1"/>
    <w:rsid w:val="79BC0057"/>
    <w:rsid w:val="79CE66E0"/>
    <w:rsid w:val="79CF7F21"/>
    <w:rsid w:val="79D17397"/>
    <w:rsid w:val="7A146F4F"/>
    <w:rsid w:val="7A332F10"/>
    <w:rsid w:val="7A5D479E"/>
    <w:rsid w:val="7A666315"/>
    <w:rsid w:val="7A6A5B1B"/>
    <w:rsid w:val="7A6F3F00"/>
    <w:rsid w:val="7A7D3B94"/>
    <w:rsid w:val="7AA161F1"/>
    <w:rsid w:val="7AA958CD"/>
    <w:rsid w:val="7AC0356D"/>
    <w:rsid w:val="7AF41CCD"/>
    <w:rsid w:val="7B043280"/>
    <w:rsid w:val="7B0527EC"/>
    <w:rsid w:val="7B195F50"/>
    <w:rsid w:val="7B245BA6"/>
    <w:rsid w:val="7B4E6894"/>
    <w:rsid w:val="7B574164"/>
    <w:rsid w:val="7B9E4249"/>
    <w:rsid w:val="7BE924E6"/>
    <w:rsid w:val="7C25676C"/>
    <w:rsid w:val="7CB93C6C"/>
    <w:rsid w:val="7CC202BE"/>
    <w:rsid w:val="7CDF5F32"/>
    <w:rsid w:val="7D88378E"/>
    <w:rsid w:val="7D8D4708"/>
    <w:rsid w:val="7DA77F77"/>
    <w:rsid w:val="7DBB05CD"/>
    <w:rsid w:val="7E2F6A3E"/>
    <w:rsid w:val="7E3A044B"/>
    <w:rsid w:val="7E922452"/>
    <w:rsid w:val="7EFA2A25"/>
    <w:rsid w:val="7F3366A2"/>
    <w:rsid w:val="7F3D5CF2"/>
    <w:rsid w:val="7F53781F"/>
    <w:rsid w:val="7F5969D7"/>
    <w:rsid w:val="7F68513E"/>
    <w:rsid w:val="7F853E00"/>
    <w:rsid w:val="7FBB03AD"/>
    <w:rsid w:val="7FD52FC2"/>
    <w:rsid w:val="7FDC519C"/>
    <w:rsid w:val="7FFD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numPr>
        <w:ilvl w:val="0"/>
        <w:numId w:val="1"/>
      </w:numPr>
      <w:ind w:left="200" w:leftChars="200"/>
    </w:pPr>
    <w:rPr>
      <w:rFonts w:ascii="Times New Roman" w:hAnsi="Times New Roman"/>
      <w:sz w:val="18"/>
      <w:szCs w:val="24"/>
    </w:rPr>
  </w:style>
  <w:style w:type="paragraph" w:styleId="7">
    <w:name w:val="Body Text"/>
    <w:basedOn w:val="1"/>
    <w:next w:val="8"/>
    <w:qFormat/>
    <w:uiPriority w:val="0"/>
    <w:pPr>
      <w:spacing w:after="120"/>
    </w:pPr>
    <w:rPr>
      <w:sz w:val="28"/>
      <w:szCs w:val="24"/>
    </w:rPr>
  </w:style>
  <w:style w:type="paragraph" w:customStyle="1" w:styleId="8">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styleId="9">
    <w:name w:val="Body Text Indent"/>
    <w:basedOn w:val="1"/>
    <w:qFormat/>
    <w:uiPriority w:val="0"/>
    <w:pPr>
      <w:spacing w:line="200" w:lineRule="exact"/>
      <w:ind w:firstLine="301"/>
    </w:pPr>
    <w:rPr>
      <w:rFonts w:ascii="宋体" w:hAnsi="Courier New"/>
      <w:spacing w:val="-4"/>
      <w:sz w:val="18"/>
      <w:szCs w:val="20"/>
    </w:rPr>
  </w:style>
  <w:style w:type="paragraph" w:styleId="10">
    <w:name w:val="Plain Text"/>
    <w:basedOn w:val="1"/>
    <w:unhideWhenUsed/>
    <w:qFormat/>
    <w:uiPriority w:val="99"/>
    <w:pPr>
      <w:spacing w:beforeLines="50" w:afterLines="50" w:line="400" w:lineRule="exact"/>
    </w:pPr>
    <w:rPr>
      <w:rFonts w:ascii="宋体" w:hAnsi="Courier New"/>
      <w:sz w:val="24"/>
      <w:szCs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before="240" w:after="240"/>
    </w:pPr>
    <w:rPr>
      <w:rFonts w:ascii="Times New Roman" w:hAnsi="Times New Roman" w:eastAsia="仿宋"/>
      <w:sz w:val="36"/>
      <w:szCs w:val="24"/>
    </w:rPr>
  </w:style>
  <w:style w:type="paragraph" w:styleId="14">
    <w:name w:val="HTML Preformatted"/>
    <w:basedOn w:val="1"/>
    <w:next w:val="1"/>
    <w:qFormat/>
    <w:uiPriority w:val="0"/>
    <w:rPr>
      <w:rFonts w:ascii="Courier New" w:hAnsi="Courier New"/>
      <w:sz w:val="20"/>
      <w:szCs w:val="20"/>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7"/>
    <w:qFormat/>
    <w:uiPriority w:val="0"/>
    <w:pPr>
      <w:ind w:firstLine="420" w:firstLineChars="100"/>
    </w:pPr>
    <w:rPr>
      <w:sz w:val="21"/>
      <w:szCs w:val="22"/>
    </w:rPr>
  </w:style>
  <w:style w:type="paragraph" w:styleId="17">
    <w:name w:val="Body Text First Indent 2"/>
    <w:basedOn w:val="9"/>
    <w:qFormat/>
    <w:uiPriority w:val="0"/>
    <w:pPr>
      <w:spacing w:after="120" w:line="240" w:lineRule="auto"/>
      <w:ind w:left="420" w:leftChars="200" w:firstLine="420" w:firstLineChars="200"/>
    </w:pPr>
    <w:rPr>
      <w:rFonts w:ascii="Times New Roman" w:hAnsi="Times New Roman"/>
      <w:spacing w:val="0"/>
      <w:sz w:val="21"/>
    </w:rPr>
  </w:style>
  <w:style w:type="table" w:styleId="19">
    <w:name w:val="Table Grid"/>
    <w:basedOn w:val="18"/>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paragraph" w:customStyle="1" w:styleId="22">
    <w:name w:val="No Spacing_ad81b47b-6779-4c76-b471-79375858c8cb"/>
    <w:basedOn w:val="1"/>
    <w:qFormat/>
    <w:uiPriority w:val="0"/>
    <w:pPr>
      <w:ind w:firstLine="200" w:firstLineChars="200"/>
    </w:pPr>
  </w:style>
  <w:style w:type="paragraph" w:customStyle="1" w:styleId="23">
    <w:name w:val="BodyText"/>
    <w:basedOn w:val="1"/>
    <w:qFormat/>
    <w:uiPriority w:val="0"/>
    <w:pPr>
      <w:textAlignment w:val="baseline"/>
    </w:pPr>
    <w:rPr>
      <w:szCs w:val="24"/>
    </w:rPr>
  </w:style>
  <w:style w:type="paragraph" w:customStyle="1" w:styleId="24">
    <w:name w:val="样式 标题 1 + 四号 居中 段前: 12 磅 段后: 12 磅 行距: 单倍行距"/>
    <w:basedOn w:val="2"/>
    <w:qFormat/>
    <w:uiPriority w:val="0"/>
    <w:pPr>
      <w:spacing w:before="240" w:after="240" w:line="240" w:lineRule="auto"/>
      <w:ind w:left="252" w:firstLine="288"/>
      <w:jc w:val="center"/>
      <w:textAlignment w:val="baseline"/>
    </w:pPr>
    <w:rPr>
      <w:rFonts w:cs="宋体"/>
      <w:sz w:val="28"/>
      <w:szCs w:val="20"/>
    </w:rPr>
  </w:style>
  <w:style w:type="paragraph" w:customStyle="1" w:styleId="25">
    <w:name w:val="样式 标题 4 + 段前: 5 磅 段后: 5 磅 行距: 单倍行距"/>
    <w:basedOn w:val="5"/>
    <w:qFormat/>
    <w:uiPriority w:val="0"/>
    <w:pPr>
      <w:tabs>
        <w:tab w:val="left" w:pos="2880"/>
      </w:tabs>
      <w:spacing w:before="100" w:after="100" w:line="240" w:lineRule="auto"/>
      <w:ind w:left="2880" w:hanging="720"/>
    </w:pPr>
    <w:rPr>
      <w:rFonts w:cs="宋体"/>
      <w:szCs w:val="20"/>
    </w:rPr>
  </w:style>
  <w:style w:type="paragraph" w:customStyle="1" w:styleId="26">
    <w:name w:val="样式1"/>
    <w:basedOn w:val="1"/>
    <w:next w:val="16"/>
    <w:qFormat/>
    <w:uiPriority w:val="0"/>
    <w:pPr>
      <w:pBdr>
        <w:bottom w:val="single" w:color="auto" w:sz="4" w:space="1"/>
      </w:pBdr>
    </w:pPr>
    <w:rPr>
      <w:rFonts w:ascii="Times New Roman" w:hAnsi="Times New Roman"/>
      <w:szCs w:val="24"/>
    </w:rPr>
  </w:style>
  <w:style w:type="paragraph" w:styleId="27">
    <w:name w:val="List Paragraph"/>
    <w:basedOn w:val="1"/>
    <w:qFormat/>
    <w:uiPriority w:val="0"/>
    <w:pPr>
      <w:ind w:firstLine="420" w:firstLineChars="200"/>
    </w:p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列出段落1"/>
    <w:basedOn w:val="1"/>
    <w:qFormat/>
    <w:uiPriority w:val="0"/>
    <w:pPr>
      <w:ind w:firstLine="420" w:firstLineChars="200"/>
    </w:pPr>
    <w:rPr>
      <w:rFonts w:ascii="Times New Roman" w:hAnsi="Times New Roman"/>
      <w:szCs w:val="24"/>
    </w:rPr>
  </w:style>
  <w:style w:type="paragraph" w:customStyle="1" w:styleId="30">
    <w:name w:val="文件格式"/>
    <w:qFormat/>
    <w:uiPriority w:val="0"/>
    <w:pPr>
      <w:spacing w:line="460" w:lineRule="atLeast"/>
      <w:ind w:left="1" w:firstLine="419"/>
      <w:jc w:val="both"/>
      <w:textAlignment w:val="bottom"/>
    </w:pPr>
    <w:rPr>
      <w:rFonts w:ascii="Times New Roman" w:hAnsi="Times New Roman" w:eastAsia="仿宋_GB2312" w:cs="Times New Roman"/>
      <w:sz w:val="32"/>
      <w:szCs w:val="22"/>
      <w:lang w:val="en-US" w:eastAsia="zh-CN" w:bidi="ar-SA"/>
    </w:rPr>
  </w:style>
  <w:style w:type="paragraph" w:customStyle="1" w:styleId="31">
    <w:name w:val="Char Char Char1"/>
    <w:basedOn w:val="1"/>
    <w:qFormat/>
    <w:uiPriority w:val="0"/>
    <w:rPr>
      <w:rFonts w:ascii="Times New Roman" w:hAnsi="Times New Roman"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2023-09-25T00:33:00Z</dcterms:created>
  <dc:creator>Lenovo</dc:creator>
  <cp:lastModifiedBy>匠心</cp:lastModifiedBy>
  <dcterms:modified xsi:type="dcterms:W3CDTF">2026-05-28T10:42:10Z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9828F19C60B1477491145FFA82940877_12</vt:lpwstr>
  </property>
  <property fmtid="{D5CDD505-2E9C-101B-9397-08002B2CF9AE}" pid="4" name="KSOTemplateDocerSaveRecord">
    <vt:lpwstr>eyJoZGlkIjoiMjgzMDIwYmNhOTlkOGJlODc2YmI1YThkNzJhNjgxZDQiLCJ1c2VySWQiOiI4MDc0MTA4OTIifQ==</vt:lpwstr>
  </property>
</Properties>
</file>