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7892">
      <w:pPr>
        <w:rPr>
          <w:rFonts w:hint="eastAsia" w:eastAsia="宋体"/>
          <w:lang w:val="en-US" w:eastAsia="zh-CN"/>
        </w:rPr>
      </w:pPr>
      <w:r>
        <w:rPr>
          <w:rFonts w:hint="eastAsia"/>
          <w:lang w:val="en-US" w:eastAsia="zh-CN"/>
        </w:rPr>
        <w:t>+</w:t>
      </w:r>
    </w:p>
    <w:p w14:paraId="569950B1">
      <w:pPr>
        <w:jc w:val="left"/>
        <w:rPr>
          <w:rFonts w:eastAsia="方正楷体简体"/>
          <w:b/>
          <w:sz w:val="52"/>
        </w:rPr>
      </w:pPr>
      <w:r>
        <w:drawing>
          <wp:inline distT="0" distB="0" distL="0" distR="0">
            <wp:extent cx="2511425" cy="999490"/>
            <wp:effectExtent l="19050" t="0" r="317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8" cstate="print"/>
                    <a:srcRect/>
                    <a:stretch>
                      <a:fillRect/>
                    </a:stretch>
                  </pic:blipFill>
                  <pic:spPr>
                    <a:xfrm>
                      <a:off x="0" y="0"/>
                      <a:ext cx="2511425" cy="999490"/>
                    </a:xfrm>
                    <a:prstGeom prst="rect">
                      <a:avLst/>
                    </a:prstGeom>
                    <a:noFill/>
                    <a:ln w="9525">
                      <a:noFill/>
                      <a:miter lim="800000"/>
                      <a:headEnd/>
                      <a:tailEnd/>
                    </a:ln>
                  </pic:spPr>
                </pic:pic>
              </a:graphicData>
            </a:graphic>
          </wp:inline>
        </w:drawing>
      </w:r>
    </w:p>
    <w:p w14:paraId="158A5684">
      <w:pPr>
        <w:jc w:val="center"/>
        <w:rPr>
          <w:rFonts w:eastAsia="方正楷体简体"/>
          <w:b/>
          <w:sz w:val="48"/>
          <w:szCs w:val="48"/>
        </w:rPr>
      </w:pPr>
    </w:p>
    <w:p w14:paraId="73536B6E">
      <w:pPr>
        <w:jc w:val="center"/>
        <w:rPr>
          <w:rFonts w:hint="eastAsia" w:ascii="仿宋" w:hAnsi="仿宋" w:eastAsia="仿宋"/>
          <w:sz w:val="48"/>
          <w:szCs w:val="48"/>
        </w:rPr>
      </w:pPr>
      <w:r>
        <w:rPr>
          <w:rFonts w:hint="eastAsia" w:ascii="仿宋" w:hAnsi="仿宋" w:eastAsia="仿宋"/>
          <w:sz w:val="48"/>
          <w:szCs w:val="48"/>
        </w:rPr>
        <w:t>托克逊县库米什镇垃圾分拣站建设项目</w:t>
      </w:r>
    </w:p>
    <w:p w14:paraId="4EDF4EB7">
      <w:pPr>
        <w:jc w:val="center"/>
        <w:rPr>
          <w:rFonts w:hint="eastAsia" w:ascii="仿宋" w:hAnsi="仿宋" w:eastAsia="仿宋"/>
          <w:sz w:val="72"/>
          <w:szCs w:val="72"/>
          <w:lang w:val="en-US" w:eastAsia="zh-CN"/>
        </w:rPr>
      </w:pPr>
    </w:p>
    <w:p w14:paraId="67DC4AB9">
      <w:pPr>
        <w:jc w:val="center"/>
        <w:rPr>
          <w:rFonts w:hint="eastAsia" w:ascii="仿宋" w:hAnsi="仿宋" w:eastAsia="仿宋"/>
          <w:sz w:val="72"/>
          <w:szCs w:val="72"/>
          <w:lang w:val="en-US" w:eastAsia="zh-CN"/>
        </w:rPr>
      </w:pPr>
    </w:p>
    <w:p w14:paraId="6555BF89">
      <w:pPr>
        <w:jc w:val="center"/>
        <w:rPr>
          <w:rFonts w:ascii="仿宋" w:hAnsi="仿宋" w:eastAsia="仿宋"/>
          <w:sz w:val="72"/>
          <w:szCs w:val="72"/>
        </w:rPr>
      </w:pPr>
      <w:r>
        <w:rPr>
          <w:rFonts w:hint="eastAsia" w:ascii="仿宋" w:hAnsi="仿宋" w:eastAsia="仿宋"/>
          <w:sz w:val="72"/>
          <w:szCs w:val="72"/>
          <w:lang w:val="en-US" w:eastAsia="zh-CN"/>
        </w:rPr>
        <w:t>竞争性</w:t>
      </w:r>
      <w:r>
        <w:rPr>
          <w:rFonts w:hint="eastAsia" w:ascii="仿宋" w:hAnsi="仿宋" w:eastAsia="仿宋"/>
          <w:sz w:val="72"/>
          <w:szCs w:val="72"/>
        </w:rPr>
        <w:t>磋商文件</w:t>
      </w:r>
    </w:p>
    <w:p w14:paraId="095CF79B">
      <w:pPr>
        <w:jc w:val="center"/>
        <w:rPr>
          <w:rFonts w:eastAsia="楷体_GB2312"/>
          <w:sz w:val="48"/>
        </w:rPr>
      </w:pPr>
    </w:p>
    <w:p w14:paraId="38435642">
      <w:pPr>
        <w:jc w:val="center"/>
        <w:rPr>
          <w:rFonts w:ascii="楷体_GB2312" w:eastAsia="楷体_GB2312"/>
          <w:sz w:val="48"/>
        </w:rPr>
      </w:pPr>
    </w:p>
    <w:p w14:paraId="35896351">
      <w:pPr>
        <w:jc w:val="center"/>
        <w:rPr>
          <w:rFonts w:ascii="楷体_GB2312" w:eastAsia="楷体_GB2312"/>
          <w:sz w:val="48"/>
        </w:rPr>
      </w:pPr>
    </w:p>
    <w:p w14:paraId="0D54EE08">
      <w:pPr>
        <w:jc w:val="both"/>
        <w:rPr>
          <w:rFonts w:ascii="楷体_GB2312" w:eastAsia="楷体_GB2312"/>
          <w:sz w:val="48"/>
        </w:rPr>
      </w:pPr>
    </w:p>
    <w:p w14:paraId="06DF4856">
      <w:pPr>
        <w:pStyle w:val="2"/>
        <w:rPr>
          <w:rFonts w:ascii="楷体_GB2312" w:eastAsia="楷体_GB2312"/>
          <w:sz w:val="48"/>
        </w:rPr>
      </w:pPr>
    </w:p>
    <w:p w14:paraId="459F053A"/>
    <w:p w14:paraId="799B261E">
      <w:pPr>
        <w:ind w:firstLine="600" w:firstLineChars="200"/>
        <w:jc w:val="both"/>
        <w:rPr>
          <w:rFonts w:hint="eastAsia" w:ascii="仿宋" w:hAnsi="仿宋" w:eastAsia="仿宋"/>
          <w:sz w:val="30"/>
          <w:szCs w:val="30"/>
        </w:rPr>
      </w:pPr>
      <w:r>
        <w:rPr>
          <w:rFonts w:hint="eastAsia" w:ascii="仿宋" w:hAnsi="仿宋" w:eastAsia="仿宋"/>
          <w:sz w:val="30"/>
          <w:szCs w:val="30"/>
          <w:lang w:eastAsia="zh-CN"/>
        </w:rPr>
        <w:t>采购</w:t>
      </w:r>
      <w:r>
        <w:rPr>
          <w:rFonts w:hint="eastAsia" w:ascii="仿宋" w:hAnsi="仿宋" w:eastAsia="仿宋"/>
          <w:sz w:val="30"/>
          <w:szCs w:val="30"/>
        </w:rPr>
        <w:t>人：托克逊县库米什镇人民政府</w:t>
      </w:r>
    </w:p>
    <w:p w14:paraId="696511C3">
      <w:pPr>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项目编号：</w:t>
      </w:r>
      <w:r>
        <w:rPr>
          <w:rFonts w:hint="eastAsia" w:ascii="仿宋" w:hAnsi="仿宋" w:eastAsia="仿宋"/>
          <w:sz w:val="30"/>
          <w:szCs w:val="30"/>
          <w:lang w:val="en-US" w:eastAsia="zh-CN"/>
        </w:rPr>
        <w:t xml:space="preserve">TKXZFCG（CS）XZJ2026-024     </w:t>
      </w:r>
    </w:p>
    <w:p w14:paraId="52F8855A">
      <w:pPr>
        <w:ind w:firstLine="600" w:firstLineChars="200"/>
        <w:jc w:val="both"/>
        <w:rPr>
          <w:rFonts w:hint="eastAsia" w:ascii="仿宋" w:hAnsi="仿宋" w:eastAsia="仿宋"/>
          <w:sz w:val="30"/>
          <w:szCs w:val="30"/>
        </w:rPr>
      </w:pPr>
      <w:r>
        <w:rPr>
          <w:rFonts w:hint="eastAsia" w:ascii="仿宋" w:hAnsi="仿宋" w:eastAsia="仿宋"/>
          <w:sz w:val="30"/>
          <w:szCs w:val="30"/>
        </w:rPr>
        <w:t>招标代理机构：新疆新之建工程咨询有限公司</w:t>
      </w:r>
    </w:p>
    <w:p w14:paraId="4824C42E">
      <w:pPr>
        <w:jc w:val="center"/>
        <w:rPr>
          <w:rFonts w:hint="eastAsia" w:ascii="仿宋" w:hAnsi="仿宋" w:eastAsia="仿宋"/>
          <w:sz w:val="30"/>
          <w:szCs w:val="30"/>
        </w:rPr>
      </w:pPr>
    </w:p>
    <w:p w14:paraId="7AB1ABEB">
      <w:pPr>
        <w:ind w:firstLine="2100" w:firstLineChars="700"/>
        <w:jc w:val="both"/>
        <w:rPr>
          <w:rFonts w:hint="eastAsia" w:ascii="仿宋" w:hAnsi="仿宋" w:eastAsia="仿宋"/>
          <w:sz w:val="30"/>
          <w:szCs w:val="30"/>
        </w:rPr>
      </w:pPr>
      <w:r>
        <w:rPr>
          <w:rFonts w:hint="eastAsia" w:ascii="仿宋" w:hAnsi="仿宋" w:eastAsia="仿宋"/>
          <w:sz w:val="30"/>
          <w:szCs w:val="30"/>
        </w:rPr>
        <w:t>日期：202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4</w:t>
      </w:r>
      <w:r>
        <w:rPr>
          <w:rFonts w:hint="eastAsia" w:ascii="仿宋" w:hAnsi="仿宋" w:eastAsia="仿宋"/>
          <w:sz w:val="30"/>
          <w:szCs w:val="30"/>
        </w:rPr>
        <w:t>月</w:t>
      </w:r>
    </w:p>
    <w:p w14:paraId="3A35E37A">
      <w:pPr>
        <w:widowControl/>
        <w:ind w:firstLine="900" w:firstLineChars="300"/>
        <w:jc w:val="left"/>
        <w:rPr>
          <w:rFonts w:ascii="楷体" w:hAnsi="楷体" w:eastAsia="楷体"/>
          <w:sz w:val="30"/>
          <w:szCs w:val="30"/>
        </w:rPr>
      </w:pPr>
    </w:p>
    <w:p w14:paraId="455A21E8">
      <w:pPr>
        <w:widowControl/>
        <w:ind w:firstLine="900" w:firstLineChars="300"/>
        <w:jc w:val="left"/>
        <w:rPr>
          <w:rFonts w:ascii="楷体" w:hAnsi="楷体" w:eastAsia="楷体"/>
          <w:sz w:val="30"/>
          <w:szCs w:val="30"/>
        </w:rPr>
        <w:sectPr>
          <w:footerReference r:id="rId5" w:type="first"/>
          <w:headerReference r:id="rId3" w:type="default"/>
          <w:footerReference r:id="rId4" w:type="default"/>
          <w:pgSz w:w="11906" w:h="16838"/>
          <w:pgMar w:top="1134" w:right="1134" w:bottom="1134" w:left="1134" w:header="703" w:footer="851" w:gutter="0"/>
          <w:pgNumType w:fmt="decimal"/>
          <w:cols w:space="720" w:num="1"/>
          <w:docGrid w:type="lines" w:linePitch="314" w:charSpace="0"/>
        </w:sectPr>
      </w:pPr>
    </w:p>
    <w:p w14:paraId="0A8AB2BA">
      <w:pPr>
        <w:spacing w:line="680" w:lineRule="exact"/>
        <w:ind w:left="1405" w:hanging="1405" w:hangingChars="500"/>
        <w:jc w:val="left"/>
        <w:rPr>
          <w:rFonts w:ascii="仿宋" w:hAnsi="仿宋" w:eastAsia="仿宋"/>
          <w:b/>
          <w:bCs/>
          <w:kern w:val="0"/>
          <w:sz w:val="28"/>
          <w:szCs w:val="28"/>
        </w:rPr>
      </w:pPr>
    </w:p>
    <w:p w14:paraId="054A93C8">
      <w:pPr>
        <w:shd w:val="clear" w:color="auto" w:fill="FFFFFF"/>
        <w:autoSpaceDE w:val="0"/>
        <w:autoSpaceDN w:val="0"/>
        <w:adjustRightInd w:val="0"/>
        <w:spacing w:line="360" w:lineRule="exact"/>
        <w:jc w:val="center"/>
        <w:rPr>
          <w:rFonts w:ascii="仿宋" w:hAnsi="仿宋" w:eastAsia="仿宋"/>
          <w:b/>
          <w:bCs/>
          <w:kern w:val="0"/>
          <w:sz w:val="32"/>
          <w:szCs w:val="32"/>
        </w:rPr>
      </w:pPr>
      <w:r>
        <w:rPr>
          <w:rFonts w:hint="eastAsia" w:ascii="仿宋" w:hAnsi="仿宋" w:eastAsia="仿宋"/>
          <w:b/>
          <w:bCs/>
          <w:kern w:val="0"/>
          <w:sz w:val="32"/>
          <w:szCs w:val="32"/>
        </w:rPr>
        <w:t>目    录</w:t>
      </w:r>
    </w:p>
    <w:p w14:paraId="09660B01">
      <w:pPr>
        <w:shd w:val="clear" w:color="auto" w:fill="FFFFFF"/>
        <w:autoSpaceDE w:val="0"/>
        <w:autoSpaceDN w:val="0"/>
        <w:adjustRightInd w:val="0"/>
        <w:spacing w:line="360" w:lineRule="exact"/>
        <w:rPr>
          <w:rFonts w:ascii="仿宋" w:hAnsi="仿宋" w:eastAsia="仿宋"/>
          <w:kern w:val="0"/>
          <w:sz w:val="28"/>
          <w:szCs w:val="28"/>
        </w:rPr>
      </w:pPr>
    </w:p>
    <w:p w14:paraId="4FB7455C">
      <w:pPr>
        <w:pStyle w:val="44"/>
        <w:tabs>
          <w:tab w:val="right" w:leader="dot" w:pos="9628"/>
        </w:tabs>
        <w:rPr>
          <w:rFonts w:eastAsiaTheme="minorEastAsia" w:cstheme="minorBidi"/>
          <w:b w:val="0"/>
          <w:bCs w:val="0"/>
          <w:caps w:val="0"/>
          <w:sz w:val="28"/>
          <w:szCs w:val="28"/>
        </w:rPr>
      </w:pPr>
      <w:r>
        <w:rPr>
          <w:rStyle w:val="69"/>
          <w:rFonts w:ascii="仿宋" w:hAnsi="仿宋" w:eastAsia="仿宋"/>
          <w:b w:val="0"/>
          <w:color w:val="auto"/>
          <w:sz w:val="28"/>
          <w:szCs w:val="28"/>
        </w:rPr>
        <w:fldChar w:fldCharType="begin"/>
      </w:r>
      <w:r>
        <w:rPr>
          <w:rStyle w:val="69"/>
          <w:rFonts w:ascii="仿宋" w:hAnsi="仿宋" w:eastAsia="仿宋"/>
          <w:b w:val="0"/>
          <w:color w:val="auto"/>
          <w:sz w:val="28"/>
          <w:szCs w:val="28"/>
        </w:rPr>
        <w:instrText xml:space="preserve"> TOC \o "1-1" \h \z \u </w:instrText>
      </w:r>
      <w:r>
        <w:rPr>
          <w:rStyle w:val="69"/>
          <w:rFonts w:ascii="仿宋" w:hAnsi="仿宋" w:eastAsia="仿宋"/>
          <w:b w:val="0"/>
          <w:color w:val="auto"/>
          <w:sz w:val="28"/>
          <w:szCs w:val="28"/>
        </w:rPr>
        <w:fldChar w:fldCharType="separate"/>
      </w:r>
      <w:r>
        <w:fldChar w:fldCharType="begin"/>
      </w:r>
      <w:r>
        <w:instrText xml:space="preserve"> HYPERLINK \l "_Toc151060219" </w:instrText>
      </w:r>
      <w:r>
        <w:fldChar w:fldCharType="separate"/>
      </w:r>
      <w:r>
        <w:rPr>
          <w:rStyle w:val="69"/>
          <w:rFonts w:hint="eastAsia" w:ascii="仿宋" w:hAnsi="仿宋" w:eastAsia="仿宋"/>
          <w:b w:val="0"/>
          <w:color w:val="auto"/>
          <w:sz w:val="28"/>
          <w:szCs w:val="28"/>
        </w:rPr>
        <w:t>第一部分</w:t>
      </w:r>
      <w:r>
        <w:rPr>
          <w:rStyle w:val="69"/>
          <w:rFonts w:ascii="仿宋" w:hAnsi="仿宋" w:eastAsia="仿宋"/>
          <w:b w:val="0"/>
          <w:color w:val="auto"/>
          <w:sz w:val="28"/>
          <w:szCs w:val="28"/>
        </w:rPr>
        <w:t xml:space="preserve">  </w:t>
      </w:r>
      <w:r>
        <w:rPr>
          <w:rStyle w:val="69"/>
          <w:rFonts w:hint="eastAsia" w:ascii="仿宋" w:hAnsi="仿宋" w:eastAsia="仿宋" w:cs="Times New Roman"/>
          <w:b w:val="0"/>
          <w:color w:val="auto"/>
          <w:sz w:val="28"/>
          <w:szCs w:val="28"/>
          <w:lang w:val="en-US" w:eastAsia="zh-CN"/>
        </w:rPr>
        <w:t>竞争性</w:t>
      </w:r>
      <w:r>
        <w:rPr>
          <w:rStyle w:val="69"/>
          <w:rFonts w:hint="eastAsia" w:ascii="仿宋" w:hAnsi="仿宋" w:eastAsia="仿宋"/>
          <w:b w:val="0"/>
          <w:color w:val="auto"/>
          <w:sz w:val="28"/>
          <w:szCs w:val="28"/>
        </w:rPr>
        <w:t>磋商公告</w:t>
      </w:r>
      <w:r>
        <w:rPr>
          <w:b w:val="0"/>
          <w:sz w:val="28"/>
          <w:szCs w:val="28"/>
        </w:rPr>
        <w:tab/>
      </w:r>
      <w:r>
        <w:rPr>
          <w:b w:val="0"/>
          <w:sz w:val="28"/>
          <w:szCs w:val="28"/>
        </w:rPr>
        <w:fldChar w:fldCharType="begin"/>
      </w:r>
      <w:r>
        <w:rPr>
          <w:b w:val="0"/>
          <w:sz w:val="28"/>
          <w:szCs w:val="28"/>
        </w:rPr>
        <w:instrText xml:space="preserve"> PAGEREF _Toc151060219 \h </w:instrText>
      </w:r>
      <w:r>
        <w:rPr>
          <w:b w:val="0"/>
          <w:sz w:val="28"/>
          <w:szCs w:val="28"/>
        </w:rPr>
        <w:fldChar w:fldCharType="separate"/>
      </w:r>
      <w:r>
        <w:rPr>
          <w:b w:val="0"/>
          <w:sz w:val="28"/>
          <w:szCs w:val="28"/>
        </w:rPr>
        <w:t>2</w:t>
      </w:r>
      <w:r>
        <w:rPr>
          <w:b w:val="0"/>
          <w:sz w:val="28"/>
          <w:szCs w:val="28"/>
        </w:rPr>
        <w:fldChar w:fldCharType="end"/>
      </w:r>
      <w:r>
        <w:rPr>
          <w:b w:val="0"/>
          <w:sz w:val="28"/>
          <w:szCs w:val="28"/>
        </w:rPr>
        <w:fldChar w:fldCharType="end"/>
      </w:r>
    </w:p>
    <w:p w14:paraId="29A6F2EE">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"_Toc151060220" </w:instrText>
      </w:r>
      <w:r>
        <w:fldChar w:fldCharType="separate"/>
      </w:r>
      <w:r>
        <w:rPr>
          <w:rStyle w:val="69"/>
          <w:rFonts w:hint="eastAsia" w:ascii="仿宋" w:hAnsi="仿宋" w:eastAsia="仿宋"/>
          <w:b w:val="0"/>
          <w:color w:val="auto"/>
          <w:sz w:val="28"/>
          <w:szCs w:val="28"/>
        </w:rPr>
        <w:t>第二部分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供应商须知前附表</w:t>
      </w:r>
      <w:r>
        <w:rPr>
          <w:b w:val="0"/>
          <w:sz w:val="28"/>
          <w:szCs w:val="28"/>
        </w:rPr>
        <w:tab/>
      </w:r>
      <w:r>
        <w:rPr>
          <w:b w:val="0"/>
          <w:sz w:val="28"/>
          <w:szCs w:val="28"/>
        </w:rPr>
        <w:fldChar w:fldCharType="begin"/>
      </w:r>
      <w:r>
        <w:rPr>
          <w:b w:val="0"/>
          <w:sz w:val="28"/>
          <w:szCs w:val="28"/>
        </w:rPr>
        <w:instrText xml:space="preserve"> PAGEREF _Toc151060220 \h </w:instrText>
      </w:r>
      <w:r>
        <w:rPr>
          <w:b w:val="0"/>
          <w:sz w:val="28"/>
          <w:szCs w:val="28"/>
        </w:rPr>
        <w:fldChar w:fldCharType="separate"/>
      </w:r>
      <w:r>
        <w:rPr>
          <w:b w:val="0"/>
          <w:sz w:val="28"/>
          <w:szCs w:val="28"/>
        </w:rPr>
        <w:t>6</w:t>
      </w:r>
      <w:r>
        <w:rPr>
          <w:b w:val="0"/>
          <w:sz w:val="28"/>
          <w:szCs w:val="28"/>
        </w:rPr>
        <w:fldChar w:fldCharType="end"/>
      </w:r>
      <w:r>
        <w:rPr>
          <w:b w:val="0"/>
          <w:sz w:val="28"/>
          <w:szCs w:val="28"/>
        </w:rPr>
        <w:fldChar w:fldCharType="end"/>
      </w:r>
    </w:p>
    <w:p w14:paraId="7D6B862F">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"_Toc151060221" </w:instrText>
      </w:r>
      <w:r>
        <w:fldChar w:fldCharType="separate"/>
      </w:r>
      <w:r>
        <w:rPr>
          <w:rStyle w:val="69"/>
          <w:rFonts w:hint="eastAsia" w:ascii="仿宋" w:hAnsi="仿宋" w:eastAsia="仿宋"/>
          <w:b w:val="0"/>
          <w:color w:val="auto"/>
          <w:sz w:val="28"/>
          <w:szCs w:val="28"/>
        </w:rPr>
        <w:t>第三部分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供应商须知</w:t>
      </w:r>
      <w:r>
        <w:rPr>
          <w:b w:val="0"/>
          <w:sz w:val="28"/>
          <w:szCs w:val="28"/>
        </w:rPr>
        <w:tab/>
      </w:r>
      <w:r>
        <w:rPr>
          <w:b w:val="0"/>
          <w:sz w:val="28"/>
          <w:szCs w:val="28"/>
        </w:rPr>
        <w:fldChar w:fldCharType="begin"/>
      </w:r>
      <w:r>
        <w:rPr>
          <w:b w:val="0"/>
          <w:sz w:val="28"/>
          <w:szCs w:val="28"/>
        </w:rPr>
        <w:instrText xml:space="preserve"> PAGEREF _Toc151060221 \h </w:instrText>
      </w:r>
      <w:r>
        <w:rPr>
          <w:b w:val="0"/>
          <w:sz w:val="28"/>
          <w:szCs w:val="28"/>
        </w:rPr>
        <w:fldChar w:fldCharType="separate"/>
      </w:r>
      <w:r>
        <w:rPr>
          <w:b w:val="0"/>
          <w:sz w:val="28"/>
          <w:szCs w:val="28"/>
        </w:rPr>
        <w:t>12</w:t>
      </w:r>
      <w:r>
        <w:rPr>
          <w:b w:val="0"/>
          <w:sz w:val="28"/>
          <w:szCs w:val="28"/>
        </w:rPr>
        <w:fldChar w:fldCharType="end"/>
      </w:r>
      <w:r>
        <w:rPr>
          <w:b w:val="0"/>
          <w:sz w:val="28"/>
          <w:szCs w:val="28"/>
        </w:rPr>
        <w:fldChar w:fldCharType="end"/>
      </w:r>
    </w:p>
    <w:p w14:paraId="42301CAB">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"_Toc151060222" </w:instrText>
      </w:r>
      <w:r>
        <w:fldChar w:fldCharType="separate"/>
      </w:r>
      <w:r>
        <w:rPr>
          <w:rStyle w:val="69"/>
          <w:rFonts w:hint="eastAsia" w:ascii="仿宋" w:hAnsi="仿宋" w:eastAsia="仿宋"/>
          <w:b w:val="0"/>
          <w:color w:val="auto"/>
          <w:sz w:val="28"/>
          <w:szCs w:val="28"/>
        </w:rPr>
        <w:t>第四部分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评审办法和评审标准</w:t>
      </w:r>
      <w:r>
        <w:rPr>
          <w:b w:val="0"/>
          <w:sz w:val="28"/>
          <w:szCs w:val="28"/>
        </w:rPr>
        <w:tab/>
      </w:r>
      <w:r>
        <w:rPr>
          <w:b w:val="0"/>
          <w:sz w:val="28"/>
          <w:szCs w:val="28"/>
        </w:rPr>
        <w:fldChar w:fldCharType="begin"/>
      </w:r>
      <w:r>
        <w:rPr>
          <w:b w:val="0"/>
          <w:sz w:val="28"/>
          <w:szCs w:val="28"/>
        </w:rPr>
        <w:instrText xml:space="preserve"> PAGEREF _Toc151060222 \h </w:instrText>
      </w:r>
      <w:r>
        <w:rPr>
          <w:b w:val="0"/>
          <w:sz w:val="28"/>
          <w:szCs w:val="28"/>
        </w:rPr>
        <w:fldChar w:fldCharType="separate"/>
      </w:r>
      <w:r>
        <w:rPr>
          <w:b w:val="0"/>
          <w:sz w:val="28"/>
          <w:szCs w:val="28"/>
        </w:rPr>
        <w:t>24</w:t>
      </w:r>
      <w:r>
        <w:rPr>
          <w:b w:val="0"/>
          <w:sz w:val="28"/>
          <w:szCs w:val="28"/>
        </w:rPr>
        <w:fldChar w:fldCharType="end"/>
      </w:r>
      <w:r>
        <w:rPr>
          <w:b w:val="0"/>
          <w:sz w:val="28"/>
          <w:szCs w:val="28"/>
        </w:rPr>
        <w:fldChar w:fldCharType="end"/>
      </w:r>
    </w:p>
    <w:p w14:paraId="0491077C">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"_Toc151060223" </w:instrText>
      </w:r>
      <w:r>
        <w:fldChar w:fldCharType="separate"/>
      </w:r>
      <w:r>
        <w:rPr>
          <w:rStyle w:val="69"/>
          <w:rFonts w:hint="eastAsia" w:ascii="仿宋" w:hAnsi="仿宋" w:eastAsia="仿宋"/>
          <w:b w:val="0"/>
          <w:color w:val="auto"/>
          <w:sz w:val="28"/>
          <w:szCs w:val="28"/>
        </w:rPr>
        <w:t>第五部分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采购需求</w:t>
      </w:r>
      <w:r>
        <w:rPr>
          <w:b w:val="0"/>
          <w:sz w:val="28"/>
          <w:szCs w:val="28"/>
        </w:rPr>
        <w:tab/>
      </w:r>
      <w:r>
        <w:rPr>
          <w:b w:val="0"/>
          <w:sz w:val="28"/>
          <w:szCs w:val="28"/>
        </w:rPr>
        <w:fldChar w:fldCharType="begin"/>
      </w:r>
      <w:r>
        <w:rPr>
          <w:b w:val="0"/>
          <w:sz w:val="28"/>
          <w:szCs w:val="28"/>
        </w:rPr>
        <w:instrText xml:space="preserve"> PAGEREF _Toc151060223 \h </w:instrText>
      </w:r>
      <w:r>
        <w:rPr>
          <w:b w:val="0"/>
          <w:sz w:val="28"/>
          <w:szCs w:val="28"/>
        </w:rPr>
        <w:fldChar w:fldCharType="separate"/>
      </w:r>
      <w:r>
        <w:rPr>
          <w:b w:val="0"/>
          <w:sz w:val="28"/>
          <w:szCs w:val="28"/>
        </w:rPr>
        <w:t>28</w:t>
      </w:r>
      <w:r>
        <w:rPr>
          <w:b w:val="0"/>
          <w:sz w:val="28"/>
          <w:szCs w:val="28"/>
        </w:rPr>
        <w:fldChar w:fldCharType="end"/>
      </w:r>
      <w:r>
        <w:rPr>
          <w:b w:val="0"/>
          <w:sz w:val="28"/>
          <w:szCs w:val="28"/>
        </w:rPr>
        <w:fldChar w:fldCharType="end"/>
      </w:r>
    </w:p>
    <w:p w14:paraId="27057BD0">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"_Toc151060224" </w:instrText>
      </w:r>
      <w:r>
        <w:fldChar w:fldCharType="separate"/>
      </w:r>
      <w:r>
        <w:rPr>
          <w:rStyle w:val="69"/>
          <w:rFonts w:hint="eastAsia" w:ascii="仿宋" w:hAnsi="仿宋" w:eastAsia="仿宋"/>
          <w:b w:val="0"/>
          <w:color w:val="auto"/>
          <w:sz w:val="28"/>
          <w:szCs w:val="28"/>
        </w:rPr>
        <w:t>第六部分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合同条款</w:t>
      </w:r>
      <w:r>
        <w:rPr>
          <w:b w:val="0"/>
          <w:sz w:val="28"/>
          <w:szCs w:val="28"/>
        </w:rPr>
        <w:tab/>
      </w:r>
      <w:r>
        <w:rPr>
          <w:b w:val="0"/>
          <w:sz w:val="28"/>
          <w:szCs w:val="28"/>
        </w:rPr>
        <w:fldChar w:fldCharType="begin"/>
      </w:r>
      <w:r>
        <w:rPr>
          <w:b w:val="0"/>
          <w:sz w:val="28"/>
          <w:szCs w:val="28"/>
        </w:rPr>
        <w:instrText xml:space="preserve"> PAGEREF _Toc151060224 \h </w:instrText>
      </w:r>
      <w:r>
        <w:rPr>
          <w:b w:val="0"/>
          <w:sz w:val="28"/>
          <w:szCs w:val="28"/>
        </w:rPr>
        <w:fldChar w:fldCharType="separate"/>
      </w:r>
      <w:r>
        <w:rPr>
          <w:b w:val="0"/>
          <w:sz w:val="28"/>
          <w:szCs w:val="28"/>
        </w:rPr>
        <w:t>30</w:t>
      </w:r>
      <w:r>
        <w:rPr>
          <w:b w:val="0"/>
          <w:sz w:val="28"/>
          <w:szCs w:val="28"/>
        </w:rPr>
        <w:fldChar w:fldCharType="end"/>
      </w:r>
      <w:r>
        <w:rPr>
          <w:b w:val="0"/>
          <w:sz w:val="28"/>
          <w:szCs w:val="28"/>
        </w:rPr>
        <w:fldChar w:fldCharType="end"/>
      </w:r>
    </w:p>
    <w:p w14:paraId="015C06A7">
      <w:pPr>
        <w:pStyle w:val="44"/>
        <w:tabs>
          <w:tab w:val="right" w:leader="dot" w:pos="9628"/>
        </w:tabs>
        <w:rPr>
          <w:rFonts w:eastAsiaTheme="minorEastAsia" w:cstheme="minorBidi"/>
          <w:b w:val="0"/>
          <w:bCs w:val="0"/>
          <w:caps w:val="0"/>
          <w:sz w:val="28"/>
          <w:szCs w:val="28"/>
        </w:rPr>
      </w:pPr>
      <w:r>
        <w:fldChar w:fldCharType="begin"/>
      </w:r>
      <w:r>
        <w:instrText xml:space="preserve"> HYPERLINK \l "_Toc151060225" </w:instrText>
      </w:r>
      <w:r>
        <w:fldChar w:fldCharType="separate"/>
      </w:r>
      <w:r>
        <w:rPr>
          <w:rStyle w:val="69"/>
          <w:rFonts w:hint="eastAsia" w:ascii="仿宋" w:hAnsi="仿宋" w:eastAsia="仿宋"/>
          <w:b w:val="0"/>
          <w:color w:val="auto"/>
          <w:sz w:val="28"/>
          <w:szCs w:val="28"/>
        </w:rPr>
        <w:t>第七部分</w:t>
      </w:r>
      <w:r>
        <w:rPr>
          <w:rStyle w:val="69"/>
          <w:rFonts w:ascii="仿宋" w:hAnsi="仿宋" w:eastAsia="仿宋"/>
          <w:b w:val="0"/>
          <w:color w:val="auto"/>
          <w:sz w:val="28"/>
          <w:szCs w:val="28"/>
        </w:rPr>
        <w:t xml:space="preserve">  </w:t>
      </w:r>
      <w:r>
        <w:rPr>
          <w:rStyle w:val="69"/>
          <w:rFonts w:hint="eastAsia" w:ascii="仿宋" w:hAnsi="仿宋" w:eastAsia="仿宋"/>
          <w:b w:val="0"/>
          <w:color w:val="auto"/>
          <w:sz w:val="28"/>
          <w:szCs w:val="28"/>
        </w:rPr>
        <w:t>响应文件格式</w:t>
      </w:r>
      <w:r>
        <w:rPr>
          <w:b w:val="0"/>
          <w:sz w:val="28"/>
          <w:szCs w:val="28"/>
        </w:rPr>
        <w:tab/>
      </w:r>
      <w:r>
        <w:rPr>
          <w:b w:val="0"/>
          <w:sz w:val="28"/>
          <w:szCs w:val="28"/>
        </w:rPr>
        <w:fldChar w:fldCharType="begin"/>
      </w:r>
      <w:r>
        <w:rPr>
          <w:b w:val="0"/>
          <w:sz w:val="28"/>
          <w:szCs w:val="28"/>
        </w:rPr>
        <w:instrText xml:space="preserve"> PAGEREF _Toc151060225 \h </w:instrText>
      </w:r>
      <w:r>
        <w:rPr>
          <w:b w:val="0"/>
          <w:sz w:val="28"/>
          <w:szCs w:val="28"/>
        </w:rPr>
        <w:fldChar w:fldCharType="separate"/>
      </w:r>
      <w:r>
        <w:rPr>
          <w:b w:val="0"/>
          <w:sz w:val="28"/>
          <w:szCs w:val="28"/>
        </w:rPr>
        <w:t>36</w:t>
      </w:r>
      <w:r>
        <w:rPr>
          <w:b w:val="0"/>
          <w:sz w:val="28"/>
          <w:szCs w:val="28"/>
        </w:rPr>
        <w:fldChar w:fldCharType="end"/>
      </w:r>
      <w:r>
        <w:rPr>
          <w:b w:val="0"/>
          <w:sz w:val="28"/>
          <w:szCs w:val="28"/>
        </w:rPr>
        <w:fldChar w:fldCharType="end"/>
      </w:r>
    </w:p>
    <w:p w14:paraId="251EFFFA">
      <w:pPr>
        <w:pStyle w:val="44"/>
        <w:tabs>
          <w:tab w:val="right" w:leader="dot" w:pos="9628"/>
        </w:tabs>
        <w:rPr>
          <w:rFonts w:ascii="仿宋" w:hAnsi="仿宋" w:eastAsia="仿宋"/>
          <w:bCs w:val="0"/>
          <w:kern w:val="0"/>
          <w:sz w:val="30"/>
          <w:szCs w:val="30"/>
        </w:rPr>
      </w:pPr>
      <w:r>
        <w:rPr>
          <w:rStyle w:val="69"/>
          <w:rFonts w:ascii="仿宋" w:hAnsi="仿宋" w:eastAsia="仿宋"/>
          <w:b w:val="0"/>
          <w:color w:val="auto"/>
          <w:sz w:val="28"/>
          <w:szCs w:val="28"/>
        </w:rPr>
        <w:fldChar w:fldCharType="end"/>
      </w:r>
    </w:p>
    <w:p w14:paraId="76B9A5FD">
      <w:pPr>
        <w:pStyle w:val="59"/>
        <w:ind w:firstLine="210"/>
        <w:rPr>
          <w:color w:val="auto"/>
          <w:kern w:val="0"/>
        </w:rPr>
      </w:pPr>
      <w:r>
        <w:rPr>
          <w:color w:val="auto"/>
          <w:kern w:val="0"/>
        </w:rPr>
        <w:br w:type="page"/>
      </w:r>
    </w:p>
    <w:p w14:paraId="43DD3E13">
      <w:pPr>
        <w:pStyle w:val="330"/>
        <w:wordWrap w:val="0"/>
        <w:spacing w:beforeLines="50" w:afterLines="50" w:line="360" w:lineRule="auto"/>
        <w:jc w:val="center"/>
        <w:outlineLvl w:val="0"/>
        <w:rPr>
          <w:rFonts w:ascii="仿宋" w:hAnsi="仿宋" w:eastAsia="仿宋"/>
          <w:b/>
          <w:sz w:val="32"/>
          <w:szCs w:val="32"/>
        </w:rPr>
      </w:pPr>
      <w:bookmarkStart w:id="0" w:name="_Toc151060219"/>
      <w:r>
        <w:rPr>
          <w:rFonts w:hint="eastAsia" w:ascii="仿宋" w:hAnsi="仿宋" w:eastAsia="仿宋"/>
          <w:b/>
          <w:sz w:val="32"/>
          <w:szCs w:val="32"/>
        </w:rPr>
        <w:t>第一部分  竞争性磋商公告</w:t>
      </w:r>
      <w:bookmarkEnd w:id="0"/>
    </w:p>
    <w:p w14:paraId="0E74BC0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ascii="仿宋" w:hAnsi="仿宋" w:eastAsia="仿宋"/>
          <w:sz w:val="24"/>
          <w:szCs w:val="24"/>
        </w:rPr>
      </w:pPr>
      <w:bookmarkStart w:id="1" w:name="_Toc151060220"/>
      <w:r>
        <w:rPr>
          <w:rFonts w:hint="eastAsia" w:ascii="仿宋" w:hAnsi="仿宋" w:eastAsia="仿宋"/>
          <w:sz w:val="24"/>
          <w:szCs w:val="24"/>
        </w:rPr>
        <w:t>项目概况</w:t>
      </w:r>
    </w:p>
    <w:p w14:paraId="2A41EA7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sz w:val="24"/>
          <w:szCs w:val="24"/>
          <w:u w:val="none"/>
        </w:rPr>
      </w:pPr>
      <w:r>
        <w:rPr>
          <w:rFonts w:hint="eastAsia" w:ascii="仿宋" w:hAnsi="仿宋" w:eastAsia="仿宋"/>
          <w:sz w:val="24"/>
          <w:szCs w:val="24"/>
          <w:u w:val="none"/>
          <w:lang w:val="en-US" w:eastAsia="zh-CN"/>
        </w:rPr>
        <w:t>托克逊县库米什镇垃圾分拣站建设项目采购项目的潜在供应商应在</w:t>
      </w:r>
      <w:r>
        <w:rPr>
          <w:rFonts w:ascii="仿宋" w:hAnsi="仿宋" w:eastAsia="仿宋"/>
          <w:color w:val="auto"/>
          <w:sz w:val="24"/>
          <w:szCs w:val="24"/>
        </w:rPr>
        <w:t>政采云平台</w:t>
      </w:r>
      <w:r>
        <w:rPr>
          <w:rFonts w:hint="eastAsia" w:ascii="仿宋" w:hAnsi="仿宋" w:eastAsia="仿宋"/>
          <w:color w:val="auto"/>
          <w:sz w:val="24"/>
          <w:szCs w:val="24"/>
          <w:lang w:val="en-US" w:eastAsia="zh-CN"/>
        </w:rPr>
        <w:t>线上</w:t>
      </w:r>
      <w:r>
        <w:rPr>
          <w:rFonts w:hint="eastAsia" w:ascii="仿宋" w:hAnsi="仿宋" w:eastAsia="仿宋"/>
          <w:sz w:val="24"/>
          <w:szCs w:val="24"/>
          <w:u w:val="none"/>
          <w:lang w:val="en-US" w:eastAsia="zh-CN"/>
        </w:rPr>
        <w:t>获取采购文件，并于</w:t>
      </w:r>
      <w:r>
        <w:rPr>
          <w:rFonts w:hint="eastAsia" w:ascii="仿宋" w:hAnsi="仿宋" w:eastAsia="仿宋" w:cs="Times New Roman"/>
          <w:sz w:val="24"/>
          <w:szCs w:val="24"/>
          <w:u w:val="none"/>
          <w:lang w:val="en-US" w:eastAsia="zh-CN"/>
        </w:rPr>
        <w:t>2026年5月12日</w:t>
      </w:r>
      <w:r>
        <w:rPr>
          <w:rFonts w:hint="eastAsia" w:ascii="仿宋" w:hAnsi="仿宋" w:eastAsia="仿宋"/>
          <w:sz w:val="24"/>
          <w:szCs w:val="24"/>
          <w:u w:val="none"/>
          <w:lang w:val="en-US" w:eastAsia="zh-CN"/>
        </w:rPr>
        <w:t>10:30分（北京时间）前</w:t>
      </w:r>
      <w:r>
        <w:rPr>
          <w:rFonts w:hint="eastAsia" w:ascii="仿宋" w:hAnsi="仿宋" w:eastAsia="仿宋"/>
          <w:bCs/>
          <w:sz w:val="24"/>
          <w:szCs w:val="24"/>
          <w:u w:val="none"/>
          <w:lang w:eastAsia="zh-CN"/>
        </w:rPr>
        <w:t>提</w:t>
      </w:r>
      <w:r>
        <w:rPr>
          <w:rFonts w:hint="eastAsia" w:ascii="仿宋" w:hAnsi="仿宋" w:eastAsia="仿宋"/>
          <w:bCs/>
          <w:sz w:val="24"/>
          <w:szCs w:val="24"/>
          <w:u w:val="none"/>
        </w:rPr>
        <w:t>交</w:t>
      </w:r>
      <w:r>
        <w:rPr>
          <w:rFonts w:hint="eastAsia" w:ascii="仿宋" w:hAnsi="仿宋" w:eastAsia="仿宋"/>
          <w:bCs/>
          <w:sz w:val="24"/>
          <w:szCs w:val="24"/>
          <w:u w:val="none"/>
          <w:lang w:eastAsia="zh-CN"/>
        </w:rPr>
        <w:t>响应</w:t>
      </w:r>
      <w:r>
        <w:rPr>
          <w:rFonts w:ascii="仿宋" w:hAnsi="仿宋" w:eastAsia="仿宋"/>
          <w:bCs/>
          <w:sz w:val="24"/>
          <w:szCs w:val="24"/>
          <w:u w:val="none"/>
        </w:rPr>
        <w:t>文件</w:t>
      </w:r>
      <w:r>
        <w:rPr>
          <w:rFonts w:hint="eastAsia" w:ascii="仿宋" w:hAnsi="仿宋" w:eastAsia="仿宋"/>
          <w:sz w:val="24"/>
          <w:szCs w:val="24"/>
          <w:u w:val="none"/>
        </w:rPr>
        <w:t>。</w:t>
      </w:r>
    </w:p>
    <w:p w14:paraId="6FCBD18E">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ascii="黑体" w:hAnsi="黑体" w:cs="宋体"/>
          <w:b w:val="0"/>
          <w:sz w:val="24"/>
          <w:szCs w:val="24"/>
        </w:rPr>
      </w:pPr>
      <w:bookmarkStart w:id="2" w:name="_Toc28359002"/>
      <w:bookmarkStart w:id="3" w:name="_Toc35393621"/>
      <w:bookmarkStart w:id="4" w:name="_Toc28359079"/>
      <w:bookmarkStart w:id="5" w:name="_Toc35393790"/>
      <w:bookmarkStart w:id="6" w:name="_Hlk24379207"/>
      <w:r>
        <w:rPr>
          <w:rFonts w:hint="eastAsia" w:ascii="黑体" w:hAnsi="黑体" w:cs="宋体"/>
          <w:b w:val="0"/>
          <w:sz w:val="24"/>
          <w:szCs w:val="24"/>
        </w:rPr>
        <w:t>一、项目基本情况</w:t>
      </w:r>
      <w:bookmarkEnd w:id="2"/>
      <w:bookmarkEnd w:id="3"/>
      <w:bookmarkEnd w:id="4"/>
      <w:bookmarkEnd w:id="5"/>
    </w:p>
    <w:p w14:paraId="753B16F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项目编号：TKXZFCG（CS）XZJ2026-024  </w:t>
      </w:r>
    </w:p>
    <w:p w14:paraId="227E9F1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rPr>
      </w:pPr>
      <w:r>
        <w:rPr>
          <w:rFonts w:hint="eastAsia" w:ascii="仿宋" w:hAnsi="仿宋" w:eastAsia="仿宋"/>
          <w:sz w:val="24"/>
          <w:szCs w:val="24"/>
        </w:rPr>
        <w:t>项目名称：</w:t>
      </w:r>
      <w:bookmarkEnd w:id="6"/>
      <w:r>
        <w:rPr>
          <w:rFonts w:hint="eastAsia" w:ascii="仿宋" w:hAnsi="仿宋" w:eastAsia="仿宋"/>
          <w:sz w:val="24"/>
          <w:szCs w:val="24"/>
        </w:rPr>
        <w:t>托克逊县库米什镇垃圾分拣站建设项目</w:t>
      </w:r>
    </w:p>
    <w:p w14:paraId="4273902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采购方式：竞争性磋商</w:t>
      </w:r>
    </w:p>
    <w:p w14:paraId="0DB9007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Times New Roman"/>
          <w:sz w:val="24"/>
          <w:szCs w:val="24"/>
          <w:lang w:val="en-US" w:eastAsia="zh-CN"/>
        </w:rPr>
      </w:pPr>
      <w:bookmarkStart w:id="7" w:name="_Toc28359003"/>
      <w:bookmarkStart w:id="8" w:name="_Toc35393791"/>
      <w:bookmarkStart w:id="9" w:name="_Toc28359080"/>
      <w:bookmarkStart w:id="10" w:name="_Toc35393622"/>
      <w:r>
        <w:rPr>
          <w:rFonts w:hint="eastAsia" w:ascii="仿宋" w:hAnsi="仿宋" w:eastAsia="仿宋" w:cs="Times New Roman"/>
          <w:sz w:val="24"/>
          <w:szCs w:val="24"/>
          <w:lang w:val="en-US" w:eastAsia="zh-CN"/>
        </w:rPr>
        <w:t>预算金额(元)：2100000</w:t>
      </w:r>
    </w:p>
    <w:p w14:paraId="36B4E21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最高限价(元)：1679631.57 </w:t>
      </w:r>
    </w:p>
    <w:p w14:paraId="58D447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采购需求：</w:t>
      </w:r>
    </w:p>
    <w:p w14:paraId="249A9BA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标项名称:</w:t>
      </w:r>
      <w:r>
        <w:rPr>
          <w:rFonts w:hint="eastAsia" w:ascii="仿宋" w:hAnsi="仿宋" w:eastAsia="仿宋"/>
          <w:sz w:val="24"/>
          <w:szCs w:val="24"/>
          <w:lang w:val="en-US" w:eastAsia="zh-CN"/>
        </w:rPr>
        <w:t xml:space="preserve"> 托克逊县库米什镇垃圾分拣站建设项目</w:t>
      </w:r>
    </w:p>
    <w:p w14:paraId="6E1F014E">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color w:val="auto"/>
          <w:sz w:val="24"/>
          <w:szCs w:val="24"/>
          <w:lang w:val="en-US" w:eastAsia="zh-CN"/>
        </w:rPr>
      </w:pPr>
      <w:r>
        <w:rPr>
          <w:rFonts w:ascii="仿宋" w:hAnsi="仿宋" w:eastAsia="仿宋"/>
          <w:b w:val="0"/>
          <w:bCs/>
          <w:color w:val="auto"/>
          <w:sz w:val="24"/>
          <w:szCs w:val="24"/>
        </w:rPr>
        <w:t>数量:</w:t>
      </w:r>
      <w:r>
        <w:rPr>
          <w:rFonts w:hint="eastAsia" w:ascii="仿宋" w:hAnsi="仿宋" w:eastAsia="仿宋"/>
          <w:b w:val="0"/>
          <w:bCs/>
          <w:color w:val="auto"/>
          <w:sz w:val="24"/>
          <w:szCs w:val="24"/>
          <w:lang w:val="en-US" w:eastAsia="zh-CN"/>
        </w:rPr>
        <w:t>1</w:t>
      </w:r>
    </w:p>
    <w:p w14:paraId="0EB48F4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color w:val="auto"/>
          <w:kern w:val="2"/>
          <w:sz w:val="24"/>
          <w:szCs w:val="24"/>
          <w:lang w:val="en-US" w:eastAsia="zh-CN" w:bidi="ar-SA"/>
        </w:rPr>
      </w:pPr>
      <w:r>
        <w:rPr>
          <w:rFonts w:hint="eastAsia" w:ascii="仿宋" w:hAnsi="仿宋" w:eastAsia="仿宋" w:cs="Times New Roman"/>
          <w:b w:val="0"/>
          <w:bCs/>
          <w:color w:val="auto"/>
          <w:kern w:val="2"/>
          <w:sz w:val="24"/>
          <w:szCs w:val="24"/>
          <w:lang w:val="en-US" w:eastAsia="zh-CN" w:bidi="ar-SA"/>
        </w:rPr>
        <w:t>预算金额</w:t>
      </w:r>
      <w:r>
        <w:rPr>
          <w:rFonts w:hint="eastAsia" w:ascii="仿宋" w:hAnsi="仿宋" w:eastAsia="仿宋" w:cs="Times New Roman"/>
          <w:b w:val="0"/>
          <w:bCs/>
          <w:sz w:val="24"/>
          <w:szCs w:val="24"/>
          <w:lang w:val="en-US" w:eastAsia="zh-CN"/>
        </w:rPr>
        <w:t>(元)</w:t>
      </w:r>
      <w:r>
        <w:rPr>
          <w:rFonts w:hint="eastAsia" w:ascii="仿宋" w:hAnsi="仿宋" w:eastAsia="仿宋" w:cs="Times New Roman"/>
          <w:b w:val="0"/>
          <w:bCs/>
          <w:color w:val="auto"/>
          <w:kern w:val="2"/>
          <w:sz w:val="24"/>
          <w:szCs w:val="24"/>
          <w:lang w:val="en-US" w:eastAsia="zh-CN" w:bidi="ar-SA"/>
        </w:rPr>
        <w:t>:</w:t>
      </w:r>
      <w:r>
        <w:rPr>
          <w:rFonts w:hint="eastAsia" w:ascii="仿宋" w:hAnsi="仿宋" w:eastAsia="仿宋" w:cs="Times New Roman"/>
          <w:sz w:val="24"/>
          <w:szCs w:val="24"/>
          <w:lang w:val="en-US" w:eastAsia="zh-CN"/>
        </w:rPr>
        <w:t>2100000</w:t>
      </w:r>
    </w:p>
    <w:p w14:paraId="650B42AD">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单位：项</w:t>
      </w:r>
    </w:p>
    <w:p w14:paraId="791659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lang w:val="en-US" w:eastAsia="zh-CN"/>
        </w:rPr>
      </w:pPr>
      <w:r>
        <w:rPr>
          <w:rFonts w:hint="eastAsia" w:ascii="仿宋" w:hAnsi="仿宋" w:eastAsia="仿宋"/>
          <w:color w:val="auto"/>
          <w:sz w:val="24"/>
          <w:szCs w:val="24"/>
        </w:rPr>
        <w:t>简要规格描述：</w:t>
      </w:r>
      <w:r>
        <w:rPr>
          <w:rFonts w:hint="eastAsia" w:ascii="仿宋" w:hAnsi="仿宋" w:eastAsia="仿宋"/>
          <w:sz w:val="24"/>
          <w:szCs w:val="24"/>
          <w:lang w:val="en-US" w:eastAsia="zh-CN"/>
        </w:rPr>
        <w:t>托克逊县库米什镇东南侧4.8公里处，建设规模：建设一座标准模块化厂房，建筑基底面积308.7平方米，总建筑面积599.33平方米,其中 1#厂房面积 161.7 平方米，2#厂房面积 147平方米,光伏面积290.63平方米，加设立柱及檀条,总呈长方形空间形态，采用局部成品模块化箱体局部门式钢架结构。厂房室外地面总硬化面积约621.3平方米(包含光伏下硬化），室外戈壁场坪场地1687 平方米，并配套相关市政设施。</w:t>
      </w:r>
    </w:p>
    <w:p w14:paraId="2C6D6FE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合同履行期限：工期：164天</w:t>
      </w:r>
    </w:p>
    <w:p w14:paraId="71AE46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rPr>
      </w:pPr>
      <w:r>
        <w:rPr>
          <w:rFonts w:hint="eastAsia" w:ascii="仿宋" w:hAnsi="仿宋" w:eastAsia="仿宋"/>
          <w:sz w:val="24"/>
          <w:szCs w:val="24"/>
        </w:rPr>
        <w:t>本项目（否）接受联合体投标。</w:t>
      </w:r>
    </w:p>
    <w:p w14:paraId="7E4D7009">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ascii="黑体" w:hAnsi="黑体" w:cs="宋体"/>
          <w:b w:val="0"/>
          <w:sz w:val="24"/>
          <w:szCs w:val="24"/>
        </w:rPr>
      </w:pPr>
      <w:r>
        <w:rPr>
          <w:rFonts w:hint="eastAsia" w:ascii="黑体" w:hAnsi="黑体" w:cs="宋体"/>
          <w:b w:val="0"/>
          <w:sz w:val="24"/>
          <w:szCs w:val="24"/>
        </w:rPr>
        <w:t>二、申请人的资格要求：</w:t>
      </w:r>
      <w:bookmarkEnd w:id="7"/>
      <w:bookmarkEnd w:id="8"/>
      <w:bookmarkEnd w:id="9"/>
      <w:bookmarkEnd w:id="10"/>
    </w:p>
    <w:p w14:paraId="66EF4034">
      <w:pPr>
        <w:pageBreakBefore w:val="0"/>
        <w:kinsoku/>
        <w:wordWrap/>
        <w:overflowPunct/>
        <w:topLinePunct w:val="0"/>
        <w:autoSpaceDE/>
        <w:autoSpaceDN/>
        <w:bidi w:val="0"/>
        <w:adjustRightInd/>
        <w:snapToGrid/>
        <w:spacing w:line="420" w:lineRule="exact"/>
        <w:textAlignment w:val="auto"/>
        <w:rPr>
          <w:rFonts w:ascii="仿宋" w:hAnsi="仿宋" w:eastAsia="仿宋"/>
          <w:sz w:val="24"/>
          <w:szCs w:val="24"/>
        </w:rPr>
      </w:pPr>
      <w:r>
        <w:rPr>
          <w:rFonts w:hint="eastAsia" w:ascii="仿宋" w:hAnsi="仿宋" w:eastAsia="仿宋"/>
          <w:sz w:val="24"/>
          <w:szCs w:val="24"/>
        </w:rPr>
        <w:t>1.满足《中华人民共和国政府采购法》第二十二条规定；</w:t>
      </w:r>
    </w:p>
    <w:p w14:paraId="73C9BDB7">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sz w:val="24"/>
          <w:szCs w:val="24"/>
          <w:u w:val="none"/>
          <w:lang w:val="en-US" w:eastAsia="zh-CN"/>
        </w:rPr>
      </w:pPr>
      <w:bookmarkStart w:id="11" w:name="_Toc28359004"/>
      <w:bookmarkStart w:id="12" w:name="_Toc28359081"/>
      <w:r>
        <w:rPr>
          <w:rFonts w:ascii="仿宋" w:hAnsi="仿宋" w:eastAsia="仿宋"/>
          <w:sz w:val="24"/>
          <w:szCs w:val="24"/>
        </w:rPr>
        <w:t>2</w:t>
      </w:r>
      <w:r>
        <w:rPr>
          <w:rFonts w:hint="eastAsia" w:ascii="仿宋" w:hAnsi="仿宋" w:eastAsia="仿宋"/>
          <w:sz w:val="24"/>
          <w:szCs w:val="24"/>
        </w:rPr>
        <w:t>.落实政府采购政策需满足的资格要求：</w:t>
      </w:r>
      <w:r>
        <w:rPr>
          <w:rFonts w:hint="eastAsia" w:ascii="仿宋" w:hAnsi="仿宋" w:eastAsia="仿宋"/>
          <w:sz w:val="24"/>
          <w:szCs w:val="24"/>
          <w:u w:val="none"/>
          <w:lang w:val="en-US" w:eastAsia="zh-CN"/>
        </w:rPr>
        <w:t>本项目专门面向中小企业采购；</w:t>
      </w:r>
    </w:p>
    <w:p w14:paraId="4488C93B">
      <w:pPr>
        <w:pageBreakBefore w:val="0"/>
        <w:kinsoku/>
        <w:wordWrap/>
        <w:overflowPunct/>
        <w:topLinePunct w:val="0"/>
        <w:autoSpaceDE/>
        <w:autoSpaceDN/>
        <w:bidi w:val="0"/>
        <w:adjustRightInd/>
        <w:snapToGrid/>
        <w:spacing w:line="420" w:lineRule="exact"/>
        <w:textAlignment w:val="auto"/>
        <w:rPr>
          <w:rFonts w:hint="eastAsia" w:ascii="仿宋" w:hAnsi="仿宋" w:eastAsia="仿宋"/>
          <w:sz w:val="24"/>
          <w:szCs w:val="24"/>
        </w:rPr>
      </w:pPr>
      <w:r>
        <w:rPr>
          <w:rFonts w:hint="eastAsia" w:ascii="仿宋" w:hAnsi="仿宋" w:eastAsia="仿宋"/>
          <w:sz w:val="24"/>
          <w:szCs w:val="24"/>
        </w:rPr>
        <w:t>3.本项目的特定资格要求：</w:t>
      </w:r>
    </w:p>
    <w:p w14:paraId="7ABC81E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bookmarkStart w:id="13" w:name="_Toc35393792"/>
      <w:bookmarkStart w:id="14" w:name="_Toc35393623"/>
      <w:r>
        <w:rPr>
          <w:rFonts w:hint="eastAsia" w:ascii="仿宋" w:hAnsi="仿宋" w:eastAsia="仿宋" w:cs="Times New Roman"/>
          <w:kern w:val="2"/>
          <w:sz w:val="24"/>
          <w:szCs w:val="24"/>
          <w:lang w:val="en-US" w:eastAsia="zh-CN" w:bidi="ar-SA"/>
        </w:rPr>
        <w:t>（1）</w:t>
      </w:r>
      <w:r>
        <w:rPr>
          <w:rFonts w:hint="eastAsia" w:ascii="仿宋" w:hAnsi="仿宋" w:eastAsia="仿宋" w:cs="Times New Roman"/>
          <w:sz w:val="24"/>
          <w:szCs w:val="24"/>
          <w:lang w:val="en-US" w:eastAsia="zh-CN"/>
        </w:rPr>
        <w:t>具备有效的建筑工程施工总承包三级及以上资质；</w:t>
      </w:r>
    </w:p>
    <w:p w14:paraId="666FAF86">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（2）具备有效的安全生产许可证；</w:t>
      </w:r>
    </w:p>
    <w:p w14:paraId="52027143">
      <w:pPr>
        <w:pageBreakBefore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三、获取采购文件</w:t>
      </w:r>
      <w:bookmarkEnd w:id="11"/>
      <w:bookmarkEnd w:id="12"/>
      <w:bookmarkEnd w:id="13"/>
      <w:bookmarkEnd w:id="14"/>
    </w:p>
    <w:p w14:paraId="07AF1B27">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时间：2026年4 月30日至2026年5月11日，每天上午00:00至14:00，下午14:00至23:59（北京时间，法定节假日除外）</w:t>
      </w:r>
    </w:p>
    <w:p w14:paraId="706DF1CA">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地点：政采云平台线上</w:t>
      </w:r>
    </w:p>
    <w:p w14:paraId="57BD74D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58794E47">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0元</w:t>
      </w:r>
    </w:p>
    <w:p w14:paraId="01C1D59A">
      <w:pPr>
        <w:pageBreakBefore w:val="0"/>
        <w:numPr>
          <w:ilvl w:val="0"/>
          <w:numId w:val="11"/>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响应文件提交</w:t>
      </w:r>
    </w:p>
    <w:p w14:paraId="7D32211B">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val="0"/>
          <w:kern w:val="2"/>
          <w:sz w:val="24"/>
          <w:szCs w:val="24"/>
          <w:u w:val="none"/>
          <w:lang w:val="en-US" w:eastAsia="zh-CN" w:bidi="ar-SA"/>
        </w:rPr>
      </w:pPr>
      <w:r>
        <w:rPr>
          <w:rFonts w:hint="eastAsia" w:ascii="仿宋" w:hAnsi="仿宋" w:eastAsia="仿宋" w:cs="Times New Roman"/>
          <w:b w:val="0"/>
          <w:bCs w:val="0"/>
          <w:kern w:val="2"/>
          <w:sz w:val="24"/>
          <w:szCs w:val="24"/>
          <w:u w:val="none"/>
          <w:lang w:val="en-US" w:eastAsia="zh-CN" w:bidi="ar-SA"/>
        </w:rPr>
        <w:t>截止时间：</w:t>
      </w:r>
      <w:r>
        <w:rPr>
          <w:rFonts w:hint="eastAsia" w:ascii="仿宋" w:hAnsi="仿宋" w:eastAsia="仿宋" w:cs="Times New Roman"/>
          <w:sz w:val="24"/>
          <w:szCs w:val="24"/>
          <w:u w:val="none"/>
          <w:lang w:val="en-US" w:eastAsia="zh-CN"/>
        </w:rPr>
        <w:t>2026年5月12日</w:t>
      </w:r>
      <w:r>
        <w:rPr>
          <w:rFonts w:hint="eastAsia" w:ascii="仿宋" w:hAnsi="仿宋" w:eastAsia="仿宋"/>
          <w:sz w:val="24"/>
          <w:szCs w:val="24"/>
          <w:u w:val="none"/>
          <w:lang w:val="en-US" w:eastAsia="zh-CN"/>
        </w:rPr>
        <w:t>10:30分</w:t>
      </w:r>
      <w:r>
        <w:rPr>
          <w:rFonts w:hint="eastAsia" w:ascii="仿宋" w:hAnsi="仿宋" w:eastAsia="仿宋" w:cs="Times New Roman"/>
          <w:b w:val="0"/>
          <w:bCs w:val="0"/>
          <w:kern w:val="2"/>
          <w:sz w:val="24"/>
          <w:szCs w:val="24"/>
          <w:u w:val="none"/>
          <w:lang w:val="en-US" w:eastAsia="zh-CN" w:bidi="ar-SA"/>
        </w:rPr>
        <w:t>（北京时间）</w:t>
      </w:r>
    </w:p>
    <w:p w14:paraId="0DC86866">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Times New Roman"/>
          <w:b w:val="0"/>
          <w:bCs/>
          <w:color w:val="auto"/>
          <w:kern w:val="2"/>
          <w:sz w:val="24"/>
          <w:szCs w:val="24"/>
          <w:lang w:val="en-US" w:eastAsia="zh-CN" w:bidi="ar-SA"/>
        </w:rPr>
      </w:pPr>
      <w:r>
        <w:rPr>
          <w:rFonts w:hint="eastAsia" w:ascii="仿宋" w:hAnsi="仿宋" w:eastAsia="仿宋" w:cs="Times New Roman"/>
          <w:b w:val="0"/>
          <w:bCs w:val="0"/>
          <w:kern w:val="2"/>
          <w:sz w:val="24"/>
          <w:szCs w:val="24"/>
          <w:u w:val="none"/>
          <w:lang w:val="en-US" w:eastAsia="zh-CN" w:bidi="ar-SA"/>
        </w:rPr>
        <w:t>地点：</w:t>
      </w:r>
      <w:bookmarkStart w:id="15" w:name="_Toc35393625"/>
      <w:bookmarkStart w:id="16" w:name="_Toc28359007"/>
      <w:bookmarkStart w:id="17" w:name="_Toc28359084"/>
      <w:bookmarkStart w:id="18" w:name="_Toc35393794"/>
      <w:r>
        <w:rPr>
          <w:rFonts w:hint="eastAsia" w:ascii="仿宋" w:hAnsi="仿宋" w:eastAsia="仿宋" w:cs="Times New Roman"/>
          <w:b w:val="0"/>
          <w:bCs/>
          <w:color w:val="auto"/>
          <w:kern w:val="2"/>
          <w:sz w:val="24"/>
          <w:szCs w:val="24"/>
          <w:lang w:val="en-US" w:eastAsia="zh-CN" w:bidi="ar-SA"/>
        </w:rPr>
        <w:t xml:space="preserve">请登录政采云投标客户端投标 </w:t>
      </w:r>
      <w:bookmarkStart w:id="631" w:name="_GoBack"/>
      <w:bookmarkEnd w:id="631"/>
    </w:p>
    <w:p w14:paraId="10AD7568">
      <w:pPr>
        <w:pageBreakBefore w:val="0"/>
        <w:numPr>
          <w:ilvl w:val="0"/>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响应文件开启</w:t>
      </w:r>
    </w:p>
    <w:p w14:paraId="165D4962">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b w:val="0"/>
          <w:bCs w:val="0"/>
          <w:kern w:val="2"/>
          <w:sz w:val="24"/>
          <w:szCs w:val="24"/>
          <w:u w:val="none"/>
          <w:lang w:val="en-US" w:eastAsia="zh-CN" w:bidi="ar-SA"/>
        </w:rPr>
      </w:pPr>
      <w:r>
        <w:rPr>
          <w:rFonts w:hint="eastAsia" w:ascii="仿宋" w:hAnsi="仿宋" w:eastAsia="仿宋" w:cs="Times New Roman"/>
          <w:b w:val="0"/>
          <w:bCs w:val="0"/>
          <w:kern w:val="2"/>
          <w:sz w:val="24"/>
          <w:szCs w:val="24"/>
          <w:u w:val="none"/>
          <w:lang w:val="en-US" w:eastAsia="zh-CN" w:bidi="ar-SA"/>
        </w:rPr>
        <w:t>开启时间：</w:t>
      </w:r>
      <w:r>
        <w:rPr>
          <w:rFonts w:hint="eastAsia" w:ascii="仿宋" w:hAnsi="仿宋" w:eastAsia="仿宋" w:cs="Times New Roman"/>
          <w:sz w:val="24"/>
          <w:szCs w:val="24"/>
          <w:u w:val="none"/>
          <w:lang w:val="en-US" w:eastAsia="zh-CN"/>
        </w:rPr>
        <w:t>2026年5月12日</w:t>
      </w:r>
      <w:r>
        <w:rPr>
          <w:rFonts w:hint="eastAsia" w:ascii="仿宋" w:hAnsi="仿宋" w:eastAsia="仿宋"/>
          <w:sz w:val="24"/>
          <w:szCs w:val="24"/>
          <w:u w:val="none"/>
          <w:lang w:val="en-US" w:eastAsia="zh-CN"/>
        </w:rPr>
        <w:t>10:30分</w:t>
      </w:r>
      <w:r>
        <w:rPr>
          <w:rFonts w:hint="eastAsia" w:ascii="仿宋" w:hAnsi="仿宋" w:eastAsia="仿宋" w:cs="Times New Roman"/>
          <w:b w:val="0"/>
          <w:bCs w:val="0"/>
          <w:kern w:val="2"/>
          <w:sz w:val="24"/>
          <w:szCs w:val="24"/>
          <w:u w:val="none"/>
          <w:lang w:val="en-US" w:eastAsia="zh-CN" w:bidi="ar-SA"/>
        </w:rPr>
        <w:t>（北京时间）</w:t>
      </w:r>
    </w:p>
    <w:p w14:paraId="6F560375">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i w:val="0"/>
          <w:iCs w:val="0"/>
          <w:caps w:val="0"/>
          <w:color w:val="000000"/>
          <w:spacing w:val="0"/>
          <w:sz w:val="24"/>
          <w:szCs w:val="24"/>
        </w:rPr>
      </w:pPr>
      <w:r>
        <w:rPr>
          <w:rFonts w:hint="eastAsia" w:ascii="仿宋" w:hAnsi="仿宋" w:eastAsia="仿宋" w:cs="Times New Roman"/>
          <w:b w:val="0"/>
          <w:bCs w:val="0"/>
          <w:kern w:val="2"/>
          <w:sz w:val="24"/>
          <w:szCs w:val="24"/>
          <w:u w:val="none"/>
          <w:lang w:val="en-US" w:eastAsia="zh-CN" w:bidi="ar-SA"/>
        </w:rPr>
        <w:t>地点：</w:t>
      </w:r>
      <w:r>
        <w:rPr>
          <w:rFonts w:hint="eastAsia" w:ascii="仿宋" w:hAnsi="仿宋" w:eastAsia="仿宋" w:cs="仿宋"/>
          <w:i w:val="0"/>
          <w:iCs w:val="0"/>
          <w:caps w:val="0"/>
          <w:color w:val="000000"/>
          <w:spacing w:val="0"/>
          <w:sz w:val="24"/>
          <w:szCs w:val="24"/>
        </w:rPr>
        <w:t>投标人登录政采云平台https://www.zcygov.cn/，进入“项目采购-开标评标-右边选择对应项目点击“进入项目”进入开标大厅。</w:t>
      </w:r>
    </w:p>
    <w:p w14:paraId="2F8396A5">
      <w:pPr>
        <w:pageBreakBefore w:val="0"/>
        <w:numPr>
          <w:ilvl w:val="0"/>
          <w:numId w:val="0"/>
        </w:numPr>
        <w:kinsoku/>
        <w:wordWrap/>
        <w:overflowPunct/>
        <w:topLinePunct w:val="0"/>
        <w:autoSpaceDE/>
        <w:autoSpaceDN/>
        <w:bidi w:val="0"/>
        <w:adjustRightInd/>
        <w:snapToGrid/>
        <w:spacing w:line="420" w:lineRule="exact"/>
        <w:textAlignment w:val="auto"/>
        <w:rPr>
          <w:rFonts w:hint="eastAsia"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六、公告期限</w:t>
      </w:r>
      <w:bookmarkEnd w:id="15"/>
      <w:bookmarkEnd w:id="16"/>
      <w:bookmarkEnd w:id="17"/>
      <w:bookmarkEnd w:id="18"/>
    </w:p>
    <w:p w14:paraId="5275C61D">
      <w:pPr>
        <w:pageBreakBefore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自本公告发布之日起3个工作日。</w:t>
      </w:r>
    </w:p>
    <w:p w14:paraId="24E28BDA">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黑体" w:hAnsi="黑体" w:eastAsia="黑体" w:cs="宋体"/>
          <w:b w:val="0"/>
          <w:bCs/>
          <w:color w:val="auto"/>
          <w:kern w:val="2"/>
          <w:sz w:val="24"/>
          <w:szCs w:val="24"/>
          <w:lang w:val="en-US" w:eastAsia="zh-CN" w:bidi="ar-SA"/>
        </w:rPr>
      </w:pPr>
      <w:r>
        <w:rPr>
          <w:rFonts w:hint="eastAsia" w:ascii="黑体" w:hAnsi="黑体" w:eastAsia="黑体" w:cs="宋体"/>
          <w:b w:val="0"/>
          <w:bCs/>
          <w:color w:val="auto"/>
          <w:kern w:val="2"/>
          <w:sz w:val="24"/>
          <w:szCs w:val="24"/>
          <w:lang w:val="en-US" w:eastAsia="zh-CN" w:bidi="ar-SA"/>
        </w:rPr>
        <w:t>七、其他补充事宜</w:t>
      </w:r>
    </w:p>
    <w:p w14:paraId="7452483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57A72BC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094FED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37EA4F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3D932C7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E7F04C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085DF8B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79FA088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4BB2868">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olor w:val="auto"/>
          <w:sz w:val="18"/>
          <w:szCs w:val="18"/>
          <w:lang w:val="en-US" w:eastAsia="zh-CN"/>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8DBF0B">
      <w:pPr>
        <w:pStyle w:val="4"/>
        <w:pageBreakBefore w:val="0"/>
        <w:tabs>
          <w:tab w:val="left" w:pos="576"/>
          <w:tab w:val="left" w:pos="1296"/>
        </w:tabs>
        <w:kinsoku/>
        <w:wordWrap/>
        <w:overflowPunct/>
        <w:topLinePunct w:val="0"/>
        <w:autoSpaceDE/>
        <w:autoSpaceDN/>
        <w:bidi w:val="0"/>
        <w:adjustRightInd/>
        <w:snapToGrid/>
        <w:spacing w:before="0" w:after="0" w:line="420" w:lineRule="exact"/>
        <w:textAlignment w:val="auto"/>
        <w:rPr>
          <w:rFonts w:hint="eastAsia" w:ascii="黑体" w:hAnsi="黑体" w:cs="宋体"/>
          <w:b w:val="0"/>
          <w:sz w:val="24"/>
          <w:szCs w:val="24"/>
          <w:lang w:eastAsia="zh-CN"/>
        </w:rPr>
      </w:pPr>
      <w:bookmarkStart w:id="19" w:name="_Toc35393796"/>
      <w:bookmarkStart w:id="20" w:name="_Toc28359008"/>
      <w:bookmarkStart w:id="21" w:name="_Toc35393627"/>
      <w:bookmarkStart w:id="22" w:name="_Toc28359085"/>
      <w:r>
        <w:rPr>
          <w:rFonts w:hint="eastAsia" w:ascii="黑体" w:hAnsi="黑体" w:cs="宋体"/>
          <w:b w:val="0"/>
          <w:sz w:val="24"/>
          <w:szCs w:val="24"/>
          <w:lang w:val="en-US" w:eastAsia="zh-CN"/>
        </w:rPr>
        <w:t>八</w:t>
      </w:r>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19"/>
      <w:bookmarkEnd w:id="20"/>
      <w:bookmarkEnd w:id="21"/>
      <w:bookmarkEnd w:id="22"/>
      <w:r>
        <w:rPr>
          <w:rFonts w:hint="eastAsia" w:ascii="黑体" w:hAnsi="黑体" w:cs="宋体"/>
          <w:b w:val="0"/>
          <w:sz w:val="24"/>
          <w:szCs w:val="24"/>
          <w:lang w:eastAsia="zh-CN"/>
        </w:rPr>
        <w:t>：</w:t>
      </w:r>
    </w:p>
    <w:p w14:paraId="59230AF0">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sz w:val="24"/>
          <w:szCs w:val="24"/>
          <w:u w:val="none"/>
          <w:lang w:eastAsia="zh-CN"/>
        </w:rPr>
      </w:pPr>
      <w:r>
        <w:rPr>
          <w:rFonts w:hint="eastAsia" w:ascii="仿宋" w:hAnsi="仿宋" w:eastAsia="仿宋"/>
          <w:sz w:val="24"/>
          <w:szCs w:val="24"/>
          <w:u w:val="none"/>
          <w:lang w:eastAsia="zh-CN"/>
        </w:rPr>
        <w:t>1.采购人信息</w:t>
      </w:r>
    </w:p>
    <w:p w14:paraId="236683F9">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名 称：</w:t>
      </w:r>
      <w:r>
        <w:rPr>
          <w:rFonts w:hint="eastAsia" w:ascii="仿宋" w:hAnsi="仿宋" w:eastAsia="仿宋"/>
          <w:b w:val="0"/>
          <w:bCs/>
          <w:sz w:val="24"/>
          <w:szCs w:val="24"/>
        </w:rPr>
        <w:t>托克逊县库米什镇</w:t>
      </w:r>
      <w:r>
        <w:rPr>
          <w:rFonts w:hint="eastAsia" w:ascii="仿宋" w:hAnsi="仿宋" w:eastAsia="仿宋"/>
          <w:b w:val="0"/>
          <w:bCs/>
          <w:sz w:val="24"/>
          <w:szCs w:val="24"/>
          <w:lang w:val="en-US" w:eastAsia="zh-CN"/>
        </w:rPr>
        <w:t>人民政府</w:t>
      </w:r>
    </w:p>
    <w:p w14:paraId="64EB5642">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地 址：</w:t>
      </w:r>
      <w:r>
        <w:rPr>
          <w:rFonts w:hint="eastAsia" w:ascii="仿宋" w:hAnsi="仿宋" w:eastAsia="仿宋"/>
          <w:b w:val="0"/>
          <w:bCs/>
          <w:sz w:val="24"/>
          <w:szCs w:val="24"/>
        </w:rPr>
        <w:t>托克逊县库米什镇丝绸东路1号</w:t>
      </w:r>
    </w:p>
    <w:p w14:paraId="1D82930F">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 xml:space="preserve">联系方式：0995-8868037 </w:t>
      </w:r>
    </w:p>
    <w:p w14:paraId="2237C158">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2.采购代理机构信息</w:t>
      </w:r>
    </w:p>
    <w:p w14:paraId="5ABB58FE">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名 称：新疆新之建工程咨询有限公司</w:t>
      </w:r>
    </w:p>
    <w:p w14:paraId="36181BA6">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 xml:space="preserve">地 址：新疆吐鲁番市高昌区新编15区文化路南侧滨湖花园小区对面3层 </w:t>
      </w:r>
    </w:p>
    <w:p w14:paraId="7E28F621">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联系方式：13399958618、18609956702</w:t>
      </w:r>
    </w:p>
    <w:p w14:paraId="0FD90F1C">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3.项目联系方式</w:t>
      </w:r>
    </w:p>
    <w:p w14:paraId="62D6C1FA">
      <w:pPr>
        <w:pStyle w:val="653"/>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项目联系人：朱金玉、董蕊、程燕燕、王凯</w:t>
      </w:r>
    </w:p>
    <w:p w14:paraId="0D77C4F2">
      <w:pPr>
        <w:pStyle w:val="653"/>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t>电话：13399958618、18609956702</w:t>
      </w:r>
    </w:p>
    <w:p w14:paraId="766C9035">
      <w:pPr>
        <w:rPr>
          <w:rFonts w:hint="eastAsia" w:ascii="仿宋" w:hAnsi="仿宋" w:eastAsia="仿宋" w:cs="Courier New"/>
          <w:b w:val="0"/>
          <w:bCs/>
          <w:color w:val="auto"/>
          <w:kern w:val="2"/>
          <w:sz w:val="24"/>
          <w:szCs w:val="24"/>
          <w:u w:val="none"/>
          <w:lang w:val="en-US" w:eastAsia="zh-CN" w:bidi="ar-SA"/>
        </w:rPr>
      </w:pPr>
      <w:r>
        <w:rPr>
          <w:rFonts w:hint="eastAsia" w:ascii="仿宋" w:hAnsi="仿宋" w:eastAsia="仿宋" w:cs="Courier New"/>
          <w:b w:val="0"/>
          <w:bCs/>
          <w:color w:val="auto"/>
          <w:kern w:val="2"/>
          <w:sz w:val="24"/>
          <w:szCs w:val="24"/>
          <w:u w:val="none"/>
          <w:lang w:val="en-US" w:eastAsia="zh-CN" w:bidi="ar-SA"/>
        </w:rPr>
        <w:br w:type="page"/>
      </w:r>
    </w:p>
    <w:p w14:paraId="2D5D05D8">
      <w:pPr>
        <w:pStyle w:val="330"/>
        <w:spacing w:beforeLines="50" w:afterLines="50" w:line="360" w:lineRule="auto"/>
        <w:jc w:val="center"/>
        <w:outlineLvl w:val="0"/>
        <w:rPr>
          <w:rFonts w:ascii="仿宋" w:hAnsi="仿宋" w:eastAsia="仿宋"/>
          <w:b/>
          <w:sz w:val="32"/>
          <w:szCs w:val="32"/>
        </w:rPr>
      </w:pPr>
      <w:r>
        <w:rPr>
          <w:rFonts w:hint="eastAsia" w:ascii="仿宋" w:hAnsi="仿宋" w:eastAsia="仿宋"/>
          <w:b/>
          <w:sz w:val="32"/>
          <w:szCs w:val="32"/>
        </w:rPr>
        <w:t>第二部分  供应商须知前附表</w:t>
      </w:r>
      <w:bookmarkEnd w:id="1"/>
    </w:p>
    <w:tbl>
      <w:tblPr>
        <w:tblStyle w:val="60"/>
        <w:tblW w:w="8498"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31"/>
        <w:gridCol w:w="6184"/>
      </w:tblGrid>
      <w:tr w14:paraId="5884D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3" w:type="dxa"/>
            <w:tcMar>
              <w:top w:w="28" w:type="dxa"/>
              <w:bottom w:w="28" w:type="dxa"/>
            </w:tcMar>
            <w:vAlign w:val="center"/>
          </w:tcPr>
          <w:p w14:paraId="0476ABA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项号</w:t>
            </w:r>
          </w:p>
        </w:tc>
        <w:tc>
          <w:tcPr>
            <w:tcW w:w="1531" w:type="dxa"/>
            <w:tcMar>
              <w:top w:w="28" w:type="dxa"/>
              <w:bottom w:w="28" w:type="dxa"/>
            </w:tcMar>
            <w:vAlign w:val="center"/>
          </w:tcPr>
          <w:p w14:paraId="37F64767">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内  容</w:t>
            </w:r>
          </w:p>
        </w:tc>
        <w:tc>
          <w:tcPr>
            <w:tcW w:w="6184" w:type="dxa"/>
            <w:tcMar>
              <w:top w:w="28" w:type="dxa"/>
              <w:bottom w:w="28" w:type="dxa"/>
            </w:tcMar>
            <w:vAlign w:val="center"/>
          </w:tcPr>
          <w:p w14:paraId="2CC51D8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说明及要求</w:t>
            </w:r>
          </w:p>
        </w:tc>
      </w:tr>
      <w:tr w14:paraId="43690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3" w:type="dxa"/>
            <w:vMerge w:val="restart"/>
            <w:tcMar>
              <w:top w:w="28" w:type="dxa"/>
              <w:bottom w:w="28" w:type="dxa"/>
            </w:tcMar>
            <w:vAlign w:val="center"/>
          </w:tcPr>
          <w:p w14:paraId="2219C8B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１</w:t>
            </w:r>
          </w:p>
        </w:tc>
        <w:tc>
          <w:tcPr>
            <w:tcW w:w="1531" w:type="dxa"/>
            <w:tcMar>
              <w:top w:w="28" w:type="dxa"/>
              <w:bottom w:w="28" w:type="dxa"/>
            </w:tcMar>
            <w:vAlign w:val="center"/>
          </w:tcPr>
          <w:p w14:paraId="14CCD18F">
            <w:pPr>
              <w:keepNext w:val="0"/>
              <w:keepLines w:val="0"/>
              <w:pageBreakBefore w:val="0"/>
              <w:widowControl/>
              <w:shd w:val="clear" w:color="auto" w:fill="FFFFFF"/>
              <w:kinsoku/>
              <w:wordWrap/>
              <w:overflowPunct/>
              <w:topLinePunct w:val="0"/>
              <w:bidi w:val="0"/>
              <w:adjustRightInd w:val="0"/>
              <w:snapToGrid w:val="0"/>
              <w:spacing w:line="320" w:lineRule="exact"/>
              <w:jc w:val="center"/>
              <w:textAlignment w:val="auto"/>
              <w:rPr>
                <w:rFonts w:hint="eastAsia" w:ascii="仿宋" w:hAnsi="仿宋" w:eastAsia="仿宋" w:cs="Arial"/>
                <w:sz w:val="24"/>
              </w:rPr>
            </w:pPr>
            <w:r>
              <w:rPr>
                <w:rFonts w:hint="eastAsia" w:ascii="仿宋" w:hAnsi="仿宋" w:eastAsia="仿宋" w:cs="Arial"/>
                <w:sz w:val="24"/>
              </w:rPr>
              <w:t>项目名称</w:t>
            </w:r>
          </w:p>
        </w:tc>
        <w:tc>
          <w:tcPr>
            <w:tcW w:w="6184" w:type="dxa"/>
            <w:tcMar>
              <w:top w:w="28" w:type="dxa"/>
              <w:bottom w:w="28" w:type="dxa"/>
            </w:tcMar>
            <w:vAlign w:val="center"/>
          </w:tcPr>
          <w:p w14:paraId="04A05B34">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hint="eastAsia" w:ascii="仿宋" w:hAnsi="仿宋" w:eastAsia="仿宋" w:cs="Arial"/>
                <w:sz w:val="24"/>
                <w:lang w:eastAsia="zh-CN"/>
              </w:rPr>
            </w:pPr>
            <w:r>
              <w:rPr>
                <w:rFonts w:hint="eastAsia" w:ascii="仿宋" w:hAnsi="仿宋" w:eastAsia="仿宋" w:cs="Arial"/>
                <w:sz w:val="24"/>
                <w:lang w:val="en-US" w:eastAsia="zh-CN"/>
              </w:rPr>
              <w:t>托克逊县库米什镇垃圾分拣站建设项目</w:t>
            </w:r>
          </w:p>
        </w:tc>
      </w:tr>
      <w:tr w14:paraId="25577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3" w:type="dxa"/>
            <w:vMerge w:val="continue"/>
            <w:tcMar>
              <w:top w:w="28" w:type="dxa"/>
              <w:bottom w:w="28" w:type="dxa"/>
            </w:tcMar>
            <w:vAlign w:val="center"/>
          </w:tcPr>
          <w:p w14:paraId="670C3B6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3CAD1AC7">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Times New Roman"/>
                <w:bCs/>
                <w:kern w:val="0"/>
                <w:sz w:val="24"/>
              </w:rPr>
            </w:pPr>
            <w:r>
              <w:rPr>
                <w:rFonts w:hint="eastAsia" w:ascii="仿宋" w:hAnsi="仿宋" w:eastAsia="仿宋" w:cs="Times New Roman"/>
                <w:bCs/>
                <w:kern w:val="0"/>
                <w:sz w:val="24"/>
              </w:rPr>
              <w:t>项目编号</w:t>
            </w:r>
          </w:p>
        </w:tc>
        <w:tc>
          <w:tcPr>
            <w:tcW w:w="6184" w:type="dxa"/>
            <w:tcMar>
              <w:top w:w="28" w:type="dxa"/>
              <w:bottom w:w="28" w:type="dxa"/>
            </w:tcMar>
            <w:vAlign w:val="center"/>
          </w:tcPr>
          <w:p w14:paraId="77E3EEE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Times New Roman"/>
                <w:bCs/>
                <w:kern w:val="0"/>
                <w:sz w:val="24"/>
                <w:lang w:val="en-US" w:eastAsia="zh-CN"/>
              </w:rPr>
            </w:pPr>
            <w:r>
              <w:rPr>
                <w:rFonts w:hint="default" w:ascii="仿宋" w:hAnsi="仿宋" w:eastAsia="仿宋" w:cs="Times New Roman"/>
                <w:bCs/>
                <w:kern w:val="0"/>
                <w:sz w:val="24"/>
                <w:lang w:val="en-US" w:eastAsia="zh-CN"/>
              </w:rPr>
              <w:t xml:space="preserve">TKXZFCG（CS）XZJ2026-024  </w:t>
            </w:r>
          </w:p>
        </w:tc>
      </w:tr>
      <w:tr w14:paraId="08DFD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vMerge w:val="continue"/>
            <w:tcMar>
              <w:top w:w="28" w:type="dxa"/>
              <w:bottom w:w="28" w:type="dxa"/>
            </w:tcMar>
            <w:vAlign w:val="center"/>
          </w:tcPr>
          <w:p w14:paraId="2B9DEC98">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69C0E367">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cs="Times New Roman"/>
                <w:bCs/>
                <w:kern w:val="0"/>
                <w:sz w:val="24"/>
              </w:rPr>
            </w:pPr>
            <w:r>
              <w:rPr>
                <w:rFonts w:hint="eastAsia" w:ascii="仿宋" w:hAnsi="仿宋" w:eastAsia="仿宋" w:cs="Times New Roman"/>
                <w:bCs/>
                <w:kern w:val="0"/>
                <w:sz w:val="24"/>
              </w:rPr>
              <w:t>采购人</w:t>
            </w:r>
          </w:p>
        </w:tc>
        <w:tc>
          <w:tcPr>
            <w:tcW w:w="6184" w:type="dxa"/>
            <w:tcMar>
              <w:top w:w="28" w:type="dxa"/>
              <w:bottom w:w="28" w:type="dxa"/>
            </w:tcMar>
            <w:vAlign w:val="center"/>
          </w:tcPr>
          <w:p w14:paraId="224CF637">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b w:val="0"/>
                <w:bCs/>
                <w:sz w:val="24"/>
                <w:szCs w:val="24"/>
                <w:lang w:val="en-US" w:eastAsia="zh-CN"/>
              </w:rPr>
            </w:pPr>
            <w:r>
              <w:rPr>
                <w:rFonts w:hint="eastAsia" w:ascii="仿宋" w:hAnsi="仿宋" w:eastAsia="仿宋" w:cs="Arial"/>
                <w:b w:val="0"/>
                <w:bCs/>
                <w:color w:val="auto"/>
                <w:kern w:val="2"/>
                <w:sz w:val="24"/>
                <w:szCs w:val="24"/>
                <w:lang w:val="en-US" w:eastAsia="zh-CN" w:bidi="ar-SA"/>
              </w:rPr>
              <w:t>名 称：</w:t>
            </w:r>
            <w:r>
              <w:rPr>
                <w:rFonts w:hint="eastAsia" w:ascii="仿宋" w:hAnsi="仿宋" w:eastAsia="仿宋"/>
                <w:b w:val="0"/>
                <w:bCs/>
                <w:sz w:val="24"/>
                <w:szCs w:val="24"/>
              </w:rPr>
              <w:t>托克逊县库米什镇</w:t>
            </w:r>
            <w:r>
              <w:rPr>
                <w:rFonts w:hint="eastAsia" w:ascii="仿宋" w:hAnsi="仿宋" w:eastAsia="仿宋"/>
                <w:b w:val="0"/>
                <w:bCs/>
                <w:sz w:val="24"/>
                <w:szCs w:val="24"/>
                <w:lang w:val="en-US" w:eastAsia="zh-CN"/>
              </w:rPr>
              <w:t>人民政府</w:t>
            </w:r>
          </w:p>
          <w:p w14:paraId="131B2094">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b w:val="0"/>
                <w:bCs/>
                <w:sz w:val="24"/>
                <w:szCs w:val="24"/>
              </w:rPr>
            </w:pPr>
            <w:r>
              <w:rPr>
                <w:rFonts w:hint="eastAsia" w:ascii="仿宋" w:hAnsi="仿宋" w:eastAsia="仿宋" w:cs="Arial"/>
                <w:b w:val="0"/>
                <w:bCs/>
                <w:color w:val="auto"/>
                <w:kern w:val="2"/>
                <w:sz w:val="24"/>
                <w:szCs w:val="24"/>
                <w:lang w:val="en-US" w:eastAsia="zh-CN" w:bidi="ar-SA"/>
              </w:rPr>
              <w:t>地 址：</w:t>
            </w:r>
            <w:r>
              <w:rPr>
                <w:rFonts w:hint="eastAsia" w:ascii="仿宋" w:hAnsi="仿宋" w:eastAsia="仿宋"/>
                <w:b w:val="0"/>
                <w:bCs/>
                <w:sz w:val="24"/>
                <w:szCs w:val="24"/>
              </w:rPr>
              <w:t>托克逊县库米什镇丝绸东路1号</w:t>
            </w:r>
          </w:p>
          <w:p w14:paraId="5D801D4E">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default" w:ascii="仿宋" w:hAnsi="仿宋" w:eastAsia="仿宋" w:cs="Arial"/>
                <w:b w:val="0"/>
                <w:bCs/>
                <w:color w:val="auto"/>
                <w:kern w:val="2"/>
                <w:sz w:val="24"/>
                <w:szCs w:val="24"/>
                <w:lang w:val="en-US" w:eastAsia="zh-CN" w:bidi="ar-SA"/>
              </w:rPr>
            </w:pPr>
            <w:r>
              <w:rPr>
                <w:rFonts w:hint="eastAsia" w:ascii="仿宋" w:hAnsi="仿宋" w:eastAsia="仿宋" w:cs="Arial"/>
                <w:b w:val="0"/>
                <w:bCs/>
                <w:color w:val="auto"/>
                <w:kern w:val="2"/>
                <w:sz w:val="24"/>
                <w:szCs w:val="24"/>
                <w:lang w:val="en-US" w:eastAsia="zh-CN" w:bidi="ar-SA"/>
              </w:rPr>
              <w:t>联系人：艾主任</w:t>
            </w:r>
          </w:p>
          <w:p w14:paraId="4C11A19B">
            <w:pPr>
              <w:pStyle w:val="653"/>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Times New Roman"/>
                <w:bCs/>
                <w:kern w:val="0"/>
                <w:sz w:val="24"/>
                <w:lang w:eastAsia="zh-CN"/>
              </w:rPr>
            </w:pPr>
            <w:r>
              <w:rPr>
                <w:rFonts w:hint="eastAsia" w:ascii="仿宋" w:hAnsi="仿宋" w:eastAsia="仿宋" w:cs="Arial"/>
                <w:b w:val="0"/>
                <w:bCs/>
                <w:color w:val="auto"/>
                <w:kern w:val="2"/>
                <w:sz w:val="24"/>
                <w:szCs w:val="24"/>
                <w:lang w:val="en-US" w:eastAsia="zh-CN" w:bidi="ar-SA"/>
              </w:rPr>
              <w:t>联系方式：0995-8868037</w:t>
            </w:r>
          </w:p>
        </w:tc>
      </w:tr>
      <w:tr w14:paraId="713DE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06C1F0E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55E20337">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采购方式</w:t>
            </w:r>
          </w:p>
        </w:tc>
        <w:tc>
          <w:tcPr>
            <w:tcW w:w="6184" w:type="dxa"/>
            <w:tcMar>
              <w:top w:w="28" w:type="dxa"/>
              <w:bottom w:w="28" w:type="dxa"/>
            </w:tcMar>
            <w:vAlign w:val="center"/>
          </w:tcPr>
          <w:p w14:paraId="38A278AA">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bCs/>
                <w:kern w:val="0"/>
                <w:sz w:val="24"/>
              </w:rPr>
              <w:t>竞争性磋商</w:t>
            </w:r>
          </w:p>
        </w:tc>
      </w:tr>
      <w:tr w14:paraId="3442E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344A89A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7DE1400E">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资金来源</w:t>
            </w:r>
          </w:p>
        </w:tc>
        <w:tc>
          <w:tcPr>
            <w:tcW w:w="6184" w:type="dxa"/>
            <w:tcMar>
              <w:top w:w="28" w:type="dxa"/>
              <w:bottom w:w="28" w:type="dxa"/>
            </w:tcMar>
            <w:vAlign w:val="center"/>
          </w:tcPr>
          <w:p w14:paraId="55500701">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hint="default" w:ascii="仿宋" w:hAnsi="仿宋" w:eastAsia="仿宋"/>
                <w:bCs/>
                <w:kern w:val="0"/>
                <w:sz w:val="24"/>
                <w:lang w:val="en-US" w:eastAsia="zh-CN"/>
              </w:rPr>
            </w:pPr>
            <w:r>
              <w:rPr>
                <w:rFonts w:hint="eastAsia" w:ascii="仿宋" w:hAnsi="仿宋" w:eastAsia="仿宋"/>
                <w:bCs/>
                <w:kern w:val="0"/>
                <w:sz w:val="24"/>
                <w:lang w:val="en-US" w:eastAsia="zh-CN"/>
              </w:rPr>
              <w:t>财政资金</w:t>
            </w:r>
          </w:p>
        </w:tc>
      </w:tr>
      <w:tr w14:paraId="3E96F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vMerge w:val="continue"/>
            <w:tcMar>
              <w:top w:w="28" w:type="dxa"/>
              <w:bottom w:w="28" w:type="dxa"/>
            </w:tcMar>
            <w:vAlign w:val="center"/>
          </w:tcPr>
          <w:p w14:paraId="4F99499D">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0375AE95">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磋商内容</w:t>
            </w:r>
          </w:p>
        </w:tc>
        <w:tc>
          <w:tcPr>
            <w:tcW w:w="6184" w:type="dxa"/>
            <w:tcMar>
              <w:top w:w="28" w:type="dxa"/>
              <w:bottom w:w="28" w:type="dxa"/>
            </w:tcMar>
            <w:vAlign w:val="center"/>
          </w:tcPr>
          <w:p w14:paraId="15B0349A">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ascii="仿宋" w:hAnsi="仿宋" w:eastAsia="仿宋" w:cs="Arial"/>
                <w:sz w:val="24"/>
              </w:rPr>
            </w:pPr>
            <w:r>
              <w:rPr>
                <w:rFonts w:hint="eastAsia" w:ascii="仿宋" w:hAnsi="仿宋" w:eastAsia="仿宋"/>
                <w:sz w:val="24"/>
              </w:rPr>
              <w:t>详见本项目磋商文件第五部分《采购需求》。</w:t>
            </w:r>
          </w:p>
        </w:tc>
      </w:tr>
      <w:tr w14:paraId="20847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tcMar>
              <w:top w:w="28" w:type="dxa"/>
              <w:bottom w:w="28" w:type="dxa"/>
            </w:tcMar>
            <w:vAlign w:val="center"/>
          </w:tcPr>
          <w:p w14:paraId="703CCB8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2</w:t>
            </w:r>
          </w:p>
        </w:tc>
        <w:tc>
          <w:tcPr>
            <w:tcW w:w="1531" w:type="dxa"/>
            <w:tcMar>
              <w:top w:w="28" w:type="dxa"/>
              <w:bottom w:w="28" w:type="dxa"/>
            </w:tcMar>
            <w:vAlign w:val="center"/>
          </w:tcPr>
          <w:p w14:paraId="30EC719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预算</w:t>
            </w:r>
            <w:r>
              <w:rPr>
                <w:rFonts w:hint="eastAsia" w:ascii="仿宋" w:hAnsi="仿宋" w:eastAsia="仿宋" w:cs="Arial"/>
                <w:sz w:val="24"/>
              </w:rPr>
              <w:t>价</w:t>
            </w:r>
          </w:p>
        </w:tc>
        <w:tc>
          <w:tcPr>
            <w:tcW w:w="6184" w:type="dxa"/>
            <w:tcMar>
              <w:top w:w="28" w:type="dxa"/>
              <w:bottom w:w="28" w:type="dxa"/>
            </w:tcMar>
            <w:vAlign w:val="center"/>
          </w:tcPr>
          <w:p w14:paraId="7B4BA41B">
            <w:pPr>
              <w:keepNext w:val="0"/>
              <w:keepLines w:val="0"/>
              <w:pageBreakBefore w:val="0"/>
              <w:widowControl/>
              <w:suppressLineNumbers w:val="0"/>
              <w:kinsoku/>
              <w:wordWrap/>
              <w:overflowPunct/>
              <w:topLinePunct w:val="0"/>
              <w:bidi w:val="0"/>
              <w:spacing w:line="400" w:lineRule="exact"/>
              <w:jc w:val="left"/>
              <w:textAlignment w:val="auto"/>
              <w:rPr>
                <w:rFonts w:ascii="仿宋" w:hAnsi="仿宋" w:eastAsia="仿宋"/>
                <w:b/>
                <w:sz w:val="24"/>
              </w:rPr>
            </w:pPr>
            <w:r>
              <w:rPr>
                <w:rFonts w:hint="eastAsia" w:ascii="仿宋" w:hAnsi="仿宋" w:eastAsia="仿宋" w:cs="Times New Roman"/>
                <w:snapToGrid w:val="0"/>
                <w:kern w:val="0"/>
                <w:sz w:val="24"/>
                <w:szCs w:val="22"/>
                <w:lang w:val="en-US" w:eastAsia="zh-CN"/>
              </w:rPr>
              <w:t>预算价：2100000元。最高限价：</w:t>
            </w:r>
            <w:r>
              <w:rPr>
                <w:rFonts w:hint="eastAsia" w:ascii="仿宋" w:hAnsi="仿宋" w:eastAsia="仿宋" w:cs="Times New Roman"/>
                <w:sz w:val="24"/>
                <w:szCs w:val="24"/>
                <w:lang w:val="en-US" w:eastAsia="zh-CN"/>
              </w:rPr>
              <w:t>1679631.57</w:t>
            </w:r>
            <w:r>
              <w:rPr>
                <w:rFonts w:hint="eastAsia" w:ascii="仿宋" w:hAnsi="仿宋" w:eastAsia="仿宋" w:cs="Times New Roman"/>
                <w:snapToGrid w:val="0"/>
                <w:kern w:val="0"/>
                <w:sz w:val="24"/>
                <w:szCs w:val="22"/>
                <w:lang w:val="en-US" w:eastAsia="zh-CN"/>
              </w:rPr>
              <w:t>元</w:t>
            </w:r>
          </w:p>
        </w:tc>
      </w:tr>
      <w:tr w14:paraId="70E9D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3" w:type="dxa"/>
            <w:tcMar>
              <w:top w:w="28" w:type="dxa"/>
              <w:bottom w:w="28" w:type="dxa"/>
            </w:tcMar>
            <w:vAlign w:val="center"/>
          </w:tcPr>
          <w:p w14:paraId="62FE8F2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3</w:t>
            </w:r>
          </w:p>
        </w:tc>
        <w:tc>
          <w:tcPr>
            <w:tcW w:w="1531" w:type="dxa"/>
            <w:tcMar>
              <w:top w:w="28" w:type="dxa"/>
              <w:bottom w:w="28" w:type="dxa"/>
            </w:tcMar>
            <w:vAlign w:val="center"/>
          </w:tcPr>
          <w:p w14:paraId="2A461C4D">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质量标准</w:t>
            </w:r>
          </w:p>
        </w:tc>
        <w:tc>
          <w:tcPr>
            <w:tcW w:w="6184" w:type="dxa"/>
            <w:tcMar>
              <w:top w:w="28" w:type="dxa"/>
              <w:bottom w:w="28" w:type="dxa"/>
            </w:tcMar>
            <w:vAlign w:val="center"/>
          </w:tcPr>
          <w:p w14:paraId="74519664">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bCs/>
                <w:kern w:val="0"/>
                <w:sz w:val="24"/>
              </w:rPr>
              <w:t>合格（通过采购人及有关部门组织的项目验收）</w:t>
            </w:r>
          </w:p>
        </w:tc>
      </w:tr>
      <w:tr w14:paraId="56E66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783" w:type="dxa"/>
            <w:tcMar>
              <w:top w:w="28" w:type="dxa"/>
              <w:bottom w:w="28" w:type="dxa"/>
            </w:tcMar>
            <w:vAlign w:val="center"/>
          </w:tcPr>
          <w:p w14:paraId="31F9191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4</w:t>
            </w:r>
          </w:p>
        </w:tc>
        <w:tc>
          <w:tcPr>
            <w:tcW w:w="1531" w:type="dxa"/>
            <w:tcMar>
              <w:top w:w="28" w:type="dxa"/>
              <w:bottom w:w="28" w:type="dxa"/>
            </w:tcMar>
            <w:vAlign w:val="center"/>
          </w:tcPr>
          <w:p w14:paraId="51ECB3DC">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供应商资格</w:t>
            </w:r>
          </w:p>
        </w:tc>
        <w:tc>
          <w:tcPr>
            <w:tcW w:w="6184" w:type="dxa"/>
            <w:tcMar>
              <w:top w:w="28" w:type="dxa"/>
              <w:bottom w:w="28" w:type="dxa"/>
            </w:tcMar>
            <w:vAlign w:val="center"/>
          </w:tcPr>
          <w:p w14:paraId="6A3A4908">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eastAsia="zh-CN"/>
              </w:rPr>
              <w:t>满足《中华人民共和国政府采购法》第二十二条规定。</w:t>
            </w:r>
          </w:p>
          <w:p w14:paraId="5932C97E">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2、落实政府采购政策需满足的资格要求：本项目专门面向中小企业采购；</w:t>
            </w:r>
          </w:p>
          <w:p w14:paraId="6DE7C921">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（1）具备有效的建筑工程施工总承包三级及以上资质；（2）具备有效的安全生产许可证；</w:t>
            </w:r>
          </w:p>
          <w:p w14:paraId="4E02B58B">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w:t>
            </w:r>
          </w:p>
          <w:p w14:paraId="70476144">
            <w:pPr>
              <w:keepNext w:val="0"/>
              <w:keepLines w:val="0"/>
              <w:pageBreakBefore w:val="0"/>
              <w:widowControl/>
              <w:suppressLineNumbers w:val="0"/>
              <w:kinsoku/>
              <w:wordWrap/>
              <w:overflowPunct/>
              <w:topLinePunct w:val="0"/>
              <w:bidi w:val="0"/>
              <w:spacing w:line="320" w:lineRule="exact"/>
              <w:jc w:val="left"/>
              <w:textAlignment w:val="auto"/>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83D2DD3">
            <w:pPr>
              <w:keepNext w:val="0"/>
              <w:keepLines w:val="0"/>
              <w:pageBreakBefore w:val="0"/>
              <w:widowControl/>
              <w:shd w:val="clear" w:color="auto" w:fill="FFFFFF"/>
              <w:kinsoku/>
              <w:wordWrap/>
              <w:overflowPunct/>
              <w:topLinePunct w:val="0"/>
              <w:bidi w:val="0"/>
              <w:adjustRightInd w:val="0"/>
              <w:snapToGrid w:val="0"/>
              <w:spacing w:line="320" w:lineRule="exact"/>
              <w:textAlignment w:val="auto"/>
              <w:rPr>
                <w:rFonts w:ascii="仿宋" w:hAnsi="仿宋" w:eastAsia="仿宋" w:cs="Arial"/>
                <w:sz w:val="24"/>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4C1EA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83" w:type="dxa"/>
            <w:tcMar>
              <w:top w:w="28" w:type="dxa"/>
              <w:bottom w:w="28" w:type="dxa"/>
            </w:tcMar>
            <w:vAlign w:val="center"/>
          </w:tcPr>
          <w:p w14:paraId="60CCE49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5</w:t>
            </w:r>
          </w:p>
        </w:tc>
        <w:tc>
          <w:tcPr>
            <w:tcW w:w="1531" w:type="dxa"/>
            <w:tcMar>
              <w:top w:w="28" w:type="dxa"/>
              <w:bottom w:w="28" w:type="dxa"/>
            </w:tcMar>
            <w:vAlign w:val="center"/>
          </w:tcPr>
          <w:p w14:paraId="41D9AB56">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rPr>
              <w:t>响应文件</w:t>
            </w:r>
            <w:r>
              <w:rPr>
                <w:rFonts w:hint="eastAsia" w:ascii="仿宋" w:hAnsi="仿宋" w:eastAsia="仿宋"/>
                <w:bCs/>
                <w:kern w:val="0"/>
                <w:sz w:val="24"/>
                <w:lang w:eastAsia="zh-CN"/>
              </w:rPr>
              <w:t>要求</w:t>
            </w:r>
            <w:r>
              <w:rPr>
                <w:rFonts w:hint="eastAsia" w:ascii="仿宋" w:hAnsi="仿宋" w:eastAsia="仿宋"/>
                <w:bCs/>
                <w:kern w:val="0"/>
                <w:sz w:val="24"/>
              </w:rPr>
              <w:t>及组成</w:t>
            </w:r>
          </w:p>
        </w:tc>
        <w:tc>
          <w:tcPr>
            <w:tcW w:w="6184" w:type="dxa"/>
            <w:tcMar>
              <w:top w:w="28" w:type="dxa"/>
              <w:bottom w:w="28" w:type="dxa"/>
            </w:tcMar>
            <w:vAlign w:val="center"/>
          </w:tcPr>
          <w:p w14:paraId="7E92F48F">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
                <w:bCs/>
                <w:kern w:val="0"/>
                <w:sz w:val="24"/>
              </w:rPr>
            </w:pPr>
            <w:r>
              <w:rPr>
                <w:rFonts w:hint="eastAsia" w:ascii="仿宋" w:hAnsi="仿宋" w:eastAsia="仿宋"/>
                <w:kern w:val="0"/>
                <w:sz w:val="24"/>
              </w:rPr>
              <w:t>加密的电子响应文件在投标截止时间前通过CA在政采云平台上传，加密的电子响应文件为使用政采云电子投标客户端制作生成的加密版响应文件。供应商未按上述要求提供加密的电子响应文件的，将导致投标无效。</w:t>
            </w:r>
            <w:r>
              <w:rPr>
                <w:rFonts w:hint="eastAsia" w:ascii="仿宋" w:hAnsi="仿宋" w:eastAsia="仿宋"/>
                <w:kern w:val="0"/>
                <w:sz w:val="24"/>
                <w:lang w:val="en-US" w:eastAsia="zh-CN"/>
              </w:rPr>
              <w:t>详见</w:t>
            </w:r>
            <w:r>
              <w:rPr>
                <w:rFonts w:hint="eastAsia" w:ascii="仿宋" w:hAnsi="仿宋" w:eastAsia="仿宋"/>
                <w:kern w:val="0"/>
                <w:sz w:val="24"/>
              </w:rPr>
              <w:t>响应文件</w:t>
            </w:r>
            <w:r>
              <w:rPr>
                <w:rFonts w:hint="eastAsia" w:ascii="仿宋" w:hAnsi="仿宋" w:eastAsia="仿宋"/>
                <w:kern w:val="0"/>
                <w:sz w:val="24"/>
                <w:lang w:val="en-US" w:eastAsia="zh-CN"/>
              </w:rPr>
              <w:t>格式</w:t>
            </w:r>
          </w:p>
        </w:tc>
      </w:tr>
      <w:tr w14:paraId="1089F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83" w:type="dxa"/>
            <w:tcMar>
              <w:top w:w="28" w:type="dxa"/>
              <w:bottom w:w="28" w:type="dxa"/>
            </w:tcMar>
            <w:vAlign w:val="center"/>
          </w:tcPr>
          <w:p w14:paraId="5890EB68">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6</w:t>
            </w:r>
          </w:p>
        </w:tc>
        <w:tc>
          <w:tcPr>
            <w:tcW w:w="1531" w:type="dxa"/>
            <w:tcMar>
              <w:top w:w="28" w:type="dxa"/>
              <w:bottom w:w="28" w:type="dxa"/>
            </w:tcMar>
            <w:vAlign w:val="center"/>
          </w:tcPr>
          <w:p w14:paraId="2849C22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响应文件递交截止时间</w:t>
            </w:r>
          </w:p>
        </w:tc>
        <w:tc>
          <w:tcPr>
            <w:tcW w:w="6184" w:type="dxa"/>
            <w:tcMar>
              <w:top w:w="28" w:type="dxa"/>
              <w:bottom w:w="28" w:type="dxa"/>
            </w:tcMar>
            <w:vAlign w:val="center"/>
          </w:tcPr>
          <w:p w14:paraId="4F8C495F">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sz w:val="24"/>
              </w:rPr>
            </w:pPr>
            <w:r>
              <w:rPr>
                <w:rFonts w:hint="eastAsia" w:ascii="仿宋" w:hAnsi="仿宋" w:eastAsia="仿宋" w:cs="Times New Roman"/>
                <w:sz w:val="24"/>
                <w:szCs w:val="24"/>
                <w:u w:val="none"/>
                <w:lang w:val="en-US" w:eastAsia="zh-CN"/>
              </w:rPr>
              <w:t>2026年5月12日</w:t>
            </w:r>
            <w:r>
              <w:rPr>
                <w:rFonts w:hint="eastAsia" w:ascii="仿宋" w:hAnsi="仿宋" w:eastAsia="仿宋"/>
                <w:sz w:val="24"/>
                <w:szCs w:val="24"/>
                <w:u w:val="none"/>
                <w:lang w:val="en-US" w:eastAsia="zh-CN"/>
              </w:rPr>
              <w:t>10:30</w:t>
            </w:r>
            <w:r>
              <w:rPr>
                <w:rFonts w:hint="eastAsia" w:ascii="仿宋" w:hAnsi="仿宋" w:eastAsia="仿宋" w:cs="宋体"/>
                <w:sz w:val="24"/>
              </w:rPr>
              <w:t>时（北京时间）</w:t>
            </w:r>
          </w:p>
        </w:tc>
      </w:tr>
      <w:tr w14:paraId="30AFA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0632535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7</w:t>
            </w:r>
          </w:p>
        </w:tc>
        <w:tc>
          <w:tcPr>
            <w:tcW w:w="1531" w:type="dxa"/>
            <w:tcMar>
              <w:top w:w="28" w:type="dxa"/>
              <w:bottom w:w="28" w:type="dxa"/>
            </w:tcMar>
            <w:vAlign w:val="center"/>
          </w:tcPr>
          <w:p w14:paraId="501B3A3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lang w:val="en-US" w:eastAsia="zh-CN"/>
              </w:rPr>
              <w:t>投标</w:t>
            </w:r>
            <w:r>
              <w:rPr>
                <w:rFonts w:hint="eastAsia" w:ascii="仿宋" w:hAnsi="仿宋" w:eastAsia="仿宋"/>
                <w:bCs/>
                <w:kern w:val="0"/>
                <w:sz w:val="24"/>
              </w:rPr>
              <w:t>有效期限</w:t>
            </w:r>
          </w:p>
        </w:tc>
        <w:tc>
          <w:tcPr>
            <w:tcW w:w="6184" w:type="dxa"/>
            <w:tcMar>
              <w:top w:w="28" w:type="dxa"/>
              <w:bottom w:w="28" w:type="dxa"/>
            </w:tcMar>
            <w:vAlign w:val="center"/>
          </w:tcPr>
          <w:p w14:paraId="76876123">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cs="宋体"/>
                <w:snapToGrid w:val="0"/>
                <w:sz w:val="24"/>
                <w:szCs w:val="22"/>
                <w:lang w:val="zh-CN"/>
              </w:rPr>
              <w:t>自投标截止之日起</w:t>
            </w:r>
            <w:bookmarkStart w:id="23" w:name="EB5a3362fe8fc1402b9d5cafc876bbbffd"/>
            <w:bookmarkEnd w:id="23"/>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lang w:val="zh-CN"/>
              </w:rPr>
              <w:t>日历天</w:t>
            </w:r>
          </w:p>
        </w:tc>
      </w:tr>
      <w:tr w14:paraId="2DA76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48E13C4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8</w:t>
            </w:r>
          </w:p>
        </w:tc>
        <w:tc>
          <w:tcPr>
            <w:tcW w:w="1531" w:type="dxa"/>
            <w:tcMar>
              <w:top w:w="28" w:type="dxa"/>
              <w:bottom w:w="28" w:type="dxa"/>
            </w:tcMar>
            <w:vAlign w:val="center"/>
          </w:tcPr>
          <w:p w14:paraId="38261552">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响应文件递交地点</w:t>
            </w:r>
          </w:p>
        </w:tc>
        <w:tc>
          <w:tcPr>
            <w:tcW w:w="6184" w:type="dxa"/>
            <w:tcMar>
              <w:top w:w="28" w:type="dxa"/>
              <w:bottom w:w="28" w:type="dxa"/>
            </w:tcMar>
            <w:vAlign w:val="center"/>
          </w:tcPr>
          <w:p w14:paraId="43D8FE11">
            <w:pPr>
              <w:keepNext w:val="0"/>
              <w:keepLines w:val="0"/>
              <w:pageBreakBefore w:val="0"/>
              <w:widowControl/>
              <w:shd w:val="clear" w:color="auto" w:fill="FFFFFF"/>
              <w:kinsoku/>
              <w:wordWrap/>
              <w:overflowPunct/>
              <w:topLinePunct w:val="0"/>
              <w:bidi w:val="0"/>
              <w:adjustRightInd w:val="0"/>
              <w:snapToGrid w:val="0"/>
              <w:spacing w:line="400" w:lineRule="exact"/>
              <w:jc w:val="left"/>
              <w:textAlignment w:val="auto"/>
              <w:rPr>
                <w:rFonts w:ascii="仿宋" w:hAnsi="仿宋" w:eastAsia="仿宋"/>
                <w:bCs/>
                <w:spacing w:val="-10"/>
                <w:kern w:val="0"/>
                <w:sz w:val="24"/>
              </w:rPr>
            </w:pPr>
            <w:r>
              <w:rPr>
                <w:rFonts w:hint="eastAsia" w:ascii="仿宋" w:hAnsi="仿宋" w:eastAsia="仿宋"/>
                <w:b/>
                <w:bCs/>
                <w:spacing w:val="-10"/>
                <w:kern w:val="0"/>
                <w:sz w:val="24"/>
              </w:rPr>
              <w:t>本项目采用不见面磋商</w:t>
            </w:r>
            <w:r>
              <w:rPr>
                <w:rFonts w:hint="eastAsia" w:ascii="仿宋" w:hAnsi="仿宋" w:eastAsia="仿宋"/>
                <w:bCs/>
                <w:spacing w:val="-10"/>
                <w:kern w:val="0"/>
                <w:sz w:val="24"/>
              </w:rPr>
              <w:t>，加密的电子响应文件在响应文件递交截止时间前通过CA在政采云平台上传。</w:t>
            </w:r>
          </w:p>
        </w:tc>
      </w:tr>
      <w:tr w14:paraId="61078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783" w:type="dxa"/>
            <w:tcMar>
              <w:top w:w="28" w:type="dxa"/>
              <w:bottom w:w="28" w:type="dxa"/>
            </w:tcMar>
            <w:vAlign w:val="center"/>
          </w:tcPr>
          <w:p w14:paraId="463DC6E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9</w:t>
            </w:r>
          </w:p>
        </w:tc>
        <w:tc>
          <w:tcPr>
            <w:tcW w:w="1531" w:type="dxa"/>
            <w:tcMar>
              <w:top w:w="28" w:type="dxa"/>
              <w:bottom w:w="28" w:type="dxa"/>
            </w:tcMar>
            <w:vAlign w:val="center"/>
          </w:tcPr>
          <w:p w14:paraId="08017DE3">
            <w:pPr>
              <w:keepNext w:val="0"/>
              <w:keepLines w:val="0"/>
              <w:pageBreakBefore w:val="0"/>
              <w:shd w:val="clear" w:color="auto" w:fill="FFFFFF"/>
              <w:kinsoku/>
              <w:wordWrap/>
              <w:overflowPunct/>
              <w:topLinePunct w:val="0"/>
              <w:autoSpaceDE w:val="0"/>
              <w:autoSpaceDN w:val="0"/>
              <w:bidi w:val="0"/>
              <w:adjustRightInd w:val="0"/>
              <w:snapToGrid w:val="0"/>
              <w:spacing w:line="320" w:lineRule="exact"/>
              <w:jc w:val="center"/>
              <w:textAlignment w:val="auto"/>
              <w:rPr>
                <w:rFonts w:ascii="仿宋" w:hAnsi="仿宋" w:eastAsia="仿宋"/>
                <w:bCs/>
                <w:kern w:val="0"/>
                <w:sz w:val="24"/>
              </w:rPr>
            </w:pPr>
            <w:r>
              <w:rPr>
                <w:rFonts w:hint="eastAsia" w:ascii="仿宋" w:hAnsi="仿宋" w:eastAsia="仿宋"/>
                <w:bCs/>
                <w:kern w:val="0"/>
                <w:sz w:val="24"/>
                <w:lang w:val="en-US" w:eastAsia="zh-CN"/>
              </w:rPr>
              <w:t>开标</w:t>
            </w:r>
            <w:r>
              <w:rPr>
                <w:rFonts w:hint="eastAsia" w:ascii="仿宋" w:hAnsi="仿宋" w:eastAsia="仿宋"/>
                <w:bCs/>
                <w:kern w:val="0"/>
                <w:sz w:val="24"/>
              </w:rPr>
              <w:t>时间、</w:t>
            </w:r>
            <w:r>
              <w:rPr>
                <w:rFonts w:hint="eastAsia" w:ascii="仿宋" w:hAnsi="仿宋" w:eastAsia="仿宋"/>
                <w:bCs/>
                <w:kern w:val="0"/>
                <w:sz w:val="24"/>
                <w:lang w:val="en-US" w:eastAsia="zh-CN"/>
              </w:rPr>
              <w:t>开标</w:t>
            </w:r>
            <w:r>
              <w:rPr>
                <w:rFonts w:hint="eastAsia" w:ascii="仿宋" w:hAnsi="仿宋" w:eastAsia="仿宋"/>
                <w:bCs/>
                <w:kern w:val="0"/>
                <w:sz w:val="24"/>
              </w:rPr>
              <w:t>地点</w:t>
            </w:r>
          </w:p>
        </w:tc>
        <w:tc>
          <w:tcPr>
            <w:tcW w:w="6184" w:type="dxa"/>
            <w:tcMar>
              <w:top w:w="28" w:type="dxa"/>
              <w:bottom w:w="28" w:type="dxa"/>
            </w:tcMar>
            <w:vAlign w:val="center"/>
          </w:tcPr>
          <w:p w14:paraId="7B12A46E">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sz w:val="24"/>
                <w:lang w:val="en-US" w:eastAsia="zh-CN"/>
              </w:rPr>
              <w:t>开标</w:t>
            </w:r>
            <w:r>
              <w:rPr>
                <w:rFonts w:hint="eastAsia" w:ascii="仿宋" w:hAnsi="仿宋" w:eastAsia="仿宋" w:cs="宋体"/>
                <w:sz w:val="24"/>
              </w:rPr>
              <w:t>时间：</w:t>
            </w:r>
            <w:r>
              <w:rPr>
                <w:rFonts w:hint="eastAsia" w:ascii="仿宋" w:hAnsi="仿宋" w:eastAsia="仿宋" w:cs="宋体"/>
                <w:sz w:val="24"/>
                <w:lang w:val="en-US" w:eastAsia="zh-CN"/>
              </w:rPr>
              <w:t xml:space="preserve">同响应截止时间 </w:t>
            </w:r>
          </w:p>
          <w:p w14:paraId="1F6BDD04">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cs="宋体"/>
                <w:sz w:val="24"/>
              </w:rPr>
            </w:pPr>
            <w:r>
              <w:rPr>
                <w:rFonts w:hint="eastAsia" w:ascii="仿宋" w:hAnsi="仿宋" w:eastAsia="仿宋"/>
                <w:bCs/>
                <w:kern w:val="0"/>
                <w:sz w:val="24"/>
                <w:lang w:val="en-US" w:eastAsia="zh-CN"/>
              </w:rPr>
              <w:t>开标</w:t>
            </w:r>
            <w:r>
              <w:rPr>
                <w:rFonts w:hint="eastAsia" w:ascii="仿宋" w:hAnsi="仿宋" w:eastAsia="仿宋"/>
                <w:bCs/>
                <w:kern w:val="0"/>
                <w:sz w:val="24"/>
              </w:rPr>
              <w:t>地点：</w:t>
            </w:r>
            <w:r>
              <w:rPr>
                <w:rFonts w:hint="eastAsia" w:ascii="仿宋" w:hAnsi="仿宋" w:eastAsia="仿宋" w:cs="宋体"/>
                <w:sz w:val="24"/>
              </w:rPr>
              <w:t>政采云开标大厅（</w:t>
            </w:r>
            <w:r>
              <w:fldChar w:fldCharType="begin"/>
            </w:r>
            <w:r>
              <w:instrText xml:space="preserve"> HYPERLINK "https://www.zcygov.cn" </w:instrText>
            </w:r>
            <w:r>
              <w:fldChar w:fldCharType="separate"/>
            </w:r>
            <w:r>
              <w:rPr>
                <w:rStyle w:val="69"/>
                <w:rFonts w:ascii="仿宋" w:hAnsi="仿宋" w:eastAsia="仿宋" w:cs="宋体"/>
                <w:color w:val="auto"/>
                <w:sz w:val="24"/>
              </w:rPr>
              <w:t>https://www.zcygov.cn</w:t>
            </w:r>
            <w:r>
              <w:rPr>
                <w:rStyle w:val="69"/>
                <w:rFonts w:ascii="仿宋" w:hAnsi="仿宋" w:eastAsia="仿宋" w:cs="宋体"/>
                <w:color w:val="auto"/>
                <w:sz w:val="24"/>
              </w:rPr>
              <w:fldChar w:fldCharType="end"/>
            </w:r>
            <w:r>
              <w:rPr>
                <w:rFonts w:hint="eastAsia" w:ascii="仿宋" w:hAnsi="仿宋" w:eastAsia="仿宋" w:cs="宋体"/>
                <w:sz w:val="24"/>
              </w:rPr>
              <w:t>）</w:t>
            </w:r>
          </w:p>
          <w:p w14:paraId="3B9E0959">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
                <w:bCs/>
                <w:kern w:val="0"/>
                <w:sz w:val="24"/>
                <w:u w:val="single"/>
              </w:rPr>
            </w:pPr>
            <w:r>
              <w:rPr>
                <w:rFonts w:hint="eastAsia" w:ascii="仿宋" w:hAnsi="仿宋" w:eastAsia="仿宋"/>
                <w:b/>
                <w:bCs/>
                <w:kern w:val="0"/>
                <w:sz w:val="24"/>
              </w:rPr>
              <w:t>本项目采用</w:t>
            </w:r>
            <w:r>
              <w:rPr>
                <w:rFonts w:hint="eastAsia" w:ascii="仿宋" w:hAnsi="仿宋" w:eastAsia="仿宋"/>
                <w:b/>
                <w:bCs/>
                <w:kern w:val="0"/>
                <w:sz w:val="24"/>
                <w:u w:val="single"/>
              </w:rPr>
              <w:t xml:space="preserve"> 不见面开标 </w:t>
            </w:r>
            <w:r>
              <w:rPr>
                <w:rFonts w:hint="eastAsia" w:ascii="仿宋" w:hAnsi="仿宋" w:eastAsia="仿宋"/>
                <w:b/>
                <w:bCs/>
                <w:kern w:val="0"/>
                <w:sz w:val="24"/>
              </w:rPr>
              <w:t>，供应商解密时长：</w:t>
            </w:r>
            <w:r>
              <w:rPr>
                <w:rFonts w:hint="eastAsia" w:ascii="仿宋" w:hAnsi="仿宋" w:eastAsia="仿宋"/>
                <w:b/>
                <w:bCs/>
                <w:kern w:val="0"/>
                <w:sz w:val="24"/>
                <w:u w:val="single"/>
              </w:rPr>
              <w:t>30分钟</w:t>
            </w:r>
          </w:p>
          <w:p w14:paraId="6E5DAC66">
            <w:pPr>
              <w:keepNext w:val="0"/>
              <w:keepLines w:val="0"/>
              <w:pageBreakBefore w:val="0"/>
              <w:widowControl/>
              <w:shd w:val="clear" w:color="auto" w:fill="FFFFFF"/>
              <w:kinsoku/>
              <w:wordWrap/>
              <w:overflowPunct/>
              <w:topLinePunct w:val="0"/>
              <w:bidi w:val="0"/>
              <w:adjustRightInd w:val="0"/>
              <w:snapToGrid w:val="0"/>
              <w:spacing w:line="320" w:lineRule="exact"/>
              <w:jc w:val="left"/>
              <w:textAlignment w:val="auto"/>
              <w:rPr>
                <w:rFonts w:ascii="仿宋" w:hAnsi="仿宋" w:eastAsia="仿宋"/>
                <w:bCs/>
                <w:kern w:val="0"/>
                <w:sz w:val="24"/>
              </w:rPr>
            </w:pPr>
            <w:r>
              <w:rPr>
                <w:rFonts w:hint="eastAsia" w:ascii="仿宋" w:hAnsi="仿宋" w:eastAsia="仿宋"/>
                <w:bCs/>
                <w:kern w:val="0"/>
                <w:sz w:val="24"/>
              </w:rPr>
              <w:t>备注：</w:t>
            </w:r>
          </w:p>
          <w:p w14:paraId="71EB5DF1">
            <w:pPr>
              <w:keepNext w:val="0"/>
              <w:keepLines w:val="0"/>
              <w:pageBreakBefore w:val="0"/>
              <w:widowControl/>
              <w:shd w:val="clear" w:color="auto" w:fill="FFFFFF"/>
              <w:kinsoku/>
              <w:wordWrap/>
              <w:overflowPunct/>
              <w:topLinePunct w:val="0"/>
              <w:bidi w:val="0"/>
              <w:adjustRightInd w:val="0"/>
              <w:snapToGrid w:val="0"/>
              <w:spacing w:line="320" w:lineRule="exact"/>
              <w:jc w:val="left"/>
              <w:textAlignment w:val="auto"/>
              <w:rPr>
                <w:rFonts w:ascii="仿宋" w:hAnsi="仿宋" w:eastAsia="仿宋"/>
                <w:bCs/>
                <w:kern w:val="0"/>
                <w:sz w:val="24"/>
              </w:rPr>
            </w:pPr>
            <w:r>
              <w:rPr>
                <w:rFonts w:hint="eastAsia" w:ascii="仿宋" w:hAnsi="仿宋" w:eastAsia="仿宋"/>
                <w:bCs/>
                <w:kern w:val="0"/>
                <w:sz w:val="24"/>
              </w:rPr>
              <w:t>①供应商开标时须使用制作加密电子响应文件所用的CA锁并在规定的时间内完成远程解密，因供应商自身原因未能解密、解密失败或解密超时，将导致其投标被拒绝且响应文件被退回；</w:t>
            </w:r>
          </w:p>
          <w:p w14:paraId="34CE2995">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bCs/>
                <w:kern w:val="0"/>
                <w:sz w:val="24"/>
              </w:rPr>
              <w:t>②因网上招标系统故障导致所有供应商均解密失败，由采购人或采购代理机构现场请示项目主管部门处理。</w:t>
            </w:r>
          </w:p>
          <w:p w14:paraId="6FE04633">
            <w:pPr>
              <w:pStyle w:val="750"/>
              <w:keepNext w:val="0"/>
              <w:keepLines w:val="0"/>
              <w:pageBreakBefore w:val="0"/>
              <w:kinsoku/>
              <w:wordWrap/>
              <w:overflowPunct/>
              <w:topLinePunct w:val="0"/>
              <w:bidi w:val="0"/>
              <w:adjustRightInd w:val="0"/>
              <w:snapToGrid w:val="0"/>
              <w:spacing w:line="320" w:lineRule="exact"/>
              <w:textAlignment w:val="auto"/>
              <w:rPr>
                <w:rFonts w:ascii="仿宋" w:hAnsi="仿宋" w:eastAsia="仿宋" w:cs="宋体"/>
                <w:kern w:val="2"/>
                <w:sz w:val="24"/>
                <w:szCs w:val="24"/>
              </w:rPr>
            </w:pPr>
            <w:r>
              <w:rPr>
                <w:rFonts w:hint="eastAsia" w:ascii="仿宋" w:hAnsi="仿宋" w:eastAsia="仿宋" w:cs="宋体"/>
                <w:kern w:val="2"/>
                <w:sz w:val="24"/>
                <w:szCs w:val="24"/>
              </w:rPr>
              <w:t>③关于能否延长解密时间的约定：开标现场若发现默认解密时长不足，由采购人决定是否延长解密时长。</w:t>
            </w:r>
          </w:p>
          <w:p w14:paraId="66E4A9B9">
            <w:pPr>
              <w:keepNext w:val="0"/>
              <w:keepLines w:val="0"/>
              <w:pageBreakBefore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sz w:val="24"/>
              </w:rPr>
              <w:t>④磋商结束后，所有参加磋商的供应商按照磋商小组的要求做最后报价。（注：第二轮报价时限30分钟，具体时限以系统默认时长为准）。</w:t>
            </w:r>
          </w:p>
        </w:tc>
      </w:tr>
      <w:tr w14:paraId="22B9A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3" w:type="dxa"/>
            <w:tcMar>
              <w:top w:w="28" w:type="dxa"/>
              <w:bottom w:w="28" w:type="dxa"/>
            </w:tcMar>
            <w:vAlign w:val="center"/>
          </w:tcPr>
          <w:p w14:paraId="2985B23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10</w:t>
            </w:r>
          </w:p>
        </w:tc>
        <w:tc>
          <w:tcPr>
            <w:tcW w:w="1531" w:type="dxa"/>
            <w:tcMar>
              <w:top w:w="28" w:type="dxa"/>
              <w:bottom w:w="28" w:type="dxa"/>
            </w:tcMar>
            <w:vAlign w:val="center"/>
          </w:tcPr>
          <w:p w14:paraId="0E415D0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评标办法</w:t>
            </w:r>
          </w:p>
        </w:tc>
        <w:tc>
          <w:tcPr>
            <w:tcW w:w="6184" w:type="dxa"/>
            <w:tcMar>
              <w:top w:w="28" w:type="dxa"/>
              <w:bottom w:w="28" w:type="dxa"/>
            </w:tcMar>
            <w:vAlign w:val="center"/>
          </w:tcPr>
          <w:p w14:paraId="5D926941">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bCs/>
                <w:kern w:val="0"/>
                <w:sz w:val="24"/>
              </w:rPr>
              <w:t>综合评分法</w:t>
            </w:r>
          </w:p>
        </w:tc>
      </w:tr>
      <w:tr w14:paraId="70845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3" w:type="dxa"/>
            <w:tcMar>
              <w:top w:w="28" w:type="dxa"/>
              <w:bottom w:w="28" w:type="dxa"/>
            </w:tcMar>
            <w:vAlign w:val="center"/>
          </w:tcPr>
          <w:p w14:paraId="0C8C5C2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kern w:val="0"/>
                <w:sz w:val="24"/>
              </w:rPr>
            </w:pPr>
          </w:p>
        </w:tc>
        <w:tc>
          <w:tcPr>
            <w:tcW w:w="1531" w:type="dxa"/>
            <w:tcMar>
              <w:top w:w="28" w:type="dxa"/>
              <w:bottom w:w="28" w:type="dxa"/>
            </w:tcMar>
            <w:vAlign w:val="center"/>
          </w:tcPr>
          <w:p w14:paraId="6BE24ADF">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jc w:val="center"/>
              <w:textAlignment w:val="auto"/>
              <w:rPr>
                <w:rFonts w:hint="eastAsia" w:ascii="仿宋" w:hAnsi="仿宋" w:eastAsia="仿宋"/>
                <w:bCs/>
                <w:kern w:val="0"/>
                <w:sz w:val="24"/>
              </w:rPr>
            </w:pPr>
            <w:r>
              <w:rPr>
                <w:rFonts w:hint="eastAsia" w:ascii="仿宋" w:hAnsi="仿宋" w:eastAsia="仿宋" w:cs="Times New Roman"/>
                <w:bCs/>
                <w:kern w:val="0"/>
                <w:sz w:val="24"/>
                <w:szCs w:val="24"/>
              </w:rPr>
              <w:t>对磋商文件的质疑</w:t>
            </w:r>
          </w:p>
        </w:tc>
        <w:tc>
          <w:tcPr>
            <w:tcW w:w="6184" w:type="dxa"/>
            <w:tcMar>
              <w:top w:w="28" w:type="dxa"/>
              <w:bottom w:w="28" w:type="dxa"/>
            </w:tcMar>
            <w:vAlign w:val="center"/>
          </w:tcPr>
          <w:p w14:paraId="6D0DF5DA">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供应商如需对磋商文件内容质疑，须按以下要求提出：</w:t>
            </w:r>
          </w:p>
          <w:p w14:paraId="258D855C">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①</w:t>
            </w:r>
            <w:r>
              <w:rPr>
                <w:rFonts w:hint="eastAsia" w:ascii="仿宋" w:hAnsi="仿宋" w:eastAsia="仿宋" w:cs="仿宋"/>
                <w:bCs/>
                <w:sz w:val="24"/>
                <w:szCs w:val="24"/>
              </w:rPr>
              <w:t>供应商应在法定质疑期内一次性提出所有质疑内容</w:t>
            </w:r>
            <w:r>
              <w:rPr>
                <w:rFonts w:hint="eastAsia" w:ascii="仿宋" w:hAnsi="仿宋" w:eastAsia="仿宋"/>
                <w:bCs/>
                <w:sz w:val="24"/>
                <w:szCs w:val="24"/>
              </w:rPr>
              <w:t>。</w:t>
            </w:r>
          </w:p>
          <w:p w14:paraId="4A1AC537">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ascii="仿宋" w:hAnsi="仿宋" w:eastAsia="仿宋"/>
                <w:bCs/>
                <w:sz w:val="24"/>
                <w:szCs w:val="24"/>
              </w:rPr>
            </w:pPr>
            <w:r>
              <w:rPr>
                <w:rFonts w:hint="eastAsia" w:ascii="仿宋" w:hAnsi="仿宋" w:eastAsia="仿宋"/>
                <w:bCs/>
                <w:sz w:val="24"/>
                <w:szCs w:val="24"/>
              </w:rPr>
              <w:t>②质疑函应以书面形式（按照财政部94号令要求）通知采购代理机构。采购代理机构将在收到质疑函后7个工作日内作出答复，并以书面形式通知质疑供应商和其他有关供应商。</w:t>
            </w:r>
          </w:p>
          <w:p w14:paraId="28C5D819">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hint="eastAsia" w:ascii="仿宋" w:hAnsi="仿宋" w:eastAsia="仿宋"/>
                <w:bCs/>
                <w:sz w:val="24"/>
              </w:rPr>
            </w:pPr>
            <w:r>
              <w:rPr>
                <w:rFonts w:hint="eastAsia" w:ascii="仿宋" w:hAnsi="仿宋" w:eastAsia="仿宋"/>
                <w:bCs/>
                <w:sz w:val="24"/>
                <w:szCs w:val="24"/>
              </w:rPr>
              <w:t>③联系部门：</w:t>
            </w:r>
            <w:r>
              <w:rPr>
                <w:rFonts w:hint="eastAsia" w:ascii="仿宋" w:hAnsi="仿宋" w:eastAsia="仿宋"/>
                <w:bCs/>
                <w:sz w:val="24"/>
              </w:rPr>
              <w:t>新疆新之建工程咨询有限公司</w:t>
            </w:r>
          </w:p>
          <w:p w14:paraId="1A74C6AF">
            <w:pPr>
              <w:pStyle w:val="87"/>
              <w:keepNext w:val="0"/>
              <w:keepLines w:val="0"/>
              <w:pageBreakBefore w:val="0"/>
              <w:widowControl w:val="0"/>
              <w:shd w:val="clear" w:color="auto" w:fill="FFFFFF"/>
              <w:kinsoku/>
              <w:wordWrap/>
              <w:overflowPunct/>
              <w:topLinePunct w:val="0"/>
              <w:bidi w:val="0"/>
              <w:adjustRightInd w:val="0"/>
              <w:snapToGrid w:val="0"/>
              <w:spacing w:line="320" w:lineRule="exact"/>
              <w:ind w:firstLine="0" w:firstLineChars="0"/>
              <w:textAlignment w:val="auto"/>
              <w:rPr>
                <w:rFonts w:hint="default" w:ascii="仿宋" w:hAnsi="仿宋" w:eastAsia="仿宋"/>
                <w:bCs/>
                <w:sz w:val="24"/>
                <w:szCs w:val="24"/>
                <w:lang w:val="en-US" w:eastAsia="zh-CN"/>
              </w:rPr>
            </w:pPr>
            <w:r>
              <w:rPr>
                <w:rFonts w:hint="eastAsia" w:ascii="仿宋" w:hAnsi="仿宋" w:eastAsia="仿宋"/>
                <w:bCs/>
                <w:sz w:val="24"/>
                <w:szCs w:val="24"/>
              </w:rPr>
              <w:t>④联系电话：</w:t>
            </w:r>
            <w:r>
              <w:rPr>
                <w:rFonts w:hint="eastAsia" w:ascii="仿宋" w:hAnsi="仿宋" w:eastAsia="仿宋"/>
                <w:bCs/>
                <w:sz w:val="24"/>
                <w:szCs w:val="24"/>
                <w:lang w:val="en-US" w:eastAsia="zh-CN"/>
              </w:rPr>
              <w:t>董蕊</w:t>
            </w:r>
            <w:r>
              <w:rPr>
                <w:rFonts w:hint="eastAsia" w:ascii="仿宋" w:hAnsi="仿宋" w:eastAsia="仿宋" w:cs="宋体"/>
                <w:sz w:val="24"/>
                <w:szCs w:val="24"/>
                <w:lang w:val="en-US" w:eastAsia="zh-CN"/>
              </w:rPr>
              <w:t>13399958618</w:t>
            </w:r>
          </w:p>
          <w:p w14:paraId="046D0673">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hint="eastAsia" w:ascii="仿宋" w:hAnsi="仿宋" w:eastAsia="仿宋"/>
                <w:bCs/>
                <w:kern w:val="0"/>
                <w:sz w:val="24"/>
              </w:rPr>
            </w:pPr>
            <w:r>
              <w:rPr>
                <w:rFonts w:hint="eastAsia" w:ascii="仿宋" w:hAnsi="仿宋" w:eastAsia="仿宋" w:cstheme="minorBidi"/>
                <w:bCs/>
                <w:color w:val="auto"/>
                <w:kern w:val="2"/>
                <w:sz w:val="24"/>
                <w:szCs w:val="22"/>
                <w:lang w:val="en-US" w:eastAsia="zh-CN" w:bidi="ar-SA"/>
              </w:rPr>
              <w:t>⑤通讯地址：新疆吐鲁番市高昌区新编15区文化路南侧滨湖花园小区对面3层</w:t>
            </w:r>
          </w:p>
        </w:tc>
      </w:tr>
      <w:tr w14:paraId="7783B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83" w:type="dxa"/>
            <w:tcMar>
              <w:top w:w="28" w:type="dxa"/>
              <w:bottom w:w="28" w:type="dxa"/>
            </w:tcMar>
            <w:vAlign w:val="center"/>
          </w:tcPr>
          <w:p w14:paraId="4D1663A2">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11</w:t>
            </w:r>
          </w:p>
        </w:tc>
        <w:tc>
          <w:tcPr>
            <w:tcW w:w="1531" w:type="dxa"/>
            <w:tcMar>
              <w:top w:w="28" w:type="dxa"/>
              <w:bottom w:w="28" w:type="dxa"/>
            </w:tcMar>
            <w:vAlign w:val="center"/>
          </w:tcPr>
          <w:p w14:paraId="452DC2C3">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bCs/>
                <w:kern w:val="0"/>
                <w:sz w:val="24"/>
              </w:rPr>
            </w:pPr>
            <w:r>
              <w:rPr>
                <w:rFonts w:hint="eastAsia" w:ascii="仿宋" w:hAnsi="仿宋" w:eastAsia="仿宋"/>
                <w:bCs/>
                <w:kern w:val="0"/>
                <w:sz w:val="24"/>
              </w:rPr>
              <w:t>评标委员会的组成</w:t>
            </w:r>
          </w:p>
        </w:tc>
        <w:tc>
          <w:tcPr>
            <w:tcW w:w="6184" w:type="dxa"/>
            <w:tcMar>
              <w:top w:w="28" w:type="dxa"/>
              <w:bottom w:w="28" w:type="dxa"/>
            </w:tcMar>
            <w:vAlign w:val="center"/>
          </w:tcPr>
          <w:p w14:paraId="57CEC4F8">
            <w:pPr>
              <w:pStyle w:val="759"/>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采购单位依法组建评标委员会共3人组成，其中采购人代表1人和评审专家2人。</w:t>
            </w:r>
          </w:p>
          <w:p w14:paraId="59B21FD2">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2AFC0FB2">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仿宋"/>
                <w:color w:val="auto"/>
                <w:sz w:val="24"/>
                <w:szCs w:val="24"/>
                <w:highlight w:val="none"/>
                <w:lang w:val="en-US" w:eastAsia="zh-CN"/>
              </w:rPr>
              <w:t>□其他方式：/</w:t>
            </w:r>
          </w:p>
        </w:tc>
      </w:tr>
      <w:tr w14:paraId="4EFFD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783" w:type="dxa"/>
            <w:tcMar>
              <w:top w:w="28" w:type="dxa"/>
              <w:bottom w:w="28" w:type="dxa"/>
            </w:tcMar>
            <w:vAlign w:val="center"/>
          </w:tcPr>
          <w:p w14:paraId="1E24059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12</w:t>
            </w:r>
          </w:p>
        </w:tc>
        <w:tc>
          <w:tcPr>
            <w:tcW w:w="1531" w:type="dxa"/>
            <w:tcMar>
              <w:top w:w="28" w:type="dxa"/>
              <w:bottom w:w="28" w:type="dxa"/>
            </w:tcMar>
            <w:vAlign w:val="center"/>
          </w:tcPr>
          <w:p w14:paraId="3BD67FF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磋商保证金</w:t>
            </w:r>
          </w:p>
        </w:tc>
        <w:tc>
          <w:tcPr>
            <w:tcW w:w="6184" w:type="dxa"/>
            <w:tcMar>
              <w:top w:w="28" w:type="dxa"/>
              <w:bottom w:w="28" w:type="dxa"/>
            </w:tcMar>
            <w:vAlign w:val="center"/>
          </w:tcPr>
          <w:p w14:paraId="0F95B199">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0元</w:t>
            </w:r>
            <w:r>
              <w:rPr>
                <w:rFonts w:hint="eastAsia" w:ascii="仿宋" w:hAnsi="仿宋" w:eastAsia="仿宋" w:cs="宋体"/>
                <w:b/>
                <w:bCs w:val="0"/>
                <w:snapToGrid w:val="0"/>
                <w:sz w:val="24"/>
                <w:szCs w:val="22"/>
                <w:lang w:val="en-US" w:eastAsia="zh-CN"/>
              </w:rPr>
              <w:t>（本项目不收取投标保证金）</w:t>
            </w:r>
          </w:p>
          <w:p w14:paraId="18BF6EC4">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5A6867ED">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5C23DF7F">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4F4FCF3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0ECA876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49246073">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6C701381">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2F41760">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1817826E">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52FA8318">
            <w:pPr>
              <w:pStyle w:val="759"/>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A2012F0">
            <w:pPr>
              <w:keepNext w:val="0"/>
              <w:keepLines w:val="0"/>
              <w:pageBreakBefore w:val="0"/>
              <w:widowControl w:val="0"/>
              <w:shd w:val="clear" w:color="auto" w:fill="FFFFFF"/>
              <w:kinsoku/>
              <w:wordWrap/>
              <w:overflowPunct/>
              <w:topLinePunct w:val="0"/>
              <w:autoSpaceDE w:val="0"/>
              <w:autoSpaceDN w:val="0"/>
              <w:bidi w:val="0"/>
              <w:adjustRightInd w:val="0"/>
              <w:snapToGrid w:val="0"/>
              <w:spacing w:line="320" w:lineRule="exact"/>
              <w:textAlignment w:val="auto"/>
              <w:rPr>
                <w:rFonts w:ascii="仿宋" w:hAnsi="仿宋" w:eastAsia="仿宋"/>
                <w:bCs/>
                <w:kern w:val="0"/>
                <w:sz w:val="24"/>
              </w:rPr>
            </w:pPr>
            <w:r>
              <w:rPr>
                <w:rFonts w:hint="eastAsia" w:ascii="仿宋" w:hAnsi="仿宋" w:eastAsia="仿宋" w:cs="宋体"/>
                <w:bCs/>
                <w:snapToGrid w:val="0"/>
                <w:sz w:val="24"/>
                <w:szCs w:val="22"/>
                <w:lang w:val="en-US" w:eastAsia="zh-CN"/>
              </w:rPr>
              <w:t>投标保证金（投标电子保函）有效期与投标有效期一致。</w:t>
            </w:r>
          </w:p>
        </w:tc>
      </w:tr>
      <w:tr w14:paraId="5ED18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3" w:type="dxa"/>
            <w:tcMar>
              <w:top w:w="28" w:type="dxa"/>
              <w:bottom w:w="28" w:type="dxa"/>
            </w:tcMar>
            <w:vAlign w:val="center"/>
          </w:tcPr>
          <w:p w14:paraId="2879B22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13</w:t>
            </w:r>
          </w:p>
        </w:tc>
        <w:tc>
          <w:tcPr>
            <w:tcW w:w="1531" w:type="dxa"/>
            <w:tcMar>
              <w:top w:w="28" w:type="dxa"/>
              <w:bottom w:w="28" w:type="dxa"/>
            </w:tcMar>
            <w:vAlign w:val="center"/>
          </w:tcPr>
          <w:p w14:paraId="7A1F692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磋商文件售价</w:t>
            </w:r>
          </w:p>
        </w:tc>
        <w:tc>
          <w:tcPr>
            <w:tcW w:w="6184" w:type="dxa"/>
            <w:tcMar>
              <w:top w:w="28" w:type="dxa"/>
              <w:bottom w:w="28" w:type="dxa"/>
            </w:tcMar>
            <w:vAlign w:val="center"/>
          </w:tcPr>
          <w:p w14:paraId="0B800C89">
            <w:pPr>
              <w:keepNext w:val="0"/>
              <w:keepLines w:val="0"/>
              <w:pageBreakBefore w:val="0"/>
              <w:shd w:val="clear" w:color="auto" w:fill="FFFFFF"/>
              <w:kinsoku/>
              <w:wordWrap/>
              <w:overflowPunct/>
              <w:topLinePunct w:val="0"/>
              <w:autoSpaceDE w:val="0"/>
              <w:autoSpaceDN w:val="0"/>
              <w:bidi w:val="0"/>
              <w:adjustRightInd w:val="0"/>
              <w:snapToGrid w:val="0"/>
              <w:spacing w:line="400" w:lineRule="exact"/>
              <w:textAlignment w:val="auto"/>
              <w:rPr>
                <w:rFonts w:ascii="仿宋" w:hAnsi="仿宋" w:eastAsia="仿宋"/>
                <w:bCs/>
                <w:kern w:val="0"/>
                <w:sz w:val="24"/>
              </w:rPr>
            </w:pPr>
            <w:r>
              <w:rPr>
                <w:rFonts w:hint="eastAsia" w:ascii="仿宋" w:hAnsi="仿宋" w:eastAsia="仿宋"/>
                <w:sz w:val="24"/>
              </w:rPr>
              <w:t>政采云平台免费下载。</w:t>
            </w:r>
          </w:p>
        </w:tc>
      </w:tr>
      <w:tr w14:paraId="07C72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83" w:type="dxa"/>
            <w:tcMar>
              <w:top w:w="28" w:type="dxa"/>
              <w:bottom w:w="28" w:type="dxa"/>
            </w:tcMar>
            <w:vAlign w:val="center"/>
          </w:tcPr>
          <w:p w14:paraId="1AB238A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14</w:t>
            </w:r>
          </w:p>
        </w:tc>
        <w:tc>
          <w:tcPr>
            <w:tcW w:w="1531" w:type="dxa"/>
            <w:tcMar>
              <w:top w:w="28" w:type="dxa"/>
              <w:bottom w:w="28" w:type="dxa"/>
            </w:tcMar>
            <w:vAlign w:val="center"/>
          </w:tcPr>
          <w:p w14:paraId="41C058BA">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bCs/>
                <w:kern w:val="0"/>
                <w:sz w:val="24"/>
              </w:rPr>
              <w:t>履约保证金</w:t>
            </w:r>
          </w:p>
        </w:tc>
        <w:tc>
          <w:tcPr>
            <w:tcW w:w="6184" w:type="dxa"/>
            <w:tcMar>
              <w:top w:w="28" w:type="dxa"/>
              <w:bottom w:w="28" w:type="dxa"/>
            </w:tcMar>
            <w:vAlign w:val="center"/>
          </w:tcPr>
          <w:p w14:paraId="1B5A19AA">
            <w:pPr>
              <w:pStyle w:val="700"/>
              <w:keepNext w:val="0"/>
              <w:keepLines w:val="0"/>
              <w:pageBreakBefore w:val="0"/>
              <w:kinsoku/>
              <w:wordWrap/>
              <w:overflowPunct/>
              <w:topLinePunct w:val="0"/>
              <w:bidi w:val="0"/>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22C7C956">
            <w:pPr>
              <w:pStyle w:val="700"/>
              <w:keepNext w:val="0"/>
              <w:keepLines w:val="0"/>
              <w:pageBreakBefore w:val="0"/>
              <w:kinsoku/>
              <w:wordWrap/>
              <w:overflowPunct/>
              <w:topLinePunct w:val="0"/>
              <w:bidi w:val="0"/>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78B0B4A0">
            <w:pPr>
              <w:keepNext w:val="0"/>
              <w:keepLines w:val="0"/>
              <w:pageBreakBefore w:val="0"/>
              <w:kinsoku/>
              <w:wordWrap/>
              <w:overflowPunct/>
              <w:topLinePunct w:val="0"/>
              <w:bidi w:val="0"/>
              <w:adjustRightInd w:val="0"/>
              <w:snapToGrid w:val="0"/>
              <w:spacing w:line="400" w:lineRule="exact"/>
              <w:textAlignment w:val="auto"/>
              <w:rPr>
                <w:rFonts w:hint="default" w:ascii="仿宋" w:hAnsi="仿宋" w:eastAsia="仿宋"/>
                <w:sz w:val="24"/>
                <w:lang w:val="en-US" w:eastAsia="zh-CN"/>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6D86A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83" w:type="dxa"/>
            <w:vMerge w:val="restart"/>
            <w:tcMar>
              <w:top w:w="28" w:type="dxa"/>
              <w:bottom w:w="28" w:type="dxa"/>
            </w:tcMar>
            <w:vAlign w:val="center"/>
          </w:tcPr>
          <w:p w14:paraId="061864E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15</w:t>
            </w:r>
          </w:p>
        </w:tc>
        <w:tc>
          <w:tcPr>
            <w:tcW w:w="1531" w:type="dxa"/>
            <w:tcMar>
              <w:top w:w="28" w:type="dxa"/>
              <w:bottom w:w="28" w:type="dxa"/>
            </w:tcMar>
            <w:vAlign w:val="center"/>
          </w:tcPr>
          <w:p w14:paraId="746C784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color w:val="auto"/>
                <w:sz w:val="24"/>
                <w:szCs w:val="24"/>
                <w:lang w:val="en-US" w:eastAsia="zh-CN"/>
              </w:rPr>
              <w:t>合同履行期限</w:t>
            </w:r>
          </w:p>
        </w:tc>
        <w:tc>
          <w:tcPr>
            <w:tcW w:w="6184" w:type="dxa"/>
            <w:tcMar>
              <w:top w:w="28" w:type="dxa"/>
              <w:bottom w:w="28" w:type="dxa"/>
            </w:tcMar>
            <w:vAlign w:val="center"/>
          </w:tcPr>
          <w:p w14:paraId="6B247791">
            <w:pPr>
              <w:keepNext w:val="0"/>
              <w:keepLines w:val="0"/>
              <w:pageBreakBefore w:val="0"/>
              <w:kinsoku/>
              <w:wordWrap/>
              <w:overflowPunct/>
              <w:topLinePunct w:val="0"/>
              <w:bidi w:val="0"/>
              <w:adjustRightInd w:val="0"/>
              <w:snapToGrid w:val="0"/>
              <w:spacing w:line="400" w:lineRule="exact"/>
              <w:textAlignment w:val="auto"/>
              <w:rPr>
                <w:rFonts w:hint="default" w:ascii="仿宋" w:hAnsi="仿宋" w:eastAsia="仿宋" w:cs="Calibri"/>
                <w:bCs/>
                <w:sz w:val="24"/>
                <w:lang w:val="en-US" w:eastAsia="zh-CN"/>
              </w:rPr>
            </w:pPr>
            <w:r>
              <w:rPr>
                <w:rFonts w:hint="eastAsia" w:ascii="仿宋" w:hAnsi="仿宋" w:eastAsia="仿宋" w:cs="Calibri"/>
                <w:bCs/>
                <w:sz w:val="24"/>
                <w:lang w:val="en-US" w:eastAsia="zh-CN"/>
              </w:rPr>
              <w:t>工期164天</w:t>
            </w:r>
          </w:p>
        </w:tc>
      </w:tr>
      <w:tr w14:paraId="7E504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83" w:type="dxa"/>
            <w:vMerge w:val="continue"/>
            <w:tcMar>
              <w:top w:w="28" w:type="dxa"/>
              <w:bottom w:w="28" w:type="dxa"/>
            </w:tcMar>
            <w:vAlign w:val="center"/>
          </w:tcPr>
          <w:p w14:paraId="79A5F7B7">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p>
        </w:tc>
        <w:tc>
          <w:tcPr>
            <w:tcW w:w="1531" w:type="dxa"/>
            <w:tcMar>
              <w:top w:w="28" w:type="dxa"/>
              <w:bottom w:w="28" w:type="dxa"/>
            </w:tcMar>
            <w:vAlign w:val="center"/>
          </w:tcPr>
          <w:p w14:paraId="3E89A801">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jc w:val="center"/>
              <w:textAlignment w:val="auto"/>
              <w:rPr>
                <w:rFonts w:ascii="仿宋" w:hAnsi="仿宋" w:eastAsia="仿宋" w:cs="Calibri"/>
                <w:bCs/>
                <w:kern w:val="0"/>
                <w:sz w:val="24"/>
                <w:szCs w:val="24"/>
              </w:rPr>
            </w:pPr>
            <w:r>
              <w:rPr>
                <w:rFonts w:hint="eastAsia" w:ascii="仿宋" w:hAnsi="仿宋" w:eastAsia="仿宋" w:cs="Calibri"/>
                <w:bCs/>
                <w:kern w:val="0"/>
                <w:sz w:val="24"/>
                <w:szCs w:val="24"/>
                <w:lang w:eastAsia="zh-CN"/>
              </w:rPr>
              <w:t>项目</w:t>
            </w:r>
            <w:r>
              <w:rPr>
                <w:rFonts w:hint="eastAsia" w:ascii="仿宋" w:hAnsi="仿宋" w:eastAsia="仿宋" w:cs="Calibri"/>
                <w:bCs/>
                <w:kern w:val="0"/>
                <w:sz w:val="24"/>
                <w:szCs w:val="24"/>
              </w:rPr>
              <w:t>地点</w:t>
            </w:r>
          </w:p>
        </w:tc>
        <w:tc>
          <w:tcPr>
            <w:tcW w:w="6184" w:type="dxa"/>
            <w:tcMar>
              <w:top w:w="28" w:type="dxa"/>
              <w:bottom w:w="28" w:type="dxa"/>
            </w:tcMar>
            <w:vAlign w:val="center"/>
          </w:tcPr>
          <w:p w14:paraId="109E975B">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textAlignment w:val="auto"/>
              <w:rPr>
                <w:rFonts w:hint="default" w:ascii="仿宋" w:hAnsi="仿宋" w:eastAsia="仿宋" w:cs="Calibri"/>
                <w:bCs/>
                <w:kern w:val="0"/>
                <w:sz w:val="24"/>
                <w:szCs w:val="24"/>
                <w:lang w:val="en-US"/>
              </w:rPr>
            </w:pPr>
            <w:r>
              <w:rPr>
                <w:rFonts w:hint="eastAsia" w:ascii="仿宋" w:hAnsi="仿宋" w:eastAsia="仿宋"/>
                <w:b w:val="0"/>
                <w:bCs/>
                <w:sz w:val="24"/>
                <w:szCs w:val="24"/>
              </w:rPr>
              <w:t>托克逊县库米什镇</w:t>
            </w:r>
          </w:p>
        </w:tc>
      </w:tr>
      <w:tr w14:paraId="3AD9D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3" w:type="dxa"/>
            <w:tcMar>
              <w:top w:w="28" w:type="dxa"/>
              <w:bottom w:w="28" w:type="dxa"/>
            </w:tcMar>
            <w:vAlign w:val="center"/>
          </w:tcPr>
          <w:p w14:paraId="0EB3E16C">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16</w:t>
            </w:r>
          </w:p>
        </w:tc>
        <w:tc>
          <w:tcPr>
            <w:tcW w:w="1531" w:type="dxa"/>
            <w:tcMar>
              <w:top w:w="28" w:type="dxa"/>
              <w:bottom w:w="28" w:type="dxa"/>
            </w:tcMar>
            <w:vAlign w:val="center"/>
          </w:tcPr>
          <w:p w14:paraId="5F95F4E6">
            <w:pPr>
              <w:pStyle w:val="87"/>
              <w:keepNext w:val="0"/>
              <w:keepLines w:val="0"/>
              <w:pageBreakBefore w:val="0"/>
              <w:shd w:val="clear" w:color="auto" w:fill="FFFFFF"/>
              <w:kinsoku/>
              <w:wordWrap/>
              <w:overflowPunct/>
              <w:topLinePunct w:val="0"/>
              <w:bidi w:val="0"/>
              <w:adjustRightInd w:val="0"/>
              <w:snapToGrid w:val="0"/>
              <w:spacing w:line="400" w:lineRule="exact"/>
              <w:ind w:firstLine="0" w:firstLineChars="0"/>
              <w:jc w:val="center"/>
              <w:textAlignment w:val="auto"/>
              <w:rPr>
                <w:rFonts w:ascii="仿宋" w:hAnsi="仿宋" w:eastAsia="仿宋" w:cs="Calibri"/>
                <w:bCs/>
                <w:kern w:val="0"/>
                <w:sz w:val="24"/>
                <w:szCs w:val="24"/>
              </w:rPr>
            </w:pPr>
            <w:r>
              <w:rPr>
                <w:rFonts w:hint="eastAsia" w:ascii="仿宋" w:hAnsi="仿宋" w:eastAsia="仿宋" w:cs="Calibri"/>
                <w:bCs/>
                <w:kern w:val="0"/>
                <w:sz w:val="24"/>
                <w:szCs w:val="24"/>
              </w:rPr>
              <w:t>付款方式</w:t>
            </w:r>
          </w:p>
        </w:tc>
        <w:tc>
          <w:tcPr>
            <w:tcW w:w="6184" w:type="dxa"/>
            <w:tcMar>
              <w:top w:w="28" w:type="dxa"/>
              <w:bottom w:w="28" w:type="dxa"/>
            </w:tcMar>
            <w:vAlign w:val="center"/>
          </w:tcPr>
          <w:p w14:paraId="15D20B46">
            <w:pPr>
              <w:pStyle w:val="307"/>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仿宋" w:hAnsi="仿宋" w:eastAsia="仿宋"/>
                <w:color w:val="auto"/>
                <w:sz w:val="24"/>
                <w:lang w:eastAsia="zh-CN"/>
              </w:rPr>
            </w:pPr>
            <w:r>
              <w:rPr>
                <w:rFonts w:hint="eastAsia" w:ascii="仿宋" w:hAnsi="仿宋" w:eastAsia="仿宋" w:cs="宋体"/>
                <w:snapToGrid w:val="0"/>
                <w:color w:val="auto"/>
                <w:kern w:val="0"/>
                <w:sz w:val="24"/>
                <w:szCs w:val="22"/>
                <w:lang w:val="en-US" w:eastAsia="zh-CN" w:bidi="ar-SA"/>
              </w:rPr>
              <w:t>施工合同签订开工后，首次按合同价30%支付。施工过程中根据施工进度支付工程进度款，竣工验收后支付至审计结算价97%；结算价款的3%作为工程质量保证金，保修期满后没有任何质量问题一次性返还。</w:t>
            </w:r>
          </w:p>
        </w:tc>
      </w:tr>
      <w:tr w14:paraId="64D52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3" w:type="dxa"/>
            <w:tcMar>
              <w:top w:w="28" w:type="dxa"/>
              <w:bottom w:w="28" w:type="dxa"/>
            </w:tcMar>
            <w:vAlign w:val="center"/>
          </w:tcPr>
          <w:p w14:paraId="04683E35">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kern w:val="0"/>
                <w:sz w:val="24"/>
              </w:rPr>
            </w:pPr>
            <w:r>
              <w:rPr>
                <w:rFonts w:hint="eastAsia" w:ascii="仿宋" w:hAnsi="仿宋" w:eastAsia="仿宋"/>
                <w:kern w:val="0"/>
                <w:sz w:val="24"/>
              </w:rPr>
              <w:t>17</w:t>
            </w:r>
          </w:p>
        </w:tc>
        <w:tc>
          <w:tcPr>
            <w:tcW w:w="1531" w:type="dxa"/>
            <w:tcMar>
              <w:top w:w="28" w:type="dxa"/>
              <w:bottom w:w="28" w:type="dxa"/>
            </w:tcMar>
            <w:vAlign w:val="center"/>
          </w:tcPr>
          <w:p w14:paraId="545FE1EC">
            <w:pPr>
              <w:pStyle w:val="759"/>
              <w:keepNext w:val="0"/>
              <w:keepLines w:val="0"/>
              <w:pageBreakBefore w:val="0"/>
              <w:kinsoku/>
              <w:wordWrap/>
              <w:overflowPunct/>
              <w:topLinePunct w:val="0"/>
              <w:bidi w:val="0"/>
              <w:snapToGrid w:val="0"/>
              <w:spacing w:line="40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2FED35C9">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ascii="仿宋" w:hAnsi="仿宋" w:eastAsia="仿宋"/>
                <w:bCs/>
                <w:kern w:val="0"/>
                <w:sz w:val="24"/>
              </w:rPr>
            </w:pPr>
            <w:r>
              <w:rPr>
                <w:rFonts w:hint="eastAsia" w:ascii="仿宋" w:hAnsi="仿宋" w:eastAsia="仿宋" w:cs="宋体"/>
                <w:b/>
                <w:snapToGrid w:val="0"/>
                <w:sz w:val="24"/>
                <w:szCs w:val="22"/>
              </w:rPr>
              <w:t>政策</w:t>
            </w:r>
          </w:p>
        </w:tc>
        <w:tc>
          <w:tcPr>
            <w:tcW w:w="6184" w:type="dxa"/>
            <w:tcMar>
              <w:top w:w="28" w:type="dxa"/>
              <w:bottom w:w="28" w:type="dxa"/>
            </w:tcMar>
            <w:vAlign w:val="center"/>
          </w:tcPr>
          <w:p w14:paraId="54EAA0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b/>
                <w:bCs/>
                <w:snapToGrid w:val="0"/>
                <w:kern w:val="0"/>
                <w:sz w:val="24"/>
                <w:u w:val="none"/>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建筑业</w:t>
            </w:r>
          </w:p>
          <w:p w14:paraId="69BEAE2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FB98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E547A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 w:hAnsi="仿宋" w:eastAsia="仿宋" w:cs="宋体"/>
                <w:kern w:val="1"/>
                <w:sz w:val="24"/>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6ACE8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3" w:type="dxa"/>
            <w:tcMar>
              <w:top w:w="28" w:type="dxa"/>
              <w:bottom w:w="28" w:type="dxa"/>
            </w:tcMar>
            <w:vAlign w:val="center"/>
          </w:tcPr>
          <w:p w14:paraId="667EBCA6">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18</w:t>
            </w:r>
          </w:p>
        </w:tc>
        <w:tc>
          <w:tcPr>
            <w:tcW w:w="1531" w:type="dxa"/>
            <w:tcMar>
              <w:top w:w="28" w:type="dxa"/>
              <w:bottom w:w="28" w:type="dxa"/>
            </w:tcMar>
            <w:vAlign w:val="center"/>
          </w:tcPr>
          <w:p w14:paraId="4CEE959B">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6184" w:type="dxa"/>
            <w:tcMar>
              <w:top w:w="28" w:type="dxa"/>
              <w:bottom w:w="28" w:type="dxa"/>
            </w:tcMar>
            <w:vAlign w:val="center"/>
          </w:tcPr>
          <w:p w14:paraId="09269580">
            <w:pPr>
              <w:pStyle w:val="760"/>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77629A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 xml:space="preserve">1.在评标过程中，评标委员会认为投标人的报价明显低于其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263DC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2.政府采购异常低价审查：根据《关于推动解决政府采购异常低价问题的通知》（财库〔2026〕2号）的规定：</w:t>
            </w:r>
          </w:p>
          <w:p w14:paraId="4C3430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（一）采购评审中出现下列情形之一的，评审委员会应当启动异常低价投标（响应）审查程序：</w:t>
            </w:r>
          </w:p>
          <w:p w14:paraId="6D631B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1.投标（响应）报价低于全部通过符合性审查供应商投标（响应）报价平均值50%的，即投标（响应）报价&lt;全部通过符合性审查供应商投标（响应）报价平均值×50%；</w:t>
            </w:r>
          </w:p>
          <w:p w14:paraId="66D697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2.投标（响应）报价低于通过符合性审查的次低报价供应商投标（响应）报价50%的，即投标（响应）报价&lt;通过符合性审查的次低报价供应商投标（响应）报价×50%；</w:t>
            </w:r>
          </w:p>
          <w:p w14:paraId="0A3DF6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3.投标（响应）报价低于采购项目最高限价45%的，即投标（响应）报价&lt;采购项目最高限价×45%；</w:t>
            </w:r>
          </w:p>
          <w:p w14:paraId="252B02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4.评审委员会基于专业判断，认为供应商报价过低，有可能影响产品质量或者不能诚信履约的其他情形。</w:t>
            </w:r>
          </w:p>
          <w:p w14:paraId="638B10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采购人可以结合具体项目实际情况，提高上述第1项至第3项中启动异常低价投标（响应）审查的数值标准，但是最高不得超过65%。</w:t>
            </w:r>
          </w:p>
          <w:p w14:paraId="542A1A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相关法律法规对供应商报价有规定的，从其规定。</w:t>
            </w:r>
          </w:p>
          <w:p w14:paraId="4D5451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color w:val="auto"/>
                <w:kern w:val="0"/>
                <w:sz w:val="24"/>
                <w:szCs w:val="22"/>
                <w:highlight w:val="none"/>
                <w:lang w:val="en-US" w:eastAsia="zh-CN" w:bidi="ar-SA"/>
              </w:rPr>
            </w:pPr>
            <w:r>
              <w:rPr>
                <w:rFonts w:hint="eastAsia" w:ascii="仿宋" w:hAnsi="仿宋" w:eastAsia="仿宋" w:cs="宋体"/>
                <w:snapToGrid w:val="0"/>
                <w:color w:val="auto"/>
                <w:kern w:val="0"/>
                <w:sz w:val="24"/>
                <w:szCs w:val="22"/>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087E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color w:val="auto"/>
                <w:kern w:val="0"/>
                <w:sz w:val="24"/>
                <w:szCs w:val="22"/>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7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783" w:type="dxa"/>
            <w:tcMar>
              <w:top w:w="28" w:type="dxa"/>
              <w:bottom w:w="28" w:type="dxa"/>
            </w:tcMar>
            <w:vAlign w:val="center"/>
          </w:tcPr>
          <w:p w14:paraId="4D95CD10">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19</w:t>
            </w:r>
          </w:p>
        </w:tc>
        <w:tc>
          <w:tcPr>
            <w:tcW w:w="1531" w:type="dxa"/>
            <w:tcMar>
              <w:top w:w="28" w:type="dxa"/>
              <w:bottom w:w="28" w:type="dxa"/>
            </w:tcMar>
            <w:vAlign w:val="center"/>
          </w:tcPr>
          <w:p w14:paraId="5523E78B">
            <w:pPr>
              <w:pStyle w:val="653"/>
              <w:keepNext w:val="0"/>
              <w:keepLines w:val="0"/>
              <w:pageBreakBefore w:val="0"/>
              <w:widowControl w:val="0"/>
              <w:kinsoku/>
              <w:wordWrap/>
              <w:overflowPunct/>
              <w:topLinePunct w:val="0"/>
              <w:bidi w:val="0"/>
              <w:adjustRightInd w:val="0"/>
              <w:snapToGrid w:val="0"/>
              <w:spacing w:line="320" w:lineRule="exact"/>
              <w:jc w:val="center"/>
              <w:textAlignment w:val="auto"/>
              <w:rPr>
                <w:rFonts w:ascii="仿宋" w:hAnsi="仿宋" w:eastAsia="仿宋"/>
                <w:color w:val="auto"/>
                <w:kern w:val="2"/>
              </w:rPr>
            </w:pPr>
            <w:r>
              <w:rPr>
                <w:rFonts w:hint="eastAsia" w:ascii="仿宋" w:hAnsi="仿宋" w:eastAsia="仿宋" w:cs="宋体"/>
                <w:color w:val="auto"/>
                <w:spacing w:val="-16"/>
                <w:kern w:val="24"/>
              </w:rPr>
              <w:t>代理服务费</w:t>
            </w:r>
          </w:p>
        </w:tc>
        <w:tc>
          <w:tcPr>
            <w:tcW w:w="6184" w:type="dxa"/>
            <w:tcMar>
              <w:top w:w="28" w:type="dxa"/>
              <w:bottom w:w="28" w:type="dxa"/>
            </w:tcMar>
            <w:vAlign w:val="center"/>
          </w:tcPr>
          <w:p w14:paraId="153A5CD7">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招标代理服务费：按照差额定率累进法计算，标准如下：中标金额100万元以下，工程类费率1.00%计取；100-500万元，工程类费率0.70%；下浮10%计取；</w:t>
            </w:r>
          </w:p>
          <w:p w14:paraId="4339E3B6">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5C2CF239">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24" w:name="EB08acd175b39d48b299ea518ca053ce1b"/>
            <w:bookmarkEnd w:id="24"/>
            <w:r>
              <w:rPr>
                <w:rFonts w:hint="eastAsia" w:ascii="仿宋" w:hAnsi="仿宋" w:eastAsia="仿宋" w:cs="Times New Roman"/>
                <w:snapToGrid w:val="0"/>
                <w:kern w:val="0"/>
                <w:sz w:val="24"/>
                <w:szCs w:val="22"/>
                <w:lang w:val="en-US" w:eastAsia="zh-CN" w:bidi="ar-SA"/>
              </w:rPr>
              <w:t>。</w:t>
            </w:r>
          </w:p>
          <w:p w14:paraId="1642721D">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2D77116C">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2B110A5B">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17DBE1B4">
            <w:pPr>
              <w:keepNext w:val="0"/>
              <w:keepLines w:val="0"/>
              <w:pageBreakBefore w:val="0"/>
              <w:widowControl w:val="0"/>
              <w:kinsoku/>
              <w:wordWrap/>
              <w:overflowPunct/>
              <w:topLinePunct w:val="0"/>
              <w:autoSpaceDE/>
              <w:autoSpaceDN/>
              <w:bidi w:val="0"/>
              <w:adjustRightInd w:val="0"/>
              <w:snapToGrid w:val="0"/>
              <w:spacing w:line="320" w:lineRule="exact"/>
              <w:ind w:left="0" w:leftChars="0"/>
              <w:textAlignment w:val="auto"/>
              <w:rPr>
                <w:rFonts w:ascii="仿宋" w:hAnsi="仿宋" w:eastAsia="仿宋"/>
                <w:color w:val="auto"/>
                <w:kern w:val="2"/>
              </w:rPr>
            </w:pPr>
            <w:r>
              <w:rPr>
                <w:rFonts w:hint="eastAsia" w:ascii="仿宋" w:hAnsi="仿宋" w:eastAsia="仿宋" w:cs="Times New Roman"/>
                <w:snapToGrid w:val="0"/>
                <w:kern w:val="0"/>
                <w:sz w:val="24"/>
                <w:szCs w:val="22"/>
                <w:lang w:val="en-US" w:eastAsia="zh-CN" w:bidi="ar-SA"/>
              </w:rPr>
              <w:t>行号：104883001013</w:t>
            </w:r>
          </w:p>
        </w:tc>
      </w:tr>
      <w:tr w14:paraId="2D9F5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83" w:type="dxa"/>
            <w:tcMar>
              <w:top w:w="28" w:type="dxa"/>
              <w:bottom w:w="28" w:type="dxa"/>
            </w:tcMar>
            <w:vAlign w:val="center"/>
          </w:tcPr>
          <w:p w14:paraId="04614A81">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20</w:t>
            </w:r>
          </w:p>
        </w:tc>
        <w:tc>
          <w:tcPr>
            <w:tcW w:w="1531" w:type="dxa"/>
            <w:tcMar>
              <w:top w:w="28" w:type="dxa"/>
              <w:bottom w:w="28" w:type="dxa"/>
            </w:tcMar>
            <w:vAlign w:val="center"/>
          </w:tcPr>
          <w:p w14:paraId="1CCC620C">
            <w:pPr>
              <w:pStyle w:val="653"/>
              <w:keepNext w:val="0"/>
              <w:keepLines w:val="0"/>
              <w:pageBreakBefore w:val="0"/>
              <w:widowControl w:val="0"/>
              <w:kinsoku/>
              <w:wordWrap/>
              <w:overflowPunct/>
              <w:topLinePunct w:val="0"/>
              <w:bidi w:val="0"/>
              <w:adjustRightInd w:val="0"/>
              <w:snapToGrid w:val="0"/>
              <w:spacing w:line="320" w:lineRule="exact"/>
              <w:jc w:val="center"/>
              <w:textAlignment w:val="auto"/>
              <w:rPr>
                <w:rFonts w:ascii="仿宋" w:hAnsi="仿宋" w:eastAsia="仿宋"/>
                <w:color w:val="auto"/>
                <w:kern w:val="2"/>
              </w:rPr>
            </w:pPr>
            <w:r>
              <w:rPr>
                <w:rFonts w:hint="eastAsia" w:ascii="仿宋" w:hAnsi="仿宋" w:eastAsia="仿宋"/>
                <w:color w:val="auto"/>
                <w:kern w:val="2"/>
              </w:rPr>
              <w:t>其他说明</w:t>
            </w:r>
          </w:p>
        </w:tc>
        <w:tc>
          <w:tcPr>
            <w:tcW w:w="6184" w:type="dxa"/>
            <w:tcMar>
              <w:top w:w="28" w:type="dxa"/>
              <w:bottom w:w="28" w:type="dxa"/>
            </w:tcMar>
            <w:vAlign w:val="center"/>
          </w:tcPr>
          <w:p w14:paraId="7C479F9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6564A4E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6AD2C321">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3E79780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68B1E363">
            <w:pPr>
              <w:pStyle w:val="653"/>
              <w:keepNext w:val="0"/>
              <w:keepLines w:val="0"/>
              <w:pageBreakBefore w:val="0"/>
              <w:widowControl w:val="0"/>
              <w:kinsoku/>
              <w:wordWrap/>
              <w:overflowPunct/>
              <w:topLinePunct w:val="0"/>
              <w:bidi w:val="0"/>
              <w:adjustRightInd w:val="0"/>
              <w:snapToGrid w:val="0"/>
              <w:spacing w:line="320" w:lineRule="exact"/>
              <w:jc w:val="both"/>
              <w:textAlignment w:val="auto"/>
              <w:rPr>
                <w:rFonts w:ascii="仿宋" w:hAnsi="仿宋" w:eastAsia="仿宋"/>
                <w:color w:val="auto"/>
                <w:kern w:val="2"/>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544BC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83" w:type="dxa"/>
            <w:tcMar>
              <w:top w:w="28" w:type="dxa"/>
              <w:bottom w:w="28" w:type="dxa"/>
            </w:tcMar>
            <w:vAlign w:val="center"/>
          </w:tcPr>
          <w:p w14:paraId="4EF8385F">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21</w:t>
            </w:r>
          </w:p>
        </w:tc>
        <w:tc>
          <w:tcPr>
            <w:tcW w:w="1531" w:type="dxa"/>
            <w:tcMar>
              <w:top w:w="28" w:type="dxa"/>
              <w:bottom w:w="28" w:type="dxa"/>
            </w:tcMar>
            <w:vAlign w:val="center"/>
          </w:tcPr>
          <w:p w14:paraId="635781B1">
            <w:pPr>
              <w:pStyle w:val="653"/>
              <w:keepNext w:val="0"/>
              <w:keepLines w:val="0"/>
              <w:pageBreakBefore w:val="0"/>
              <w:widowControl w:val="0"/>
              <w:kinsoku/>
              <w:wordWrap/>
              <w:overflowPunct/>
              <w:topLinePunct w:val="0"/>
              <w:bidi w:val="0"/>
              <w:snapToGrid w:val="0"/>
              <w:spacing w:line="320" w:lineRule="exact"/>
              <w:jc w:val="center"/>
              <w:textAlignment w:val="auto"/>
              <w:rPr>
                <w:rFonts w:ascii="仿宋" w:hAnsi="仿宋" w:eastAsia="仿宋" w:cs="宋体"/>
                <w:color w:val="auto"/>
                <w:kern w:val="1"/>
              </w:rPr>
            </w:pPr>
            <w:r>
              <w:rPr>
                <w:rFonts w:hint="eastAsia" w:ascii="仿宋" w:hAnsi="仿宋" w:eastAsia="仿宋" w:cs="宋体"/>
                <w:color w:val="auto"/>
                <w:kern w:val="1"/>
              </w:rPr>
              <w:t>报价次数</w:t>
            </w:r>
          </w:p>
        </w:tc>
        <w:tc>
          <w:tcPr>
            <w:tcW w:w="6184" w:type="dxa"/>
            <w:tcMar>
              <w:top w:w="28" w:type="dxa"/>
              <w:bottom w:w="28" w:type="dxa"/>
            </w:tcMar>
            <w:vAlign w:val="center"/>
          </w:tcPr>
          <w:p w14:paraId="3B8F258C">
            <w:pPr>
              <w:pStyle w:val="653"/>
              <w:keepNext w:val="0"/>
              <w:keepLines w:val="0"/>
              <w:pageBreakBefore w:val="0"/>
              <w:widowControl w:val="0"/>
              <w:kinsoku/>
              <w:wordWrap/>
              <w:overflowPunct/>
              <w:topLinePunct w:val="0"/>
              <w:bidi w:val="0"/>
              <w:snapToGrid w:val="0"/>
              <w:spacing w:line="320" w:lineRule="exact"/>
              <w:textAlignment w:val="auto"/>
              <w:rPr>
                <w:rFonts w:ascii="仿宋" w:hAnsi="仿宋" w:eastAsia="仿宋" w:cs="宋体"/>
                <w:color w:val="auto"/>
                <w:kern w:val="1"/>
              </w:rPr>
            </w:pPr>
            <w:r>
              <w:rPr>
                <w:rFonts w:hint="eastAsia" w:ascii="仿宋" w:hAnsi="仿宋" w:eastAsia="仿宋" w:cs="仿宋"/>
                <w:b/>
                <w:bCs/>
                <w:color w:val="auto"/>
                <w:kern w:val="1"/>
              </w:rPr>
              <w:t>本项目进行两轮报价，首次报价为第一轮报价，磋商小组对其进行评审并提出答疑问题；第二轮（即最终报价）是在答疑完毕后，按原次序进行最终报价。最终报价单填写好线上提交后，磋商小组在同一时间开启最终报价单。</w:t>
            </w:r>
          </w:p>
        </w:tc>
      </w:tr>
      <w:tr w14:paraId="516BD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83" w:type="dxa"/>
            <w:tcMar>
              <w:top w:w="28" w:type="dxa"/>
              <w:bottom w:w="28" w:type="dxa"/>
            </w:tcMar>
            <w:vAlign w:val="center"/>
          </w:tcPr>
          <w:p w14:paraId="34B8929E">
            <w:pPr>
              <w:keepNext w:val="0"/>
              <w:keepLines w:val="0"/>
              <w:pageBreakBefore w:val="0"/>
              <w:shd w:val="clear" w:color="auto" w:fill="FFFFFF"/>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kern w:val="0"/>
                <w:sz w:val="24"/>
                <w:lang w:val="en-US" w:eastAsia="zh-CN"/>
              </w:rPr>
            </w:pPr>
            <w:r>
              <w:rPr>
                <w:rFonts w:hint="eastAsia" w:ascii="仿宋" w:hAnsi="仿宋" w:eastAsia="仿宋"/>
                <w:kern w:val="0"/>
                <w:sz w:val="24"/>
                <w:lang w:val="en-US" w:eastAsia="zh-CN"/>
              </w:rPr>
              <w:t>22</w:t>
            </w:r>
          </w:p>
        </w:tc>
        <w:tc>
          <w:tcPr>
            <w:tcW w:w="1531" w:type="dxa"/>
            <w:tcMar>
              <w:top w:w="28" w:type="dxa"/>
              <w:bottom w:w="28" w:type="dxa"/>
            </w:tcMar>
            <w:vAlign w:val="center"/>
          </w:tcPr>
          <w:p w14:paraId="5124F5F2">
            <w:pPr>
              <w:pStyle w:val="653"/>
              <w:keepNext w:val="0"/>
              <w:keepLines w:val="0"/>
              <w:pageBreakBefore w:val="0"/>
              <w:widowControl w:val="0"/>
              <w:kinsoku/>
              <w:wordWrap/>
              <w:overflowPunct/>
              <w:topLinePunct w:val="0"/>
              <w:bidi w:val="0"/>
              <w:snapToGrid w:val="0"/>
              <w:spacing w:line="320" w:lineRule="exact"/>
              <w:jc w:val="center"/>
              <w:textAlignment w:val="auto"/>
              <w:rPr>
                <w:rFonts w:hint="eastAsia" w:ascii="仿宋" w:hAnsi="仿宋" w:eastAsia="仿宋" w:cs="宋体"/>
                <w:color w:val="auto"/>
                <w:kern w:val="1"/>
              </w:rPr>
            </w:pPr>
            <w:r>
              <w:rPr>
                <w:rFonts w:hint="eastAsia" w:ascii="仿宋" w:hAnsi="仿宋" w:eastAsia="仿宋" w:cs="宋体"/>
                <w:b/>
                <w:kern w:val="2"/>
                <w:sz w:val="24"/>
                <w:szCs w:val="22"/>
                <w:lang w:val="en-US" w:eastAsia="zh-CN" w:bidi="ar-SA"/>
              </w:rPr>
              <w:t>推荐中标候选人</w:t>
            </w:r>
          </w:p>
        </w:tc>
        <w:tc>
          <w:tcPr>
            <w:tcW w:w="6184" w:type="dxa"/>
            <w:tcMar>
              <w:top w:w="28" w:type="dxa"/>
              <w:bottom w:w="28" w:type="dxa"/>
            </w:tcMar>
            <w:vAlign w:val="center"/>
          </w:tcPr>
          <w:p w14:paraId="225D7B6F">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20" w:lineRule="exact"/>
              <w:ind w:left="0" w:right="0"/>
              <w:textAlignment w:val="auto"/>
              <w:rPr>
                <w:rFonts w:hint="eastAsia" w:ascii="仿宋" w:hAnsi="仿宋" w:eastAsia="仿宋" w:cs="宋体"/>
                <w:b/>
                <w:sz w:val="24"/>
                <w:lang w:val="en-US" w:eastAsia="zh-CN"/>
              </w:rPr>
            </w:pPr>
            <w:r>
              <w:rPr>
                <w:rFonts w:hint="eastAsia" w:ascii="仿宋" w:hAnsi="仿宋" w:eastAsia="仿宋" w:cs="宋体"/>
                <w:b/>
                <w:sz w:val="24"/>
                <w:lang w:val="en-US" w:eastAsia="zh-CN"/>
              </w:rPr>
              <w:t>推荐中标候选人：中标候选人数量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7B1C6FA0">
            <w:pPr>
              <w:pStyle w:val="653"/>
              <w:keepNext w:val="0"/>
              <w:keepLines w:val="0"/>
              <w:pageBreakBefore w:val="0"/>
              <w:widowControl w:val="0"/>
              <w:kinsoku/>
              <w:wordWrap/>
              <w:overflowPunct/>
              <w:topLinePunct w:val="0"/>
              <w:bidi w:val="0"/>
              <w:snapToGrid w:val="0"/>
              <w:spacing w:line="320" w:lineRule="exact"/>
              <w:textAlignment w:val="auto"/>
              <w:rPr>
                <w:rFonts w:hint="eastAsia" w:ascii="仿宋" w:hAnsi="仿宋" w:eastAsia="仿宋" w:cs="仿宋"/>
                <w:b/>
                <w:bCs/>
                <w:color w:val="auto"/>
                <w:kern w:val="1"/>
              </w:rPr>
            </w:pPr>
            <w:r>
              <w:rPr>
                <w:rFonts w:hint="eastAsia" w:ascii="仿宋" w:hAnsi="仿宋" w:eastAsia="仿宋" w:cs="宋体"/>
                <w:b/>
                <w:sz w:val="24"/>
                <w:lang w:val="en-US" w:eastAsia="zh-CN"/>
              </w:rPr>
              <w:t>确定中标人：采购人按评审报告中推荐的中标候选人排序确定中标人</w:t>
            </w:r>
          </w:p>
        </w:tc>
      </w:tr>
      <w:tr w14:paraId="29E3E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8498" w:type="dxa"/>
            <w:gridSpan w:val="3"/>
            <w:tcMar>
              <w:top w:w="28" w:type="dxa"/>
              <w:bottom w:w="28" w:type="dxa"/>
            </w:tcMar>
            <w:vAlign w:val="center"/>
          </w:tcPr>
          <w:p w14:paraId="464E93C9">
            <w:pPr>
              <w:pStyle w:val="759"/>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0"/>
              <w:textAlignment w:val="auto"/>
              <w:rPr>
                <w:rFonts w:hint="eastAsia" w:ascii="仿宋" w:hAnsi="仿宋" w:eastAsia="仿宋" w:cs="宋体"/>
                <w:b/>
                <w:snapToGrid w:val="0"/>
                <w:kern w:val="0"/>
                <w:sz w:val="24"/>
                <w:szCs w:val="22"/>
                <w:lang w:val="en-US" w:eastAsia="zh-CN" w:bidi="ar-SA"/>
              </w:rPr>
            </w:pPr>
            <w:r>
              <w:rPr>
                <w:rFonts w:hint="eastAsia" w:ascii="仿宋" w:hAnsi="仿宋" w:eastAsia="仿宋" w:cs="宋体"/>
                <w:snapToGrid w:val="0"/>
                <w:sz w:val="24"/>
                <w:szCs w:val="22"/>
              </w:rPr>
              <w:t>注意事项</w:t>
            </w:r>
            <w:r>
              <w:rPr>
                <w:rFonts w:hint="eastAsia" w:ascii="仿宋" w:hAnsi="仿宋" w:eastAsia="仿宋" w:cs="宋体"/>
                <w:snapToGrid w:val="0"/>
                <w:sz w:val="24"/>
                <w:szCs w:val="22"/>
                <w:lang w:eastAsia="zh-CN"/>
              </w:rPr>
              <w:t>：</w:t>
            </w:r>
            <w:r>
              <w:rPr>
                <w:rFonts w:hint="eastAsia" w:ascii="仿宋" w:hAnsi="仿宋" w:eastAsia="仿宋" w:cs="宋体"/>
                <w:b/>
                <w:kern w:val="2"/>
                <w:sz w:val="24"/>
                <w:szCs w:val="22"/>
                <w:lang w:val="en-US" w:eastAsia="zh-CN" w:bidi="ar-SA"/>
              </w:rPr>
              <w:t>1、磋商文件中部分加下划线、废标、无效标、投标被拒绝字样的条款，为招标的实质性要求和条件，着重提醒各投标人注意，并认真查</w:t>
            </w:r>
            <w:r>
              <w:rPr>
                <w:rFonts w:hint="eastAsia" w:ascii="仿宋" w:hAnsi="仿宋" w:eastAsia="仿宋" w:cs="宋体"/>
                <w:b/>
                <w:snapToGrid w:val="0"/>
                <w:kern w:val="0"/>
                <w:sz w:val="24"/>
                <w:szCs w:val="22"/>
                <w:lang w:val="en-US" w:eastAsia="zh-CN" w:bidi="ar-SA"/>
              </w:rPr>
              <w:t xml:space="preserve">看磋商文件中的每一个条款及要求，因误读磋商文件而造成的后果，招标人概不负责。 </w:t>
            </w:r>
          </w:p>
          <w:p w14:paraId="79E0B82D">
            <w:pPr>
              <w:pStyle w:val="759"/>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0"/>
              <w:textAlignment w:val="auto"/>
              <w:rPr>
                <w:rFonts w:hint="eastAsia" w:ascii="仿宋" w:hAnsi="仿宋" w:eastAsia="仿宋" w:cs="宋体"/>
                <w:bCs/>
                <w:snapToGrid w:val="0"/>
                <w:sz w:val="24"/>
                <w:szCs w:val="22"/>
              </w:rPr>
            </w:pPr>
            <w:r>
              <w:rPr>
                <w:rFonts w:hint="eastAsia" w:ascii="仿宋" w:hAnsi="仿宋" w:eastAsia="仿宋" w:cs="宋体"/>
                <w:b/>
                <w:snapToGrid w:val="0"/>
                <w:kern w:val="0"/>
                <w:sz w:val="24"/>
                <w:szCs w:val="22"/>
                <w:lang w:val="en-US" w:eastAsia="zh-CN" w:bidi="ar-SA"/>
              </w:rPr>
              <w:t>2、响应文件中有弄虚作假的内容，其响应文件作废。（如假证书、假业绩、隐瞒 不良行为记录、夸大荣誉、使用非本单位在职员工的相关证件及不符合磋商文件规定的条款等）；在签订合同之前，招标人如发现投标人的投标文件有弄虚作假内容，招标人可拒绝与其签订合同.</w:t>
            </w:r>
          </w:p>
          <w:p w14:paraId="2DF88C41">
            <w:pPr>
              <w:pStyle w:val="653"/>
              <w:keepNext w:val="0"/>
              <w:keepLines w:val="0"/>
              <w:pageBreakBefore w:val="0"/>
              <w:widowControl w:val="0"/>
              <w:kinsoku/>
              <w:wordWrap/>
              <w:overflowPunct/>
              <w:topLinePunct w:val="0"/>
              <w:bidi w:val="0"/>
              <w:snapToGrid w:val="0"/>
              <w:spacing w:line="320" w:lineRule="exact"/>
              <w:textAlignment w:val="auto"/>
              <w:rPr>
                <w:rFonts w:hint="eastAsia" w:ascii="仿宋" w:hAnsi="仿宋" w:eastAsia="仿宋" w:cs="宋体"/>
                <w:b/>
                <w:sz w:val="24"/>
                <w:lang w:val="en-US" w:eastAsia="zh-CN"/>
              </w:rPr>
            </w:pPr>
            <w:r>
              <w:rPr>
                <w:rFonts w:hint="eastAsia" w:ascii="仿宋" w:hAnsi="仿宋" w:eastAsia="仿宋" w:cs="宋体"/>
                <w:b/>
                <w:snapToGrid w:val="0"/>
                <w:kern w:val="0"/>
                <w:sz w:val="24"/>
                <w:szCs w:val="22"/>
                <w:lang w:val="en-US" w:eastAsia="zh-CN" w:bidi="ar-SA"/>
              </w:rPr>
              <w:t>注：本项目为电子全流程，电子签章与公章具有同等效力。</w:t>
            </w:r>
          </w:p>
        </w:tc>
      </w:tr>
    </w:tbl>
    <w:p w14:paraId="343B0517">
      <w:pPr>
        <w:widowControl/>
        <w:jc w:val="left"/>
        <w:rPr>
          <w:rFonts w:ascii="仿宋" w:hAnsi="仿宋" w:eastAsia="仿宋"/>
          <w:b/>
          <w:bCs/>
          <w:kern w:val="0"/>
          <w:sz w:val="28"/>
          <w:szCs w:val="28"/>
        </w:rPr>
      </w:pPr>
      <w:r>
        <w:rPr>
          <w:rFonts w:ascii="仿宋" w:hAnsi="仿宋" w:eastAsia="仿宋"/>
          <w:b/>
          <w:bCs/>
          <w:kern w:val="0"/>
          <w:sz w:val="28"/>
          <w:szCs w:val="28"/>
        </w:rPr>
        <w:br w:type="page"/>
      </w:r>
    </w:p>
    <w:p w14:paraId="69B9A7C6">
      <w:pPr>
        <w:pStyle w:val="330"/>
        <w:keepNext w:val="0"/>
        <w:keepLines w:val="0"/>
        <w:pageBreakBefore w:val="0"/>
        <w:widowControl w:val="0"/>
        <w:kinsoku/>
        <w:wordWrap/>
        <w:overflowPunct/>
        <w:topLinePunct w:val="0"/>
        <w:autoSpaceDE/>
        <w:autoSpaceDN/>
        <w:bidi w:val="0"/>
        <w:adjustRightInd/>
        <w:snapToGrid/>
        <w:spacing w:beforeLines="50" w:afterLines="50" w:line="420" w:lineRule="exact"/>
        <w:jc w:val="center"/>
        <w:textAlignment w:val="auto"/>
        <w:outlineLvl w:val="0"/>
        <w:rPr>
          <w:rFonts w:ascii="仿宋" w:hAnsi="仿宋" w:eastAsia="仿宋"/>
          <w:b/>
          <w:bCs/>
          <w:kern w:val="0"/>
          <w:sz w:val="28"/>
          <w:szCs w:val="28"/>
        </w:rPr>
      </w:pPr>
      <w:bookmarkStart w:id="25" w:name="_Toc151060221"/>
      <w:r>
        <w:rPr>
          <w:rFonts w:hint="eastAsia" w:ascii="仿宋" w:hAnsi="仿宋" w:eastAsia="仿宋"/>
          <w:b/>
          <w:sz w:val="32"/>
          <w:szCs w:val="32"/>
        </w:rPr>
        <w:t>第三部分  供应商须知</w:t>
      </w:r>
      <w:bookmarkEnd w:id="25"/>
    </w:p>
    <w:p w14:paraId="04EA26F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一、总则</w:t>
      </w:r>
    </w:p>
    <w:p w14:paraId="098929C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1.本磋商文件适用于本文件中所述相关货物及服务的磋商响应。</w:t>
      </w:r>
    </w:p>
    <w:p w14:paraId="76D281B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2.定义：</w:t>
      </w:r>
    </w:p>
    <w:p w14:paraId="3CCD3B4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2.1采购人</w:t>
      </w:r>
      <w:r>
        <w:rPr>
          <w:rFonts w:hint="eastAsia" w:ascii="仿宋" w:hAnsi="仿宋" w:eastAsia="仿宋"/>
          <w:kern w:val="0"/>
          <w:sz w:val="24"/>
          <w:lang w:eastAsia="zh-CN"/>
        </w:rPr>
        <w:t>：</w:t>
      </w:r>
      <w:r>
        <w:rPr>
          <w:rFonts w:hint="eastAsia" w:ascii="仿宋" w:hAnsi="仿宋" w:eastAsia="仿宋"/>
          <w:kern w:val="0"/>
          <w:sz w:val="24"/>
          <w:lang w:val="en-US" w:eastAsia="zh-CN"/>
        </w:rPr>
        <w:t>指依法进行政府采购的国家机关、事业单位、团体组织。</w:t>
      </w:r>
    </w:p>
    <w:p w14:paraId="3DC51EB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2.2</w:t>
      </w:r>
      <w:r>
        <w:rPr>
          <w:rFonts w:hint="eastAsia" w:ascii="仿宋" w:hAnsi="仿宋" w:eastAsia="仿宋"/>
          <w:kern w:val="0"/>
          <w:sz w:val="24"/>
          <w:lang w:val="en-US" w:eastAsia="zh-CN"/>
        </w:rPr>
        <w:t>采购代理机构：本次招标的采购代理机构为新疆新之建工程咨询有限公司。</w:t>
      </w:r>
    </w:p>
    <w:p w14:paraId="1BD2878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2.3</w:t>
      </w:r>
      <w:r>
        <w:rPr>
          <w:rFonts w:hint="eastAsia" w:ascii="仿宋" w:hAnsi="仿宋" w:eastAsia="仿宋"/>
          <w:kern w:val="0"/>
          <w:sz w:val="24"/>
        </w:rPr>
        <w:t>“货物及服务”指本磋商文件所述供应商应该为本项目提供的货物、服务以及应当履行的承诺和义务。</w:t>
      </w:r>
    </w:p>
    <w:p w14:paraId="3C2652B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2.4投标人是指向采购人提供货物、工程或者服务的法人、其他组织或者自然人。本项目的投标人须满足以下条件：</w:t>
      </w:r>
    </w:p>
    <w:p w14:paraId="3ED0AB5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1）</w:t>
      </w:r>
      <w:r>
        <w:rPr>
          <w:rFonts w:hint="eastAsia" w:ascii="仿宋" w:hAnsi="仿宋" w:eastAsia="仿宋"/>
          <w:kern w:val="0"/>
          <w:sz w:val="24"/>
          <w:lang w:val="en-US" w:eastAsia="zh-CN"/>
        </w:rPr>
        <w:t>具备《中华人民共和国政府采购法》第二十二条规定，遵守本项目采购人本级和上级财政部门政府采购的有关规定。</w:t>
      </w:r>
    </w:p>
    <w:p w14:paraId="11715EB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w:t>
      </w:r>
      <w:r>
        <w:rPr>
          <w:rFonts w:hint="eastAsia" w:ascii="仿宋" w:hAnsi="仿宋" w:eastAsia="仿宋"/>
          <w:kern w:val="0"/>
          <w:sz w:val="24"/>
        </w:rPr>
        <w:t>）</w:t>
      </w:r>
      <w:r>
        <w:rPr>
          <w:rFonts w:hint="eastAsia" w:ascii="仿宋" w:hAnsi="仿宋" w:eastAsia="仿宋"/>
          <w:kern w:val="0"/>
          <w:sz w:val="24"/>
          <w:lang w:val="en-US" w:eastAsia="zh-CN"/>
        </w:rPr>
        <w:t>以磋商公告中发布的方式依法获得了本项目的磋商文件。</w:t>
      </w:r>
    </w:p>
    <w:p w14:paraId="0DE24F0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符合本磋商文件规定并参加投标的供应商。</w:t>
      </w:r>
    </w:p>
    <w:p w14:paraId="1764741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2.5潜在投标人：指符合本磋商文件规定的供应商。</w:t>
      </w:r>
    </w:p>
    <w:p w14:paraId="15F78F2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3.合格供应商的条件</w:t>
      </w:r>
    </w:p>
    <w:p w14:paraId="289A121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3.1供应商应遵守有关的国家法律、法规和条例，具备《中华人民共和国政府采购法》和本磋商文件中规定的条件：</w:t>
      </w:r>
    </w:p>
    <w:p w14:paraId="5E7C4DE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（1）具有独立承担民事责任的能力；</w:t>
      </w:r>
    </w:p>
    <w:p w14:paraId="5230B3B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（2）具有良好的商业信誉和健全的财务会计制度；</w:t>
      </w:r>
    </w:p>
    <w:p w14:paraId="2426B14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（3）具有履行合同所必需的设备和专业技术能力；</w:t>
      </w:r>
    </w:p>
    <w:p w14:paraId="67E0A3A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（4）具有依法缴纳税收和社会保障资金的良好记录；</w:t>
      </w:r>
    </w:p>
    <w:p w14:paraId="6CEA809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（5）参加此项采购活动前三年内，在经营活动中没有重大违法记录；</w:t>
      </w:r>
    </w:p>
    <w:p w14:paraId="382278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（6）具有供应商须知前附表</w:t>
      </w:r>
      <w:r>
        <w:rPr>
          <w:rFonts w:hint="eastAsia" w:ascii="仿宋" w:hAnsi="仿宋" w:eastAsia="仿宋"/>
          <w:kern w:val="0"/>
          <w:sz w:val="24"/>
          <w:u w:val="single"/>
        </w:rPr>
        <w:t>第4条</w:t>
      </w:r>
      <w:r>
        <w:rPr>
          <w:rFonts w:hint="eastAsia" w:ascii="仿宋" w:hAnsi="仿宋" w:eastAsia="仿宋"/>
          <w:kern w:val="0"/>
          <w:sz w:val="24"/>
        </w:rPr>
        <w:t>规定的资质条件。</w:t>
      </w:r>
    </w:p>
    <w:p w14:paraId="5E2895B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w:t>
      </w:r>
      <w:r>
        <w:rPr>
          <w:rFonts w:hint="eastAsia" w:ascii="仿宋" w:hAnsi="仿宋" w:eastAsia="仿宋"/>
          <w:kern w:val="0"/>
          <w:sz w:val="24"/>
          <w:lang w:val="en-US" w:eastAsia="zh-CN"/>
        </w:rPr>
        <w:t>2</w:t>
      </w:r>
      <w:r>
        <w:rPr>
          <w:rFonts w:hint="eastAsia" w:ascii="仿宋" w:hAnsi="仿宋" w:eastAsia="仿宋"/>
          <w:kern w:val="0"/>
          <w:sz w:val="24"/>
        </w:rPr>
        <w:t>本次磋商</w:t>
      </w:r>
      <w:r>
        <w:rPr>
          <w:rFonts w:hint="eastAsia" w:ascii="仿宋" w:hAnsi="仿宋" w:eastAsia="仿宋" w:cs="宋体"/>
          <w:iCs w:val="0"/>
          <w:snapToGrid w:val="0"/>
          <w:kern w:val="0"/>
          <w:sz w:val="24"/>
          <w:szCs w:val="22"/>
          <w:shd w:val="clear" w:color="auto" w:fill="FFFFFF" w:themeFill="background1"/>
          <w:lang w:val="en-US" w:eastAsia="zh-CN" w:bidi="ar-SA"/>
        </w:rPr>
        <w:t>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w:t>
      </w:r>
      <w:r>
        <w:rPr>
          <w:rFonts w:hint="eastAsia" w:ascii="仿宋" w:hAnsi="仿宋" w:eastAsia="仿宋"/>
          <w:kern w:val="0"/>
          <w:sz w:val="24"/>
          <w:lang w:val="zh-CN" w:eastAsia="zh-CN"/>
        </w:rPr>
        <w:t>以一个</w:t>
      </w:r>
      <w:r>
        <w:rPr>
          <w:rFonts w:hint="eastAsia" w:ascii="仿宋" w:hAnsi="仿宋" w:eastAsia="仿宋"/>
          <w:kern w:val="0"/>
          <w:sz w:val="24"/>
          <w:lang w:val="en-US" w:eastAsia="zh-CN"/>
        </w:rPr>
        <w:t>投标人</w:t>
      </w:r>
      <w:r>
        <w:rPr>
          <w:rFonts w:hint="eastAsia" w:ascii="仿宋" w:hAnsi="仿宋" w:eastAsia="仿宋"/>
          <w:kern w:val="0"/>
          <w:sz w:val="24"/>
          <w:lang w:val="zh-CN" w:eastAsia="zh-CN"/>
        </w:rPr>
        <w:t>的身份共同参加政府采购</w:t>
      </w:r>
      <w:r>
        <w:rPr>
          <w:rFonts w:hint="eastAsia" w:ascii="仿宋" w:hAnsi="仿宋" w:eastAsia="仿宋"/>
          <w:kern w:val="0"/>
          <w:sz w:val="24"/>
          <w:lang w:val="en-US" w:eastAsia="zh-CN"/>
        </w:rPr>
        <w:t>，详见</w:t>
      </w:r>
      <w:r>
        <w:rPr>
          <w:rFonts w:hint="eastAsia" w:ascii="仿宋" w:hAnsi="仿宋" w:eastAsia="仿宋"/>
          <w:kern w:val="0"/>
          <w:sz w:val="24"/>
        </w:rPr>
        <w:t>供应商须知前附表第4条规定。对联合体规定如下：</w:t>
      </w:r>
      <w:r>
        <w:rPr>
          <w:rFonts w:hint="eastAsia" w:ascii="仿宋" w:hAnsi="仿宋" w:eastAsia="仿宋"/>
          <w:b/>
          <w:bCs/>
          <w:kern w:val="0"/>
          <w:sz w:val="24"/>
        </w:rPr>
        <w:t>（本项目不适用）</w:t>
      </w:r>
    </w:p>
    <w:p w14:paraId="0477AC9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3.2.1</w:t>
      </w:r>
      <w:r>
        <w:rPr>
          <w:rFonts w:hint="eastAsia" w:ascii="仿宋" w:hAnsi="仿宋" w:eastAsia="仿宋"/>
          <w:kern w:val="0"/>
          <w:sz w:val="24"/>
        </w:rPr>
        <w:t>联合体各方均应符合《中华人民共和国政府采购法》第二十二条规定的条件，遵守国家、本项目采购人本级和上级财政部门政府采购的有关规定。</w:t>
      </w:r>
    </w:p>
    <w:p w14:paraId="1DF4541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3.2.2</w:t>
      </w:r>
      <w:r>
        <w:rPr>
          <w:rFonts w:hint="eastAsia" w:ascii="仿宋" w:hAnsi="仿宋" w:eastAsia="仿宋"/>
          <w:kern w:val="0"/>
          <w:sz w:val="24"/>
        </w:rPr>
        <w:t>采购人根据采购项目对供应商的特殊要求，联合体中至少应当有一方符合相关规定。</w:t>
      </w:r>
    </w:p>
    <w:p w14:paraId="5AD866B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3.2.3</w:t>
      </w:r>
      <w:r>
        <w:rPr>
          <w:rFonts w:hint="eastAsia" w:ascii="仿宋" w:hAnsi="仿宋" w:eastAsia="仿宋"/>
          <w:kern w:val="0"/>
          <w:sz w:val="24"/>
        </w:rPr>
        <w:t>联合体各方应签订联合体协议，明确约定联合体各方承担的工作和相应的责任，并将联合体连同响应文件一并提交采购人或采购代理机构。</w:t>
      </w:r>
    </w:p>
    <w:p w14:paraId="64D246B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3.2.4</w:t>
      </w:r>
      <w:r>
        <w:rPr>
          <w:rFonts w:hint="eastAsia" w:ascii="仿宋" w:hAnsi="仿宋" w:eastAsia="仿宋"/>
          <w:kern w:val="0"/>
          <w:sz w:val="24"/>
        </w:rPr>
        <w:t>联合体中有同类资质的供应商按照联合体分工承担相同工作的，按照资质等级较低的供应商确定资质等级。</w:t>
      </w:r>
    </w:p>
    <w:p w14:paraId="666FFB7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3.3</w:t>
      </w:r>
      <w:r>
        <w:rPr>
          <w:rFonts w:hint="eastAsia" w:ascii="仿宋" w:hAnsi="仿宋" w:eastAsia="仿宋"/>
          <w:kern w:val="0"/>
          <w:sz w:val="24"/>
        </w:rPr>
        <w:t xml:space="preserve">单位负责人为同一人或者存在直接控股、管理关系的不同供应商，其响应文件将被认定为无效响应。 </w:t>
      </w:r>
    </w:p>
    <w:p w14:paraId="13873F6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3.4</w:t>
      </w:r>
      <w:r>
        <w:rPr>
          <w:rFonts w:hint="eastAsia" w:ascii="仿宋" w:hAnsi="仿宋" w:eastAsia="仿宋"/>
          <w:kern w:val="0"/>
          <w:sz w:val="24"/>
        </w:rPr>
        <w:t>为本项目提供整体设计、规范编制或者项目管理、监理、检测等服务的供应商，其响应文件将被认定为无效响应。</w:t>
      </w:r>
    </w:p>
    <w:p w14:paraId="269476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rPr>
      </w:pP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费用</w:t>
      </w:r>
    </w:p>
    <w:p w14:paraId="0A1A5F8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4.1供应商应承担所有与准备和参加响应有关的费用，采购代理机构和采购人在任何情况下均无义务和责任承担这些费用。</w:t>
      </w:r>
    </w:p>
    <w:p w14:paraId="1E25A02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5.通知</w:t>
      </w:r>
    </w:p>
    <w:p w14:paraId="295C1C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5.1对与本项目有关的通知，采购代理机构将以书面（包括书面材料、信函、传真等，下同）、短信或在本次磋商公告的媒体上以发布公告的形式，向潜在供应商发出，供应商联系人、联系电话、邮箱和地址以潜在供应商在政采云平台登记的信息为准。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14:paraId="65726FA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二、磋商文件</w:t>
      </w:r>
    </w:p>
    <w:p w14:paraId="5693DC7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6.磋商文件</w:t>
      </w:r>
    </w:p>
    <w:p w14:paraId="487B968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6.1磋商文件由下列七部分内容组成：</w:t>
      </w:r>
    </w:p>
    <w:p w14:paraId="41EE906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第一部分 磋商公告</w:t>
      </w:r>
    </w:p>
    <w:p w14:paraId="53B5C23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第二部分 供应商须知前附表</w:t>
      </w:r>
    </w:p>
    <w:p w14:paraId="3E0374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第三部分 供应商须知</w:t>
      </w:r>
    </w:p>
    <w:p w14:paraId="63C1052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第四部分 评审办法和评审标准</w:t>
      </w:r>
    </w:p>
    <w:p w14:paraId="54E4445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第五部分 采购需求</w:t>
      </w:r>
    </w:p>
    <w:p w14:paraId="6480F8A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rPr>
        <w:t>第六部分 合同</w:t>
      </w:r>
      <w:r>
        <w:rPr>
          <w:rFonts w:hint="eastAsia" w:ascii="仿宋" w:hAnsi="仿宋" w:eastAsia="仿宋"/>
          <w:kern w:val="0"/>
          <w:sz w:val="24"/>
          <w:lang w:val="en-US" w:eastAsia="zh-CN"/>
        </w:rPr>
        <w:t>条款</w:t>
      </w:r>
    </w:p>
    <w:p w14:paraId="24BA24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第七部分 响应文件格式</w:t>
      </w:r>
    </w:p>
    <w:p w14:paraId="7A50A9F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7.磋商文件的澄清和修改</w:t>
      </w:r>
    </w:p>
    <w:p w14:paraId="1B97C1D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7.1</w:t>
      </w:r>
      <w:r>
        <w:rPr>
          <w:rFonts w:hint="eastAsia" w:ascii="仿宋" w:hAnsi="仿宋" w:eastAsia="仿宋"/>
          <w:kern w:val="0"/>
          <w:sz w:val="24"/>
        </w:rPr>
        <w:t>采购人或采购代理机构对已发出的磋商文件进行必要澄清或者修改的，将在原公告发布媒体（网站）上发布更正公告（通知），因供应商未及时登陆媒体（网站）查看导致通知未及时收到通知的，采购人或采购代理机构不承担责任。</w:t>
      </w:r>
    </w:p>
    <w:p w14:paraId="0D069E7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7.2</w:t>
      </w:r>
      <w:r>
        <w:rPr>
          <w:rFonts w:hint="eastAsia" w:ascii="仿宋" w:hAnsi="仿宋" w:eastAsia="仿宋"/>
          <w:kern w:val="0"/>
          <w:sz w:val="24"/>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BB02FB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7.3</w:t>
      </w:r>
      <w:r>
        <w:rPr>
          <w:rFonts w:hint="eastAsia" w:ascii="仿宋" w:hAnsi="仿宋" w:eastAsia="仿宋"/>
          <w:kern w:val="0"/>
          <w:sz w:val="24"/>
        </w:rPr>
        <w:t>澄清或者修改的内容为磋商文件的组成部分，并对所有获取磋商文件的供应商具有约束力。澄清或者修改的内容可能影响磋商文件编制的，将在投标截止时间至少 5 日前发布；不足 5 日的，将顺延提交响应文件的截止时间和开标时间。</w:t>
      </w:r>
    </w:p>
    <w:p w14:paraId="0C8D713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7.4</w:t>
      </w:r>
      <w:r>
        <w:rPr>
          <w:rFonts w:hint="eastAsia" w:ascii="仿宋" w:hAnsi="仿宋" w:eastAsia="仿宋"/>
          <w:kern w:val="0"/>
          <w:sz w:val="24"/>
        </w:rPr>
        <w:t>为了保证对磋商文件的澄清和修改满足法律的时限要求，任何要求对磋商文件进行澄清的供应商，均应在投标截止期</w:t>
      </w:r>
      <w:r>
        <w:rPr>
          <w:rFonts w:hint="eastAsia" w:ascii="仿宋" w:hAnsi="仿宋" w:eastAsia="仿宋"/>
          <w:kern w:val="0"/>
          <w:sz w:val="24"/>
          <w:lang w:val="en-US" w:eastAsia="zh-CN"/>
        </w:rPr>
        <w:t>5</w:t>
      </w:r>
      <w:r>
        <w:rPr>
          <w:rFonts w:hint="eastAsia" w:ascii="仿宋" w:hAnsi="仿宋" w:eastAsia="仿宋"/>
          <w:kern w:val="0"/>
          <w:sz w:val="24"/>
        </w:rPr>
        <w:t>日前，以书面形式将澄清要求通知采购人或采购代理机构。</w:t>
      </w:r>
    </w:p>
    <w:p w14:paraId="1D7740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7.5</w:t>
      </w:r>
      <w:r>
        <w:rPr>
          <w:rFonts w:hint="eastAsia" w:ascii="仿宋" w:hAnsi="仿宋" w:eastAsia="仿宋"/>
          <w:kern w:val="0"/>
          <w:sz w:val="24"/>
        </w:rPr>
        <w:t>如更正公告有重新发布电子磋商文件的，供应商应登录电子招投标平台下载最新发布的电子磋商文件制作响应文件。</w:t>
      </w:r>
    </w:p>
    <w:p w14:paraId="31CEC9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7.6</w:t>
      </w:r>
      <w:r>
        <w:rPr>
          <w:rFonts w:hint="eastAsia" w:ascii="仿宋" w:hAnsi="仿宋" w:eastAsia="仿宋"/>
          <w:kern w:val="0"/>
          <w:sz w:val="24"/>
        </w:rPr>
        <w:t>供应商在规定的时间内未对磋商文件提出疑问、质疑或要求澄清的，将视其为无异议。对磋商文件中描述有歧义或前后不一致的地方，磋商小组有权进行评判，但对同一条款的评判应适用于每个供应商。</w:t>
      </w:r>
    </w:p>
    <w:p w14:paraId="069F6D5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三、响应文件</w:t>
      </w:r>
    </w:p>
    <w:p w14:paraId="34BEACD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8.响应文件的语言和计量单位</w:t>
      </w:r>
    </w:p>
    <w:p w14:paraId="700D32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8.1供应商提交的响应文件以及供应商与采购代理机构就有关响应的所有来往函电应使用中文简体字。</w:t>
      </w:r>
    </w:p>
    <w:p w14:paraId="4FE1982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14:paraId="6FD66ED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8.3响应文件所使用的计量单位，应使用国家法定计量单位。</w:t>
      </w:r>
    </w:p>
    <w:p w14:paraId="5DDD7AD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8.4对违反上述规定情形的，磋商小组有权要求供应商限期提供相应文件或决定对其响应予以拒绝。</w:t>
      </w:r>
    </w:p>
    <w:p w14:paraId="12FB7F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9.响应文件的组成及相关要求</w:t>
      </w:r>
    </w:p>
    <w:p w14:paraId="0D6AF67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9.1响应文件分为资格审查文件、</w:t>
      </w:r>
      <w:r>
        <w:rPr>
          <w:rFonts w:hint="eastAsia" w:ascii="仿宋" w:hAnsi="仿宋" w:eastAsia="仿宋"/>
          <w:kern w:val="0"/>
          <w:sz w:val="24"/>
          <w:lang w:val="en-US" w:eastAsia="zh-CN"/>
        </w:rPr>
        <w:t>报价文件、</w:t>
      </w:r>
      <w:r>
        <w:rPr>
          <w:rFonts w:hint="eastAsia" w:ascii="仿宋" w:hAnsi="仿宋" w:eastAsia="仿宋"/>
          <w:kern w:val="0"/>
          <w:sz w:val="24"/>
        </w:rPr>
        <w:t>商务技术响应文件。响应文件的部分格式要求，</w:t>
      </w:r>
      <w:r>
        <w:rPr>
          <w:rFonts w:hint="eastAsia" w:ascii="仿宋" w:hAnsi="仿宋" w:eastAsia="仿宋"/>
          <w:kern w:val="0"/>
          <w:sz w:val="24"/>
          <w:lang w:val="en-US" w:eastAsia="zh-CN"/>
        </w:rPr>
        <w:t>详</w:t>
      </w:r>
      <w:r>
        <w:rPr>
          <w:rFonts w:hint="eastAsia" w:ascii="仿宋" w:hAnsi="仿宋" w:eastAsia="仿宋"/>
          <w:kern w:val="0"/>
          <w:sz w:val="24"/>
        </w:rPr>
        <w:t>见第七</w:t>
      </w:r>
      <w:r>
        <w:rPr>
          <w:rFonts w:hint="eastAsia" w:ascii="仿宋" w:hAnsi="仿宋" w:eastAsia="仿宋"/>
          <w:kern w:val="0"/>
          <w:sz w:val="24"/>
          <w:lang w:val="en-US" w:eastAsia="zh-CN"/>
        </w:rPr>
        <w:t>部分</w:t>
      </w:r>
      <w:r>
        <w:rPr>
          <w:rFonts w:hint="eastAsia" w:ascii="仿宋" w:hAnsi="仿宋" w:eastAsia="仿宋"/>
          <w:kern w:val="0"/>
          <w:sz w:val="24"/>
        </w:rPr>
        <w:t>《响应文件格式》。</w:t>
      </w:r>
    </w:p>
    <w:p w14:paraId="442B9A9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9.2</w:t>
      </w:r>
      <w:r>
        <w:rPr>
          <w:rFonts w:hint="eastAsia" w:ascii="仿宋" w:hAnsi="仿宋" w:eastAsia="仿宋"/>
          <w:kern w:val="0"/>
          <w:sz w:val="24"/>
          <w:lang w:val="en-US" w:eastAsia="zh-CN"/>
        </w:rPr>
        <w:t>磋商文件中</w:t>
      </w:r>
      <w:r>
        <w:rPr>
          <w:rFonts w:hint="eastAsia" w:ascii="仿宋" w:hAnsi="仿宋" w:eastAsia="仿宋"/>
          <w:kern w:val="0"/>
          <w:sz w:val="24"/>
        </w:rPr>
        <w:t>《采购需求》及《方法和评标标准》中涉及的证明文件。</w:t>
      </w:r>
    </w:p>
    <w:p w14:paraId="4B6107F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9.3对照</w:t>
      </w:r>
      <w:r>
        <w:rPr>
          <w:rFonts w:hint="eastAsia" w:ascii="仿宋" w:hAnsi="仿宋" w:eastAsia="仿宋"/>
          <w:kern w:val="0"/>
          <w:sz w:val="24"/>
          <w:lang w:val="en-US" w:eastAsia="zh-CN"/>
        </w:rPr>
        <w:t>磋商文件</w:t>
      </w:r>
      <w:r>
        <w:rPr>
          <w:rFonts w:hint="eastAsia" w:ascii="仿宋" w:hAnsi="仿宋" w:eastAsia="仿宋"/>
          <w:kern w:val="0"/>
          <w:sz w:val="24"/>
        </w:rPr>
        <w:t>《采购需求》，说明所提供货物或服务或工程已对《采购需求》做出了响应，或申明与《采购需求》的偏差和例外。如《采购需求》中要求提供证明文件的，供应商应当按具体要求提供证明文件。</w:t>
      </w:r>
    </w:p>
    <w:p w14:paraId="25CA08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9.4供应商认为应附的其他材料。</w:t>
      </w:r>
    </w:p>
    <w:p w14:paraId="2DD7D79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9.5响应报价</w:t>
      </w:r>
    </w:p>
    <w:p w14:paraId="1B553B9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9.5.1</w:t>
      </w:r>
      <w:r>
        <w:rPr>
          <w:rFonts w:hint="eastAsia" w:ascii="仿宋" w:hAnsi="仿宋" w:eastAsia="仿宋"/>
          <w:kern w:val="0"/>
          <w:sz w:val="24"/>
        </w:rPr>
        <w:t>所有响应报价均以人民币元为计算单位。供应商的报价应当包括满足本次磋商文件全部采购需求所应提供的全部内容。</w:t>
      </w:r>
    </w:p>
    <w:p w14:paraId="68C59EE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9.5.2</w:t>
      </w:r>
      <w:r>
        <w:rPr>
          <w:rFonts w:hint="eastAsia" w:ascii="仿宋" w:hAnsi="仿宋" w:eastAsia="仿宋"/>
          <w:kern w:val="0"/>
          <w:sz w:val="24"/>
        </w:rPr>
        <w:t>本次磋商不接受可选择或可调整的响应方案和报价，任何选择性方案或报价将被视为非实质性响应而被拒绝。</w:t>
      </w:r>
    </w:p>
    <w:p w14:paraId="432CFAF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9.5.3</w:t>
      </w:r>
      <w:r>
        <w:rPr>
          <w:rFonts w:hint="eastAsia" w:ascii="仿宋" w:hAnsi="仿宋" w:eastAsia="仿宋"/>
          <w:kern w:val="0"/>
          <w:sz w:val="24"/>
        </w:rPr>
        <w:t>供应商应按照磋商文件要求填报《磋商一览表》及《报价明细表》，不接受任何超出磋商文件要求而额外赠送的货物或者服务等内容。</w:t>
      </w:r>
    </w:p>
    <w:p w14:paraId="7C171BE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9.6本项目不允许供应商将项目的非主体、非关键性工作交由他人完成。</w:t>
      </w:r>
    </w:p>
    <w:p w14:paraId="779077A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10.响应内容填写说明</w:t>
      </w:r>
    </w:p>
    <w:p w14:paraId="0892DE8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14:paraId="7BDA229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10.2响应文件应严格按照磋商文件规定的顺序装订成册并编制目录，由于编排混乱导致响应文件被误读或查找不到，供应商自行承担责任。</w:t>
      </w:r>
    </w:p>
    <w:p w14:paraId="7B3F004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10.3响应文件应严格按照磋商文件的要求提交，并按规定的统一格式逐项填写，不准有空项；无相应内容可填的项应填写“无”</w:t>
      </w:r>
      <w:r>
        <w:rPr>
          <w:rFonts w:hint="eastAsia" w:ascii="仿宋" w:hAnsi="仿宋" w:eastAsia="仿宋"/>
          <w:kern w:val="0"/>
          <w:sz w:val="24"/>
          <w:lang w:eastAsia="zh-CN"/>
        </w:rPr>
        <w:t>、</w:t>
      </w:r>
      <w:r>
        <w:rPr>
          <w:rFonts w:hint="eastAsia" w:ascii="仿宋" w:hAnsi="仿宋" w:eastAsia="仿宋"/>
          <w:kern w:val="0"/>
          <w:sz w:val="24"/>
        </w:rPr>
        <w:t>“没有相应指标”等明确的回答文字。响应文件未按规定提交或留有空项，可能被视为不完整响应的响应文件，其响应有可能被拒绝。</w:t>
      </w:r>
    </w:p>
    <w:p w14:paraId="317F51F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10.4磋商一览表要求按格式统一填写，不得自行删减内容。</w:t>
      </w:r>
    </w:p>
    <w:p w14:paraId="7E39D68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10.5供应商必须保证响应文件所提供的全部资料真实可靠，并接受采购代理机构或磋商小组对其中任何资料进一步审查的要求。</w:t>
      </w:r>
    </w:p>
    <w:p w14:paraId="3090B22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w:t>
      </w:r>
      <w:r>
        <w:rPr>
          <w:rFonts w:hint="eastAsia" w:ascii="仿宋" w:hAnsi="仿宋" w:eastAsia="仿宋"/>
          <w:kern w:val="0"/>
          <w:sz w:val="24"/>
        </w:rPr>
        <w:t>磋商保证金</w:t>
      </w:r>
    </w:p>
    <w:p w14:paraId="507721C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11.1</w:t>
      </w:r>
      <w:r>
        <w:rPr>
          <w:rFonts w:hint="eastAsia" w:ascii="仿宋" w:hAnsi="仿宋" w:eastAsia="仿宋"/>
          <w:kern w:val="0"/>
          <w:sz w:val="24"/>
        </w:rPr>
        <w:t>供应商应按供应商须知前附表中规定的金额及要求交纳保证金，并作为其响应文件的一部分。</w:t>
      </w:r>
    </w:p>
    <w:p w14:paraId="2E4368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11.2</w:t>
      </w:r>
      <w:r>
        <w:rPr>
          <w:rFonts w:hint="eastAsia" w:ascii="仿宋" w:hAnsi="仿宋" w:eastAsia="仿宋"/>
          <w:kern w:val="0"/>
          <w:sz w:val="24"/>
        </w:rPr>
        <w:t>交纳保证金的形式除供应商须知前附表中另有约定外，可采用的形式：政府采购法律法规接受的支票、汇票、本票、网上银行支付或者金融机构、担保机构出具的保函等非现金形式。</w:t>
      </w:r>
    </w:p>
    <w:p w14:paraId="75F54CF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11.3</w:t>
      </w:r>
      <w:r>
        <w:rPr>
          <w:rFonts w:hint="eastAsia" w:ascii="仿宋" w:hAnsi="仿宋" w:eastAsia="仿宋"/>
          <w:kern w:val="0"/>
          <w:sz w:val="24"/>
        </w:rPr>
        <w:t>保证金到账（保函提交）截止时间同响应截止时间。以支票、汇票、本票、网上银行支付等形式提交保证金的，应在响应截止时间前到账。由于到账时间晚于响应截止时间的，或者票据错误、印鉴不清等原因导致不能到账的，其响应文件无效。</w:t>
      </w:r>
    </w:p>
    <w:p w14:paraId="64905F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11.4</w:t>
      </w:r>
      <w:r>
        <w:rPr>
          <w:rFonts w:hint="eastAsia" w:ascii="仿宋" w:hAnsi="仿宋" w:eastAsia="仿宋"/>
          <w:kern w:val="0"/>
          <w:sz w:val="24"/>
        </w:rPr>
        <w:t>如采用金融机构、专业担保机构开具的投标担保函、投标保证保险函等形式提交投标保证金的，投标担保函或投标保证保险函须开具给采购人（保险受益人须为采购人），否则其响应文件无效。电子保函与纸质保函具有同样效力。</w:t>
      </w:r>
    </w:p>
    <w:p w14:paraId="5524E8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11.5</w:t>
      </w:r>
      <w:r>
        <w:rPr>
          <w:rFonts w:hint="eastAsia" w:ascii="仿宋" w:hAnsi="仿宋" w:eastAsia="仿宋"/>
          <w:kern w:val="0"/>
          <w:sz w:val="24"/>
        </w:rPr>
        <w:t>保证金（保函）有效期同响应文件有效期。</w:t>
      </w:r>
    </w:p>
    <w:p w14:paraId="0BD32E9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lang w:val="en-US" w:eastAsia="zh-CN"/>
        </w:rPr>
        <w:t>11.6</w:t>
      </w:r>
      <w:r>
        <w:rPr>
          <w:rFonts w:hint="eastAsia" w:ascii="仿宋" w:hAnsi="仿宋" w:eastAsia="仿宋"/>
          <w:kern w:val="0"/>
          <w:sz w:val="24"/>
        </w:rPr>
        <w:t>联合体磋商的，可以由联合体中的一方或者共同提交保证金，以一方名义提交磋商保证金（保函）的，对联合体各方均具有约束力。</w:t>
      </w:r>
    </w:p>
    <w:p w14:paraId="68B7C71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2</w:t>
      </w:r>
      <w:r>
        <w:rPr>
          <w:rFonts w:hint="eastAsia" w:ascii="仿宋" w:hAnsi="仿宋" w:eastAsia="仿宋"/>
          <w:kern w:val="0"/>
          <w:sz w:val="24"/>
        </w:rPr>
        <w:t>.响应文件的有效期</w:t>
      </w:r>
    </w:p>
    <w:p w14:paraId="5569B86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12</w:t>
      </w:r>
      <w:r>
        <w:rPr>
          <w:rFonts w:hint="eastAsia" w:ascii="仿宋" w:hAnsi="仿宋" w:eastAsia="仿宋"/>
          <w:kern w:val="0"/>
          <w:sz w:val="24"/>
        </w:rPr>
        <w:t>.1响应文件应在供应商须知前附表中规定的响应文件有效期内保持有效，响应文件有效期少于磋商文件规定期限的，其响应文件无效。</w:t>
      </w:r>
    </w:p>
    <w:p w14:paraId="1C72CF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2</w:t>
      </w:r>
      <w:r>
        <w:rPr>
          <w:rFonts w:hint="eastAsia" w:ascii="仿宋" w:hAnsi="仿宋" w:eastAsia="仿宋"/>
          <w:kern w:val="0"/>
          <w:sz w:val="24"/>
        </w:rPr>
        <w:t>.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14:paraId="5A2D47C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.响应文件的签署及其他规定</w:t>
      </w:r>
    </w:p>
    <w:p w14:paraId="5313F21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.1组成响应文件的各项文件均应遵守本项规定。</w:t>
      </w:r>
    </w:p>
    <w:p w14:paraId="7F8045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.2响应文件及相关文件的签订、履行、通知等事项的书面文件中的单位盖章、印章、公章等处均仅指与当事人名称全称相一致的标准公章，不得使用其它形式（如带有“专用章”等字样的印章）。</w:t>
      </w:r>
    </w:p>
    <w:p w14:paraId="6FB8A41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3响应文件应按照磋商文件要求，格式文件需在签章和签字的位置填写供应商全称并加盖公章，同时在该处签署法定代表人或供应商代表的全名或加盖本人签名章。响应文件中授权书等非格式文件需签章的加盖与当事人名称相一致的标准公章，注明签署人姓名的须签署人签署全名或加盖本人签名章。</w:t>
      </w:r>
    </w:p>
    <w:p w14:paraId="454B60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14:paraId="321ED9D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.5供应商应按供应商须知前附表第5条规定提交响应文件。</w:t>
      </w:r>
    </w:p>
    <w:p w14:paraId="4E4F6F9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6</w:t>
      </w:r>
      <w:r>
        <w:rPr>
          <w:rFonts w:hint="eastAsia" w:ascii="仿宋" w:hAnsi="仿宋" w:eastAsia="仿宋"/>
          <w:kern w:val="0"/>
          <w:sz w:val="24"/>
        </w:rPr>
        <w:t>响应文件应字迹清楚、内容齐全、不得涂改或增删。如有修改和增删，必须有供应商公章及法定代表人或其授权的供应商代表签字或签章。</w:t>
      </w:r>
    </w:p>
    <w:p w14:paraId="1499325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3</w:t>
      </w:r>
      <w:r>
        <w:rPr>
          <w:rFonts w:hint="eastAsia" w:ascii="仿宋" w:hAnsi="仿宋" w:eastAsia="仿宋"/>
          <w:kern w:val="0"/>
          <w:sz w:val="24"/>
        </w:rPr>
        <w:t>.</w:t>
      </w:r>
      <w:r>
        <w:rPr>
          <w:rFonts w:hint="eastAsia" w:ascii="仿宋" w:hAnsi="仿宋" w:eastAsia="仿宋"/>
          <w:kern w:val="0"/>
          <w:sz w:val="24"/>
          <w:lang w:val="en-US" w:eastAsia="zh-CN"/>
        </w:rPr>
        <w:t>7</w:t>
      </w:r>
      <w:r>
        <w:rPr>
          <w:rFonts w:hint="eastAsia" w:ascii="仿宋" w:hAnsi="仿宋" w:eastAsia="仿宋"/>
          <w:kern w:val="0"/>
          <w:sz w:val="24"/>
        </w:rPr>
        <w:t>因响应文件字迹潦草或表达不清所引起的不利后果由供应商承担。</w:t>
      </w:r>
    </w:p>
    <w:p w14:paraId="726D86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rPr>
        <w:t>四、响应文件的递交</w:t>
      </w:r>
    </w:p>
    <w:p w14:paraId="0774D4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4</w:t>
      </w:r>
      <w:r>
        <w:rPr>
          <w:rFonts w:hint="eastAsia" w:ascii="仿宋" w:hAnsi="仿宋" w:eastAsia="仿宋"/>
          <w:kern w:val="0"/>
          <w:sz w:val="24"/>
        </w:rPr>
        <w:t>.响应文件的递交时间、地点</w:t>
      </w:r>
    </w:p>
    <w:p w14:paraId="6E0D33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szCs w:val="24"/>
        </w:rPr>
      </w:pPr>
      <w:r>
        <w:rPr>
          <w:rFonts w:hint="eastAsia" w:ascii="仿宋" w:hAnsi="仿宋" w:eastAsia="仿宋"/>
          <w:kern w:val="0"/>
          <w:sz w:val="24"/>
        </w:rPr>
        <w:t>1</w:t>
      </w:r>
      <w:r>
        <w:rPr>
          <w:rFonts w:hint="eastAsia" w:ascii="仿宋" w:hAnsi="仿宋" w:eastAsia="仿宋"/>
          <w:kern w:val="0"/>
          <w:sz w:val="24"/>
          <w:lang w:val="en-US" w:eastAsia="zh-CN"/>
        </w:rPr>
        <w:t>4</w:t>
      </w:r>
      <w:r>
        <w:rPr>
          <w:rFonts w:hint="eastAsia" w:ascii="仿宋" w:hAnsi="仿宋" w:eastAsia="仿宋"/>
          <w:kern w:val="0"/>
          <w:sz w:val="24"/>
        </w:rPr>
        <w:t>.1</w:t>
      </w:r>
      <w:r>
        <w:rPr>
          <w:rFonts w:hint="eastAsia" w:ascii="仿宋" w:hAnsi="仿宋" w:eastAsia="仿宋" w:cs="仿宋"/>
          <w:sz w:val="24"/>
          <w:szCs w:val="24"/>
        </w:rPr>
        <w:t>供应商应在</w:t>
      </w:r>
      <w:r>
        <w:rPr>
          <w:rFonts w:hint="eastAsia" w:ascii="仿宋" w:hAnsi="仿宋" w:eastAsia="仿宋" w:cs="仿宋"/>
          <w:sz w:val="24"/>
          <w:szCs w:val="24"/>
          <w:u w:val="single"/>
        </w:rPr>
        <w:t>供应商须知前附表</w:t>
      </w:r>
      <w:r>
        <w:rPr>
          <w:rFonts w:hint="eastAsia" w:ascii="仿宋" w:hAnsi="仿宋" w:eastAsia="仿宋" w:cs="仿宋"/>
          <w:sz w:val="24"/>
          <w:szCs w:val="24"/>
        </w:rPr>
        <w:t>中规定的截止时间前，将响应文件递交到磋商文件中规定的电子招投标平台</w:t>
      </w:r>
      <w:r>
        <w:rPr>
          <w:rFonts w:hint="eastAsia" w:ascii="仿宋" w:hAnsi="仿宋" w:eastAsia="仿宋"/>
          <w:kern w:val="0"/>
          <w:sz w:val="24"/>
          <w:szCs w:val="24"/>
        </w:rPr>
        <w:t>。</w:t>
      </w:r>
      <w:r>
        <w:rPr>
          <w:rFonts w:hint="eastAsia" w:ascii="仿宋" w:hAnsi="仿宋" w:eastAsia="仿宋" w:cs="仿宋"/>
          <w:sz w:val="24"/>
          <w:szCs w:val="24"/>
        </w:rPr>
        <w:t>响应截止时间结束后，系统将不允许供应商上传响应文件，已上传响应文件但未完成传输的文件系统将拒绝接收</w:t>
      </w:r>
      <w:r>
        <w:rPr>
          <w:rFonts w:hint="eastAsia" w:ascii="仿宋" w:hAnsi="仿宋" w:eastAsia="仿宋"/>
          <w:kern w:val="0"/>
          <w:sz w:val="24"/>
          <w:szCs w:val="24"/>
        </w:rPr>
        <w:t>。</w:t>
      </w:r>
    </w:p>
    <w:p w14:paraId="3A5677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szCs w:val="24"/>
        </w:rPr>
      </w:pPr>
      <w:r>
        <w:rPr>
          <w:rFonts w:hint="eastAsia" w:ascii="仿宋" w:hAnsi="仿宋" w:eastAsia="仿宋"/>
          <w:kern w:val="0"/>
          <w:sz w:val="24"/>
          <w:szCs w:val="24"/>
        </w:rPr>
        <w:t>15.响应文件的补充、修改和撤回</w:t>
      </w:r>
    </w:p>
    <w:p w14:paraId="24778C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sz w:val="24"/>
          <w:szCs w:val="24"/>
        </w:rPr>
      </w:pPr>
      <w:r>
        <w:rPr>
          <w:rFonts w:hint="eastAsia" w:ascii="仿宋" w:hAnsi="仿宋" w:eastAsia="仿宋"/>
          <w:kern w:val="0"/>
          <w:sz w:val="24"/>
          <w:szCs w:val="24"/>
        </w:rPr>
        <w:t>15.1</w:t>
      </w:r>
      <w:r>
        <w:rPr>
          <w:rFonts w:hint="eastAsia" w:ascii="仿宋" w:hAnsi="仿宋" w:eastAsia="仿宋" w:cs="仿宋"/>
          <w:sz w:val="24"/>
          <w:szCs w:val="24"/>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B2CD91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szCs w:val="24"/>
        </w:rPr>
      </w:pPr>
      <w:r>
        <w:rPr>
          <w:rFonts w:hint="eastAsia" w:ascii="仿宋" w:hAnsi="仿宋" w:eastAsia="仿宋"/>
          <w:kern w:val="0"/>
          <w:sz w:val="24"/>
          <w:szCs w:val="24"/>
        </w:rPr>
        <w:t>15.2在磋商截止时间之后，</w:t>
      </w:r>
      <w:r>
        <w:rPr>
          <w:rFonts w:hint="eastAsia" w:ascii="仿宋" w:hAnsi="仿宋" w:eastAsia="仿宋" w:cs="仿宋"/>
          <w:sz w:val="24"/>
          <w:szCs w:val="24"/>
        </w:rPr>
        <w:t>供应商不得补充、修改和更换响应文件</w:t>
      </w:r>
      <w:r>
        <w:rPr>
          <w:rFonts w:hint="eastAsia" w:ascii="仿宋" w:hAnsi="仿宋" w:eastAsia="仿宋"/>
          <w:kern w:val="0"/>
          <w:sz w:val="24"/>
          <w:szCs w:val="24"/>
        </w:rPr>
        <w:t>。</w:t>
      </w:r>
    </w:p>
    <w:p w14:paraId="520A7B6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b/>
          <w:kern w:val="0"/>
          <w:sz w:val="24"/>
          <w:lang w:val="en-US" w:eastAsia="zh-CN"/>
        </w:rPr>
      </w:pPr>
      <w:r>
        <w:rPr>
          <w:rFonts w:hint="eastAsia" w:ascii="仿宋" w:hAnsi="仿宋" w:eastAsia="仿宋"/>
          <w:b/>
          <w:kern w:val="0"/>
          <w:sz w:val="24"/>
          <w:lang w:val="en-US" w:eastAsia="zh-CN"/>
        </w:rPr>
        <w:t>五、开标</w:t>
      </w:r>
    </w:p>
    <w:p w14:paraId="6CA11E5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采购人和采购代理机构将按供应商须知前附表中规定的开标时间和地点组织公开开标并邀请所有供应商代表参加。开标为远程电子开标。</w:t>
      </w:r>
    </w:p>
    <w:p w14:paraId="0E21D2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w:t>
      </w:r>
      <w:r>
        <w:rPr>
          <w:rFonts w:hint="eastAsia" w:ascii="仿宋" w:hAnsi="仿宋" w:eastAsia="仿宋" w:cs="仿宋"/>
          <w:sz w:val="24"/>
          <w:szCs w:val="24"/>
        </w:rPr>
        <w:t>供应商的法定代表人或其授权代表应当按照本磋商文件载明的时间和模式等要求参加开标。在响应截止时间前30分钟，应当登录开标大厅进行签到，并且填写授权代表的姓名与手机号码。若因签到时填写的授权代表信息有误而导致的不良后果，由供应商自行承担。</w:t>
      </w:r>
    </w:p>
    <w:p w14:paraId="647C32A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w:t>
      </w:r>
      <w:r>
        <w:rPr>
          <w:rFonts w:hint="eastAsia" w:ascii="仿宋" w:hAnsi="仿宋" w:eastAsia="仿宋" w:cs="仿宋"/>
          <w:sz w:val="24"/>
          <w:szCs w:val="24"/>
        </w:rPr>
        <w:t>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响应无效处理。（采用远程电子开标的，各供应商在参加开标以前须自行对使用电脑的网络环境、驱动安装、客户端安装以及数字证书的有效性等进行检测，确保可以正常使用）。</w:t>
      </w:r>
    </w:p>
    <w:p w14:paraId="59B271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16.3</w:t>
      </w:r>
      <w:r>
        <w:rPr>
          <w:rFonts w:hint="eastAsia" w:ascii="仿宋" w:hAnsi="仿宋" w:eastAsia="仿宋" w:cs="仿宋"/>
          <w:sz w:val="24"/>
          <w:szCs w:val="24"/>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响应无效。如供应商无法在代理规定的时间内完成备用电子响应文件的上传，响应文件将被拒绝，作响应无效处理。</w:t>
      </w:r>
    </w:p>
    <w:p w14:paraId="0AB1D5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16.4</w:t>
      </w:r>
      <w:r>
        <w:rPr>
          <w:rFonts w:hint="eastAsia" w:ascii="仿宋" w:hAnsi="仿宋" w:eastAsia="仿宋" w:cs="仿宋"/>
          <w:sz w:val="24"/>
          <w:szCs w:val="24"/>
        </w:rPr>
        <w:t>响应截止时间后，供应商不足3家的，不得开标。同时，本次采购活动结束。</w:t>
      </w:r>
    </w:p>
    <w:p w14:paraId="58D3357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六</w:t>
      </w:r>
      <w:r>
        <w:rPr>
          <w:rFonts w:hint="eastAsia" w:ascii="仿宋" w:hAnsi="仿宋" w:eastAsia="仿宋"/>
          <w:b/>
          <w:kern w:val="0"/>
          <w:sz w:val="24"/>
        </w:rPr>
        <w:t>、评审步骤和要求</w:t>
      </w:r>
    </w:p>
    <w:p w14:paraId="46CD176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.组建磋商小组</w:t>
      </w:r>
    </w:p>
    <w:p w14:paraId="70E0F30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.1采购人或采购代理机构根据有关法律法规和本磋商文件的规定，结合本磋商项目的特点组建磋商小组，对具备实质性响应的响应文件进行评估和比较。磋商小组由采购人代表和评审专家共</w:t>
      </w:r>
      <w:r>
        <w:rPr>
          <w:rFonts w:hint="eastAsia" w:ascii="仿宋" w:hAnsi="仿宋" w:eastAsia="仿宋"/>
          <w:kern w:val="0"/>
          <w:sz w:val="24"/>
          <w:u w:val="single"/>
          <w:lang w:val="en-US" w:eastAsia="zh-CN"/>
        </w:rPr>
        <w:t xml:space="preserve"> </w:t>
      </w:r>
      <w:r>
        <w:rPr>
          <w:rFonts w:hint="eastAsia" w:ascii="仿宋" w:hAnsi="仿宋" w:eastAsia="仿宋"/>
          <w:b/>
          <w:bCs/>
          <w:kern w:val="0"/>
          <w:sz w:val="24"/>
          <w:u w:val="single"/>
          <w:lang w:val="en-US" w:eastAsia="zh-CN"/>
        </w:rPr>
        <w:t xml:space="preserve">3 </w:t>
      </w:r>
      <w:r>
        <w:rPr>
          <w:rFonts w:hint="eastAsia" w:ascii="仿宋" w:hAnsi="仿宋" w:eastAsia="仿宋"/>
          <w:kern w:val="0"/>
          <w:sz w:val="24"/>
        </w:rPr>
        <w:t>人以上单数组成。其中评审专家人数不得少于磋商小组成员总数的三分之二。</w:t>
      </w:r>
    </w:p>
    <w:p w14:paraId="79EB23D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7</w:t>
      </w:r>
      <w:r>
        <w:rPr>
          <w:rFonts w:hint="eastAsia" w:ascii="仿宋" w:hAnsi="仿宋" w:eastAsia="仿宋"/>
          <w:kern w:val="0"/>
          <w:sz w:val="24"/>
        </w:rPr>
        <w:t>.2本项目评审专家按照政府采购云平台相关管理要求，在政府采购云平台专家库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64841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.资格审查、符合性审查</w:t>
      </w:r>
    </w:p>
    <w:p w14:paraId="184FA37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.1磋商时间后，采购</w:t>
      </w:r>
      <w:r>
        <w:rPr>
          <w:rFonts w:hint="eastAsia" w:ascii="仿宋" w:hAnsi="仿宋" w:eastAsia="仿宋"/>
          <w:kern w:val="0"/>
          <w:sz w:val="24"/>
          <w:lang w:val="en-US" w:eastAsia="zh-CN"/>
        </w:rPr>
        <w:t>人</w:t>
      </w:r>
      <w:r>
        <w:rPr>
          <w:rFonts w:hint="eastAsia" w:ascii="仿宋" w:hAnsi="仿宋" w:eastAsia="仿宋"/>
          <w:kern w:val="0"/>
          <w:sz w:val="24"/>
        </w:rPr>
        <w:t>将按照磋商文件规定对供应商进行资格审查，资格审查不合格的，</w:t>
      </w:r>
      <w:r>
        <w:rPr>
          <w:rFonts w:hint="eastAsia" w:ascii="仿宋" w:hAnsi="仿宋" w:eastAsia="仿宋"/>
          <w:kern w:val="0"/>
          <w:sz w:val="24"/>
          <w:lang w:val="en-US" w:eastAsia="zh-CN"/>
        </w:rPr>
        <w:t>投标</w:t>
      </w:r>
      <w:r>
        <w:rPr>
          <w:rFonts w:hint="eastAsia" w:ascii="仿宋" w:hAnsi="仿宋" w:eastAsia="仿宋"/>
          <w:kern w:val="0"/>
          <w:sz w:val="24"/>
        </w:rPr>
        <w:t>无效。</w:t>
      </w:r>
    </w:p>
    <w:p w14:paraId="06BFF43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.2磋商小组将对通过资格审查的供应商提交的响应文件进行符合性审查，符合性审查不合格的，</w:t>
      </w:r>
      <w:r>
        <w:rPr>
          <w:rFonts w:hint="eastAsia" w:ascii="仿宋" w:hAnsi="仿宋" w:eastAsia="仿宋"/>
          <w:kern w:val="0"/>
          <w:sz w:val="24"/>
          <w:lang w:val="en-US" w:eastAsia="zh-CN"/>
        </w:rPr>
        <w:t>投标</w:t>
      </w:r>
      <w:r>
        <w:rPr>
          <w:rFonts w:hint="eastAsia" w:ascii="仿宋" w:hAnsi="仿宋" w:eastAsia="仿宋"/>
          <w:kern w:val="0"/>
          <w:sz w:val="24"/>
        </w:rPr>
        <w:t>无效。</w:t>
      </w:r>
    </w:p>
    <w:p w14:paraId="14AC451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.3在详细评审之前，磋商小组要审查每份响应文件是否实质上响应了磋商文件的要求</w:t>
      </w:r>
    </w:p>
    <w:p w14:paraId="1A9F33A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18.3.1</w:t>
      </w:r>
      <w:r>
        <w:rPr>
          <w:rFonts w:hint="eastAsia" w:ascii="仿宋" w:hAnsi="仿宋" w:eastAsia="仿宋"/>
          <w:kern w:val="0"/>
          <w:sz w:val="24"/>
        </w:rPr>
        <w:t>实质上响应的响应是指与磋商文件的主要条款、条件和规格相符，没有重大偏离或保留。</w:t>
      </w:r>
    </w:p>
    <w:p w14:paraId="760F0A5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18.3.2</w:t>
      </w:r>
      <w:r>
        <w:rPr>
          <w:rFonts w:hint="eastAsia" w:ascii="仿宋" w:hAnsi="仿宋" w:eastAsia="仿宋"/>
          <w:kern w:val="0"/>
          <w:sz w:val="24"/>
        </w:rPr>
        <w:t>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8FE17A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18.3.3</w:t>
      </w:r>
      <w:r>
        <w:rPr>
          <w:rFonts w:hint="eastAsia" w:ascii="仿宋" w:hAnsi="仿宋" w:eastAsia="仿宋"/>
          <w:kern w:val="0"/>
          <w:sz w:val="24"/>
        </w:rPr>
        <w:t>重大偏离不允许在响应截止时间后修正，但磋商小组将允许修正响应中不构成重大偏离的地方，这些修正不会对其他实质上响应磋商文件要求的供应商的竞争地位产生不公正的影响。</w:t>
      </w:r>
    </w:p>
    <w:p w14:paraId="54696D2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18.3.4</w:t>
      </w:r>
      <w:r>
        <w:rPr>
          <w:rFonts w:hint="eastAsia" w:ascii="仿宋" w:hAnsi="仿宋" w:eastAsia="仿宋"/>
          <w:kern w:val="0"/>
          <w:sz w:val="24"/>
        </w:rPr>
        <w:t>如果响应文件实质上没有响应磋商文件的要求，磋商小组将予以拒绝，供应商不得再对响应文件进行任何修正从而使其响应成为实质上响应的响应。</w:t>
      </w:r>
    </w:p>
    <w:p w14:paraId="2526A3E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E24CB0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.5初审中，对明显的文字和计算错误按下述原则处理，若出现相互矛盾之处，应以排列在先的原则为准优先处理：</w:t>
      </w:r>
    </w:p>
    <w:p w14:paraId="08755FE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1)如果磋商一览表响应价格与响应文件中磋商一览表不一致的，以磋商一览表响应价格为准；磋商一览表内容与响应文件中明细表内容不一致的,以磋商一览表为准。</w:t>
      </w:r>
    </w:p>
    <w:p w14:paraId="7E0EBB7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2)如果以文字表示的数据与数字表示的有差别，以文字为准修正数字。如果大小写金额不一致的，以大写金额为准。</w:t>
      </w:r>
    </w:p>
    <w:p w14:paraId="4145588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3)如果金额乘以数量不等于总价，以单价为准修正总价，但单价金额小数点有明显错误的，应以总价为准，并修改单价。如果明细价格相加不等于汇总价格，以明细价格为准。</w:t>
      </w:r>
    </w:p>
    <w:p w14:paraId="0FD9432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4)调整后的数据应对供应商具有约束力，供应商不同意以上修正，其响应将被拒绝。</w:t>
      </w:r>
    </w:p>
    <w:p w14:paraId="78B719E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rPr>
      </w:pPr>
      <w:r>
        <w:rPr>
          <w:rFonts w:hint="eastAsia" w:ascii="仿宋" w:hAnsi="仿宋" w:eastAsia="仿宋"/>
          <w:kern w:val="0"/>
          <w:sz w:val="24"/>
        </w:rPr>
        <w:t>1</w:t>
      </w:r>
      <w:r>
        <w:rPr>
          <w:rFonts w:hint="eastAsia" w:ascii="仿宋" w:hAnsi="仿宋" w:eastAsia="仿宋"/>
          <w:kern w:val="0"/>
          <w:sz w:val="24"/>
          <w:lang w:val="en-US" w:eastAsia="zh-CN"/>
        </w:rPr>
        <w:t>8</w:t>
      </w:r>
      <w:r>
        <w:rPr>
          <w:rFonts w:hint="eastAsia" w:ascii="仿宋" w:hAnsi="仿宋" w:eastAsia="仿宋"/>
          <w:kern w:val="0"/>
          <w:sz w:val="24"/>
        </w:rPr>
        <w:t>.6磋商小组所有成员应当集中与单一供应商分别进行磋商，并给予所有通过资格及符合性审查的供应商平等的磋商机会。</w:t>
      </w:r>
    </w:p>
    <w:p w14:paraId="151B107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.响应的澄清</w:t>
      </w:r>
    </w:p>
    <w:p w14:paraId="1AAAC04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通过政采云平台向供应商发出。供应商的澄清、说明或者更正应当由法定代表人或其授权代表签字或者加盖公章。由授权代表签字的，应当附法定代表人授权书。供应商为自然人的，应当由本人签字并附身份证明。</w:t>
      </w:r>
    </w:p>
    <w:p w14:paraId="18C939F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2供应商必须按照磋商小组询标函通知的内容，在规定时间内做出答复，该答复须由其法定代表人或授权代表签字或者加盖公章，并作为响应文件内容的一部分。澄清、说明或者补正不得超出响应文件的范围或者改变响应文件的实质性内容。供应商拒不按照要求对响应文件进行澄清、说明或者补正的，磋商小组可拒绝该响应。</w:t>
      </w:r>
    </w:p>
    <w:p w14:paraId="62C3AC4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w:t>
      </w:r>
      <w:r>
        <w:rPr>
          <w:rFonts w:hint="eastAsia" w:ascii="仿宋" w:hAnsi="仿宋" w:eastAsia="仿宋"/>
          <w:kern w:val="0"/>
          <w:sz w:val="24"/>
          <w:lang w:val="en-US" w:eastAsia="zh-CN"/>
        </w:rPr>
        <w:t>9</w:t>
      </w:r>
      <w:r>
        <w:rPr>
          <w:rFonts w:hint="eastAsia" w:ascii="仿宋" w:hAnsi="仿宋" w:eastAsia="仿宋"/>
          <w:kern w:val="0"/>
          <w:sz w:val="24"/>
        </w:rPr>
        <w:t>.3政府采购异常低价审查</w:t>
      </w:r>
    </w:p>
    <w:p w14:paraId="435ED6C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0242ECD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2.政府采购异常低价审查：根据《关于推动解决政府采购异常低价问题的通知》（财库〔2026〕2号）的规定：</w:t>
      </w:r>
    </w:p>
    <w:p w14:paraId="0645CA1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（一）采购评审中出现下列情形之一的，评审委员会应当启动异常低价投标（响应）审查程序：</w:t>
      </w:r>
    </w:p>
    <w:p w14:paraId="395C602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1.投标（响应）报价低于全部通过符合性审查供应商投标（响应）报价平均值50%的，即投标（响应）报价&lt;全部通过符合性审查供应商投标（响应）报价平均值×50%；</w:t>
      </w:r>
    </w:p>
    <w:p w14:paraId="023FDE4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2.投标（响应）报价低于通过符合性审查的次低报价供应商投标（响应）报价50%的，即投标（响应）报价&lt;通过符合性审查的次低报价供应商投标（响应）报价×50%；</w:t>
      </w:r>
    </w:p>
    <w:p w14:paraId="62A8499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3.投标（响应）报价低于采购项目最高限价45%的，即投标（响应）报价&lt;采购项目最高限价×45%；</w:t>
      </w:r>
    </w:p>
    <w:p w14:paraId="5C591CF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4.评审委员会基于专业判断，认为供应商报价过低，有可能影响产品质量或者不能诚信履约的其他情形。</w:t>
      </w:r>
    </w:p>
    <w:p w14:paraId="1C2AEA0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采购人可以结合具体项目实际情况，提高上述第1项至第3项中启动异常低价投标（响应）审查的数值标准，但是最高不得超过65%。</w:t>
      </w:r>
    </w:p>
    <w:p w14:paraId="75571C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相关法律法规对供应商报价有规定的，从其规定。</w:t>
      </w:r>
    </w:p>
    <w:p w14:paraId="11C4658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7DD03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7D15B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.对响应文件的详细评审</w:t>
      </w:r>
    </w:p>
    <w:p w14:paraId="00BE5ED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过政采云平台同时通知所有参加磋商的供应商。供应商应当按照磋商文件的变动情况和磋商小组的要求重新提交磋商报价，并由其法定代表人或授权代表签字或者加盖公章。由授权代表签字的，应当附法定代表人授权书。供应商为自然人的，应当由本人签字并附身份证明。</w:t>
      </w:r>
    </w:p>
    <w:p w14:paraId="0EB2F09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.2符合《政府采购竞争性磋商采购方式管理暂行办法》的通知(财库〔2014〕214号)第三条第四项情形的，提交最后报价的供应商可以为2家。</w:t>
      </w:r>
    </w:p>
    <w:p w14:paraId="1DF403E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.3已提交响应文件的供应商，在提交最后报价之前，可以根据磋商情况退出磋商。采购人、采购代理机构应当退还退出磋商的供应商的磋商保证金。</w:t>
      </w:r>
    </w:p>
    <w:p w14:paraId="1AE47E4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.4经磋商确定最终采购需求和提交最后报价的供应商后，由磋商小组采用综合评分法对提交最终报价的供应商的响应文件和最终报价进行综合评分。</w:t>
      </w:r>
    </w:p>
    <w:p w14:paraId="266B9C5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14:paraId="16F4F5D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.6评审时，磋商小组各成员应当独立对每个有效响应的文件进行评价、打分，然后汇总每个供应商每项评分因素的得分。</w:t>
      </w:r>
    </w:p>
    <w:p w14:paraId="32493B6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14:paraId="01DB0A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20</w:t>
      </w:r>
      <w:r>
        <w:rPr>
          <w:rFonts w:hint="eastAsia" w:ascii="仿宋" w:hAnsi="仿宋" w:eastAsia="仿宋"/>
          <w:kern w:val="0"/>
          <w:sz w:val="24"/>
        </w:rPr>
        <w:t>.</w:t>
      </w:r>
      <w:r>
        <w:rPr>
          <w:rFonts w:hint="eastAsia" w:ascii="仿宋" w:hAnsi="仿宋" w:eastAsia="仿宋"/>
          <w:kern w:val="0"/>
          <w:sz w:val="24"/>
          <w:lang w:val="en-US" w:eastAsia="zh-CN"/>
        </w:rPr>
        <w:t>8</w:t>
      </w:r>
      <w:r>
        <w:rPr>
          <w:rFonts w:hint="eastAsia" w:ascii="仿宋" w:hAnsi="仿宋" w:eastAsia="仿宋"/>
          <w:kern w:val="0"/>
          <w:sz w:val="24"/>
        </w:rPr>
        <w:t>磋商小组只对实质上响应磋商文件的响应进行评价和比较；评审应严格按照磋商文件的要求和条件进行；具体评审原则、方法和成交条件详见磋商文件第四部分“评审办法和评审标准”。</w:t>
      </w:r>
    </w:p>
    <w:p w14:paraId="0304623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.确定成交供应商</w:t>
      </w:r>
    </w:p>
    <w:p w14:paraId="5D7867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14:paraId="4594CF2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CA01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14:paraId="2C7C33F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.4采购人也可以授权磋商小组按本条规定直接确定成交供应商。</w:t>
      </w:r>
    </w:p>
    <w:p w14:paraId="3CA5FFE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C8E0AC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1</w:t>
      </w:r>
      <w:r>
        <w:rPr>
          <w:rFonts w:hint="eastAsia" w:ascii="仿宋" w:hAnsi="仿宋" w:eastAsia="仿宋"/>
          <w:kern w:val="0"/>
          <w:sz w:val="24"/>
        </w:rPr>
        <w:t>.6采购人或者采购代理机构不得通过对样品进行检测、对供应商进行考察等方式改变评审结果。</w:t>
      </w:r>
    </w:p>
    <w:p w14:paraId="7B17997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.评审过程保密</w:t>
      </w:r>
    </w:p>
    <w:p w14:paraId="7DC2015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.1响应截止时间之后，直到授予供应商合同止，凡是属于审查、澄清、评价和比较响应的有关资料以及授标意向等，均不向供应商或其他与评审无关的人员透露。</w:t>
      </w:r>
    </w:p>
    <w:p w14:paraId="55A27FC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.2在评审期间，供应商企图影响采购代理机构或磋商小组的任何活动，将导致响应被拒绝，并由其承担相应的法律责任。</w:t>
      </w:r>
    </w:p>
    <w:p w14:paraId="3FE7FCC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2</w:t>
      </w:r>
      <w:r>
        <w:rPr>
          <w:rFonts w:hint="eastAsia" w:ascii="仿宋" w:hAnsi="仿宋" w:eastAsia="仿宋"/>
          <w:kern w:val="0"/>
          <w:sz w:val="24"/>
        </w:rPr>
        <w:t>.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66DB80F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3</w:t>
      </w:r>
      <w:r>
        <w:rPr>
          <w:rFonts w:hint="eastAsia" w:ascii="仿宋" w:hAnsi="仿宋" w:eastAsia="仿宋"/>
          <w:kern w:val="0"/>
          <w:sz w:val="24"/>
        </w:rPr>
        <w:t>.关于供应商瑕疵滞后发现的处理规则：</w:t>
      </w:r>
    </w:p>
    <w:p w14:paraId="58C519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3</w:t>
      </w:r>
      <w:r>
        <w:rPr>
          <w:rFonts w:hint="eastAsia" w:ascii="仿宋" w:hAnsi="仿宋" w:eastAsia="仿宋"/>
          <w:kern w:val="0"/>
          <w:sz w:val="24"/>
        </w:rPr>
        <w:t>.1无论基于何种原因，各项本应作拒绝处理的情形即便未被及时发现而使该供应商进入初审、详细评审或其它后续程序，包括已经签约的情形，一旦在任何时间被发现存在上述情形，则向财政部门反映。</w:t>
      </w:r>
    </w:p>
    <w:p w14:paraId="073865C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.采购项目终止</w:t>
      </w:r>
    </w:p>
    <w:p w14:paraId="62D8216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.1在磋商过程中，磋商小组发现有下列情形之一的，应当终止竞争性磋商采购活动：</w:t>
      </w:r>
    </w:p>
    <w:p w14:paraId="350CDE3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1)出现影响采购公正的违法、违规行为的；</w:t>
      </w:r>
    </w:p>
    <w:p w14:paraId="0DF622C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left="479" w:leftChars="228" w:firstLine="0" w:firstLineChars="0"/>
        <w:textAlignment w:val="auto"/>
        <w:rPr>
          <w:rFonts w:hint="eastAsia" w:ascii="仿宋" w:hAnsi="仿宋" w:eastAsia="仿宋"/>
          <w:kern w:val="0"/>
          <w:sz w:val="24"/>
          <w:lang w:val="en-US" w:eastAsia="zh-CN"/>
        </w:rPr>
      </w:pPr>
      <w:r>
        <w:rPr>
          <w:rFonts w:hint="eastAsia" w:ascii="仿宋" w:hAnsi="仿宋" w:eastAsia="仿宋"/>
          <w:kern w:val="0"/>
          <w:sz w:val="24"/>
          <w:lang w:val="en-US" w:eastAsia="zh-CN"/>
        </w:rPr>
        <w:t>2)供应商的报价均超过了采购预算，采购人不能支付的；</w:t>
      </w:r>
    </w:p>
    <w:p w14:paraId="0ED7CD7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left="479" w:leftChars="228" w:firstLine="0" w:firstLineChars="0"/>
        <w:textAlignment w:val="auto"/>
        <w:rPr>
          <w:rFonts w:ascii="仿宋" w:hAnsi="仿宋" w:eastAsia="仿宋"/>
          <w:kern w:val="0"/>
          <w:sz w:val="24"/>
        </w:rPr>
      </w:pPr>
      <w:r>
        <w:rPr>
          <w:rFonts w:hint="eastAsia" w:ascii="仿宋" w:hAnsi="仿宋" w:eastAsia="仿宋"/>
          <w:kern w:val="0"/>
          <w:sz w:val="24"/>
          <w:lang w:val="en-US" w:eastAsia="zh-CN"/>
        </w:rPr>
        <w:t>3)因重大变故，采购任务取消的。</w:t>
      </w:r>
    </w:p>
    <w:p w14:paraId="4C16C6C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24.2</w:t>
      </w:r>
      <w:r>
        <w:rPr>
          <w:rFonts w:hint="eastAsia" w:ascii="仿宋" w:hAnsi="仿宋" w:eastAsia="仿宋"/>
          <w:kern w:val="0"/>
          <w:sz w:val="24"/>
        </w:rPr>
        <w:t>废标后，采购人将废标理由通知所有供应商。</w:t>
      </w:r>
    </w:p>
    <w:p w14:paraId="5E75405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3</w:t>
      </w:r>
      <w:r>
        <w:rPr>
          <w:rFonts w:hint="eastAsia" w:ascii="仿宋" w:hAnsi="仿宋" w:eastAsia="仿宋"/>
          <w:kern w:val="0"/>
          <w:sz w:val="24"/>
        </w:rPr>
        <w:t>在采购活动中因重大变故，采购任务取消的，采购人或者采购代理机构应当终止采购活动，通知所有参加采购活动的供应商，并将项目实施情况和采购任务取消原因报送本级财政部门。</w:t>
      </w:r>
    </w:p>
    <w:p w14:paraId="6EB6299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4</w:t>
      </w:r>
      <w:r>
        <w:rPr>
          <w:rFonts w:hint="eastAsia" w:ascii="仿宋" w:hAnsi="仿宋" w:eastAsia="仿宋"/>
          <w:kern w:val="0"/>
          <w:sz w:val="24"/>
        </w:rPr>
        <w:t>.</w:t>
      </w:r>
      <w:r>
        <w:rPr>
          <w:rFonts w:hint="eastAsia" w:ascii="仿宋" w:hAnsi="仿宋" w:eastAsia="仿宋"/>
          <w:kern w:val="0"/>
          <w:sz w:val="24"/>
          <w:lang w:val="en-US" w:eastAsia="zh-CN"/>
        </w:rPr>
        <w:t>4</w:t>
      </w:r>
      <w:r>
        <w:rPr>
          <w:rFonts w:hint="eastAsia" w:ascii="仿宋" w:hAnsi="仿宋" w:eastAsia="仿宋"/>
          <w:kern w:val="0"/>
          <w:sz w:val="24"/>
        </w:rPr>
        <w:t>终止后，采购代理机构应当将终止原因通知所有供应商。</w:t>
      </w:r>
    </w:p>
    <w:p w14:paraId="20E36C9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七</w:t>
      </w:r>
      <w:r>
        <w:rPr>
          <w:rFonts w:hint="eastAsia" w:ascii="仿宋" w:hAnsi="仿宋" w:eastAsia="仿宋"/>
          <w:b/>
          <w:kern w:val="0"/>
          <w:sz w:val="24"/>
        </w:rPr>
        <w:t>、签订合同</w:t>
      </w:r>
    </w:p>
    <w:p w14:paraId="271E7B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.成交通知</w:t>
      </w:r>
    </w:p>
    <w:p w14:paraId="024B119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1采购人或者采购代理机构应当在成交供应商确定后2个工作日内，在新疆政府采购云平台发布成交结果公告，同时向成交供应商发出成交通知书。成交公告期限为1个工作日。成交通知书对采购人和成交供应商具有同等法律效力。成交通知书发出以后，采购人改变成交结果或者成交供应商放弃成交，应当承担相应的法律责任。</w:t>
      </w:r>
    </w:p>
    <w:p w14:paraId="0B6E844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5</w:t>
      </w:r>
      <w:r>
        <w:rPr>
          <w:rFonts w:hint="eastAsia" w:ascii="仿宋" w:hAnsi="仿宋" w:eastAsia="仿宋"/>
          <w:kern w:val="0"/>
          <w:sz w:val="24"/>
        </w:rPr>
        <w:t>.2成交通知书是合同的组成部分。</w:t>
      </w:r>
    </w:p>
    <w:p w14:paraId="11BB761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.签订合同</w:t>
      </w:r>
    </w:p>
    <w:p w14:paraId="251A3E6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1采购人与成交供应商应当在成交通知书发出之日起30日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4F107DA1">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.2采购人如需追加与合同标的相同的货物或服务，在不改变合同其他条款的前提下，成交供应商可与采购人协商签订补充合同，但所有补充合同的采购金额不得超过原合同金额的10%。</w:t>
      </w:r>
    </w:p>
    <w:p w14:paraId="3B7FFF7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8D72EA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.4成交供应商一旦成交及签订合同后，不得转包、分包，亦不得将合同全部及任何权利、义务向第三方转让，否则将被视为严重违约，采购代理机构有权决定按照成交合同终止或解除合同等约定处理。</w:t>
      </w:r>
    </w:p>
    <w:p w14:paraId="0199AD0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6</w:t>
      </w:r>
      <w:r>
        <w:rPr>
          <w:rFonts w:hint="eastAsia" w:ascii="仿宋" w:hAnsi="仿宋" w:eastAsia="仿宋"/>
          <w:kern w:val="0"/>
          <w:sz w:val="24"/>
        </w:rPr>
        <w:t>.5采购人或者采购代理机构应当在采购活动结束后及时退还供应商的磋商保证金。未成交供应商的磋商保证金应当在成交通知书发出后5个工作日内退还，成交供应商的磋商保证金应当在采购合同签订后5个工作日内退还。</w:t>
      </w:r>
    </w:p>
    <w:p w14:paraId="7B66415A">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八</w:t>
      </w:r>
      <w:r>
        <w:rPr>
          <w:rFonts w:hint="eastAsia" w:ascii="仿宋" w:hAnsi="仿宋" w:eastAsia="仿宋"/>
          <w:b/>
          <w:kern w:val="0"/>
          <w:sz w:val="24"/>
        </w:rPr>
        <w:t>、磋商代理服务费</w:t>
      </w:r>
    </w:p>
    <w:p w14:paraId="7A2E3C3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0"/>
          <w:sz w:val="24"/>
          <w:lang w:eastAsia="zh-CN"/>
        </w:rPr>
      </w:pPr>
      <w:r>
        <w:rPr>
          <w:rFonts w:hint="eastAsia" w:ascii="仿宋" w:hAnsi="仿宋" w:eastAsia="仿宋"/>
          <w:kern w:val="0"/>
          <w:sz w:val="24"/>
        </w:rPr>
        <w:t>2</w:t>
      </w:r>
      <w:r>
        <w:rPr>
          <w:rFonts w:hint="eastAsia" w:ascii="仿宋" w:hAnsi="仿宋" w:eastAsia="仿宋"/>
          <w:kern w:val="0"/>
          <w:sz w:val="24"/>
          <w:lang w:val="en-US" w:eastAsia="zh-CN"/>
        </w:rPr>
        <w:t>7</w:t>
      </w:r>
      <w:r>
        <w:rPr>
          <w:rFonts w:hint="eastAsia" w:ascii="仿宋" w:hAnsi="仿宋" w:eastAsia="仿宋"/>
          <w:kern w:val="0"/>
          <w:sz w:val="24"/>
        </w:rPr>
        <w:t>. 磋商代理服务费：收费对象、收费标准及缴纳时间</w:t>
      </w:r>
      <w:r>
        <w:rPr>
          <w:rFonts w:hint="eastAsia" w:ascii="仿宋" w:hAnsi="仿宋" w:eastAsia="仿宋"/>
          <w:kern w:val="0"/>
          <w:sz w:val="24"/>
          <w:lang w:val="en-US" w:eastAsia="zh-CN"/>
        </w:rPr>
        <w:t>详</w:t>
      </w:r>
      <w:r>
        <w:rPr>
          <w:rFonts w:hint="eastAsia" w:ascii="仿宋" w:hAnsi="仿宋" w:eastAsia="仿宋"/>
          <w:kern w:val="0"/>
          <w:sz w:val="24"/>
          <w:u w:val="single"/>
        </w:rPr>
        <w:t>见供应商须知前附表</w:t>
      </w:r>
      <w:r>
        <w:rPr>
          <w:rFonts w:hint="eastAsia" w:ascii="仿宋" w:hAnsi="仿宋" w:eastAsia="仿宋"/>
          <w:kern w:val="0"/>
          <w:sz w:val="24"/>
        </w:rPr>
        <w:t>。由成交人支付的，成交人须一次性向采购代理机构缴纳代理费，响应报价应包含代理费</w:t>
      </w:r>
      <w:r>
        <w:rPr>
          <w:rFonts w:hint="eastAsia" w:ascii="仿宋" w:hAnsi="仿宋" w:eastAsia="仿宋"/>
          <w:kern w:val="0"/>
          <w:sz w:val="24"/>
          <w:lang w:eastAsia="zh-CN"/>
        </w:rPr>
        <w:t>。</w:t>
      </w:r>
    </w:p>
    <w:p w14:paraId="01F7D14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九</w:t>
      </w:r>
      <w:r>
        <w:rPr>
          <w:rFonts w:hint="eastAsia" w:ascii="仿宋" w:hAnsi="仿宋" w:eastAsia="仿宋"/>
          <w:b/>
          <w:kern w:val="0"/>
          <w:sz w:val="24"/>
        </w:rPr>
        <w:t>、处罚、询问和质疑</w:t>
      </w:r>
    </w:p>
    <w:p w14:paraId="2DD7B9E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.发生下列情况之一，供应商的磋商保证金将被没收，并被列入不良记录名单，供应商今后参与同类政府采购项目的机会可能会受到影响：</w:t>
      </w:r>
    </w:p>
    <w:p w14:paraId="409449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.1供应商在提交响应文件截止时间后撤回响应文件的；</w:t>
      </w:r>
    </w:p>
    <w:p w14:paraId="4DC39CE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.2供应商在响应文件中提供虚假材料的；</w:t>
      </w:r>
    </w:p>
    <w:p w14:paraId="73DFA7D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.3除因不可抗力或磋商文件认可的情形以外，成交供应商不与采购人签订合同的；</w:t>
      </w:r>
    </w:p>
    <w:p w14:paraId="1E527FD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.4供应商与采购人、其他供应商或者采购代理机构恶意串通的；</w:t>
      </w:r>
    </w:p>
    <w:p w14:paraId="79155BC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8</w:t>
      </w:r>
      <w:r>
        <w:rPr>
          <w:rFonts w:hint="eastAsia" w:ascii="仿宋" w:hAnsi="仿宋" w:eastAsia="仿宋"/>
          <w:kern w:val="0"/>
          <w:sz w:val="24"/>
        </w:rPr>
        <w:t>.5磋商文件规定的其他情形。</w:t>
      </w:r>
    </w:p>
    <w:p w14:paraId="55113D7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.供应商有权就磋商事宜提出质疑</w:t>
      </w:r>
    </w:p>
    <w:p w14:paraId="4877F99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.1供应商对采购事项有疑问的，可以按照《政府采购质疑和投诉办法》（财政部令第94号）向采购人或采购代理机构提出询问。</w:t>
      </w:r>
    </w:p>
    <w:p w14:paraId="4553926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.2磋商程序受《中华人民共和国政府采购法》和相关法律法规的约束，并受到严格的内部监察，以确保授予合同过程的公平公正。</w:t>
      </w:r>
    </w:p>
    <w:p w14:paraId="0C480D0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.3供应商对磋商文件条款或技术参数有异议的，应当在磋商截止时间前按照《供应商须知前附表》规定的时间内一次性提出。供应商已经参与磋商，并于磋商截止时间后对磋商文件提出质疑的，质疑无效。</w:t>
      </w:r>
    </w:p>
    <w:p w14:paraId="0E15465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 xml:space="preserve">.4若供应商认为其响应未获公平评审或采购过程和成交结果使自己的合法权益受到损害的，可以在知道或者应知其权益受到损害之日起7个工作日内提出质疑。 </w:t>
      </w:r>
    </w:p>
    <w:p w14:paraId="6CF51186">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.5质疑应当按照《政府采购质疑和投诉办法》（财政部令第94号）规定，以书面形式向采购人或采购代理机构提出。</w:t>
      </w:r>
    </w:p>
    <w:p w14:paraId="1EAB6C44">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.6供应商提出质疑应当提交质疑函和必要的证明材料。质疑函应当包括下列内容：</w:t>
      </w:r>
    </w:p>
    <w:p w14:paraId="22CDCC03">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.6.1供应商的姓名或者名称、地址、邮编、联系人及联系电话；</w:t>
      </w:r>
    </w:p>
    <w:p w14:paraId="36D947C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.6.2质疑项目的名称、编号；</w:t>
      </w:r>
    </w:p>
    <w:p w14:paraId="1816A64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.6.3具体、明确的质疑事项和与质疑事项相关的请求；</w:t>
      </w:r>
    </w:p>
    <w:p w14:paraId="6FC83D4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.6.4事实依据；</w:t>
      </w:r>
    </w:p>
    <w:p w14:paraId="0E87B4D8">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.6.5必要的法律依据；</w:t>
      </w:r>
    </w:p>
    <w:p w14:paraId="08E6E82E">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.6.6提出质疑的日期。</w:t>
      </w:r>
    </w:p>
    <w:p w14:paraId="4262778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.6.7供应商为自然人的，应当由本人签字；供应商为法人或者其他组织的，应当由法定代表人、主要负责人，或者其授权代表签字或者盖章，并加盖公章。</w:t>
      </w:r>
    </w:p>
    <w:p w14:paraId="6B67A67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14:paraId="2E49D7C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.8供应商进行虚假和恶意质疑的，采购代理机构可以提请有关部门将其列入不良记录名单，在一至三年内禁止参加政府采购活动，并将处理决定在相关政府采购媒体上公布。</w:t>
      </w:r>
    </w:p>
    <w:p w14:paraId="08143B3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rPr>
        <w:t>2</w:t>
      </w:r>
      <w:r>
        <w:rPr>
          <w:rFonts w:hint="eastAsia" w:ascii="仿宋" w:hAnsi="仿宋" w:eastAsia="仿宋"/>
          <w:kern w:val="0"/>
          <w:sz w:val="24"/>
          <w:lang w:val="en-US" w:eastAsia="zh-CN"/>
        </w:rPr>
        <w:t>9</w:t>
      </w:r>
      <w:r>
        <w:rPr>
          <w:rFonts w:hint="eastAsia" w:ascii="仿宋" w:hAnsi="仿宋" w:eastAsia="仿宋"/>
          <w:kern w:val="0"/>
          <w:sz w:val="24"/>
        </w:rPr>
        <w:t>.9质疑供应商对采购人或采购代理机构的答复不满意以及采购人或采购代理机构未在规定的时间内做出答复的，可以在答复期满后15个工作日内向财政部投诉。</w:t>
      </w:r>
    </w:p>
    <w:p w14:paraId="457612C2">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
          <w:kern w:val="0"/>
          <w:sz w:val="24"/>
        </w:rPr>
      </w:pPr>
      <w:r>
        <w:rPr>
          <w:rFonts w:hint="eastAsia" w:ascii="仿宋" w:hAnsi="仿宋" w:eastAsia="仿宋"/>
          <w:b/>
          <w:kern w:val="0"/>
          <w:sz w:val="24"/>
          <w:lang w:val="en-US" w:eastAsia="zh-CN"/>
        </w:rPr>
        <w:t>十</w:t>
      </w:r>
      <w:r>
        <w:rPr>
          <w:rFonts w:hint="eastAsia" w:ascii="仿宋" w:hAnsi="仿宋" w:eastAsia="仿宋"/>
          <w:b/>
          <w:kern w:val="0"/>
          <w:sz w:val="24"/>
        </w:rPr>
        <w:t>、保密和披露</w:t>
      </w:r>
    </w:p>
    <w:p w14:paraId="2C362265">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.保密和披露</w:t>
      </w:r>
    </w:p>
    <w:p w14:paraId="7C4A1A6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.1供应商自领取磋商文件之日起，须承诺承担本磋商项目下保密义务，不得将因本次磋商获得的信息向第三人外传。</w:t>
      </w:r>
    </w:p>
    <w:p w14:paraId="3245B8D0">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.2采购代理机构有权将供应商提供的所有资料向有关政府部门或评审响应文件的有关人员披露。</w:t>
      </w:r>
    </w:p>
    <w:p w14:paraId="2EAFCDE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ascii="仿宋" w:hAnsi="仿宋" w:eastAsia="仿宋"/>
          <w:kern w:val="0"/>
          <w:sz w:val="24"/>
        </w:rPr>
      </w:pPr>
      <w:r>
        <w:rPr>
          <w:rFonts w:hint="eastAsia" w:ascii="仿宋" w:hAnsi="仿宋" w:eastAsia="仿宋"/>
          <w:kern w:val="0"/>
          <w:sz w:val="24"/>
          <w:lang w:val="en-US" w:eastAsia="zh-CN"/>
        </w:rPr>
        <w:t>30</w:t>
      </w:r>
      <w:r>
        <w:rPr>
          <w:rFonts w:hint="eastAsia" w:ascii="仿宋" w:hAnsi="仿宋" w:eastAsia="仿宋"/>
          <w:kern w:val="0"/>
          <w:sz w:val="24"/>
        </w:rPr>
        <w:t>.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719735D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textAlignment w:val="auto"/>
        <w:rPr>
          <w:rFonts w:ascii="仿宋" w:hAnsi="仿宋" w:eastAsia="仿宋"/>
          <w:bCs/>
          <w:kern w:val="0"/>
          <w:sz w:val="24"/>
        </w:rPr>
      </w:pPr>
      <w:r>
        <w:rPr>
          <w:rFonts w:hint="eastAsia" w:ascii="仿宋" w:hAnsi="仿宋" w:eastAsia="仿宋"/>
          <w:b/>
          <w:kern w:val="0"/>
          <w:sz w:val="24"/>
        </w:rPr>
        <w:t>十</w:t>
      </w:r>
      <w:r>
        <w:rPr>
          <w:rFonts w:hint="eastAsia" w:ascii="仿宋" w:hAnsi="仿宋" w:eastAsia="仿宋"/>
          <w:b/>
          <w:kern w:val="0"/>
          <w:sz w:val="24"/>
          <w:lang w:val="en-US" w:eastAsia="zh-CN"/>
        </w:rPr>
        <w:t>一</w:t>
      </w:r>
      <w:r>
        <w:rPr>
          <w:rFonts w:hint="eastAsia" w:ascii="仿宋" w:hAnsi="仿宋" w:eastAsia="仿宋"/>
          <w:b/>
          <w:kern w:val="0"/>
          <w:sz w:val="24"/>
        </w:rPr>
        <w:t>、其他</w:t>
      </w:r>
    </w:p>
    <w:p w14:paraId="4E3D243F">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bCs/>
          <w:kern w:val="0"/>
          <w:sz w:val="24"/>
        </w:rPr>
      </w:pPr>
      <w:r>
        <w:rPr>
          <w:rFonts w:hint="eastAsia" w:ascii="仿宋" w:hAnsi="仿宋" w:eastAsia="仿宋"/>
          <w:bCs/>
          <w:kern w:val="0"/>
          <w:sz w:val="24"/>
        </w:rPr>
        <w:t>3</w:t>
      </w:r>
      <w:r>
        <w:rPr>
          <w:rFonts w:hint="eastAsia" w:ascii="仿宋" w:hAnsi="仿宋" w:eastAsia="仿宋"/>
          <w:bCs/>
          <w:kern w:val="0"/>
          <w:sz w:val="24"/>
          <w:lang w:val="en-US" w:eastAsia="zh-CN"/>
        </w:rPr>
        <w:t>1</w:t>
      </w:r>
      <w:r>
        <w:rPr>
          <w:rFonts w:hint="eastAsia" w:ascii="仿宋" w:hAnsi="仿宋" w:eastAsia="仿宋"/>
          <w:bCs/>
          <w:kern w:val="0"/>
          <w:sz w:val="24"/>
        </w:rPr>
        <w:t>.本磋商文件是根据《中华人民共和国政府采购法》及其实施条例（658号令）及《政府采购竞争性磋商采购方式管理暂行办法》（财库【2014】214号）规定编制。</w:t>
      </w:r>
    </w:p>
    <w:p w14:paraId="2AA01889">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textAlignment w:val="auto"/>
        <w:rPr>
          <w:rFonts w:hint="default" w:eastAsia="仿宋"/>
          <w:lang w:val="en-US" w:eastAsia="zh-CN"/>
        </w:rPr>
      </w:pPr>
      <w:r>
        <w:rPr>
          <w:rFonts w:hint="eastAsia" w:ascii="仿宋" w:hAnsi="仿宋" w:eastAsia="仿宋"/>
          <w:bCs/>
          <w:kern w:val="0"/>
          <w:sz w:val="24"/>
          <w:lang w:val="en-US" w:eastAsia="zh-CN"/>
        </w:rPr>
        <w:t>32.</w:t>
      </w:r>
      <w:r>
        <w:rPr>
          <w:rFonts w:hint="eastAsia" w:ascii="仿宋" w:hAnsi="仿宋" w:eastAsia="仿宋"/>
          <w:bCs/>
          <w:kern w:val="0"/>
          <w:sz w:val="24"/>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3164E78">
      <w:pPr>
        <w:widowControl/>
        <w:jc w:val="left"/>
        <w:rPr>
          <w:rFonts w:ascii="仿宋" w:hAnsi="仿宋" w:eastAsia="仿宋"/>
          <w:b/>
          <w:sz w:val="28"/>
          <w:szCs w:val="28"/>
        </w:rPr>
      </w:pPr>
      <w:bookmarkStart w:id="26" w:name="_Toc90425106"/>
      <w:r>
        <w:rPr>
          <w:rFonts w:ascii="仿宋" w:hAnsi="仿宋" w:eastAsia="仿宋"/>
          <w:b/>
          <w:sz w:val="28"/>
          <w:szCs w:val="28"/>
        </w:rPr>
        <w:br w:type="page"/>
      </w:r>
    </w:p>
    <w:p w14:paraId="2B1106F6">
      <w:pPr>
        <w:pStyle w:val="330"/>
        <w:numPr>
          <w:ilvl w:val="0"/>
          <w:numId w:val="12"/>
        </w:numPr>
        <w:spacing w:beforeLines="50" w:afterLines="50" w:line="360" w:lineRule="auto"/>
        <w:jc w:val="center"/>
        <w:outlineLvl w:val="0"/>
        <w:rPr>
          <w:rFonts w:hint="eastAsia" w:ascii="仿宋" w:hAnsi="仿宋" w:eastAsia="仿宋"/>
          <w:b/>
          <w:sz w:val="32"/>
          <w:szCs w:val="32"/>
        </w:rPr>
      </w:pPr>
      <w:bookmarkStart w:id="27" w:name="_Toc151060222"/>
      <w:r>
        <w:rPr>
          <w:rFonts w:hint="eastAsia" w:ascii="仿宋" w:hAnsi="仿宋" w:eastAsia="仿宋"/>
          <w:b/>
          <w:sz w:val="32"/>
          <w:szCs w:val="32"/>
        </w:rPr>
        <w:t xml:space="preserve"> 评审办法和评审标准</w:t>
      </w:r>
      <w:bookmarkEnd w:id="26"/>
      <w:bookmarkEnd w:id="27"/>
    </w:p>
    <w:p w14:paraId="4E90A91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28" w:name="_Toc214291249"/>
      <w:bookmarkStart w:id="29" w:name="_Toc214291409"/>
      <w:r>
        <w:rPr>
          <w:rFonts w:hint="eastAsia" w:ascii="仿宋" w:hAnsi="仿宋" w:eastAsia="仿宋" w:cs="仿宋"/>
          <w:b/>
          <w:bCs/>
          <w:sz w:val="24"/>
          <w:szCs w:val="24"/>
        </w:rPr>
        <w:t>评标方法</w:t>
      </w:r>
      <w:bookmarkEnd w:id="28"/>
      <w:bookmarkEnd w:id="29"/>
      <w:r>
        <w:rPr>
          <w:rFonts w:hint="eastAsia" w:ascii="仿宋" w:hAnsi="仿宋" w:eastAsia="仿宋" w:cs="仿宋"/>
          <w:b/>
          <w:bCs/>
          <w:sz w:val="24"/>
          <w:szCs w:val="24"/>
        </w:rPr>
        <w:t xml:space="preserve"> </w:t>
      </w:r>
    </w:p>
    <w:p w14:paraId="3FC709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53AAA3B3">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30" w:name="_Toc214291250"/>
      <w:bookmarkStart w:id="31" w:name="_Toc214291410"/>
      <w:r>
        <w:rPr>
          <w:rFonts w:hint="eastAsia" w:ascii="仿宋" w:hAnsi="仿宋" w:eastAsia="仿宋" w:cs="仿宋"/>
          <w:b/>
          <w:bCs/>
          <w:sz w:val="24"/>
          <w:szCs w:val="24"/>
        </w:rPr>
        <w:t>评标原则</w:t>
      </w:r>
      <w:bookmarkEnd w:id="30"/>
      <w:bookmarkEnd w:id="31"/>
    </w:p>
    <w:p w14:paraId="3BEBA3D9">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评标活动遵循公平、公正、科学和择优的原则，以磋商文件和响应文件为评标的基本依据，并按照磋商文件规定的评标方法和评标标准进行评标。</w:t>
      </w:r>
    </w:p>
    <w:p w14:paraId="3DAC8ED8">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具体评标事项由磋商小组负责，并按磋商文件的规定办法进行评审。对磋商文件中描述有歧义或前后不一致的地方，磋商小组有权按法律法规的规定进行评判，但对同一条款的评判应适用于每个响应供应商。</w:t>
      </w:r>
    </w:p>
    <w:p w14:paraId="6F84775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82"/>
        <w:textAlignment w:val="auto"/>
        <w:outlineLvl w:val="1"/>
        <w:rPr>
          <w:rFonts w:ascii="仿宋" w:hAnsi="仿宋" w:eastAsia="仿宋" w:cs="仿宋"/>
          <w:b/>
          <w:bCs/>
          <w:sz w:val="24"/>
          <w:szCs w:val="24"/>
        </w:rPr>
      </w:pPr>
      <w:bookmarkStart w:id="32" w:name="_Toc214291411"/>
      <w:bookmarkStart w:id="33" w:name="_Toc214291251"/>
      <w:r>
        <w:rPr>
          <w:rFonts w:hint="eastAsia" w:ascii="仿宋" w:hAnsi="仿宋" w:eastAsia="仿宋" w:cs="仿宋"/>
          <w:b/>
          <w:bCs/>
          <w:sz w:val="24"/>
          <w:szCs w:val="24"/>
        </w:rPr>
        <w:t>资格审查</w:t>
      </w:r>
      <w:bookmarkEnd w:id="32"/>
      <w:bookmarkEnd w:id="33"/>
    </w:p>
    <w:p w14:paraId="6E6C199B">
      <w:pPr>
        <w:keepNext w:val="0"/>
        <w:keepLines w:val="0"/>
        <w:pageBreakBefore w:val="0"/>
        <w:widowControl w:val="0"/>
        <w:numPr>
          <w:ilvl w:val="1"/>
          <w:numId w:val="13"/>
        </w:numPr>
        <w:kinsoku/>
        <w:wordWrap/>
        <w:overflowPunct/>
        <w:topLinePunct w:val="0"/>
        <w:autoSpaceDE/>
        <w:autoSpaceDN/>
        <w:bidi w:val="0"/>
        <w:adjustRightInd/>
        <w:snapToGrid/>
        <w:spacing w:line="400" w:lineRule="exact"/>
        <w:ind w:firstLine="480"/>
        <w:textAlignment w:val="auto"/>
        <w:rPr>
          <w:rFonts w:ascii="仿宋" w:hAnsi="仿宋" w:eastAsia="仿宋" w:cs="仿宋"/>
          <w:sz w:val="24"/>
          <w:szCs w:val="24"/>
        </w:rPr>
      </w:pPr>
      <w:r>
        <w:rPr>
          <w:rFonts w:hint="eastAsia" w:ascii="仿宋" w:hAnsi="仿宋" w:eastAsia="仿宋" w:cs="仿宋"/>
          <w:sz w:val="24"/>
          <w:szCs w:val="24"/>
        </w:rPr>
        <w:t>磋商小组依据磋商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3C89182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60"/>
        <w:tblW w:w="8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17"/>
        <w:gridCol w:w="6225"/>
      </w:tblGrid>
      <w:tr w14:paraId="4BB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836" w:type="dxa"/>
            <w:tcBorders>
              <w:bottom w:val="single" w:color="auto" w:sz="4" w:space="0"/>
            </w:tcBorders>
            <w:vAlign w:val="center"/>
          </w:tcPr>
          <w:p w14:paraId="2F355C96">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817" w:type="dxa"/>
            <w:tcBorders>
              <w:bottom w:val="single" w:color="auto" w:sz="4" w:space="0"/>
            </w:tcBorders>
            <w:vAlign w:val="center"/>
          </w:tcPr>
          <w:p w14:paraId="4492F2BF">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6225" w:type="dxa"/>
            <w:tcBorders>
              <w:bottom w:val="single" w:color="auto" w:sz="4" w:space="0"/>
            </w:tcBorders>
            <w:vAlign w:val="center"/>
          </w:tcPr>
          <w:p w14:paraId="64F04D0A">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6E2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836" w:type="dxa"/>
            <w:vAlign w:val="center"/>
          </w:tcPr>
          <w:p w14:paraId="6BAA5475">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817" w:type="dxa"/>
            <w:vAlign w:val="center"/>
          </w:tcPr>
          <w:p w14:paraId="0F320203">
            <w:pPr>
              <w:pStyle w:val="75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6225" w:type="dxa"/>
            <w:vAlign w:val="center"/>
          </w:tcPr>
          <w:p w14:paraId="3AEB03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6545C67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p w14:paraId="51A408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（上述资料复印件加盖公章）</w:t>
            </w:r>
          </w:p>
        </w:tc>
      </w:tr>
      <w:tr w14:paraId="18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836" w:type="dxa"/>
            <w:vAlign w:val="center"/>
          </w:tcPr>
          <w:p w14:paraId="2D588BE6">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817" w:type="dxa"/>
            <w:vAlign w:val="center"/>
          </w:tcPr>
          <w:p w14:paraId="4C3F7EB3">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6225"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39AB6F1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076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836" w:type="dxa"/>
            <w:vAlign w:val="center"/>
          </w:tcPr>
          <w:p w14:paraId="1FBBDDC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817" w:type="dxa"/>
            <w:vAlign w:val="center"/>
          </w:tcPr>
          <w:p w14:paraId="0A37616F">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6225"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4540F7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30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836" w:type="dxa"/>
            <w:vAlign w:val="center"/>
          </w:tcPr>
          <w:p w14:paraId="375495A9">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817" w:type="dxa"/>
            <w:vAlign w:val="center"/>
          </w:tcPr>
          <w:p w14:paraId="44D5175E">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6225" w:type="dxa"/>
            <w:vAlign w:val="center"/>
          </w:tcPr>
          <w:p w14:paraId="5BBCB9BA">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23D9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836" w:type="dxa"/>
            <w:vAlign w:val="center"/>
          </w:tcPr>
          <w:p w14:paraId="108827A3">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817" w:type="dxa"/>
            <w:vAlign w:val="center"/>
          </w:tcPr>
          <w:p w14:paraId="198F590D">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6225" w:type="dxa"/>
            <w:vAlign w:val="center"/>
          </w:tcPr>
          <w:p w14:paraId="3163FD7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57BE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836" w:type="dxa"/>
            <w:vAlign w:val="center"/>
          </w:tcPr>
          <w:p w14:paraId="4B693498">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817" w:type="dxa"/>
            <w:vAlign w:val="center"/>
          </w:tcPr>
          <w:p w14:paraId="60132714">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落实政府采购政策需满足的资格要求</w:t>
            </w:r>
          </w:p>
        </w:tc>
        <w:tc>
          <w:tcPr>
            <w:tcW w:w="6225" w:type="dxa"/>
            <w:vAlign w:val="center"/>
          </w:tcPr>
          <w:p w14:paraId="0FB5FE16">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须提供《中小企业声明函》。</w:t>
            </w:r>
          </w:p>
        </w:tc>
      </w:tr>
      <w:tr w14:paraId="7DB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836" w:type="dxa"/>
            <w:vAlign w:val="center"/>
          </w:tcPr>
          <w:p w14:paraId="5BC426F5">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817" w:type="dxa"/>
            <w:vAlign w:val="center"/>
          </w:tcPr>
          <w:p w14:paraId="3E5BEE8C">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6225" w:type="dxa"/>
            <w:vAlign w:val="center"/>
          </w:tcPr>
          <w:p w14:paraId="129AF39E">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1.提供有效的建筑工程施工总承包三级及以上资质证书；</w:t>
            </w:r>
          </w:p>
          <w:p w14:paraId="0AF45437">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2.提供有效的安全生产许可证；</w:t>
            </w:r>
          </w:p>
        </w:tc>
      </w:tr>
    </w:tbl>
    <w:p w14:paraId="5368FBB4">
      <w:pPr>
        <w:pStyle w:val="59"/>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1"/>
        <w:rPr>
          <w:rFonts w:ascii="仿宋" w:hAnsi="仿宋" w:eastAsia="仿宋" w:cs="仿宋"/>
          <w:sz w:val="24"/>
          <w:szCs w:val="24"/>
          <w:lang w:val="en-US"/>
        </w:rPr>
      </w:pPr>
      <w:bookmarkStart w:id="34" w:name="_Toc214291252"/>
      <w:bookmarkStart w:id="35" w:name="_Toc214291412"/>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en-US"/>
        </w:rPr>
        <w:t>符合性审查</w:t>
      </w:r>
      <w:bookmarkEnd w:id="34"/>
      <w:bookmarkEnd w:id="35"/>
    </w:p>
    <w:p w14:paraId="1CB403A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磋商小组依据磋商文件，对响应文件的有效性、完整性和对磋商文件的响应程度进行审查，以确定供应商是否对磋商文件的实质性要求做出响应。符合性审查中凡有其中任意一项未通过的，评审结果为未通过，未通过符合性审查的供应商，不进入详细评审。审查内容如下：</w:t>
      </w:r>
    </w:p>
    <w:p w14:paraId="52B9C8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6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8177"/>
      </w:tblGrid>
      <w:tr w14:paraId="5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3C8B16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8177" w:type="dxa"/>
            <w:vAlign w:val="center"/>
          </w:tcPr>
          <w:p w14:paraId="693FB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78C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2" w:type="dxa"/>
            <w:vAlign w:val="center"/>
          </w:tcPr>
          <w:p w14:paraId="2E2813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8177" w:type="dxa"/>
            <w:vAlign w:val="center"/>
          </w:tcPr>
          <w:p w14:paraId="1337D0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0AC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2" w:type="dxa"/>
            <w:vAlign w:val="center"/>
          </w:tcPr>
          <w:p w14:paraId="4572D1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8177" w:type="dxa"/>
            <w:vAlign w:val="center"/>
          </w:tcPr>
          <w:p w14:paraId="1180C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投标报价未超过磋商文件中规定的采购预算金额或最高限价；</w:t>
            </w:r>
          </w:p>
        </w:tc>
      </w:tr>
      <w:tr w14:paraId="3DAE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2" w:type="dxa"/>
            <w:vAlign w:val="center"/>
          </w:tcPr>
          <w:p w14:paraId="7F338B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8177" w:type="dxa"/>
            <w:vAlign w:val="center"/>
          </w:tcPr>
          <w:p w14:paraId="10A3692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响应文件未出现可选择性或可调整的报价（磋商文件另有规定的除外）</w:t>
            </w:r>
          </w:p>
        </w:tc>
      </w:tr>
      <w:tr w14:paraId="4F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2" w:type="dxa"/>
            <w:vAlign w:val="center"/>
          </w:tcPr>
          <w:p w14:paraId="7C12EB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8177" w:type="dxa"/>
            <w:vAlign w:val="center"/>
          </w:tcPr>
          <w:p w14:paraId="77F59F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响应文件中承诺的投标有效期满足磋商文件中载明的投标有效期的；</w:t>
            </w:r>
          </w:p>
        </w:tc>
      </w:tr>
      <w:tr w14:paraId="1FA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7825A9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8177" w:type="dxa"/>
            <w:vAlign w:val="center"/>
          </w:tcPr>
          <w:p w14:paraId="06F228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按照磋商文件要求签署、盖章的</w:t>
            </w:r>
          </w:p>
        </w:tc>
      </w:tr>
      <w:tr w14:paraId="2069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82" w:type="dxa"/>
            <w:vAlign w:val="center"/>
          </w:tcPr>
          <w:p w14:paraId="049F70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8177" w:type="dxa"/>
            <w:vAlign w:val="center"/>
          </w:tcPr>
          <w:p w14:paraId="0F59B3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sz w:val="21"/>
                <w:szCs w:val="21"/>
              </w:rPr>
              <w:t>按照采购人提供的工程量清单填报价格。填写的项目编码、项目名称、项目特征、计量单位、工程量与采购人提供的一致。</w:t>
            </w:r>
          </w:p>
        </w:tc>
      </w:tr>
      <w:tr w14:paraId="1D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82" w:type="dxa"/>
            <w:vAlign w:val="center"/>
          </w:tcPr>
          <w:p w14:paraId="2E5A84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8177" w:type="dxa"/>
            <w:vAlign w:val="center"/>
          </w:tcPr>
          <w:p w14:paraId="676BFA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DE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vAlign w:val="center"/>
          </w:tcPr>
          <w:p w14:paraId="168E7E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8177" w:type="dxa"/>
            <w:vAlign w:val="center"/>
          </w:tcPr>
          <w:p w14:paraId="792D52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响应文件未含有采购人不能接受的附加条件的</w:t>
            </w:r>
          </w:p>
        </w:tc>
      </w:tr>
      <w:tr w14:paraId="0E2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2" w:type="dxa"/>
            <w:vAlign w:val="center"/>
          </w:tcPr>
          <w:p w14:paraId="3491D7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8177" w:type="dxa"/>
            <w:vAlign w:val="center"/>
          </w:tcPr>
          <w:p w14:paraId="2D25A4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响应文件中不存在违反国家法律、法规和磋商文件规定的其他无效情形</w:t>
            </w:r>
          </w:p>
        </w:tc>
      </w:tr>
    </w:tbl>
    <w:p w14:paraId="65D4771D">
      <w:pPr>
        <w:numPr>
          <w:ilvl w:val="0"/>
          <w:numId w:val="0"/>
        </w:numPr>
        <w:spacing w:line="500" w:lineRule="exact"/>
        <w:outlineLvl w:val="1"/>
        <w:rPr>
          <w:rFonts w:ascii="仿宋" w:hAnsi="仿宋" w:eastAsia="仿宋" w:cs="仿宋"/>
          <w:b/>
          <w:bCs/>
          <w:sz w:val="24"/>
          <w:szCs w:val="24"/>
        </w:rPr>
      </w:pPr>
      <w:bookmarkStart w:id="36" w:name="_Toc214291416"/>
      <w:bookmarkStart w:id="37" w:name="_Toc214291256"/>
      <w:r>
        <w:rPr>
          <w:rFonts w:hint="eastAsia" w:ascii="仿宋" w:hAnsi="仿宋" w:eastAsia="仿宋" w:cs="仿宋"/>
          <w:b/>
          <w:bCs/>
          <w:sz w:val="24"/>
          <w:szCs w:val="24"/>
          <w:lang w:val="en-US" w:eastAsia="zh-CN"/>
        </w:rPr>
        <w:t>5.</w:t>
      </w:r>
      <w:r>
        <w:rPr>
          <w:rFonts w:hint="eastAsia" w:ascii="仿宋" w:hAnsi="仿宋" w:eastAsia="仿宋" w:cs="仿宋"/>
          <w:b/>
          <w:bCs/>
          <w:sz w:val="24"/>
          <w:szCs w:val="24"/>
        </w:rPr>
        <w:t>详细评审</w:t>
      </w:r>
      <w:bookmarkEnd w:id="36"/>
      <w:bookmarkEnd w:id="37"/>
    </w:p>
    <w:p w14:paraId="09C97018">
      <w:pPr>
        <w:pStyle w:val="59"/>
        <w:spacing w:line="500" w:lineRule="exact"/>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5.1磋商小组对提交最后报价的供应商的响应文件和最后报价，对其技术部分、商务部分及报价部分作进一步的综合比较和评价。详细评审标准如下：</w:t>
      </w:r>
    </w:p>
    <w:p w14:paraId="67E69477">
      <w:pPr>
        <w:pStyle w:val="2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60"/>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2"/>
        <w:gridCol w:w="1074"/>
        <w:gridCol w:w="770"/>
        <w:gridCol w:w="5653"/>
      </w:tblGrid>
      <w:tr w14:paraId="0D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Header/>
          <w:jc w:val="center"/>
        </w:trPr>
        <w:tc>
          <w:tcPr>
            <w:tcW w:w="1402" w:type="dxa"/>
            <w:tcMar>
              <w:top w:w="28" w:type="dxa"/>
              <w:left w:w="113" w:type="dxa"/>
              <w:bottom w:w="28" w:type="dxa"/>
              <w:right w:w="113" w:type="dxa"/>
            </w:tcMar>
            <w:vAlign w:val="center"/>
          </w:tcPr>
          <w:p w14:paraId="3DBD767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497" w:type="dxa"/>
            <w:gridSpan w:val="3"/>
            <w:tcMar>
              <w:top w:w="28" w:type="dxa"/>
              <w:left w:w="113" w:type="dxa"/>
              <w:bottom w:w="28" w:type="dxa"/>
              <w:right w:w="113" w:type="dxa"/>
            </w:tcMar>
            <w:vAlign w:val="center"/>
          </w:tcPr>
          <w:p w14:paraId="69CA81CC">
            <w:pPr>
              <w:pStyle w:val="770"/>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6B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1402" w:type="dxa"/>
            <w:tcMar>
              <w:top w:w="28" w:type="dxa"/>
              <w:left w:w="113" w:type="dxa"/>
              <w:bottom w:w="28" w:type="dxa"/>
              <w:right w:w="113" w:type="dxa"/>
            </w:tcMar>
            <w:vAlign w:val="center"/>
          </w:tcPr>
          <w:p w14:paraId="25A41B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rPr>
              <w:t>价格</w:t>
            </w:r>
            <w:r>
              <w:rPr>
                <w:rFonts w:hint="eastAsia" w:ascii="仿宋" w:hAnsi="仿宋" w:eastAsia="仿宋" w:cs="宋体"/>
                <w:snapToGrid w:val="0"/>
                <w:kern w:val="0"/>
                <w:sz w:val="21"/>
                <w:szCs w:val="21"/>
                <w:lang w:val="en-US" w:eastAsia="zh-CN"/>
              </w:rPr>
              <w:t>部分</w:t>
            </w:r>
          </w:p>
          <w:p w14:paraId="52B5EE2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74" w:type="dxa"/>
            <w:tcMar>
              <w:top w:w="28" w:type="dxa"/>
              <w:left w:w="113" w:type="dxa"/>
              <w:bottom w:w="28" w:type="dxa"/>
              <w:right w:w="113" w:type="dxa"/>
            </w:tcMar>
            <w:vAlign w:val="center"/>
          </w:tcPr>
          <w:p w14:paraId="2FE064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w:t>
            </w:r>
          </w:p>
        </w:tc>
        <w:tc>
          <w:tcPr>
            <w:tcW w:w="770" w:type="dxa"/>
            <w:tcMar>
              <w:top w:w="28" w:type="dxa"/>
              <w:left w:w="113" w:type="dxa"/>
              <w:bottom w:w="28" w:type="dxa"/>
              <w:right w:w="113" w:type="dxa"/>
            </w:tcMar>
            <w:vAlign w:val="center"/>
          </w:tcPr>
          <w:p w14:paraId="34DEB360">
            <w:pPr>
              <w:pStyle w:val="760"/>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653" w:type="dxa"/>
            <w:tcMar>
              <w:top w:w="28" w:type="dxa"/>
              <w:left w:w="113" w:type="dxa"/>
              <w:bottom w:w="28" w:type="dxa"/>
              <w:right w:w="113" w:type="dxa"/>
            </w:tcMar>
            <w:vAlign w:val="center"/>
          </w:tcPr>
          <w:p w14:paraId="70FA7D84">
            <w:pPr>
              <w:pStyle w:val="760"/>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宋体"/>
                <w:snapToGrid w:val="0"/>
                <w:kern w:val="0"/>
                <w:sz w:val="21"/>
                <w:szCs w:val="21"/>
              </w:rPr>
            </w:pPr>
            <w:r>
              <w:rPr>
                <w:rFonts w:hint="eastAsia" w:ascii="仿宋" w:hAnsi="仿宋" w:eastAsia="仿宋" w:cs="仿宋"/>
                <w:sz w:val="21"/>
                <w:szCs w:val="21"/>
                <w:lang w:val="en-US"/>
              </w:rPr>
              <w:t>满足磋商文件</w:t>
            </w:r>
            <w:r>
              <w:rPr>
                <w:rFonts w:hint="eastAsia" w:ascii="仿宋" w:hAnsi="仿宋" w:eastAsia="仿宋" w:cs="仿宋"/>
                <w:sz w:val="21"/>
                <w:szCs w:val="21"/>
              </w:rPr>
              <w:t>要求且投标价格最低的有效投标报价（即除低于成本报价以外的报价）为评标基准价。</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报价得分=（</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基准价/</w:t>
            </w:r>
            <w:r>
              <w:rPr>
                <w:rFonts w:hint="eastAsia" w:ascii="仿宋" w:hAnsi="仿宋" w:eastAsia="仿宋" w:cs="仿宋"/>
                <w:sz w:val="21"/>
                <w:szCs w:val="21"/>
              </w:rPr>
              <w:t>最后磋商报价</w:t>
            </w:r>
            <w:r>
              <w:rPr>
                <w:rFonts w:hint="eastAsia" w:ascii="仿宋" w:hAnsi="仿宋" w:eastAsia="仿宋" w:cs="宋体"/>
                <w:snapToGrid w:val="0"/>
                <w:kern w:val="0"/>
                <w:sz w:val="21"/>
                <w:szCs w:val="21"/>
              </w:rPr>
              <w:t>）×30。有效</w:t>
            </w:r>
            <w:r>
              <w:rPr>
                <w:rFonts w:hint="eastAsia" w:ascii="仿宋" w:hAnsi="仿宋" w:eastAsia="仿宋" w:cs="宋体"/>
                <w:snapToGrid w:val="0"/>
                <w:kern w:val="0"/>
                <w:sz w:val="21"/>
                <w:szCs w:val="21"/>
                <w:lang w:val="en-US" w:eastAsia="zh-CN"/>
              </w:rPr>
              <w:t>磋商</w:t>
            </w:r>
            <w:r>
              <w:rPr>
                <w:rFonts w:hint="eastAsia" w:ascii="仿宋" w:hAnsi="仿宋" w:eastAsia="仿宋" w:cs="宋体"/>
                <w:snapToGrid w:val="0"/>
                <w:kern w:val="0"/>
                <w:sz w:val="21"/>
                <w:szCs w:val="21"/>
              </w:rPr>
              <w:t>报价为通过初步审查的供应商报价。</w:t>
            </w:r>
          </w:p>
        </w:tc>
      </w:tr>
      <w:tr w14:paraId="272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1402" w:type="dxa"/>
            <w:vMerge w:val="restart"/>
            <w:tcMar>
              <w:top w:w="28" w:type="dxa"/>
              <w:left w:w="113" w:type="dxa"/>
              <w:bottom w:w="28" w:type="dxa"/>
              <w:right w:w="113" w:type="dxa"/>
            </w:tcMar>
            <w:vAlign w:val="center"/>
          </w:tcPr>
          <w:p w14:paraId="479AE6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商务部分评审</w:t>
            </w:r>
          </w:p>
          <w:p w14:paraId="2F53779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1074" w:type="dxa"/>
            <w:tcMar>
              <w:top w:w="28" w:type="dxa"/>
              <w:left w:w="113" w:type="dxa"/>
              <w:bottom w:w="28" w:type="dxa"/>
              <w:right w:w="113" w:type="dxa"/>
            </w:tcMar>
            <w:vAlign w:val="center"/>
          </w:tcPr>
          <w:p w14:paraId="4F7052B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供应商类似业绩</w:t>
            </w:r>
          </w:p>
        </w:tc>
        <w:tc>
          <w:tcPr>
            <w:tcW w:w="770" w:type="dxa"/>
            <w:tcMar>
              <w:top w:w="28" w:type="dxa"/>
              <w:left w:w="113" w:type="dxa"/>
              <w:bottom w:w="28" w:type="dxa"/>
              <w:right w:w="113" w:type="dxa"/>
            </w:tcMar>
            <w:vAlign w:val="center"/>
          </w:tcPr>
          <w:p w14:paraId="37CFAD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3分</w:t>
            </w:r>
          </w:p>
        </w:tc>
        <w:tc>
          <w:tcPr>
            <w:tcW w:w="5653" w:type="dxa"/>
            <w:tcMar>
              <w:top w:w="28" w:type="dxa"/>
              <w:left w:w="113" w:type="dxa"/>
              <w:bottom w:w="28" w:type="dxa"/>
              <w:right w:w="113" w:type="dxa"/>
            </w:tcMar>
            <w:vAlign w:val="center"/>
          </w:tcPr>
          <w:p w14:paraId="0C80855A">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根据投标文件所提供投标截止日前三年内完成类似工程业绩，每提供一项得1分，满分3分；</w:t>
            </w:r>
          </w:p>
          <w:p w14:paraId="69C5BFDF">
            <w:pPr>
              <w:keepNext w:val="0"/>
              <w:keepLines w:val="0"/>
              <w:widowControl/>
              <w:suppressLineNumbers w:val="0"/>
              <w:jc w:val="left"/>
              <w:rPr>
                <w:rFonts w:hint="eastAsia" w:ascii="仿宋" w:hAnsi="仿宋" w:eastAsia="仿宋" w:cs="仿宋"/>
                <w:kern w:val="2"/>
                <w:sz w:val="21"/>
                <w:szCs w:val="21"/>
                <w:lang w:val="zh-TW" w:eastAsia="zh-TW" w:bidi="ar-SA"/>
              </w:rPr>
            </w:pPr>
            <w:r>
              <w:rPr>
                <w:rFonts w:hint="eastAsia" w:ascii="仿宋" w:hAnsi="仿宋" w:eastAsia="仿宋" w:cs="仿宋"/>
                <w:kern w:val="2"/>
                <w:sz w:val="21"/>
                <w:szCs w:val="21"/>
                <w:lang w:val="en-US" w:eastAsia="zh-CN" w:bidi="ar-SA"/>
              </w:rPr>
              <w:t>备注：业绩证明须提供成交通知书或中标通知书或施工合同。未提供的不得分。</w:t>
            </w:r>
          </w:p>
        </w:tc>
      </w:tr>
      <w:tr w14:paraId="19C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402" w:type="dxa"/>
            <w:vMerge w:val="continue"/>
            <w:tcMar>
              <w:top w:w="28" w:type="dxa"/>
              <w:left w:w="113" w:type="dxa"/>
              <w:bottom w:w="28" w:type="dxa"/>
              <w:right w:w="113" w:type="dxa"/>
            </w:tcMar>
            <w:vAlign w:val="center"/>
          </w:tcPr>
          <w:p w14:paraId="2D3BD74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p>
        </w:tc>
        <w:tc>
          <w:tcPr>
            <w:tcW w:w="1074" w:type="dxa"/>
            <w:tcMar>
              <w:top w:w="28" w:type="dxa"/>
              <w:left w:w="113" w:type="dxa"/>
              <w:bottom w:w="28" w:type="dxa"/>
              <w:right w:w="113" w:type="dxa"/>
            </w:tcMar>
            <w:vAlign w:val="center"/>
          </w:tcPr>
          <w:p w14:paraId="718EA4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项目管理人员组成</w:t>
            </w:r>
          </w:p>
        </w:tc>
        <w:tc>
          <w:tcPr>
            <w:tcW w:w="770" w:type="dxa"/>
            <w:tcMar>
              <w:top w:w="28" w:type="dxa"/>
              <w:left w:w="113" w:type="dxa"/>
              <w:bottom w:w="28" w:type="dxa"/>
              <w:right w:w="113" w:type="dxa"/>
            </w:tcMar>
            <w:vAlign w:val="center"/>
          </w:tcPr>
          <w:p w14:paraId="62DE484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7分</w:t>
            </w:r>
          </w:p>
        </w:tc>
        <w:tc>
          <w:tcPr>
            <w:tcW w:w="5653" w:type="dxa"/>
            <w:tcMar>
              <w:top w:w="28" w:type="dxa"/>
              <w:left w:w="113" w:type="dxa"/>
              <w:bottom w:w="28" w:type="dxa"/>
              <w:right w:w="113" w:type="dxa"/>
            </w:tcMar>
            <w:vAlign w:val="center"/>
          </w:tcPr>
          <w:p w14:paraId="1E922C00">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项目技术负责人、质量管理员、安全管理员、材料员、施工员、资料员、造价员等配备齐全，每配备一人且资格证齐全得1分，满分7分。</w:t>
            </w:r>
          </w:p>
          <w:p w14:paraId="068D07DE">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备注：技术负责人提供职称证，安全管理人员提供岗位证及 </w:t>
            </w:r>
          </w:p>
          <w:p w14:paraId="464357CB">
            <w:pPr>
              <w:keepNext w:val="0"/>
              <w:keepLines w:val="0"/>
              <w:widowControl/>
              <w:suppressLineNumbers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安考证，其他人员提供岗位证。</w:t>
            </w:r>
          </w:p>
        </w:tc>
      </w:tr>
      <w:tr w14:paraId="05F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402" w:type="dxa"/>
            <w:vMerge w:val="restart"/>
            <w:tcMar>
              <w:top w:w="28" w:type="dxa"/>
              <w:left w:w="113" w:type="dxa"/>
              <w:bottom w:w="28" w:type="dxa"/>
              <w:right w:w="113" w:type="dxa"/>
            </w:tcMar>
            <w:vAlign w:val="center"/>
          </w:tcPr>
          <w:p w14:paraId="2F6CB5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技术部分评审</w:t>
            </w:r>
          </w:p>
          <w:p w14:paraId="60E7330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（60分）</w:t>
            </w:r>
          </w:p>
        </w:tc>
        <w:tc>
          <w:tcPr>
            <w:tcW w:w="1074" w:type="dxa"/>
            <w:tcMar>
              <w:top w:w="28" w:type="dxa"/>
              <w:left w:w="113" w:type="dxa"/>
              <w:bottom w:w="28" w:type="dxa"/>
              <w:right w:w="113" w:type="dxa"/>
            </w:tcMar>
            <w:vAlign w:val="center"/>
          </w:tcPr>
          <w:p w14:paraId="762A689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项目实施方案</w:t>
            </w:r>
          </w:p>
        </w:tc>
        <w:tc>
          <w:tcPr>
            <w:tcW w:w="770" w:type="dxa"/>
            <w:tcMar>
              <w:top w:w="28" w:type="dxa"/>
              <w:left w:w="113" w:type="dxa"/>
              <w:bottom w:w="28" w:type="dxa"/>
              <w:right w:w="113" w:type="dxa"/>
            </w:tcMar>
            <w:vAlign w:val="center"/>
          </w:tcPr>
          <w:p w14:paraId="37D9D2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w:t>
            </w:r>
            <w:r>
              <w:rPr>
                <w:rFonts w:hint="eastAsia" w:ascii="仿宋" w:hAnsi="仿宋" w:eastAsia="仿宋" w:cs="仿宋"/>
                <w:kern w:val="2"/>
                <w:sz w:val="21"/>
                <w:szCs w:val="21"/>
                <w:lang w:val="zh-TW" w:eastAsia="zh-CN" w:bidi="ar-SA"/>
              </w:rPr>
              <w:t>分</w:t>
            </w:r>
          </w:p>
        </w:tc>
        <w:tc>
          <w:tcPr>
            <w:tcW w:w="5653" w:type="dxa"/>
            <w:tcMar>
              <w:top w:w="28" w:type="dxa"/>
              <w:left w:w="113" w:type="dxa"/>
              <w:bottom w:w="28" w:type="dxa"/>
              <w:right w:w="113" w:type="dxa"/>
            </w:tcMar>
            <w:vAlign w:val="center"/>
          </w:tcPr>
          <w:p w14:paraId="0A974A57">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项目实施方案进行评审，内容包含不限于：①完善的管理架构②详细的施工计划③质量服务计划表④人员配备、机械设备使用⑤资金使用计划及其保证措施等内容⑥施工重点难点及解决方案⑦在确保工程质量前提下，有降低成本、减轻劳动强度提高进度提案。提供的方案</w:t>
            </w:r>
            <w:r>
              <w:rPr>
                <w:rFonts w:hint="eastAsia" w:ascii="仿宋" w:hAnsi="仿宋" w:eastAsia="仿宋" w:cs="仿宋"/>
                <w:kern w:val="2"/>
                <w:sz w:val="21"/>
                <w:szCs w:val="21"/>
                <w:lang w:val="zh-CN" w:eastAsia="zh-CN" w:bidi="ar-SA"/>
              </w:rPr>
              <w:t>内容完善，条理清晰，针对性强且符合本项目要求的每项得</w:t>
            </w:r>
            <w:r>
              <w:rPr>
                <w:rFonts w:hint="eastAsia" w:ascii="仿宋" w:hAnsi="仿宋" w:eastAsia="仿宋" w:cs="仿宋"/>
                <w:kern w:val="2"/>
                <w:sz w:val="21"/>
                <w:szCs w:val="21"/>
                <w:lang w:val="en-US" w:eastAsia="zh-CN" w:bidi="ar-SA"/>
              </w:rPr>
              <w:t>4</w:t>
            </w:r>
            <w:r>
              <w:rPr>
                <w:rFonts w:hint="eastAsia" w:ascii="仿宋" w:hAnsi="仿宋" w:eastAsia="仿宋" w:cs="仿宋"/>
                <w:kern w:val="2"/>
                <w:sz w:val="21"/>
                <w:szCs w:val="21"/>
                <w:lang w:val="zh-CN" w:eastAsia="zh-CN" w:bidi="ar-SA"/>
              </w:rPr>
              <w:t>分，满分</w:t>
            </w:r>
            <w:r>
              <w:rPr>
                <w:rFonts w:hint="eastAsia" w:ascii="仿宋" w:hAnsi="仿宋" w:eastAsia="仿宋" w:cs="仿宋"/>
                <w:kern w:val="2"/>
                <w:sz w:val="21"/>
                <w:szCs w:val="21"/>
                <w:lang w:val="en-US" w:eastAsia="zh-CN" w:bidi="ar-SA"/>
              </w:rPr>
              <w:t>28</w:t>
            </w:r>
            <w:r>
              <w:rPr>
                <w:rFonts w:hint="eastAsia" w:ascii="仿宋" w:hAnsi="仿宋" w:eastAsia="仿宋" w:cs="仿宋"/>
                <w:kern w:val="2"/>
                <w:sz w:val="21"/>
                <w:szCs w:val="21"/>
                <w:lang w:val="zh-CN" w:eastAsia="zh-CN" w:bidi="ar-SA"/>
              </w:rPr>
              <w:t>分；其中提供方案有缺陷、漏项且可行性有问题的每项</w:t>
            </w:r>
            <w:r>
              <w:rPr>
                <w:rFonts w:hint="eastAsia" w:ascii="仿宋" w:hAnsi="仿宋" w:eastAsia="仿宋" w:cs="仿宋"/>
                <w:kern w:val="2"/>
                <w:sz w:val="21"/>
                <w:szCs w:val="21"/>
                <w:lang w:val="en-US" w:eastAsia="zh-CN" w:bidi="ar-SA"/>
              </w:rPr>
              <w:t>扣2</w:t>
            </w:r>
            <w:r>
              <w:rPr>
                <w:rFonts w:hint="eastAsia" w:ascii="仿宋" w:hAnsi="仿宋" w:eastAsia="仿宋" w:cs="仿宋"/>
                <w:kern w:val="2"/>
                <w:sz w:val="21"/>
                <w:szCs w:val="21"/>
                <w:lang w:val="zh-CN" w:eastAsia="zh-CN" w:bidi="ar-SA"/>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483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3" w:hRule="atLeast"/>
          <w:jc w:val="center"/>
        </w:trPr>
        <w:tc>
          <w:tcPr>
            <w:tcW w:w="1402" w:type="dxa"/>
            <w:vMerge w:val="continue"/>
            <w:tcMar>
              <w:top w:w="28" w:type="dxa"/>
              <w:left w:w="113" w:type="dxa"/>
              <w:bottom w:w="28" w:type="dxa"/>
              <w:right w:w="113" w:type="dxa"/>
            </w:tcMar>
            <w:vAlign w:val="center"/>
          </w:tcPr>
          <w:p w14:paraId="387446A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5FBEF2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宋体"/>
                <w:snapToGrid w:val="0"/>
                <w:kern w:val="0"/>
                <w:sz w:val="21"/>
                <w:szCs w:val="21"/>
                <w:lang w:val="en-US" w:eastAsia="zh-CN" w:bidi="ar-SA"/>
              </w:rPr>
              <w:t>施工进度控制</w:t>
            </w:r>
          </w:p>
        </w:tc>
        <w:tc>
          <w:tcPr>
            <w:tcW w:w="770" w:type="dxa"/>
            <w:tcMar>
              <w:top w:w="28" w:type="dxa"/>
              <w:left w:w="113" w:type="dxa"/>
              <w:bottom w:w="28" w:type="dxa"/>
              <w:right w:w="113" w:type="dxa"/>
            </w:tcMar>
            <w:vAlign w:val="center"/>
          </w:tcPr>
          <w:p w14:paraId="74B114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8分</w:t>
            </w:r>
          </w:p>
        </w:tc>
        <w:tc>
          <w:tcPr>
            <w:tcW w:w="5653" w:type="dxa"/>
            <w:tcMar>
              <w:top w:w="28" w:type="dxa"/>
              <w:left w:w="113" w:type="dxa"/>
              <w:bottom w:w="28" w:type="dxa"/>
              <w:right w:w="113" w:type="dxa"/>
            </w:tcMar>
            <w:vAlign w:val="center"/>
          </w:tcPr>
          <w:p w14:paraId="24BC12E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根据各投标人提供的施工工期保证措施进行评审，内容包含不限于：①施工整体进度控制②进度保证措施③环境保护管理体系健全、明确④工期保证措施</w:t>
            </w:r>
            <w:r>
              <w:rPr>
                <w:rFonts w:hint="eastAsia" w:ascii="仿宋" w:hAnsi="仿宋" w:eastAsia="仿宋" w:cs="仿宋"/>
                <w:sz w:val="21"/>
                <w:szCs w:val="21"/>
                <w:lang w:val="en-US" w:eastAsia="zh-CN"/>
              </w:rPr>
              <w:t>。提供的方案</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8</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14C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402" w:type="dxa"/>
            <w:vMerge w:val="continue"/>
            <w:tcMar>
              <w:top w:w="28" w:type="dxa"/>
              <w:left w:w="113" w:type="dxa"/>
              <w:bottom w:w="28" w:type="dxa"/>
              <w:right w:w="113" w:type="dxa"/>
            </w:tcMar>
            <w:vAlign w:val="center"/>
          </w:tcPr>
          <w:p w14:paraId="4958068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286C7FE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施工安全 及文明施 工措施</w:t>
            </w:r>
          </w:p>
        </w:tc>
        <w:tc>
          <w:tcPr>
            <w:tcW w:w="770" w:type="dxa"/>
            <w:tcMar>
              <w:top w:w="28" w:type="dxa"/>
              <w:left w:w="113" w:type="dxa"/>
              <w:bottom w:w="28" w:type="dxa"/>
              <w:right w:w="113" w:type="dxa"/>
            </w:tcMar>
            <w:vAlign w:val="center"/>
          </w:tcPr>
          <w:p w14:paraId="33B60D0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12分</w:t>
            </w:r>
          </w:p>
        </w:tc>
        <w:tc>
          <w:tcPr>
            <w:tcW w:w="5653" w:type="dxa"/>
            <w:tcMar>
              <w:top w:w="28" w:type="dxa"/>
              <w:left w:w="113" w:type="dxa"/>
              <w:bottom w:w="28" w:type="dxa"/>
              <w:right w:w="113" w:type="dxa"/>
            </w:tcMar>
            <w:vAlign w:val="center"/>
          </w:tcPr>
          <w:p w14:paraId="01A05CEB">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各投标人提供的施工安全及文明施工措施进行评审，内容包含不限于：①安全保障组织管理机构②安全生产管理措施③安全检查及安全防护措施④文明施工组织管理措施⑤文明施工现场管理；⑥文明施工目视管理。</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12</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3E1B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02" w:type="dxa"/>
            <w:vMerge w:val="continue"/>
            <w:tcMar>
              <w:top w:w="28" w:type="dxa"/>
              <w:left w:w="113" w:type="dxa"/>
              <w:bottom w:w="28" w:type="dxa"/>
              <w:right w:w="113" w:type="dxa"/>
            </w:tcMar>
            <w:vAlign w:val="center"/>
          </w:tcPr>
          <w:p w14:paraId="1D3E02A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6E029A3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质量管理</w:t>
            </w:r>
          </w:p>
          <w:p w14:paraId="63A3064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及质量保</w:t>
            </w:r>
          </w:p>
          <w:p w14:paraId="61CA674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证措施</w:t>
            </w:r>
          </w:p>
          <w:p w14:paraId="0D757D8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kern w:val="2"/>
                <w:sz w:val="21"/>
                <w:szCs w:val="21"/>
                <w:lang w:val="en-US" w:eastAsia="zh-CN" w:bidi="ar-SA"/>
              </w:rPr>
            </w:pPr>
          </w:p>
        </w:tc>
        <w:tc>
          <w:tcPr>
            <w:tcW w:w="770" w:type="dxa"/>
            <w:tcMar>
              <w:top w:w="28" w:type="dxa"/>
              <w:left w:w="113" w:type="dxa"/>
              <w:bottom w:w="28" w:type="dxa"/>
              <w:right w:w="113" w:type="dxa"/>
            </w:tcMar>
            <w:vAlign w:val="center"/>
          </w:tcPr>
          <w:p w14:paraId="14A52B8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8分</w:t>
            </w:r>
          </w:p>
        </w:tc>
        <w:tc>
          <w:tcPr>
            <w:tcW w:w="5653" w:type="dxa"/>
            <w:tcMar>
              <w:top w:w="28" w:type="dxa"/>
              <w:left w:w="113" w:type="dxa"/>
              <w:bottom w:w="28" w:type="dxa"/>
              <w:right w:w="113" w:type="dxa"/>
            </w:tcMar>
            <w:vAlign w:val="center"/>
          </w:tcPr>
          <w:p w14:paraId="10280B14">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根据各投标人提供的施工管理保证措施进行评审，内容包含不限于：①保证质量的施工要素控制措施方案；②质量控制的管理制度；③质量管理的组织措施；④对主要工序、施工工艺、材料验收等的质量控制方案。</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8</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扣1</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5B1A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1402" w:type="dxa"/>
            <w:vMerge w:val="continue"/>
            <w:tcMar>
              <w:top w:w="28" w:type="dxa"/>
              <w:left w:w="113" w:type="dxa"/>
              <w:bottom w:w="28" w:type="dxa"/>
              <w:right w:w="113" w:type="dxa"/>
            </w:tcMar>
            <w:vAlign w:val="center"/>
          </w:tcPr>
          <w:p w14:paraId="190F569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1074" w:type="dxa"/>
            <w:tcMar>
              <w:top w:w="28" w:type="dxa"/>
              <w:left w:w="113" w:type="dxa"/>
              <w:bottom w:w="28" w:type="dxa"/>
              <w:right w:w="113" w:type="dxa"/>
            </w:tcMar>
            <w:vAlign w:val="center"/>
          </w:tcPr>
          <w:p w14:paraId="73927A1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1"/>
                <w:szCs w:val="21"/>
                <w:lang w:val="en-US" w:eastAsia="zh-CN" w:bidi="ar-SA"/>
              </w:rPr>
              <w:t>应急预案</w:t>
            </w:r>
          </w:p>
        </w:tc>
        <w:tc>
          <w:tcPr>
            <w:tcW w:w="770" w:type="dxa"/>
            <w:tcMar>
              <w:top w:w="28" w:type="dxa"/>
              <w:left w:w="113" w:type="dxa"/>
              <w:bottom w:w="28" w:type="dxa"/>
              <w:right w:w="113" w:type="dxa"/>
            </w:tcMar>
            <w:vAlign w:val="center"/>
          </w:tcPr>
          <w:p w14:paraId="009A4F5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4分</w:t>
            </w:r>
          </w:p>
        </w:tc>
        <w:tc>
          <w:tcPr>
            <w:tcW w:w="5653" w:type="dxa"/>
            <w:tcMar>
              <w:top w:w="28" w:type="dxa"/>
              <w:left w:w="113" w:type="dxa"/>
              <w:bottom w:w="28" w:type="dxa"/>
              <w:right w:w="113" w:type="dxa"/>
            </w:tcMar>
            <w:vAlign w:val="center"/>
          </w:tcPr>
          <w:p w14:paraId="68BDAB92">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各投标人提供的应急预案进行评审，内容包含不限于：①针对施工过程可能存在的突发安全事件的应急预案及处置流程；②针对施工可能存在重大事故（危险）响应机制；③针对施工现场停电停水应急预案；④针对施工现场人员人身安全和财产安全的应急预案等内容。</w:t>
            </w:r>
            <w:r>
              <w:rPr>
                <w:rFonts w:hint="eastAsia" w:ascii="仿宋" w:hAnsi="仿宋" w:eastAsia="仿宋" w:cs="仿宋"/>
                <w:sz w:val="21"/>
                <w:szCs w:val="21"/>
                <w:lang w:val="zh-CN" w:eastAsia="zh-CN"/>
              </w:rPr>
              <w:t>内容完善，条理清晰，针对性强且符合本项目要求的每项得</w:t>
            </w:r>
            <w:r>
              <w:rPr>
                <w:rFonts w:hint="eastAsia" w:ascii="仿宋" w:hAnsi="仿宋" w:eastAsia="仿宋" w:cs="仿宋"/>
                <w:sz w:val="21"/>
                <w:szCs w:val="21"/>
                <w:lang w:val="en-US" w:eastAsia="zh-CN"/>
              </w:rPr>
              <w:t>1</w:t>
            </w:r>
            <w:r>
              <w:rPr>
                <w:rFonts w:hint="eastAsia" w:ascii="仿宋" w:hAnsi="仿宋" w:eastAsia="仿宋" w:cs="仿宋"/>
                <w:sz w:val="21"/>
                <w:szCs w:val="21"/>
                <w:lang w:val="zh-CN" w:eastAsia="zh-CN"/>
              </w:rPr>
              <w:t>分，满分</w:t>
            </w:r>
            <w:r>
              <w:rPr>
                <w:rFonts w:hint="eastAsia" w:ascii="仿宋" w:hAnsi="仿宋" w:eastAsia="仿宋" w:cs="仿宋"/>
                <w:sz w:val="21"/>
                <w:szCs w:val="21"/>
                <w:lang w:val="en-US" w:eastAsia="zh-CN"/>
              </w:rPr>
              <w:t>4</w:t>
            </w:r>
            <w:r>
              <w:rPr>
                <w:rFonts w:hint="eastAsia" w:ascii="仿宋" w:hAnsi="仿宋" w:eastAsia="仿宋" w:cs="仿宋"/>
                <w:sz w:val="21"/>
                <w:szCs w:val="21"/>
                <w:lang w:val="zh-CN" w:eastAsia="zh-CN"/>
              </w:rPr>
              <w:t>分；其中提供方案有缺陷、漏项且可行性有问题的每项</w:t>
            </w:r>
            <w:r>
              <w:rPr>
                <w:rFonts w:hint="eastAsia" w:ascii="仿宋" w:hAnsi="仿宋" w:eastAsia="仿宋" w:cs="仿宋"/>
                <w:sz w:val="21"/>
                <w:szCs w:val="21"/>
                <w:lang w:val="en-US" w:eastAsia="zh-CN"/>
              </w:rPr>
              <w:t>扣0.5</w:t>
            </w:r>
            <w:r>
              <w:rPr>
                <w:rFonts w:hint="eastAsia" w:ascii="仿宋" w:hAnsi="仿宋" w:eastAsia="仿宋" w:cs="仿宋"/>
                <w:sz w:val="21"/>
                <w:szCs w:val="21"/>
                <w:lang w:val="zh-CN" w:eastAsia="zh-CN"/>
              </w:rPr>
              <w:t>分；（缺陷、漏项且可行性有问题的是指存在不适用该项目实际情况的情形、内容过于简单、阐述不清、凭空编造、内容前后不一致、前后逻辑错误、涉及的规范及标准错误及表述内容空洞、地点区域错误、内容缺失、存在偏差、过于简略、无针对性、不符合采购需求的任意一项要求内容。）未提供或不符合项目实际需求不得分。</w:t>
            </w:r>
          </w:p>
        </w:tc>
      </w:tr>
      <w:tr w14:paraId="76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899" w:type="dxa"/>
            <w:gridSpan w:val="4"/>
            <w:tcMar>
              <w:top w:w="28" w:type="dxa"/>
              <w:left w:w="113" w:type="dxa"/>
              <w:bottom w:w="28" w:type="dxa"/>
              <w:right w:w="113" w:type="dxa"/>
            </w:tcMar>
            <w:vAlign w:val="center"/>
          </w:tcPr>
          <w:p w14:paraId="22F39E7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响应文件进行评价、打分；然后汇总每个投标人的得分，计算得分平均值，以平均值由高到低进行排序，按排序顺序推荐中标候选人。分值计算保留小数点后二位，第三位四舍五入。</w:t>
            </w:r>
          </w:p>
        </w:tc>
      </w:tr>
    </w:tbl>
    <w:p w14:paraId="0C32FFF0">
      <w:pPr>
        <w:rPr>
          <w:rFonts w:ascii="仿宋" w:hAnsi="仿宋" w:eastAsia="仿宋"/>
          <w:b/>
          <w:sz w:val="32"/>
          <w:szCs w:val="32"/>
        </w:rPr>
      </w:pPr>
      <w:r>
        <w:rPr>
          <w:rFonts w:ascii="仿宋" w:hAnsi="仿宋" w:eastAsia="仿宋"/>
          <w:b/>
          <w:sz w:val="32"/>
          <w:szCs w:val="32"/>
        </w:rPr>
        <w:br w:type="page"/>
      </w:r>
    </w:p>
    <w:p w14:paraId="5BCD5480">
      <w:pPr>
        <w:pStyle w:val="330"/>
        <w:spacing w:beforeLines="50" w:afterLines="50" w:line="360" w:lineRule="auto"/>
        <w:jc w:val="center"/>
        <w:outlineLvl w:val="0"/>
        <w:rPr>
          <w:rFonts w:ascii="仿宋" w:hAnsi="仿宋" w:eastAsia="仿宋"/>
          <w:b/>
          <w:sz w:val="32"/>
          <w:szCs w:val="32"/>
        </w:rPr>
      </w:pPr>
      <w:bookmarkStart w:id="38" w:name="_Toc151060223"/>
      <w:r>
        <w:rPr>
          <w:rFonts w:hint="eastAsia" w:ascii="仿宋" w:hAnsi="仿宋" w:eastAsia="仿宋"/>
          <w:b/>
          <w:sz w:val="32"/>
          <w:szCs w:val="32"/>
        </w:rPr>
        <w:t>第五部分  采购需求</w:t>
      </w:r>
      <w:bookmarkEnd w:id="38"/>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仿宋" w:hAnsi="仿宋" w:eastAsia="仿宋" w:cs="仿宋"/>
          <w:color w:val="auto"/>
          <w:sz w:val="24"/>
          <w:szCs w:val="24"/>
          <w:highlight w:val="none"/>
        </w:rPr>
      </w:pPr>
      <w:bookmarkStart w:id="39" w:name="_Hlk519787567"/>
      <w:bookmarkStart w:id="40" w:name="_Toc151060224"/>
      <w:r>
        <w:rPr>
          <w:rFonts w:hint="eastAsia" w:ascii="仿宋" w:hAnsi="仿宋" w:eastAsia="仿宋" w:cs="仿宋"/>
          <w:b/>
          <w:bCs/>
          <w:color w:val="auto"/>
          <w:sz w:val="24"/>
          <w:szCs w:val="24"/>
          <w:highlight w:val="none"/>
        </w:rPr>
        <w:t>商务要求</w:t>
      </w:r>
    </w:p>
    <w:tbl>
      <w:tblPr>
        <w:tblStyle w:val="60"/>
        <w:tblW w:w="8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995"/>
        <w:gridCol w:w="7041"/>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743"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序号 </w:t>
            </w:r>
          </w:p>
        </w:tc>
        <w:tc>
          <w:tcPr>
            <w:tcW w:w="995"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条款名称 </w:t>
            </w:r>
          </w:p>
        </w:tc>
        <w:tc>
          <w:tcPr>
            <w:tcW w:w="7041"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530" w:firstLineChars="1200"/>
              <w:textAlignment w:val="auto"/>
              <w:rPr>
                <w:rFonts w:hint="eastAsia" w:ascii="仿宋" w:hAnsi="仿宋" w:eastAsia="仿宋" w:cs="仿宋"/>
                <w:b/>
                <w:bCs/>
                <w:color w:val="000000" w:themeColor="text1"/>
                <w:sz w:val="21"/>
                <w:szCs w:val="21"/>
                <w:highlight w:val="none"/>
              </w:rPr>
            </w:pPr>
            <w:r>
              <w:rPr>
                <w:rFonts w:hint="eastAsia" w:ascii="仿宋" w:hAnsi="仿宋" w:eastAsia="仿宋" w:cs="仿宋"/>
                <w:b/>
                <w:bCs/>
                <w:color w:val="000000" w:themeColor="text1"/>
                <w:sz w:val="21"/>
                <w:szCs w:val="21"/>
                <w:highlight w:val="none"/>
              </w:rPr>
              <w:t xml:space="preserve">说   明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jc w:val="center"/>
        </w:trPr>
        <w:tc>
          <w:tcPr>
            <w:tcW w:w="743" w:type="dxa"/>
            <w:noWrap w:val="0"/>
            <w:vAlign w:val="center"/>
          </w:tcPr>
          <w:p w14:paraId="2E4DD7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995" w:type="dxa"/>
            <w:noWrap w:val="0"/>
            <w:vAlign w:val="center"/>
          </w:tcPr>
          <w:p w14:paraId="0D5DCE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7041" w:type="dxa"/>
            <w:noWrap w:val="0"/>
            <w:vAlign w:val="top"/>
          </w:tcPr>
          <w:p w14:paraId="53D2BDB1">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1、本项目的报价和结算支付均以人民币为货币单位。</w:t>
            </w:r>
          </w:p>
          <w:p w14:paraId="19C44D96">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2、投标单位报价应包括设计、采购、运输、安装、相关部门验收及保修期内的维护保养等所有含税费用，以及投标单位认为必要的其他货物、材料、工程、服务。</w:t>
            </w:r>
          </w:p>
          <w:p w14:paraId="61E9768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3、如出现任何遗漏内容需产生额外费用，均由成交投标单位自行承担，采购人将不再另支付任何费用。</w:t>
            </w:r>
          </w:p>
          <w:p w14:paraId="20C04609">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4、投标单位的报价文件应包括单价和总价，总价是对采购的所有内容所计算的总价，为合同总价；其填报的明细单价则应是投标单位对本采购项目所包含的具体的服务进行详细列示的计算单价。</w:t>
            </w:r>
          </w:p>
          <w:p w14:paraId="6697E7E0">
            <w:pPr>
              <w:keepNext w:val="0"/>
              <w:keepLines w:val="0"/>
              <w:pageBreakBefore w:val="0"/>
              <w:widowControl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5、投标单位应被认为在填报报价之前，已经仔细阅读了本磋商文件的所有有关章节以及审查了所有相关资料，已确保本次磋商的所有磋商范围内的各种价格风险均已包含在磋商的报价内。</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jc w:val="center"/>
        </w:trPr>
        <w:tc>
          <w:tcPr>
            <w:tcW w:w="743" w:type="dxa"/>
            <w:noWrap w:val="0"/>
            <w:vAlign w:val="center"/>
          </w:tcPr>
          <w:p w14:paraId="6AF2D8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p>
        </w:tc>
        <w:tc>
          <w:tcPr>
            <w:tcW w:w="995" w:type="dxa"/>
            <w:noWrap w:val="0"/>
            <w:vAlign w:val="center"/>
          </w:tcPr>
          <w:p w14:paraId="4958EC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质量要求和质量保修期</w:t>
            </w:r>
          </w:p>
        </w:tc>
        <w:tc>
          <w:tcPr>
            <w:tcW w:w="7041" w:type="dxa"/>
            <w:noWrap w:val="0"/>
            <w:vAlign w:val="top"/>
          </w:tcPr>
          <w:p w14:paraId="6D93B0AD">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rPr>
              <w:t>质量：符合国家有关施工质量验收标准的合格工程或合同约定。工程规范以现行的或承担具体施工任务期间国家和行业新颁布施行的规范、规程为准。</w:t>
            </w:r>
          </w:p>
          <w:p w14:paraId="176D1595">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rPr>
              <w:t>材料、设备、施工须达到现行中华人民共和国以及省、自治区、直辖市或行业的工程建设标准、规范的要求及验收标准及有关规范为质量评定验收标准。</w:t>
            </w:r>
          </w:p>
          <w:p w14:paraId="368F92BA">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质量保修期：</w:t>
            </w:r>
            <w:r>
              <w:rPr>
                <w:rFonts w:hint="eastAsia" w:ascii="仿宋" w:hAnsi="仿宋" w:eastAsia="仿宋" w:cs="仿宋"/>
                <w:i w:val="0"/>
                <w:iCs w:val="0"/>
                <w:color w:val="auto"/>
                <w:sz w:val="21"/>
                <w:szCs w:val="21"/>
                <w:highlight w:val="none"/>
                <w:lang w:val="en-US" w:eastAsia="zh-CN"/>
              </w:rPr>
              <w:t>按</w:t>
            </w:r>
            <w:r>
              <w:rPr>
                <w:rFonts w:hint="eastAsia" w:ascii="仿宋" w:hAnsi="仿宋" w:eastAsia="仿宋" w:cs="仿宋"/>
                <w:i w:val="0"/>
                <w:iCs w:val="0"/>
                <w:color w:val="auto"/>
                <w:sz w:val="21"/>
                <w:szCs w:val="21"/>
                <w:highlight w:val="none"/>
              </w:rPr>
              <w:t>国务院《建设工程质量管理条例》第四十</w:t>
            </w:r>
            <w:r>
              <w:rPr>
                <w:rFonts w:hint="eastAsia" w:ascii="仿宋" w:hAnsi="仿宋" w:eastAsia="仿宋" w:cs="仿宋"/>
                <w:i w:val="0"/>
                <w:iCs w:val="0"/>
                <w:color w:val="auto"/>
                <w:sz w:val="21"/>
                <w:szCs w:val="21"/>
                <w:highlight w:val="none"/>
                <w:lang w:val="en-US" w:eastAsia="zh-CN"/>
              </w:rPr>
              <w:t>条相关</w:t>
            </w:r>
            <w:r>
              <w:rPr>
                <w:rFonts w:hint="eastAsia" w:ascii="仿宋" w:hAnsi="仿宋" w:eastAsia="仿宋" w:cs="仿宋"/>
                <w:i w:val="0"/>
                <w:iCs w:val="0"/>
                <w:color w:val="auto"/>
                <w:sz w:val="21"/>
                <w:szCs w:val="21"/>
                <w:highlight w:val="none"/>
              </w:rPr>
              <w:t>规定</w:t>
            </w:r>
            <w:r>
              <w:rPr>
                <w:rFonts w:hint="eastAsia" w:ascii="仿宋" w:hAnsi="仿宋" w:eastAsia="仿宋" w:cs="仿宋"/>
                <w:i w:val="0"/>
                <w:iCs w:val="0"/>
                <w:color w:val="auto"/>
                <w:sz w:val="21"/>
                <w:szCs w:val="21"/>
                <w:highlight w:val="none"/>
                <w:lang w:val="en-US" w:eastAsia="zh-CN"/>
              </w:rPr>
              <w:t>执行。</w:t>
            </w:r>
          </w:p>
          <w:p w14:paraId="2CCC521A">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w:t>
            </w:r>
            <w:r>
              <w:rPr>
                <w:rFonts w:hint="eastAsia" w:ascii="仿宋" w:hAnsi="仿宋" w:eastAsia="仿宋" w:cs="仿宋"/>
                <w:i w:val="0"/>
                <w:iCs w:val="0"/>
                <w:color w:val="auto"/>
                <w:sz w:val="21"/>
                <w:szCs w:val="21"/>
                <w:highlight w:val="none"/>
              </w:rPr>
              <w:t>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743" w:type="dxa"/>
            <w:noWrap w:val="0"/>
            <w:vAlign w:val="center"/>
          </w:tcPr>
          <w:p w14:paraId="2D1AB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p>
        </w:tc>
        <w:tc>
          <w:tcPr>
            <w:tcW w:w="995" w:type="dxa"/>
            <w:noWrap w:val="0"/>
            <w:vAlign w:val="center"/>
          </w:tcPr>
          <w:p w14:paraId="24CA4E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验收</w:t>
            </w:r>
          </w:p>
        </w:tc>
        <w:tc>
          <w:tcPr>
            <w:tcW w:w="7041" w:type="dxa"/>
            <w:noWrap w:val="0"/>
            <w:vAlign w:val="top"/>
          </w:tcPr>
          <w:p w14:paraId="0C929E0D">
            <w:pPr>
              <w:keepNext w:val="0"/>
              <w:keepLines w:val="0"/>
              <w:pageBreakBefore w:val="0"/>
              <w:numPr>
                <w:ilvl w:val="0"/>
                <w:numId w:val="14"/>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采购人在收到成交投标单位提交的竣工报告后组织验收，并在验收后 14 天内予以认可或提出修改意见。验收不合格，成交投标单位应按要求修改后再次提请采购人验收，并承担因自身原因造成修改的费用。</w:t>
            </w:r>
          </w:p>
          <w:p w14:paraId="146CC5CD">
            <w:pPr>
              <w:keepNext w:val="0"/>
              <w:keepLines w:val="0"/>
              <w:pageBreakBefore w:val="0"/>
              <w:numPr>
                <w:ilvl w:val="0"/>
                <w:numId w:val="14"/>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采购人在收到成交投标单位提交的竣工报告后不组织验收，或验收后不提出修改意见，视为竣工报告已被认可。</w:t>
            </w:r>
          </w:p>
          <w:p w14:paraId="7E096E3E">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3、验收时如发现所交付的设备有短装、次品、损坏或其它不符合竞价文件规定之情形者，采购人应做出详尽的现场记录，或由用户和成交投标单位双方签署备忘录。此现场记录或备忘录可用作补充、缺失和更换损坏部件的有效证据。由此产生的有关费用由成交投标单位承担。</w:t>
            </w:r>
          </w:p>
          <w:p w14:paraId="607B9113">
            <w:pPr>
              <w:keepNext w:val="0"/>
              <w:keepLines w:val="0"/>
              <w:pageBreakBefore w:val="0"/>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4、竣工报告被认可，则表明已完成合同工程，并视为通过竣工验收，采购人应向成交投标单位颁发工程竣工验收证书。</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jc w:val="center"/>
        </w:trPr>
        <w:tc>
          <w:tcPr>
            <w:tcW w:w="743" w:type="dxa"/>
            <w:noWrap w:val="0"/>
            <w:vAlign w:val="center"/>
          </w:tcPr>
          <w:p w14:paraId="351A05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4</w:t>
            </w:r>
          </w:p>
        </w:tc>
        <w:tc>
          <w:tcPr>
            <w:tcW w:w="995" w:type="dxa"/>
            <w:noWrap w:val="0"/>
            <w:vAlign w:val="center"/>
          </w:tcPr>
          <w:p w14:paraId="55F368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rPr>
              <w:t>付款方式</w:t>
            </w:r>
          </w:p>
        </w:tc>
        <w:tc>
          <w:tcPr>
            <w:tcW w:w="7041" w:type="dxa"/>
            <w:noWrap w:val="0"/>
            <w:vAlign w:val="top"/>
          </w:tcPr>
          <w:p w14:paraId="4F75BA46">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1、预付款的支付</w:t>
            </w:r>
          </w:p>
          <w:p w14:paraId="2E284742">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预付款支付比例或金额：合同总价的30%。</w:t>
            </w:r>
          </w:p>
          <w:p w14:paraId="3D9E3425">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预付款支付期限：合同生效后7日内。</w:t>
            </w:r>
          </w:p>
          <w:p w14:paraId="3E16A733">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2、工程进度款支付</w:t>
            </w:r>
          </w:p>
          <w:p w14:paraId="0057D07C">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0"/>
                <w:sz w:val="21"/>
                <w:szCs w:val="21"/>
                <w:lang w:val="en-US" w:eastAsia="zh-CN" w:bidi="ar"/>
              </w:rPr>
              <w:t>关于付款周期的约定：施工合同签订开工后，首次按合同价30%支付。施工过程中根据施工进度支付工程进度款，竣工验收后支付至审计结算价97%；结算价款的3%作为工程质量保证金，保修期满后没有任何质量问题一次性返还。（最终以实际签订的合同为准，由于甲方为财政预算单位，有可能造成支付不及时，乙方应充分理解）</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jc w:val="center"/>
        </w:trPr>
        <w:tc>
          <w:tcPr>
            <w:tcW w:w="743" w:type="dxa"/>
            <w:noWrap w:val="0"/>
            <w:vAlign w:val="center"/>
          </w:tcPr>
          <w:p w14:paraId="6C9E7F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5</w:t>
            </w:r>
          </w:p>
        </w:tc>
        <w:tc>
          <w:tcPr>
            <w:tcW w:w="995" w:type="dxa"/>
            <w:noWrap w:val="0"/>
            <w:vAlign w:val="center"/>
          </w:tcPr>
          <w:p w14:paraId="67F804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rPr>
              <w:t>项目要求</w:t>
            </w:r>
          </w:p>
        </w:tc>
        <w:tc>
          <w:tcPr>
            <w:tcW w:w="7041" w:type="dxa"/>
            <w:noWrap w:val="0"/>
            <w:vAlign w:val="top"/>
          </w:tcPr>
          <w:p w14:paraId="78190844">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auto"/>
                <w:sz w:val="21"/>
                <w:szCs w:val="21"/>
                <w:highlight w:val="none"/>
              </w:rPr>
              <w:t>1、</w:t>
            </w:r>
            <w:r>
              <w:rPr>
                <w:rFonts w:hint="eastAsia" w:ascii="仿宋" w:hAnsi="仿宋" w:eastAsia="仿宋" w:cs="仿宋"/>
                <w:color w:val="000000"/>
                <w:kern w:val="0"/>
                <w:sz w:val="21"/>
                <w:szCs w:val="21"/>
                <w:lang w:val="en-US" w:eastAsia="zh-CN" w:bidi="ar"/>
              </w:rPr>
              <w:t>成交人必须遵照采购人的管理及安排，按采购人的内容、质量、时间要求制作,所有的服务必须达到采购人的要求。</w:t>
            </w:r>
          </w:p>
          <w:p w14:paraId="00B58F65">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2、项目建设工作完成后应按要求及时清理现场工作。</w:t>
            </w:r>
          </w:p>
          <w:p w14:paraId="39C4889E">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3、★成交投标单位必须在施工过程中注意自身及周边安全，负责施工过程中的所有事故处理和费用。</w:t>
            </w:r>
          </w:p>
          <w:p w14:paraId="1B2ED42A">
            <w:pPr>
              <w:keepNext w:val="0"/>
              <w:keepLines w:val="0"/>
              <w:pageBreakBefore w:val="0"/>
              <w:widowControl/>
              <w:suppressLineNumbers w:val="0"/>
              <w:kinsoku/>
              <w:wordWrap/>
              <w:overflowPunct/>
              <w:topLinePunct w:val="0"/>
              <w:bidi w:val="0"/>
              <w:adjustRightInd/>
              <w:snapToGrid/>
              <w:spacing w:line="360" w:lineRule="exact"/>
              <w:jc w:val="left"/>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000000"/>
                <w:kern w:val="0"/>
                <w:sz w:val="21"/>
                <w:szCs w:val="21"/>
                <w:lang w:val="en-US" w:eastAsia="zh-CN" w:bidi="ar"/>
              </w:rPr>
              <w:t>4、为便于与采购人就活动细节等方面进行适时沟通联系、及时处理和反馈,并使项目按质、按量、按时、有序实施，成交人应保证有固定专人负责联络工作。本项目必须有一个完善且固定的策划和组织管理团队，投标单位须在响应文件中详细列出参与本项目的人员名单。</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43" w:type="dxa"/>
            <w:noWrap w:val="0"/>
            <w:vAlign w:val="center"/>
          </w:tcPr>
          <w:p w14:paraId="5CF0E6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995" w:type="dxa"/>
            <w:noWrap w:val="0"/>
            <w:vAlign w:val="center"/>
          </w:tcPr>
          <w:p w14:paraId="364BD970">
            <w:pPr>
              <w:keepNext w:val="0"/>
              <w:keepLines w:val="0"/>
              <w:pageBreakBefore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zh-CN" w:eastAsia="zh-CN"/>
              </w:rPr>
            </w:pPr>
            <w:r>
              <w:rPr>
                <w:rFonts w:hint="eastAsia" w:ascii="仿宋" w:hAnsi="仿宋" w:eastAsia="仿宋" w:cs="仿宋"/>
                <w:i w:val="0"/>
                <w:iCs w:val="0"/>
                <w:color w:val="auto"/>
                <w:sz w:val="21"/>
                <w:szCs w:val="21"/>
                <w:highlight w:val="none"/>
                <w:lang w:val="en-US" w:eastAsia="zh-CN"/>
              </w:rPr>
              <w:t>其它要求</w:t>
            </w:r>
          </w:p>
        </w:tc>
        <w:tc>
          <w:tcPr>
            <w:tcW w:w="7041" w:type="dxa"/>
            <w:noWrap w:val="0"/>
            <w:vAlign w:val="top"/>
          </w:tcPr>
          <w:p w14:paraId="5EA5CB79">
            <w:pPr>
              <w:keepNext w:val="0"/>
              <w:keepLines w:val="0"/>
              <w:pageBreakBefore w:val="0"/>
              <w:numPr>
                <w:ilvl w:val="0"/>
                <w:numId w:val="0"/>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1、成交投标单位施工前后，需负责原有地面拆旧，杂物清理及外运；</w:t>
            </w:r>
          </w:p>
          <w:p w14:paraId="32C0C8E5">
            <w:pPr>
              <w:keepNext w:val="0"/>
              <w:keepLines w:val="0"/>
              <w:pageBreakBefore w:val="0"/>
              <w:numPr>
                <w:ilvl w:val="0"/>
                <w:numId w:val="0"/>
              </w:numPr>
              <w:kinsoku/>
              <w:wordWrap/>
              <w:overflowPunct/>
              <w:topLinePunct w:val="0"/>
              <w:bidi w:val="0"/>
              <w:adjustRightInd/>
              <w:snapToGrid/>
              <w:spacing w:line="360" w:lineRule="exact"/>
              <w:jc w:val="left"/>
              <w:textAlignment w:val="auto"/>
              <w:rPr>
                <w:rFonts w:hint="eastAsia" w:ascii="仿宋" w:hAnsi="仿宋" w:eastAsia="仿宋" w:cs="仿宋"/>
                <w:i w:val="0"/>
                <w:iCs w:val="0"/>
                <w:color w:val="auto"/>
                <w:sz w:val="21"/>
                <w:szCs w:val="21"/>
                <w:highlight w:val="none"/>
                <w:lang w:val="zh-CN" w:eastAsia="zh-CN"/>
              </w:rPr>
            </w:pPr>
            <w:r>
              <w:rPr>
                <w:rFonts w:hint="eastAsia" w:ascii="仿宋" w:hAnsi="仿宋" w:eastAsia="仿宋" w:cs="仿宋"/>
                <w:i w:val="0"/>
                <w:iCs w:val="0"/>
                <w:color w:val="auto"/>
                <w:sz w:val="21"/>
                <w:szCs w:val="21"/>
                <w:highlight w:val="none"/>
                <w:lang w:val="en-US" w:eastAsia="zh-CN"/>
              </w:rPr>
              <w:t>2、成交投标单位需严格按照采购人需求及设计效果图保质保量施工，不得偷工减料；施工中使用的原材料必须为原厂全新材料，不得翻旧利旧，保证设计效果质量。</w:t>
            </w:r>
          </w:p>
        </w:tc>
      </w:tr>
    </w:tbl>
    <w:p w14:paraId="4E179783">
      <w:pPr>
        <w:keepNext w:val="0"/>
        <w:keepLines w:val="0"/>
        <w:pageBreakBefore w:val="0"/>
        <w:tabs>
          <w:tab w:val="left" w:pos="562"/>
        </w:tabs>
        <w:kinsoku/>
        <w:wordWrap/>
        <w:overflowPunct/>
        <w:topLinePunct w:val="0"/>
        <w:bidi w:val="0"/>
        <w:adjustRightInd/>
        <w:snapToGrid/>
        <w:spacing w:line="360" w:lineRule="exact"/>
        <w:jc w:val="both"/>
        <w:textAlignment w:val="auto"/>
        <w:rPr>
          <w:rFonts w:hint="eastAsia" w:ascii="仿宋" w:hAnsi="仿宋" w:eastAsia="仿宋" w:cs="仿宋"/>
          <w:color w:val="auto"/>
          <w:sz w:val="21"/>
          <w:szCs w:val="21"/>
          <w:highlight w:val="none"/>
          <w:lang w:val="zh-CN" w:eastAsia="zh-CN"/>
        </w:rPr>
        <w:sectPr>
          <w:footerReference r:id="rId6" w:type="default"/>
          <w:pgSz w:w="11910" w:h="16840"/>
          <w:pgMar w:top="1984" w:right="1531" w:bottom="2098" w:left="1531" w:header="670" w:footer="1041" w:gutter="0"/>
          <w:pgNumType w:fmt="decimal"/>
          <w:cols w:space="720" w:num="1"/>
          <w:rtlGutter w:val="0"/>
          <w:docGrid w:linePitch="1" w:charSpace="0"/>
        </w:sectPr>
      </w:pPr>
    </w:p>
    <w:p w14:paraId="0AA449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技术要求</w:t>
      </w:r>
    </w:p>
    <w:p w14:paraId="03930D38">
      <w:pPr>
        <w:pStyle w:val="4"/>
        <w:spacing w:line="360" w:lineRule="exact"/>
        <w:ind w:left="0" w:leftChars="0" w:firstLine="0" w:firstLineChars="0"/>
        <w:rPr>
          <w:rFonts w:hint="eastAsia" w:ascii="仿宋" w:hAnsi="仿宋" w:eastAsia="仿宋" w:cs="仿宋"/>
          <w:color w:val="auto"/>
          <w:sz w:val="24"/>
          <w:szCs w:val="24"/>
          <w:highlight w:val="none"/>
        </w:rPr>
      </w:pPr>
      <w:bookmarkStart w:id="41" w:name="_Toc179632790"/>
      <w:bookmarkStart w:id="42" w:name="_Toc246997084"/>
      <w:bookmarkStart w:id="43" w:name="_Toc247085856"/>
      <w:bookmarkStart w:id="44" w:name="_Toc246996341"/>
      <w:bookmarkStart w:id="45" w:name="_Toc152042555"/>
      <w:bookmarkStart w:id="46" w:name="_Toc144974835"/>
      <w:bookmarkStart w:id="47" w:name="_Toc495501809"/>
      <w:bookmarkStart w:id="48" w:name="_Toc152045773"/>
      <w:bookmarkStart w:id="49" w:name="_Toc418164814"/>
      <w:r>
        <w:rPr>
          <w:rFonts w:hint="eastAsia" w:ascii="仿宋" w:hAnsi="仿宋" w:eastAsia="仿宋" w:cs="仿宋"/>
          <w:color w:val="auto"/>
          <w:sz w:val="24"/>
          <w:szCs w:val="24"/>
          <w:highlight w:val="none"/>
        </w:rPr>
        <w:t>1. 工程量清单说明</w:t>
      </w:r>
      <w:bookmarkEnd w:id="41"/>
      <w:bookmarkEnd w:id="42"/>
      <w:bookmarkEnd w:id="43"/>
      <w:bookmarkEnd w:id="44"/>
      <w:bookmarkEnd w:id="45"/>
      <w:bookmarkEnd w:id="46"/>
      <w:bookmarkEnd w:id="47"/>
      <w:bookmarkEnd w:id="48"/>
      <w:bookmarkEnd w:id="49"/>
    </w:p>
    <w:p w14:paraId="473A9996">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本工程量清单是根据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本工程量清单应与</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须知、通用合同条款、专用合同条款、技术标准和要求及图纸等一起阅读和理解。</w:t>
      </w:r>
    </w:p>
    <w:p w14:paraId="7191C17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本工程量清单仅是投标报价的共同基础，实际工程计量和工程价款的支付应遵循合同条款的约定“技术标准和要求”的有关规定。</w:t>
      </w:r>
    </w:p>
    <w:p w14:paraId="7DC272F1">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补充子目工程量计算规则及子目工作内容说明：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217800">
      <w:pPr>
        <w:pStyle w:val="4"/>
        <w:spacing w:line="360" w:lineRule="exact"/>
        <w:ind w:left="0" w:leftChars="0" w:firstLine="0" w:firstLineChars="0"/>
        <w:rPr>
          <w:rFonts w:hint="eastAsia" w:ascii="仿宋" w:hAnsi="仿宋" w:eastAsia="仿宋" w:cs="仿宋"/>
          <w:color w:val="auto"/>
          <w:sz w:val="24"/>
          <w:szCs w:val="24"/>
          <w:highlight w:val="none"/>
        </w:rPr>
      </w:pPr>
      <w:bookmarkStart w:id="50" w:name="_Toc179632791"/>
      <w:bookmarkStart w:id="51" w:name="_Toc495501810"/>
      <w:bookmarkStart w:id="52" w:name="_Toc246996342"/>
      <w:bookmarkStart w:id="53" w:name="_Toc152042556"/>
      <w:bookmarkStart w:id="54" w:name="_Toc246997085"/>
      <w:bookmarkStart w:id="55" w:name="_Toc418164815"/>
      <w:bookmarkStart w:id="56" w:name="_Toc247085857"/>
      <w:bookmarkStart w:id="57" w:name="_Toc144974836"/>
      <w:bookmarkStart w:id="58" w:name="_Toc152045774"/>
      <w:r>
        <w:rPr>
          <w:rFonts w:hint="eastAsia" w:ascii="仿宋" w:hAnsi="仿宋" w:eastAsia="仿宋" w:cs="仿宋"/>
          <w:color w:val="auto"/>
          <w:sz w:val="24"/>
          <w:szCs w:val="24"/>
          <w:highlight w:val="none"/>
        </w:rPr>
        <w:t>2. 投标报价说明</w:t>
      </w:r>
      <w:bookmarkEnd w:id="50"/>
      <w:bookmarkEnd w:id="51"/>
      <w:bookmarkEnd w:id="52"/>
      <w:bookmarkEnd w:id="53"/>
      <w:bookmarkEnd w:id="54"/>
      <w:bookmarkEnd w:id="55"/>
      <w:bookmarkEnd w:id="56"/>
      <w:bookmarkEnd w:id="57"/>
      <w:bookmarkEnd w:id="58"/>
    </w:p>
    <w:p w14:paraId="4731003C">
      <w:pPr>
        <w:spacing w:line="360" w:lineRule="exact"/>
        <w:rPr>
          <w:rFonts w:hint="eastAsia" w:ascii="仿宋" w:hAnsi="仿宋" w:eastAsia="仿宋" w:cs="仿宋"/>
          <w:color w:val="auto"/>
          <w:sz w:val="24"/>
          <w:szCs w:val="24"/>
          <w:highlight w:val="none"/>
        </w:rPr>
      </w:pPr>
      <w:bookmarkStart w:id="59" w:name="_Toc144974838"/>
      <w:bookmarkStart w:id="60" w:name="_Toc144974837"/>
      <w:bookmarkStart w:id="61" w:name="_Toc152045775"/>
      <w:bookmarkStart w:id="62" w:name="_Toc152045776"/>
      <w:bookmarkStart w:id="63" w:name="_Toc179632793"/>
      <w:bookmarkStart w:id="64" w:name="_Toc152042557"/>
      <w:bookmarkStart w:id="65" w:name="_Toc246996344"/>
      <w:bookmarkStart w:id="66" w:name="_Toc152042558"/>
      <w:bookmarkStart w:id="67" w:name="_Toc246997087"/>
      <w:bookmarkStart w:id="68" w:name="_Toc247085859"/>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投标报价应根据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中的有关计价要求，并按照下列依据自主报价（另附）</w:t>
      </w:r>
    </w:p>
    <w:p w14:paraId="0699BB2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工程量清单中的每一子目须填入单价或价格，且只允许有一个报价。工程量清单中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没有填入单价或价格的子目，其费用视为已分摊在工程量清单中其他相关子目的单价或价格之中。</w:t>
      </w:r>
    </w:p>
    <w:p w14:paraId="5557403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投标总报价为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支付的税金和其它应缴纳的费用。</w:t>
      </w:r>
    </w:p>
    <w:p w14:paraId="29BFFAC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暂列金额的数量及拟用子目的说明：（另附）</w:t>
      </w:r>
    </w:p>
    <w:p w14:paraId="5E1FF02E">
      <w:pPr>
        <w:pStyle w:val="4"/>
        <w:spacing w:line="360" w:lineRule="exact"/>
        <w:ind w:left="0" w:leftChars="0" w:firstLine="0" w:firstLineChars="0"/>
        <w:rPr>
          <w:rFonts w:hint="eastAsia" w:ascii="仿宋" w:hAnsi="仿宋" w:eastAsia="仿宋" w:cs="仿宋"/>
          <w:color w:val="auto"/>
          <w:sz w:val="24"/>
          <w:szCs w:val="24"/>
          <w:highlight w:val="none"/>
        </w:rPr>
      </w:pPr>
      <w:bookmarkStart w:id="69" w:name="_Toc418164817"/>
      <w:bookmarkStart w:id="70" w:name="_Toc495501812"/>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工程量清单</w:t>
      </w:r>
      <w:bookmarkEnd w:id="59"/>
      <w:bookmarkEnd w:id="60"/>
      <w:bookmarkEnd w:id="61"/>
      <w:bookmarkEnd w:id="62"/>
      <w:bookmarkEnd w:id="63"/>
      <w:bookmarkEnd w:id="64"/>
      <w:bookmarkEnd w:id="65"/>
      <w:bookmarkEnd w:id="66"/>
      <w:bookmarkEnd w:id="67"/>
      <w:bookmarkEnd w:id="68"/>
      <w:bookmarkEnd w:id="69"/>
      <w:r>
        <w:rPr>
          <w:rFonts w:hint="eastAsia" w:ascii="仿宋" w:hAnsi="仿宋" w:eastAsia="仿宋" w:cs="仿宋"/>
          <w:color w:val="auto"/>
          <w:sz w:val="24"/>
          <w:szCs w:val="24"/>
          <w:highlight w:val="none"/>
        </w:rPr>
        <w:t xml:space="preserve"> （另附）</w:t>
      </w:r>
      <w:bookmarkEnd w:id="70"/>
    </w:p>
    <w:p w14:paraId="02763169">
      <w:pPr>
        <w:pStyle w:val="330"/>
        <w:spacing w:beforeLines="50" w:afterLines="50" w:line="360" w:lineRule="auto"/>
        <w:jc w:val="center"/>
        <w:outlineLvl w:val="0"/>
        <w:rPr>
          <w:rFonts w:hint="eastAsia" w:ascii="仿宋" w:hAnsi="仿宋" w:eastAsia="仿宋"/>
          <w:b/>
          <w:sz w:val="32"/>
          <w:szCs w:val="32"/>
        </w:rPr>
      </w:pPr>
    </w:p>
    <w:p w14:paraId="011DE290">
      <w:pPr>
        <w:pStyle w:val="330"/>
        <w:spacing w:beforeLines="50" w:afterLines="50" w:line="360" w:lineRule="auto"/>
        <w:jc w:val="center"/>
        <w:outlineLvl w:val="0"/>
        <w:rPr>
          <w:rFonts w:hint="eastAsia" w:ascii="仿宋" w:hAnsi="仿宋" w:eastAsia="仿宋"/>
          <w:b/>
          <w:sz w:val="32"/>
          <w:szCs w:val="32"/>
        </w:rPr>
        <w:sectPr>
          <w:footerReference r:id="rId9" w:type="first"/>
          <w:headerReference r:id="rId7" w:type="default"/>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D10DC96">
      <w:pPr>
        <w:pStyle w:val="330"/>
        <w:spacing w:beforeLines="50" w:afterLines="50" w:line="360" w:lineRule="auto"/>
        <w:jc w:val="center"/>
        <w:outlineLvl w:val="0"/>
        <w:rPr>
          <w:rFonts w:ascii="仿宋" w:hAnsi="仿宋" w:eastAsia="仿宋"/>
          <w:b/>
          <w:sz w:val="32"/>
          <w:szCs w:val="32"/>
        </w:rPr>
      </w:pPr>
      <w:r>
        <w:rPr>
          <w:rFonts w:hint="eastAsia" w:ascii="仿宋" w:hAnsi="仿宋" w:eastAsia="仿宋"/>
          <w:b/>
          <w:sz w:val="32"/>
          <w:szCs w:val="32"/>
        </w:rPr>
        <w:t>第六部分  合同</w:t>
      </w:r>
      <w:bookmarkEnd w:id="39"/>
      <w:r>
        <w:rPr>
          <w:rFonts w:hint="eastAsia" w:ascii="仿宋" w:hAnsi="仿宋" w:eastAsia="仿宋"/>
          <w:b/>
          <w:sz w:val="32"/>
          <w:szCs w:val="32"/>
        </w:rPr>
        <w:t>条款</w:t>
      </w:r>
      <w:bookmarkEnd w:id="40"/>
    </w:p>
    <w:p w14:paraId="42029A52">
      <w:pPr>
        <w:pStyle w:val="7"/>
        <w:numPr>
          <w:ilvl w:val="0"/>
          <w:numId w:val="0"/>
        </w:numPr>
        <w:tabs>
          <w:tab w:val="left" w:pos="720"/>
        </w:tabs>
        <w:ind w:left="720"/>
        <w:jc w:val="center"/>
        <w:rPr>
          <w:rFonts w:hint="eastAsia" w:ascii="仿宋" w:hAnsi="仿宋" w:eastAsia="仿宋" w:cs="仿宋"/>
          <w:b/>
          <w:bCs w:val="0"/>
          <w:color w:val="auto"/>
          <w:kern w:val="1"/>
          <w:sz w:val="28"/>
          <w:szCs w:val="28"/>
          <w:lang w:val="zh-CN" w:eastAsia="zh-CN" w:bidi="ar-SA"/>
        </w:rPr>
      </w:pPr>
      <w:bookmarkStart w:id="71" w:name="_Hlk519793124"/>
      <w:r>
        <w:rPr>
          <w:rFonts w:hint="eastAsia" w:ascii="仿宋" w:hAnsi="仿宋" w:eastAsia="仿宋" w:cs="仿宋"/>
          <w:b/>
          <w:bCs w:val="0"/>
          <w:color w:val="auto"/>
          <w:kern w:val="1"/>
          <w:sz w:val="28"/>
          <w:szCs w:val="28"/>
          <w:lang w:val="zh-CN" w:eastAsia="zh-CN" w:bidi="ar-SA"/>
        </w:rPr>
        <w:t>合  同（具体以实际签订为准）</w:t>
      </w:r>
    </w:p>
    <w:p w14:paraId="39D2889F">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1、合同协议书</w:t>
      </w:r>
    </w:p>
    <w:p w14:paraId="7CF9179E">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Cs/>
          <w:color w:val="auto"/>
          <w:kern w:val="1"/>
          <w:sz w:val="24"/>
          <w:szCs w:val="24"/>
        </w:rPr>
      </w:pPr>
      <w:r>
        <w:rPr>
          <w:rFonts w:hint="eastAsia" w:ascii="仿宋" w:hAnsi="仿宋" w:eastAsia="仿宋" w:cs="仿宋"/>
          <w:color w:val="auto"/>
          <w:kern w:val="1"/>
          <w:sz w:val="24"/>
          <w:szCs w:val="24"/>
        </w:rPr>
        <w:t>1.1、本工程合同协议书采用建设工程施工合同示范文本</w:t>
      </w:r>
      <w:r>
        <w:rPr>
          <w:rFonts w:hint="eastAsia" w:ascii="仿宋" w:hAnsi="仿宋" w:eastAsia="仿宋" w:cs="仿宋"/>
          <w:bCs/>
          <w:color w:val="auto"/>
          <w:kern w:val="1"/>
          <w:sz w:val="24"/>
          <w:szCs w:val="24"/>
        </w:rPr>
        <w:t>（GF—2017—0201）</w:t>
      </w:r>
      <w:r>
        <w:rPr>
          <w:rFonts w:hint="eastAsia" w:ascii="仿宋" w:hAnsi="仿宋" w:eastAsia="仿宋" w:cs="仿宋"/>
          <w:color w:val="auto"/>
          <w:kern w:val="1"/>
          <w:sz w:val="24"/>
          <w:szCs w:val="24"/>
        </w:rPr>
        <w:t>中的合同协议书。</w:t>
      </w:r>
    </w:p>
    <w:p w14:paraId="67DF5995">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2、合同通用条款</w:t>
      </w:r>
    </w:p>
    <w:p w14:paraId="7FC57131">
      <w:pPr>
        <w:pageBreakBefore w:val="0"/>
        <w:widowControl w:val="0"/>
        <w:kinsoku/>
        <w:wordWrap/>
        <w:overflowPunct/>
        <w:topLinePunct w:val="0"/>
        <w:bidi w:val="0"/>
        <w:snapToGrid/>
        <w:spacing w:line="400" w:lineRule="exact"/>
        <w:ind w:firstLine="420"/>
        <w:textAlignment w:val="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2.1、本工程合同通用条款采用建设工程施工合同示范文本</w:t>
      </w:r>
      <w:r>
        <w:rPr>
          <w:rFonts w:hint="eastAsia" w:ascii="仿宋" w:hAnsi="仿宋" w:eastAsia="仿宋" w:cs="仿宋"/>
          <w:bCs/>
          <w:color w:val="auto"/>
          <w:kern w:val="1"/>
          <w:sz w:val="24"/>
          <w:szCs w:val="24"/>
        </w:rPr>
        <w:t>（GF—2017—0201）</w:t>
      </w:r>
      <w:r>
        <w:rPr>
          <w:rFonts w:hint="eastAsia" w:ascii="仿宋" w:hAnsi="仿宋" w:eastAsia="仿宋" w:cs="仿宋"/>
          <w:color w:val="auto"/>
          <w:kern w:val="1"/>
          <w:sz w:val="24"/>
          <w:szCs w:val="24"/>
        </w:rPr>
        <w:t>中的通用条款。</w:t>
      </w:r>
    </w:p>
    <w:p w14:paraId="27DCC6C5">
      <w:pPr>
        <w:pStyle w:val="7"/>
        <w:pageBreakBefore w:val="0"/>
        <w:widowControl w:val="0"/>
        <w:numPr>
          <w:ilvl w:val="0"/>
          <w:numId w:val="0"/>
        </w:numPr>
        <w:tabs>
          <w:tab w:val="left" w:pos="720"/>
        </w:tabs>
        <w:kinsoku/>
        <w:wordWrap/>
        <w:overflowPunct/>
        <w:topLinePunct w:val="0"/>
        <w:bidi w:val="0"/>
        <w:snapToGrid/>
        <w:spacing w:line="400" w:lineRule="exact"/>
        <w:ind w:left="720"/>
        <w:jc w:val="center"/>
        <w:textAlignment w:val="auto"/>
        <w:rPr>
          <w:rFonts w:hint="eastAsia" w:ascii="仿宋" w:hAnsi="仿宋" w:eastAsia="仿宋" w:cs="仿宋"/>
          <w:b/>
          <w:bCs w:val="0"/>
          <w:color w:val="auto"/>
          <w:kern w:val="1"/>
          <w:sz w:val="28"/>
          <w:szCs w:val="28"/>
          <w:lang w:val="zh-CN" w:eastAsia="zh-CN" w:bidi="ar-SA"/>
        </w:rPr>
      </w:pPr>
      <w:bookmarkStart w:id="72" w:name="_Toc351203494"/>
      <w:r>
        <w:rPr>
          <w:rFonts w:hint="eastAsia" w:ascii="仿宋" w:hAnsi="仿宋" w:eastAsia="仿宋" w:cs="仿宋"/>
          <w:b/>
          <w:bCs w:val="0"/>
          <w:color w:val="auto"/>
          <w:kern w:val="1"/>
          <w:sz w:val="28"/>
          <w:szCs w:val="28"/>
          <w:lang w:val="zh-CN" w:eastAsia="zh-CN" w:bidi="ar-SA"/>
        </w:rPr>
        <w:t>第一部分 合同协议书</w:t>
      </w:r>
    </w:p>
    <w:p w14:paraId="0CF48296">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发包人（全称）：</w:t>
      </w:r>
      <w:r>
        <w:rPr>
          <w:rFonts w:hint="eastAsia" w:ascii="仿宋" w:hAnsi="仿宋" w:eastAsia="仿宋" w:cs="仿宋"/>
          <w:b/>
          <w:color w:val="auto"/>
          <w:sz w:val="24"/>
          <w:szCs w:val="24"/>
          <w:u w:val="single"/>
        </w:rPr>
        <w:t>                       </w:t>
      </w:r>
    </w:p>
    <w:p w14:paraId="22785D4E">
      <w:pPr>
        <w:pageBreakBefore w:val="0"/>
        <w:widowControl w:val="0"/>
        <w:kinsoku/>
        <w:wordWrap/>
        <w:overflowPunct/>
        <w:topLinePunct w:val="0"/>
        <w:bidi w:val="0"/>
        <w:snapToGrid/>
        <w:spacing w:line="400" w:lineRule="exac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承包人（全称）：</w:t>
      </w:r>
      <w:r>
        <w:rPr>
          <w:rFonts w:hint="eastAsia" w:ascii="仿宋" w:hAnsi="仿宋" w:eastAsia="仿宋" w:cs="仿宋"/>
          <w:b/>
          <w:color w:val="auto"/>
          <w:sz w:val="24"/>
          <w:szCs w:val="24"/>
          <w:u w:val="single"/>
        </w:rPr>
        <w:t>                      </w:t>
      </w:r>
    </w:p>
    <w:p w14:paraId="04EC874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工程施工及有关事项协商一致，共同达成如下协议：</w:t>
      </w:r>
    </w:p>
    <w:p w14:paraId="2EDA4B1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73" w:name="_Toc351203481"/>
      <w:r>
        <w:rPr>
          <w:rFonts w:hint="eastAsia" w:ascii="仿宋" w:hAnsi="仿宋" w:eastAsia="仿宋" w:cs="仿宋"/>
          <w:bCs/>
          <w:color w:val="auto"/>
          <w:sz w:val="24"/>
          <w:szCs w:val="24"/>
        </w:rPr>
        <w:t>一、工程概况</w:t>
      </w:r>
      <w:bookmarkEnd w:id="73"/>
    </w:p>
    <w:p w14:paraId="4AB10344">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1.工程名称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738CE53A">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2.工程地点：</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77008AC8">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3.工程立项批准文号：</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21376A69">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4.资金来源：</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7338B82B">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5.工程内容：</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14:paraId="234C5F84">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群体工程应附《承包人承揽工程项目一览表》（附件1）。</w:t>
      </w:r>
    </w:p>
    <w:p w14:paraId="34E48B28">
      <w:pPr>
        <w:pageBreakBefore w:val="0"/>
        <w:widowControl w:val="0"/>
        <w:kinsoku/>
        <w:wordWrap/>
        <w:overflowPunct/>
        <w:topLinePunct w:val="0"/>
        <w:bidi w:val="0"/>
        <w:snapToGrid/>
        <w:spacing w:line="400" w:lineRule="exact"/>
        <w:ind w:firstLine="470" w:firstLineChars="196"/>
        <w:textAlignment w:val="auto"/>
        <w:rPr>
          <w:rFonts w:hint="eastAsia" w:ascii="仿宋" w:hAnsi="仿宋" w:eastAsia="仿宋" w:cs="仿宋"/>
          <w:b/>
          <w:bCs/>
          <w:color w:val="auto"/>
          <w:sz w:val="24"/>
          <w:szCs w:val="24"/>
          <w:u w:val="single"/>
        </w:rPr>
      </w:pPr>
      <w:r>
        <w:rPr>
          <w:rFonts w:hint="eastAsia" w:ascii="仿宋" w:hAnsi="仿宋" w:eastAsia="仿宋" w:cs="仿宋"/>
          <w:bCs/>
          <w:color w:val="auto"/>
          <w:sz w:val="24"/>
          <w:szCs w:val="24"/>
        </w:rPr>
        <w:t>6.工程承包范围：</w:t>
      </w:r>
      <w:r>
        <w:rPr>
          <w:rFonts w:hint="eastAsia" w:ascii="仿宋" w:hAnsi="仿宋" w:eastAsia="仿宋" w:cs="仿宋"/>
          <w:b/>
          <w:bCs/>
          <w:color w:val="auto"/>
          <w:sz w:val="24"/>
          <w:szCs w:val="24"/>
          <w:u w:val="single"/>
        </w:rPr>
        <w:t>全套施工图纸、工程量清单及</w:t>
      </w:r>
      <w:r>
        <w:rPr>
          <w:rFonts w:hint="eastAsia" w:ascii="仿宋" w:hAnsi="仿宋" w:eastAsia="仿宋" w:cs="仿宋"/>
          <w:b/>
          <w:bCs/>
          <w:color w:val="auto"/>
          <w:sz w:val="24"/>
          <w:szCs w:val="24"/>
          <w:u w:val="single"/>
          <w:lang w:eastAsia="zh-CN"/>
        </w:rPr>
        <w:t>磋商文件</w:t>
      </w:r>
      <w:r>
        <w:rPr>
          <w:rFonts w:hint="eastAsia" w:ascii="仿宋" w:hAnsi="仿宋" w:eastAsia="仿宋" w:cs="仿宋"/>
          <w:b/>
          <w:bCs/>
          <w:color w:val="auto"/>
          <w:sz w:val="24"/>
          <w:szCs w:val="24"/>
          <w:u w:val="single"/>
        </w:rPr>
        <w:t>（包括</w:t>
      </w:r>
      <w:r>
        <w:rPr>
          <w:rFonts w:hint="eastAsia" w:ascii="仿宋" w:hAnsi="仿宋" w:eastAsia="仿宋" w:cs="仿宋"/>
          <w:b/>
          <w:bCs/>
          <w:color w:val="auto"/>
          <w:sz w:val="24"/>
          <w:szCs w:val="24"/>
          <w:u w:val="single"/>
          <w:lang w:eastAsia="zh-CN"/>
        </w:rPr>
        <w:t>磋商文件</w:t>
      </w:r>
      <w:r>
        <w:rPr>
          <w:rFonts w:hint="eastAsia" w:ascii="仿宋" w:hAnsi="仿宋" w:eastAsia="仿宋" w:cs="仿宋"/>
          <w:b/>
          <w:bCs/>
          <w:color w:val="auto"/>
          <w:sz w:val="24"/>
          <w:szCs w:val="24"/>
          <w:u w:val="single"/>
        </w:rPr>
        <w:t>答疑及补充文件、设计变更）范围内的所有工作内容。</w:t>
      </w:r>
    </w:p>
    <w:p w14:paraId="4B9F20E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w:t>
      </w:r>
      <w:bookmarkStart w:id="74" w:name="_Toc351203482"/>
      <w:r>
        <w:rPr>
          <w:rFonts w:hint="eastAsia" w:ascii="仿宋" w:hAnsi="仿宋" w:eastAsia="仿宋" w:cs="仿宋"/>
          <w:bCs/>
          <w:color w:val="auto"/>
          <w:sz w:val="24"/>
          <w:szCs w:val="24"/>
        </w:rPr>
        <w:t>二、合同工期</w:t>
      </w:r>
      <w:bookmarkEnd w:id="74"/>
    </w:p>
    <w:p w14:paraId="097A5F32">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计划开工日期：</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日。</w:t>
      </w:r>
    </w:p>
    <w:p w14:paraId="2629F7DD">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计划竣工日期：</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日。</w:t>
      </w:r>
    </w:p>
    <w:p w14:paraId="10F29073">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工期总日历天数：</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天。工期总日历天数与根据前述计划开竣工日期计算的工期天数不一致的，以工期总日历天数为准。</w:t>
      </w:r>
    </w:p>
    <w:p w14:paraId="3DB2E23B">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bookmarkStart w:id="75" w:name="_Toc351203483"/>
      <w:r>
        <w:rPr>
          <w:rFonts w:hint="eastAsia" w:ascii="仿宋" w:hAnsi="仿宋" w:eastAsia="仿宋" w:cs="仿宋"/>
          <w:bCs/>
          <w:color w:val="auto"/>
          <w:sz w:val="24"/>
          <w:szCs w:val="24"/>
        </w:rPr>
        <w:t>三、质量标准</w:t>
      </w:r>
      <w:bookmarkEnd w:id="75"/>
    </w:p>
    <w:p w14:paraId="53391299">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工程质量符合</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标准。</w:t>
      </w:r>
      <w:bookmarkStart w:id="76" w:name="_Toc351203484"/>
    </w:p>
    <w:p w14:paraId="6BE75E11">
      <w:pPr>
        <w:pageBreakBefore w:val="0"/>
        <w:widowControl w:val="0"/>
        <w:kinsoku/>
        <w:wordWrap/>
        <w:overflowPunct/>
        <w:topLinePunct w:val="0"/>
        <w:bidi w:val="0"/>
        <w:snapToGrid/>
        <w:spacing w:line="400" w:lineRule="exact"/>
        <w:ind w:firstLine="459"/>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四、签约合同价与合同价格形式</w:t>
      </w:r>
      <w:bookmarkEnd w:id="76"/>
      <w:r>
        <w:rPr>
          <w:rFonts w:hint="eastAsia" w:ascii="仿宋" w:hAnsi="仿宋" w:eastAsia="仿宋" w:cs="仿宋"/>
          <w:bCs/>
          <w:color w:val="auto"/>
          <w:sz w:val="24"/>
          <w:szCs w:val="24"/>
        </w:rPr>
        <w:tab/>
      </w:r>
    </w:p>
    <w:p w14:paraId="2597AB8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1.签约合同价为：</w:t>
      </w:r>
    </w:p>
    <w:p w14:paraId="00BA4597">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77208AB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其中：</w:t>
      </w:r>
    </w:p>
    <w:p w14:paraId="4B7704A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（1）安全文明施工费：</w:t>
      </w:r>
    </w:p>
    <w:p w14:paraId="40E8CCD2">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0A87B9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（2）材料和工程设备暂估价金额：</w:t>
      </w:r>
    </w:p>
    <w:p w14:paraId="1B3EEA83">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69384D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（3）专业工程暂估价金额：</w:t>
      </w:r>
    </w:p>
    <w:p w14:paraId="58F6463F">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499C7C9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（4）暂列金额：</w:t>
      </w:r>
    </w:p>
    <w:p w14:paraId="2E643689">
      <w:pPr>
        <w:pageBreakBefore w:val="0"/>
        <w:widowControl w:val="0"/>
        <w:kinsoku/>
        <w:wordWrap/>
        <w:overflowPunct/>
        <w:topLinePunct w:val="0"/>
        <w:bidi w:val="0"/>
        <w:snapToGrid/>
        <w:spacing w:line="400" w:lineRule="exact"/>
        <w:ind w:firstLine="1080" w:firstLineChars="4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58231DF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2.合同价格形式：</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D09947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77" w:name="_Toc351203485"/>
      <w:r>
        <w:rPr>
          <w:rFonts w:hint="eastAsia" w:ascii="仿宋" w:hAnsi="仿宋" w:eastAsia="仿宋" w:cs="仿宋"/>
          <w:bCs/>
          <w:color w:val="auto"/>
          <w:sz w:val="24"/>
          <w:szCs w:val="24"/>
        </w:rPr>
        <w:t>五、</w:t>
      </w:r>
      <w:bookmarkEnd w:id="77"/>
      <w:r>
        <w:rPr>
          <w:rFonts w:hint="eastAsia" w:ascii="仿宋" w:hAnsi="仿宋" w:eastAsia="仿宋" w:cs="仿宋"/>
          <w:bCs/>
          <w:color w:val="auto"/>
          <w:sz w:val="24"/>
          <w:szCs w:val="24"/>
        </w:rPr>
        <w:t>项目经理</w:t>
      </w:r>
    </w:p>
    <w:p w14:paraId="1FE8892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承包人项目经理：</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bookmarkStart w:id="78" w:name="_Toc351203486"/>
    </w:p>
    <w:p w14:paraId="128205F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六、合同文件构成</w:t>
      </w:r>
      <w:bookmarkEnd w:id="78"/>
    </w:p>
    <w:p w14:paraId="7C39030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本协议书与下列文件一起构成合同文件：</w:t>
      </w:r>
    </w:p>
    <w:p w14:paraId="0A48676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（1）中标通知书（如果有）；</w:t>
      </w:r>
    </w:p>
    <w:p w14:paraId="138F1EE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（2）投标函及其附录（如果有）； </w:t>
      </w:r>
    </w:p>
    <w:p w14:paraId="519B31DD">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（3）专用合同条款及其附件；</w:t>
      </w:r>
    </w:p>
    <w:p w14:paraId="64051C5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（4）通用合同条款；</w:t>
      </w:r>
    </w:p>
    <w:p w14:paraId="1E06150C">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（5）技术标准和要求；</w:t>
      </w:r>
    </w:p>
    <w:p w14:paraId="37C5C0C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14:paraId="1DE6B11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（7）已标价工程量清单或预算书；</w:t>
      </w:r>
    </w:p>
    <w:p w14:paraId="3102315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（8）其他合同文件。</w:t>
      </w:r>
    </w:p>
    <w:p w14:paraId="079E3D8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在合同订立及履行过程中形成的与合同有关的文件均构成合同文件组成部分。</w:t>
      </w:r>
    </w:p>
    <w:p w14:paraId="2CCAA1F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39889076">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bookmarkStart w:id="79" w:name="_Toc351203487"/>
      <w:r>
        <w:rPr>
          <w:rFonts w:hint="eastAsia" w:ascii="仿宋" w:hAnsi="仿宋" w:eastAsia="仿宋" w:cs="仿宋"/>
          <w:bCs/>
          <w:color w:val="auto"/>
          <w:sz w:val="24"/>
          <w:szCs w:val="24"/>
        </w:rPr>
        <w:t>七、承诺</w:t>
      </w:r>
      <w:bookmarkEnd w:id="79"/>
    </w:p>
    <w:p w14:paraId="29E4F09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1.发包人承诺按照法律规定履行项目审批手续、筹集工程建设资金并按照合同约定的期限和方式支付合同价款。</w:t>
      </w:r>
    </w:p>
    <w:p w14:paraId="11B6E72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2.承包人承诺按照法律规定及合同约定组织完成工程施工，确保工程质量和安全，不进行转包及违法分包，并在缺陷责任期及保修期内承担相应的工程维修责任。</w:t>
      </w:r>
    </w:p>
    <w:p w14:paraId="4F9C4DF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3.发包人和承包人通过招投标形式签订合同的，双方理解并承诺不再就同一工程另行签订与合同实质性内容相背离的协议。</w:t>
      </w:r>
    </w:p>
    <w:p w14:paraId="56471917">
      <w:pPr>
        <w:pageBreakBefore w:val="0"/>
        <w:widowControl w:val="0"/>
        <w:kinsoku/>
        <w:wordWrap/>
        <w:overflowPunct/>
        <w:topLinePunct w:val="0"/>
        <w:bidi w:val="0"/>
        <w:snapToGrid/>
        <w:spacing w:line="400" w:lineRule="exact"/>
        <w:ind w:firstLine="472" w:firstLineChars="196"/>
        <w:textAlignment w:val="auto"/>
        <w:rPr>
          <w:rFonts w:hint="eastAsia" w:ascii="仿宋" w:hAnsi="仿宋" w:eastAsia="仿宋" w:cs="仿宋"/>
          <w:bCs/>
          <w:color w:val="auto"/>
          <w:sz w:val="24"/>
          <w:szCs w:val="24"/>
        </w:rPr>
      </w:pPr>
      <w:bookmarkStart w:id="80" w:name="_Toc351203488"/>
      <w:r>
        <w:rPr>
          <w:rFonts w:hint="eastAsia" w:ascii="仿宋" w:hAnsi="仿宋" w:eastAsia="仿宋" w:cs="仿宋"/>
          <w:b/>
          <w:color w:val="auto"/>
          <w:sz w:val="24"/>
          <w:szCs w:val="24"/>
        </w:rPr>
        <w:t>八、词语含义</w:t>
      </w:r>
      <w:bookmarkEnd w:id="80"/>
    </w:p>
    <w:p w14:paraId="68AA55B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本协议书中词语含义与第二部分通用合同条款中赋予的含义相同。</w:t>
      </w:r>
      <w:bookmarkStart w:id="81" w:name="_Toc351203489"/>
    </w:p>
    <w:p w14:paraId="3FA2F80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九、签订时间</w:t>
      </w:r>
      <w:bookmarkEnd w:id="81"/>
    </w:p>
    <w:p w14:paraId="4BAD148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本合同于</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日签订。</w:t>
      </w:r>
      <w:bookmarkStart w:id="82" w:name="_Toc351203490"/>
    </w:p>
    <w:p w14:paraId="39813EF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十、签订地点</w:t>
      </w:r>
      <w:bookmarkEnd w:id="82"/>
    </w:p>
    <w:p w14:paraId="1B96274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签订。</w:t>
      </w:r>
    </w:p>
    <w:p w14:paraId="4966AB1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3" w:name="_Toc351203491"/>
      <w:r>
        <w:rPr>
          <w:rFonts w:hint="eastAsia" w:ascii="仿宋" w:hAnsi="仿宋" w:eastAsia="仿宋" w:cs="仿宋"/>
          <w:bCs/>
          <w:color w:val="auto"/>
          <w:sz w:val="24"/>
          <w:szCs w:val="24"/>
        </w:rPr>
        <w:t>十一、补充协议</w:t>
      </w:r>
      <w:bookmarkEnd w:id="83"/>
    </w:p>
    <w:p w14:paraId="7E4053D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bCs/>
          <w:color w:val="auto"/>
          <w:sz w:val="24"/>
          <w:szCs w:val="24"/>
        </w:rPr>
        <w:t>合同未尽事宜，合同当事人另行签订补充协议，补充协议是合同的组成部分。</w:t>
      </w:r>
    </w:p>
    <w:p w14:paraId="0EB843D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4" w:name="_Toc351203492"/>
      <w:r>
        <w:rPr>
          <w:rFonts w:hint="eastAsia" w:ascii="仿宋" w:hAnsi="仿宋" w:eastAsia="仿宋" w:cs="仿宋"/>
          <w:bCs/>
          <w:color w:val="auto"/>
          <w:sz w:val="24"/>
          <w:szCs w:val="24"/>
        </w:rPr>
        <w:t>十二、合同生效</w:t>
      </w:r>
      <w:bookmarkEnd w:id="84"/>
    </w:p>
    <w:p w14:paraId="7608AC9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本合同自</w:t>
      </w:r>
      <w:r>
        <w:rPr>
          <w:rFonts w:hint="eastAsia" w:ascii="仿宋" w:hAnsi="仿宋" w:eastAsia="仿宋" w:cs="仿宋"/>
          <w:bCs/>
          <w:color w:val="auto"/>
          <w:sz w:val="24"/>
          <w:szCs w:val="24"/>
          <w:u w:val="single"/>
        </w:rPr>
        <w:t xml:space="preserve">    </w:t>
      </w:r>
      <w:r>
        <w:rPr>
          <w:rFonts w:hint="eastAsia" w:ascii="仿宋" w:hAnsi="仿宋" w:eastAsia="仿宋" w:cs="仿宋"/>
          <w:b/>
          <w:bCs/>
          <w:color w:val="auto"/>
          <w:sz w:val="24"/>
          <w:szCs w:val="24"/>
          <w:u w:val="single"/>
        </w:rPr>
        <w:t>双方盖章签字完成之日起</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生效。</w:t>
      </w:r>
    </w:p>
    <w:p w14:paraId="440794A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bookmarkStart w:id="85" w:name="_Toc351203493"/>
      <w:r>
        <w:rPr>
          <w:rFonts w:hint="eastAsia" w:ascii="仿宋" w:hAnsi="仿宋" w:eastAsia="仿宋" w:cs="仿宋"/>
          <w:bCs/>
          <w:color w:val="auto"/>
          <w:sz w:val="24"/>
          <w:szCs w:val="24"/>
        </w:rPr>
        <w:t>十三、合同份数</w:t>
      </w:r>
      <w:bookmarkEnd w:id="85"/>
    </w:p>
    <w:p w14:paraId="1E02884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本合同一式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份，均具有同等法律效力，发包人执</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份，承包人执</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w:t>
      </w:r>
    </w:p>
    <w:p w14:paraId="022658C9">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(公章)             承包人：  (公章)</w:t>
      </w:r>
    </w:p>
    <w:p w14:paraId="3DEB90D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14:paraId="06580AC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法定代表人或其委托代理人：</w:t>
      </w:r>
    </w:p>
    <w:p w14:paraId="4FD07843">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                    （签字）</w:t>
      </w:r>
    </w:p>
    <w:p w14:paraId="7019E36B">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u w:val="single"/>
        </w:rPr>
      </w:pPr>
    </w:p>
    <w:p w14:paraId="7CBDDD2F">
      <w:pPr>
        <w:pageBreakBefore w:val="0"/>
        <w:widowControl w:val="0"/>
        <w:tabs>
          <w:tab w:val="left" w:pos="4410"/>
        </w:tabs>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44D4B4CC">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地  址：</w:t>
      </w:r>
      <w:r>
        <w:rPr>
          <w:rFonts w:hint="eastAsia" w:ascii="仿宋" w:hAnsi="仿宋" w:eastAsia="仿宋" w:cs="仿宋"/>
          <w:color w:val="auto"/>
          <w:sz w:val="24"/>
          <w:szCs w:val="24"/>
          <w:u w:val="single"/>
        </w:rPr>
        <w:t xml:space="preserve">        </w:t>
      </w:r>
    </w:p>
    <w:p w14:paraId="639E4C3E">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14:paraId="01D1F21C">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       </w:t>
      </w:r>
    </w:p>
    <w:p w14:paraId="61FF1028">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 xml:space="preserve">             </w:t>
      </w:r>
    </w:p>
    <w:p w14:paraId="4402024A">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p>
    <w:p w14:paraId="2348B9B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rPr>
        <w:t xml:space="preserve">     </w:t>
      </w:r>
    </w:p>
    <w:p w14:paraId="2DD259A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电子信箱：</w:t>
      </w:r>
      <w:r>
        <w:rPr>
          <w:rFonts w:hint="eastAsia" w:ascii="仿宋" w:hAnsi="仿宋" w:eastAsia="仿宋" w:cs="仿宋"/>
          <w:color w:val="auto"/>
          <w:sz w:val="24"/>
          <w:szCs w:val="24"/>
          <w:u w:val="single"/>
        </w:rPr>
        <w:t xml:space="preserve">   </w:t>
      </w:r>
    </w:p>
    <w:p w14:paraId="37AE35A9">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p>
    <w:p w14:paraId="5C28B4AE">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rPr>
        <w:t xml:space="preserve">     </w:t>
      </w:r>
    </w:p>
    <w:p w14:paraId="528D1097">
      <w:pPr>
        <w:pStyle w:val="7"/>
        <w:pageBreakBefore w:val="0"/>
        <w:widowControl w:val="0"/>
        <w:numPr>
          <w:ilvl w:val="0"/>
          <w:numId w:val="0"/>
        </w:numPr>
        <w:tabs>
          <w:tab w:val="left" w:pos="720"/>
        </w:tabs>
        <w:kinsoku/>
        <w:wordWrap/>
        <w:overflowPunct/>
        <w:topLinePunct w:val="0"/>
        <w:bidi w:val="0"/>
        <w:snapToGrid/>
        <w:spacing w:line="400" w:lineRule="exact"/>
        <w:ind w:left="720"/>
        <w:jc w:val="center"/>
        <w:textAlignment w:val="auto"/>
        <w:rPr>
          <w:rFonts w:hint="eastAsia" w:ascii="仿宋" w:hAnsi="仿宋" w:eastAsia="仿宋" w:cs="仿宋"/>
          <w:b/>
          <w:bCs w:val="0"/>
          <w:color w:val="auto"/>
          <w:kern w:val="1"/>
          <w:sz w:val="28"/>
          <w:szCs w:val="28"/>
          <w:lang w:val="zh-CN" w:eastAsia="zh-CN" w:bidi="ar-SA"/>
        </w:rPr>
      </w:pPr>
      <w:r>
        <w:rPr>
          <w:rFonts w:hint="eastAsia" w:ascii="仿宋" w:hAnsi="仿宋" w:eastAsia="仿宋" w:cs="仿宋"/>
          <w:color w:val="auto"/>
          <w:sz w:val="21"/>
          <w:szCs w:val="21"/>
        </w:rPr>
        <w:br w:type="page"/>
      </w:r>
      <w:r>
        <w:rPr>
          <w:rFonts w:hint="eastAsia" w:ascii="仿宋" w:hAnsi="仿宋" w:eastAsia="仿宋" w:cs="仿宋"/>
          <w:b/>
          <w:bCs w:val="0"/>
          <w:color w:val="auto"/>
          <w:kern w:val="1"/>
          <w:sz w:val="28"/>
          <w:szCs w:val="28"/>
          <w:lang w:val="zh-CN" w:eastAsia="zh-CN" w:bidi="ar-SA"/>
        </w:rPr>
        <w:t>第二部分 通用合同条款</w:t>
      </w:r>
      <w:bookmarkEnd w:id="72"/>
      <w:bookmarkStart w:id="86" w:name="_Toc337558727"/>
    </w:p>
    <w:p w14:paraId="2558E2C6">
      <w:pPr>
        <w:pageBreakBefore w:val="0"/>
        <w:widowControl w:val="0"/>
        <w:kinsoku/>
        <w:wordWrap/>
        <w:overflowPunct/>
        <w:topLinePunct w:val="0"/>
        <w:bidi w:val="0"/>
        <w:snapToGrid/>
        <w:spacing w:line="40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执行《建设工程施工合同（示范文本）》（GF-2017-0201）通用合同条款，此处略。</w:t>
      </w:r>
      <w:bookmarkEnd w:id="86"/>
      <w:bookmarkStart w:id="87" w:name="_第四章__技术规范"/>
      <w:bookmarkEnd w:id="87"/>
    </w:p>
    <w:p w14:paraId="5013A729">
      <w:pPr>
        <w:keepNext/>
        <w:keepLines/>
        <w:pageBreakBefore w:val="0"/>
        <w:widowControl w:val="0"/>
        <w:kinsoku/>
        <w:wordWrap/>
        <w:overflowPunct/>
        <w:topLinePunct w:val="0"/>
        <w:bidi w:val="0"/>
        <w:snapToGrid/>
        <w:spacing w:before="260" w:after="260" w:line="400" w:lineRule="exact"/>
        <w:jc w:val="center"/>
        <w:textAlignment w:val="auto"/>
        <w:outlineLvl w:val="2"/>
        <w:rPr>
          <w:rFonts w:hint="eastAsia" w:ascii="仿宋" w:hAnsi="仿宋" w:eastAsia="仿宋" w:cs="仿宋"/>
          <w:b/>
          <w:bCs/>
          <w:color w:val="auto"/>
          <w:sz w:val="44"/>
          <w:szCs w:val="44"/>
        </w:rPr>
      </w:pPr>
      <w:r>
        <w:rPr>
          <w:rFonts w:hint="eastAsia" w:ascii="仿宋" w:hAnsi="仿宋" w:eastAsia="仿宋" w:cs="仿宋"/>
          <w:color w:val="auto"/>
          <w:szCs w:val="21"/>
          <w:lang w:val="zh-CN"/>
        </w:rPr>
        <w:br w:type="page"/>
      </w:r>
      <w:r>
        <w:rPr>
          <w:rFonts w:hint="eastAsia" w:ascii="仿宋" w:hAnsi="仿宋" w:eastAsia="仿宋" w:cs="仿宋"/>
          <w:b/>
          <w:bCs w:val="0"/>
          <w:color w:val="auto"/>
          <w:kern w:val="1"/>
          <w:sz w:val="28"/>
          <w:szCs w:val="28"/>
          <w:lang w:val="zh-CN" w:eastAsia="zh-CN" w:bidi="ar-SA"/>
        </w:rPr>
        <w:t>第三部分 专用合同条款</w:t>
      </w:r>
    </w:p>
    <w:p w14:paraId="5E9E9B4A">
      <w:pPr>
        <w:keepNext/>
        <w:keepLines/>
        <w:pageBreakBefore w:val="0"/>
        <w:widowControl w:val="0"/>
        <w:kinsoku/>
        <w:wordWrap/>
        <w:overflowPunct/>
        <w:topLinePunct w:val="0"/>
        <w:bidi w:val="0"/>
        <w:snapToGrid/>
        <w:spacing w:before="120" w:after="120" w:line="400" w:lineRule="exact"/>
        <w:ind w:firstLine="120" w:firstLineChars="50"/>
        <w:textAlignment w:val="auto"/>
        <w:outlineLvl w:val="3"/>
        <w:rPr>
          <w:rFonts w:hint="eastAsia" w:ascii="仿宋" w:hAnsi="仿宋" w:eastAsia="仿宋" w:cs="仿宋"/>
          <w:bCs/>
          <w:color w:val="auto"/>
          <w:sz w:val="24"/>
          <w:szCs w:val="24"/>
        </w:rPr>
      </w:pPr>
      <w:bookmarkStart w:id="88" w:name="_Toc351203633"/>
      <w:r>
        <w:rPr>
          <w:rFonts w:hint="eastAsia" w:ascii="仿宋" w:hAnsi="仿宋" w:eastAsia="仿宋" w:cs="仿宋"/>
          <w:bCs/>
          <w:color w:val="auto"/>
          <w:sz w:val="24"/>
          <w:szCs w:val="24"/>
        </w:rPr>
        <w:t>1</w:t>
      </w:r>
      <w:bookmarkStart w:id="89" w:name="_Toc296503156"/>
      <w:bookmarkStart w:id="90" w:name="_Toc297120456"/>
      <w:bookmarkStart w:id="91" w:name="_Toc296346657"/>
      <w:bookmarkStart w:id="92" w:name="_Toc292559361"/>
      <w:bookmarkStart w:id="93" w:name="_Toc296890984"/>
      <w:bookmarkStart w:id="94" w:name="_Toc296347155"/>
      <w:bookmarkStart w:id="95" w:name="_Toc297048342"/>
      <w:bookmarkStart w:id="96" w:name="_Toc292559866"/>
      <w:bookmarkStart w:id="97" w:name="_Toc296944495"/>
      <w:bookmarkStart w:id="98" w:name="_Toc296891196"/>
      <w:r>
        <w:rPr>
          <w:rFonts w:hint="eastAsia" w:ascii="仿宋" w:hAnsi="仿宋" w:eastAsia="仿宋" w:cs="仿宋"/>
          <w:bCs/>
          <w:color w:val="auto"/>
          <w:sz w:val="24"/>
          <w:szCs w:val="24"/>
        </w:rPr>
        <w:t>. 一般约定</w:t>
      </w:r>
      <w:bookmarkEnd w:id="88"/>
    </w:p>
    <w:bookmarkEnd w:id="89"/>
    <w:bookmarkEnd w:id="90"/>
    <w:bookmarkEnd w:id="91"/>
    <w:bookmarkEnd w:id="92"/>
    <w:bookmarkEnd w:id="93"/>
    <w:bookmarkEnd w:id="94"/>
    <w:bookmarkEnd w:id="95"/>
    <w:bookmarkEnd w:id="96"/>
    <w:bookmarkEnd w:id="97"/>
    <w:bookmarkEnd w:id="98"/>
    <w:p w14:paraId="71CF2B47">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 词语定义</w:t>
      </w:r>
    </w:p>
    <w:p w14:paraId="58CF74C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1.1.1合同</w:t>
      </w:r>
    </w:p>
    <w:p w14:paraId="4480AD4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1.1.1.10其他合同文件包括：</w:t>
      </w:r>
      <w:r>
        <w:rPr>
          <w:rFonts w:hint="eastAsia" w:ascii="仿宋" w:hAnsi="仿宋" w:eastAsia="仿宋" w:cs="仿宋"/>
          <w:color w:val="auto"/>
          <w:sz w:val="24"/>
          <w:szCs w:val="24"/>
          <w:u w:val="single"/>
        </w:rPr>
        <w:t>执行通用条款     </w:t>
      </w:r>
      <w:r>
        <w:rPr>
          <w:rFonts w:hint="eastAsia" w:ascii="仿宋" w:hAnsi="仿宋" w:eastAsia="仿宋" w:cs="仿宋"/>
          <w:color w:val="auto"/>
          <w:sz w:val="24"/>
          <w:szCs w:val="24"/>
        </w:rPr>
        <w:t>。</w:t>
      </w:r>
    </w:p>
    <w:p w14:paraId="3F7E1D3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合同当事人及其他相关方</w:t>
      </w:r>
    </w:p>
    <w:p w14:paraId="7F1DCF4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1.1.2.4监理人：</w:t>
      </w:r>
    </w:p>
    <w:p w14:paraId="210B8E6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6F8C952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CA7069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92DE08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4EE1F3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346036C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1.1.2.5 设计人：</w:t>
      </w:r>
    </w:p>
    <w:p w14:paraId="462A1A7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74C2AA5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248ABD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A40A01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14:paraId="6DA69F3B">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2EB0B2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 工程和设备</w:t>
      </w:r>
    </w:p>
    <w:p w14:paraId="3CAB20D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1.1.3.7 作为施工现场组成部分的其他场所包括：</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u w:val="single"/>
        </w:rPr>
        <w:t xml:space="preserve"> </w:t>
      </w:r>
    </w:p>
    <w:p w14:paraId="3D2BA87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1.1.3.9 永久占地包括：</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rPr>
        <w:t>。</w:t>
      </w:r>
    </w:p>
    <w:p w14:paraId="207CCE3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1.1.3.10 临时占地包括：</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D1F4BB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1.3法律 </w:t>
      </w:r>
    </w:p>
    <w:p w14:paraId="5F5FB41A">
      <w:pPr>
        <w:pageBreakBefore w:val="0"/>
        <w:widowControl w:val="0"/>
        <w:kinsoku/>
        <w:wordWrap/>
        <w:overflowPunct/>
        <w:topLinePunct w:val="0"/>
        <w:autoSpaceDE w:val="0"/>
        <w:autoSpaceDN w:val="0"/>
        <w:bidi w:val="0"/>
        <w:adjustRightInd w:val="0"/>
        <w:snapToGrid/>
        <w:spacing w:line="400" w:lineRule="exact"/>
        <w:ind w:left="596" w:leftChars="28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rPr>
        <w:t xml:space="preserve">建质[2008]91号  </w:t>
      </w:r>
      <w:r>
        <w:rPr>
          <w:rFonts w:hint="eastAsia" w:ascii="仿宋" w:hAnsi="仿宋" w:eastAsia="仿宋" w:cs="仿宋"/>
          <w:color w:val="auto"/>
          <w:sz w:val="24"/>
          <w:szCs w:val="24"/>
        </w:rPr>
        <w:t>。</w:t>
      </w:r>
    </w:p>
    <w:p w14:paraId="780CAA2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 标准和规范</w:t>
      </w:r>
    </w:p>
    <w:p w14:paraId="2497C0B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1.4.1适用于工程的标准规范包括：</w:t>
      </w:r>
      <w:r>
        <w:rPr>
          <w:rFonts w:hint="eastAsia" w:ascii="仿宋" w:hAnsi="仿宋" w:eastAsia="仿宋" w:cs="仿宋"/>
          <w:color w:val="auto"/>
          <w:sz w:val="24"/>
          <w:szCs w:val="24"/>
          <w:u w:val="single"/>
        </w:rPr>
        <w:t>国家及自治区现行的质量安全验评标准及规范。　GB50500-2013《建设工程工程量清单计价规范》</w:t>
      </w:r>
      <w:r>
        <w:rPr>
          <w:rFonts w:hint="eastAsia" w:ascii="仿宋" w:hAnsi="仿宋" w:eastAsia="仿宋" w:cs="仿宋"/>
          <w:color w:val="auto"/>
          <w:sz w:val="24"/>
          <w:szCs w:val="24"/>
        </w:rPr>
        <w:t>。</w:t>
      </w:r>
    </w:p>
    <w:p w14:paraId="5E5D403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 发包人提供国外标准、规范的名称：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092AE9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发包人提供国外标准、规范的份数：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C043A0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发包人提供国外标准、规范的名称：</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78C4CA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1.4.3发包人对工程的技术标准和功能要求的特殊要求：</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BA1DF0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 合同文件的优先顺序</w:t>
      </w:r>
    </w:p>
    <w:p w14:paraId="2A108BB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sz w:val="24"/>
          <w:szCs w:val="24"/>
          <w:u w:val="single"/>
        </w:rPr>
        <w:t>（1）合同协议书；（2）中标通知书（如果有）；（3）投标函及其附录（如果有）；（4）专用合同条款及其附件；（5）通用合同条款；（6）技术标准和要求；（7）图纸；（8）已标价工程量清单或预算书；（9）其他合同文件。图纸与技术标准和要求之间有矛盾或者不一致的，以其中要求较严格的标准为准。</w:t>
      </w:r>
    </w:p>
    <w:p w14:paraId="60EF2CB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合同双方在合同改造过程中签订的补充协议亦构成合同文件的组成部分，其解释顺序视其内容与其他合同文件的相互关系而定。</w:t>
      </w:r>
      <w:r>
        <w:rPr>
          <w:rFonts w:hint="eastAsia" w:ascii="仿宋" w:hAnsi="仿宋" w:eastAsia="仿宋" w:cs="仿宋"/>
          <w:color w:val="auto"/>
          <w:sz w:val="24"/>
          <w:szCs w:val="24"/>
        </w:rPr>
        <w:t>。</w:t>
      </w:r>
    </w:p>
    <w:p w14:paraId="6F40A62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 图纸和承包人文件</w:t>
      </w:r>
    </w:p>
    <w:p w14:paraId="4A904179">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1.6.1 图纸的提供</w:t>
      </w:r>
    </w:p>
    <w:p w14:paraId="07AED06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发包人向承包人提供图纸的期限：</w:t>
      </w:r>
      <w:r>
        <w:rPr>
          <w:rFonts w:hint="eastAsia" w:ascii="仿宋" w:hAnsi="仿宋" w:eastAsia="仿宋" w:cs="仿宋"/>
          <w:color w:val="auto"/>
          <w:sz w:val="24"/>
          <w:szCs w:val="24"/>
          <w:u w:val="single"/>
        </w:rPr>
        <w:t></w:t>
      </w:r>
      <w:r>
        <w:rPr>
          <w:rFonts w:hint="eastAsia" w:ascii="仿宋" w:hAnsi="仿宋" w:eastAsia="仿宋" w:cs="仿宋"/>
          <w:color w:val="000000"/>
          <w:sz w:val="24"/>
          <w:szCs w:val="24"/>
          <w:u w:val="single"/>
        </w:rPr>
        <w:t>合同签订并收到承包人履约保证金10天内。</w:t>
      </w:r>
      <w:r>
        <w:rPr>
          <w:rFonts w:hint="eastAsia" w:ascii="仿宋" w:hAnsi="仿宋" w:eastAsia="仿宋" w:cs="仿宋"/>
          <w:color w:val="auto"/>
          <w:sz w:val="24"/>
          <w:szCs w:val="24"/>
        </w:rPr>
        <w:t>；</w:t>
      </w:r>
    </w:p>
    <w:p w14:paraId="4BCC319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发包人向承包人提供图纸的数量：</w:t>
      </w:r>
      <w:r>
        <w:rPr>
          <w:rFonts w:hint="eastAsia" w:ascii="仿宋" w:hAnsi="仿宋" w:eastAsia="仿宋" w:cs="仿宋"/>
          <w:color w:val="auto"/>
          <w:sz w:val="24"/>
          <w:szCs w:val="24"/>
          <w:u w:val="single"/>
        </w:rPr>
        <w:t>三套     </w:t>
      </w:r>
      <w:r>
        <w:rPr>
          <w:rFonts w:hint="eastAsia" w:ascii="仿宋" w:hAnsi="仿宋" w:eastAsia="仿宋" w:cs="仿宋"/>
          <w:color w:val="auto"/>
          <w:sz w:val="24"/>
          <w:szCs w:val="24"/>
        </w:rPr>
        <w:t>；</w:t>
      </w:r>
    </w:p>
    <w:p w14:paraId="5627D2A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发包人向承包人提供图纸的内容：</w:t>
      </w:r>
      <w:r>
        <w:rPr>
          <w:rFonts w:hint="eastAsia" w:ascii="仿宋" w:hAnsi="仿宋" w:eastAsia="仿宋" w:cs="仿宋"/>
          <w:color w:val="auto"/>
          <w:sz w:val="24"/>
          <w:szCs w:val="24"/>
          <w:u w:val="single"/>
        </w:rPr>
        <w:t>施工图    </w:t>
      </w:r>
      <w:r>
        <w:rPr>
          <w:rFonts w:hint="eastAsia" w:ascii="仿宋" w:hAnsi="仿宋" w:eastAsia="仿宋" w:cs="仿宋"/>
          <w:color w:val="auto"/>
          <w:sz w:val="24"/>
          <w:szCs w:val="24"/>
        </w:rPr>
        <w:t>。</w:t>
      </w:r>
    </w:p>
    <w:p w14:paraId="316429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1.6.4 承包人文件</w:t>
      </w:r>
    </w:p>
    <w:p w14:paraId="129E046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需要由承包人提供的文件，包括：</w:t>
      </w:r>
      <w:r>
        <w:rPr>
          <w:rFonts w:hint="eastAsia" w:ascii="仿宋" w:hAnsi="仿宋" w:eastAsia="仿宋" w:cs="仿宋"/>
          <w:color w:val="auto"/>
          <w:sz w:val="24"/>
          <w:szCs w:val="24"/>
          <w:u w:val="single"/>
        </w:rPr>
        <w:t xml:space="preserve"> 施工组织设计，施工技术措施及各项资源需要量的计划等； </w:t>
      </w:r>
      <w:r>
        <w:rPr>
          <w:rFonts w:hint="eastAsia" w:ascii="仿宋" w:hAnsi="仿宋" w:eastAsia="仿宋" w:cs="仿宋"/>
          <w:color w:val="auto"/>
          <w:sz w:val="24"/>
          <w:szCs w:val="24"/>
        </w:rPr>
        <w:t>；</w:t>
      </w:r>
    </w:p>
    <w:p w14:paraId="738440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承包人提供的文件的期限为：</w:t>
      </w:r>
      <w:r>
        <w:rPr>
          <w:rFonts w:hint="eastAsia" w:ascii="仿宋" w:hAnsi="仿宋" w:eastAsia="仿宋" w:cs="仿宋"/>
          <w:color w:val="auto"/>
          <w:sz w:val="24"/>
          <w:szCs w:val="24"/>
          <w:u w:val="single"/>
        </w:rPr>
        <w:t>开工前三天      </w:t>
      </w:r>
      <w:r>
        <w:rPr>
          <w:rFonts w:hint="eastAsia" w:ascii="仿宋" w:hAnsi="仿宋" w:eastAsia="仿宋" w:cs="仿宋"/>
          <w:color w:val="auto"/>
          <w:sz w:val="24"/>
          <w:szCs w:val="24"/>
        </w:rPr>
        <w:t>；</w:t>
      </w:r>
    </w:p>
    <w:p w14:paraId="7D90A91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承包人提供的文件的数量为：</w:t>
      </w:r>
      <w:r>
        <w:rPr>
          <w:rFonts w:hint="eastAsia" w:ascii="仿宋" w:hAnsi="仿宋" w:eastAsia="仿宋" w:cs="仿宋"/>
          <w:color w:val="auto"/>
          <w:sz w:val="24"/>
          <w:szCs w:val="24"/>
          <w:u w:val="single"/>
        </w:rPr>
        <w:t>两份          </w:t>
      </w:r>
      <w:r>
        <w:rPr>
          <w:rFonts w:hint="eastAsia" w:ascii="仿宋" w:hAnsi="仿宋" w:eastAsia="仿宋" w:cs="仿宋"/>
          <w:color w:val="auto"/>
          <w:sz w:val="24"/>
          <w:szCs w:val="24"/>
        </w:rPr>
        <w:t>；</w:t>
      </w:r>
    </w:p>
    <w:p w14:paraId="70DC19B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承包人提供的文件的形式为：</w:t>
      </w:r>
      <w:r>
        <w:rPr>
          <w:rFonts w:hint="eastAsia" w:ascii="仿宋" w:hAnsi="仿宋" w:eastAsia="仿宋" w:cs="仿宋"/>
          <w:color w:val="auto"/>
          <w:sz w:val="24"/>
          <w:szCs w:val="24"/>
          <w:u w:val="single"/>
        </w:rPr>
        <w:t>纸质      </w:t>
      </w:r>
      <w:r>
        <w:rPr>
          <w:rFonts w:hint="eastAsia" w:ascii="仿宋" w:hAnsi="仿宋" w:eastAsia="仿宋" w:cs="仿宋"/>
          <w:color w:val="auto"/>
          <w:sz w:val="24"/>
          <w:szCs w:val="24"/>
        </w:rPr>
        <w:t>；</w:t>
      </w:r>
    </w:p>
    <w:p w14:paraId="281D43A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发包人审批承包人文件的期限：</w:t>
      </w:r>
      <w:r>
        <w:rPr>
          <w:rFonts w:hint="eastAsia" w:ascii="仿宋" w:hAnsi="仿宋" w:eastAsia="仿宋" w:cs="仿宋"/>
          <w:color w:val="auto"/>
          <w:sz w:val="24"/>
          <w:szCs w:val="24"/>
          <w:u w:val="single"/>
        </w:rPr>
        <w:t>无       </w:t>
      </w:r>
      <w:r>
        <w:rPr>
          <w:rFonts w:hint="eastAsia" w:ascii="仿宋" w:hAnsi="仿宋" w:eastAsia="仿宋" w:cs="仿宋"/>
          <w:color w:val="auto"/>
          <w:sz w:val="24"/>
          <w:szCs w:val="24"/>
        </w:rPr>
        <w:t>。</w:t>
      </w:r>
    </w:p>
    <w:p w14:paraId="7F0D40C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1.6.5 现场图纸准备</w:t>
      </w:r>
    </w:p>
    <w:p w14:paraId="6551B4F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关于现场图纸准备的约定：</w:t>
      </w:r>
      <w:r>
        <w:rPr>
          <w:rFonts w:hint="eastAsia" w:ascii="仿宋" w:hAnsi="仿宋" w:eastAsia="仿宋" w:cs="仿宋"/>
          <w:color w:val="auto"/>
          <w:sz w:val="24"/>
          <w:szCs w:val="24"/>
          <w:u w:val="single"/>
        </w:rPr>
        <w:t></w:t>
      </w:r>
      <w:r>
        <w:rPr>
          <w:rFonts w:hint="eastAsia" w:ascii="仿宋" w:hAnsi="仿宋" w:eastAsia="仿宋" w:cs="仿宋"/>
          <w:bCs/>
          <w:color w:val="auto"/>
          <w:sz w:val="24"/>
          <w:szCs w:val="24"/>
          <w:u w:val="single"/>
        </w:rPr>
        <w:t xml:space="preserve">施工现场保留一套完整图纸供发包人、监理人及有关人员使用 </w:t>
      </w:r>
      <w:r>
        <w:rPr>
          <w:rFonts w:hint="eastAsia" w:ascii="仿宋" w:hAnsi="仿宋" w:eastAsia="仿宋" w:cs="仿宋"/>
          <w:color w:val="auto"/>
          <w:sz w:val="24"/>
          <w:szCs w:val="24"/>
        </w:rPr>
        <w:t>。</w:t>
      </w:r>
    </w:p>
    <w:p w14:paraId="610E80E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1.7 联络</w:t>
      </w:r>
    </w:p>
    <w:p w14:paraId="5BB8913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1.7.1发包人和承包人应当在</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 xml:space="preserve">3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天内将与合同有关的通知、批准、证明、证书、指示、指令、要求、请求、同意、意见、确定和决定等书面函件送达对方当事人。</w:t>
      </w:r>
    </w:p>
    <w:p w14:paraId="27D73C2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1.7.2 发包人接收文件的地点：</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3DD8EAC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发包人指定的接收人为：</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0CB1100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承包人接收文件的地点：</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36C2CCE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承包人指定的接收人为：</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5D70EA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监理人接收文件的地点：</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57B1030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监理人指定的接收人为：</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029AB99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1.10 交通运输</w:t>
      </w:r>
    </w:p>
    <w:p w14:paraId="770E3B4E">
      <w:pPr>
        <w:pageBreakBefore w:val="0"/>
        <w:widowControl w:val="0"/>
        <w:kinsoku/>
        <w:wordWrap/>
        <w:overflowPunct/>
        <w:topLinePunct w:val="0"/>
        <w:bidi w:val="0"/>
        <w:snapToGrid/>
        <w:spacing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99" w:name="_Toc304295521"/>
      <w:bookmarkStart w:id="100" w:name="_Toc303539100"/>
      <w:bookmarkStart w:id="101" w:name="_Toc312677986"/>
      <w:bookmarkStart w:id="102" w:name="_Toc318581155"/>
      <w:bookmarkStart w:id="103" w:name="_Toc300934943"/>
      <w:r>
        <w:rPr>
          <w:rFonts w:hint="eastAsia" w:ascii="仿宋" w:hAnsi="仿宋" w:eastAsia="仿宋" w:cs="仿宋"/>
          <w:color w:val="auto"/>
          <w:sz w:val="24"/>
          <w:szCs w:val="24"/>
        </w:rPr>
        <w:t>.10.1 出入现场的权利</w:t>
      </w:r>
    </w:p>
    <w:p w14:paraId="4DCBBB7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关于出入现场的权利的约定：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bookmarkEnd w:id="99"/>
    <w:bookmarkEnd w:id="100"/>
    <w:bookmarkEnd w:id="101"/>
    <w:bookmarkEnd w:id="102"/>
    <w:bookmarkEnd w:id="103"/>
    <w:p w14:paraId="63CE473F">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104" w:name="_Toc303539101"/>
      <w:bookmarkStart w:id="105" w:name="_Toc318581156"/>
      <w:bookmarkStart w:id="106" w:name="_Toc304295522"/>
      <w:bookmarkStart w:id="107" w:name="_Toc312677987"/>
      <w:bookmarkStart w:id="108" w:name="_Toc300934944"/>
      <w:r>
        <w:rPr>
          <w:rFonts w:hint="eastAsia" w:ascii="仿宋" w:hAnsi="仿宋" w:eastAsia="仿宋" w:cs="仿宋"/>
          <w:color w:val="auto"/>
          <w:sz w:val="24"/>
          <w:szCs w:val="24"/>
        </w:rPr>
        <w:t>.10.3 场内交通</w:t>
      </w:r>
    </w:p>
    <w:p w14:paraId="41E63B4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关于场外交通和场内交通的边界的约定：</w:t>
      </w:r>
      <w:r>
        <w:rPr>
          <w:rFonts w:hint="eastAsia" w:ascii="仿宋" w:hAnsi="仿宋" w:eastAsia="仿宋" w:cs="仿宋"/>
          <w:b/>
          <w:color w:val="auto"/>
          <w:sz w:val="24"/>
          <w:szCs w:val="24"/>
          <w:u w:val="single"/>
        </w:rPr>
        <w:t>规划红线范围处为场外交通规划红线范围内为场内交通，特殊路段可根据施工现场实际情况分界。房建项目以施工围栏为界</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7B38B2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关于发包人向承包人免费提供满足工程施工需要的场内道路和交通设施的约定：</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w:t>
      </w:r>
      <w:bookmarkEnd w:id="104"/>
      <w:bookmarkEnd w:id="105"/>
      <w:bookmarkEnd w:id="106"/>
      <w:bookmarkEnd w:id="107"/>
      <w:bookmarkEnd w:id="108"/>
      <w:r>
        <w:rPr>
          <w:rFonts w:hint="eastAsia" w:ascii="仿宋" w:hAnsi="仿宋" w:eastAsia="仿宋" w:cs="仿宋"/>
          <w:color w:val="auto"/>
          <w:sz w:val="24"/>
          <w:szCs w:val="24"/>
        </w:rPr>
        <w:t xml:space="preserve"> </w:t>
      </w:r>
      <w:bookmarkStart w:id="109" w:name="_Toc318581157"/>
    </w:p>
    <w:p w14:paraId="46FB520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1.10.4超大件和超重件的运输</w:t>
      </w:r>
    </w:p>
    <w:p w14:paraId="504702D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运输超大件或超重件所需的道路和桥梁临时加固改造费用和其他有关费用由</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承包人</w:t>
      </w:r>
      <w:r>
        <w:rPr>
          <w:rFonts w:hint="eastAsia" w:ascii="仿宋" w:hAnsi="仿宋" w:eastAsia="仿宋" w:cs="仿宋"/>
          <w:color w:val="auto"/>
          <w:sz w:val="24"/>
          <w:szCs w:val="24"/>
        </w:rPr>
        <w:t>承担。</w:t>
      </w:r>
    </w:p>
    <w:bookmarkEnd w:id="109"/>
    <w:p w14:paraId="44AE6FD6">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1.11 知识产权</w:t>
      </w:r>
    </w:p>
    <w:p w14:paraId="4CDE8DF6">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636C523F">
      <w:pPr>
        <w:pageBreakBefore w:val="0"/>
        <w:widowControl w:val="0"/>
        <w:kinsoku/>
        <w:wordWrap/>
        <w:overflowPunct/>
        <w:topLinePunct w:val="0"/>
        <w:bidi w:val="0"/>
        <w:snapToGrid/>
        <w:spacing w:line="400" w:lineRule="exact"/>
        <w:ind w:left="596" w:leftChars="284"/>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关于发包人提供的上述文件的使用限制的要求：</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未经发包人同意，承包人不得为合同以外的目的泄露给他人或公开发表与引用。</w:t>
      </w:r>
      <w:r>
        <w:rPr>
          <w:rFonts w:hint="eastAsia" w:ascii="仿宋" w:hAnsi="仿宋" w:eastAsia="仿宋" w:cs="仿宋"/>
          <w:color w:val="auto"/>
          <w:sz w:val="24"/>
          <w:szCs w:val="24"/>
          <w:u w:val="single"/>
        </w:rPr>
        <w:t xml:space="preserve"> </w:t>
      </w:r>
    </w:p>
    <w:p w14:paraId="27DBC34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1.11.2 关于承包人为实施工程所编制文件的著作权的归属：</w:t>
      </w:r>
      <w:r>
        <w:rPr>
          <w:rFonts w:hint="eastAsia" w:ascii="仿宋" w:hAnsi="仿宋" w:eastAsia="仿宋" w:cs="仿宋"/>
          <w:b/>
          <w:color w:val="auto"/>
          <w:sz w:val="24"/>
          <w:szCs w:val="24"/>
          <w:u w:val="single"/>
        </w:rPr>
        <w:t>执行通用条款。</w:t>
      </w:r>
    </w:p>
    <w:p w14:paraId="4DC23DE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关于承包人提供的上述文件的使用限制的要求：</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未经发包人同意，承包人不得为合同以外的目的泄露给他人或公开发表与引用。</w:t>
      </w:r>
      <w:r>
        <w:rPr>
          <w:rFonts w:hint="eastAsia" w:ascii="仿宋" w:hAnsi="仿宋" w:eastAsia="仿宋" w:cs="仿宋"/>
          <w:color w:val="auto"/>
          <w:sz w:val="24"/>
          <w:szCs w:val="24"/>
          <w:u w:val="single"/>
        </w:rPr>
        <w:t></w:t>
      </w:r>
    </w:p>
    <w:p w14:paraId="77006161">
      <w:pPr>
        <w:pageBreakBefore w:val="0"/>
        <w:widowControl w:val="0"/>
        <w:kinsoku/>
        <w:wordWrap/>
        <w:overflowPunct/>
        <w:topLinePunct w:val="0"/>
        <w:bidi w:val="0"/>
        <w:snapToGrid/>
        <w:spacing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1.11.4 承包人在施工过程中所采用的专利、专有技术、技术秘密的使用费的承担方式：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BF19D9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1.13工程量清单错误的修正</w:t>
      </w:r>
    </w:p>
    <w:p w14:paraId="27D9AB8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出现工程量清单错误时，是否调整合同价格：</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63C1E1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允许调整合同价格的工程量偏差范围：</w:t>
      </w:r>
      <w:r>
        <w:rPr>
          <w:rFonts w:hint="eastAsia" w:ascii="仿宋" w:hAnsi="仿宋" w:eastAsia="仿宋" w:cs="仿宋"/>
          <w:b/>
          <w:bCs/>
          <w:color w:val="auto"/>
          <w:sz w:val="24"/>
          <w:szCs w:val="24"/>
          <w:u w:val="single"/>
        </w:rPr>
        <w:t>依据《建设工程工程量清单计价规范》GB50500-2013及工程量清单偏差≥±15%的范围内允许调整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Start w:id="110" w:name="_Toc351203634"/>
    </w:p>
    <w:p w14:paraId="0F76894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w:t>
      </w:r>
      <w:bookmarkStart w:id="111" w:name="_Toc296346658"/>
      <w:bookmarkStart w:id="112" w:name="_Toc292559362"/>
      <w:bookmarkStart w:id="113" w:name="_Toc296944496"/>
      <w:bookmarkStart w:id="114" w:name="_Toc297120457"/>
      <w:bookmarkStart w:id="115" w:name="_Toc296347156"/>
      <w:bookmarkStart w:id="116" w:name="_Toc296890985"/>
      <w:bookmarkStart w:id="117" w:name="_Toc297048343"/>
      <w:bookmarkStart w:id="118" w:name="_Toc292559867"/>
      <w:bookmarkStart w:id="119" w:name="_Toc296891197"/>
      <w:bookmarkStart w:id="120" w:name="_Toc296503157"/>
      <w:r>
        <w:rPr>
          <w:rFonts w:hint="eastAsia" w:ascii="仿宋" w:hAnsi="仿宋" w:eastAsia="仿宋" w:cs="仿宋"/>
          <w:bCs/>
          <w:color w:val="auto"/>
          <w:sz w:val="24"/>
          <w:szCs w:val="24"/>
        </w:rPr>
        <w:t>. 发包人</w:t>
      </w:r>
      <w:bookmarkEnd w:id="110"/>
    </w:p>
    <w:bookmarkEnd w:id="111"/>
    <w:bookmarkEnd w:id="112"/>
    <w:bookmarkEnd w:id="113"/>
    <w:bookmarkEnd w:id="114"/>
    <w:bookmarkEnd w:id="115"/>
    <w:bookmarkEnd w:id="116"/>
    <w:bookmarkEnd w:id="117"/>
    <w:bookmarkEnd w:id="118"/>
    <w:bookmarkEnd w:id="119"/>
    <w:bookmarkEnd w:id="120"/>
    <w:p w14:paraId="4E5CE892">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2.2 发包人代表</w:t>
      </w:r>
    </w:p>
    <w:p w14:paraId="26553D0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p>
    <w:p w14:paraId="10E5100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52C856A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1102966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E0570E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2811D0D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  </w:t>
      </w:r>
      <w:r>
        <w:rPr>
          <w:rFonts w:hint="eastAsia" w:ascii="仿宋" w:hAnsi="仿宋" w:eastAsia="仿宋" w:cs="仿宋"/>
          <w:color w:val="auto"/>
          <w:sz w:val="24"/>
          <w:szCs w:val="24"/>
        </w:rPr>
        <w:t>；</w:t>
      </w:r>
    </w:p>
    <w:p w14:paraId="2EF26F8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068878F1">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发包人对发包人代表的授权范围如下：</w:t>
      </w:r>
      <w:r>
        <w:rPr>
          <w:rFonts w:hint="eastAsia" w:ascii="仿宋" w:hAnsi="仿宋" w:eastAsia="仿宋" w:cs="仿宋"/>
          <w:b/>
          <w:bCs/>
          <w:color w:val="auto"/>
          <w:sz w:val="24"/>
          <w:szCs w:val="24"/>
          <w:u w:val="single"/>
        </w:rPr>
        <w:t>按本合同的约定，行使发包人的权利和义务，代表发包人处理建设过程中的内外协调工作，凡需发包人审核的内容均由发包人代表签字后并报发包人批准后生效 （发包人派驻的工程师的职权不能与监理人委派的工程师的职权相互交叉，发生交叉时，以发包人的指示为准）。</w:t>
      </w:r>
    </w:p>
    <w:p w14:paraId="041E4A9B">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2.4 施工现场、施工条件和基础资料的提供</w:t>
      </w:r>
    </w:p>
    <w:p w14:paraId="07E04A0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2.4.1 提供施工现场</w:t>
      </w:r>
    </w:p>
    <w:p w14:paraId="1F26E73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关于发包人移交施工现场的期限要求：</w:t>
      </w:r>
      <w:r>
        <w:rPr>
          <w:rFonts w:hint="eastAsia" w:ascii="仿宋" w:hAnsi="仿宋" w:eastAsia="仿宋" w:cs="仿宋"/>
          <w:b/>
          <w:bCs/>
          <w:color w:val="auto"/>
          <w:sz w:val="24"/>
          <w:szCs w:val="24"/>
          <w:u w:val="single"/>
        </w:rPr>
        <w:t>开工7日前按批准的施工平面布置方案提供施工现场。</w:t>
      </w:r>
    </w:p>
    <w:p w14:paraId="4E3EC79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2.4.2 提供施工条件</w:t>
      </w:r>
    </w:p>
    <w:p w14:paraId="03CB9E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关于发包人应负责提供施工所需要的条件，包括：</w:t>
      </w:r>
      <w:r>
        <w:rPr>
          <w:rFonts w:hint="eastAsia" w:ascii="仿宋" w:hAnsi="仿宋" w:eastAsia="仿宋" w:cs="仿宋"/>
          <w:b/>
          <w:bCs/>
          <w:color w:val="auto"/>
          <w:sz w:val="24"/>
          <w:szCs w:val="24"/>
          <w:u w:val="single"/>
        </w:rPr>
        <w:t xml:space="preserve">   执行通用条款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01B5CD8">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2.5 资金来源证明及支付担保</w:t>
      </w:r>
    </w:p>
    <w:p w14:paraId="7DC4A2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发包人提供资金来源证明的期限要求：</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C2F71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发包人是否提供支付担保：</w:t>
      </w:r>
      <w:r>
        <w:rPr>
          <w:rFonts w:hint="eastAsia" w:ascii="仿宋" w:hAnsi="仿宋" w:eastAsia="仿宋" w:cs="仿宋"/>
          <w:color w:val="auto"/>
          <w:sz w:val="24"/>
          <w:szCs w:val="24"/>
          <w:u w:val="single"/>
        </w:rPr>
        <w:t></w:t>
      </w:r>
      <w:r>
        <w:rPr>
          <w:rFonts w:hint="eastAsia" w:ascii="仿宋" w:hAnsi="仿宋" w:eastAsia="仿宋" w:cs="仿宋"/>
          <w:b/>
          <w:bCs/>
          <w:color w:val="auto"/>
          <w:sz w:val="24"/>
          <w:szCs w:val="24"/>
          <w:u w:val="single"/>
        </w:rPr>
        <w:t>不提供</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6FE9CC9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发包人提供支付担保的形式：</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Start w:id="121" w:name="_Toc351203635"/>
    </w:p>
    <w:p w14:paraId="3F2377E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3</w:t>
      </w:r>
      <w:bookmarkStart w:id="122" w:name="_Toc292559363"/>
      <w:bookmarkStart w:id="123" w:name="_Toc296346659"/>
      <w:bookmarkStart w:id="124" w:name="_Toc296347157"/>
      <w:bookmarkStart w:id="125" w:name="_Toc297120458"/>
      <w:bookmarkStart w:id="126" w:name="_Toc297048344"/>
      <w:bookmarkStart w:id="127" w:name="_Toc296890986"/>
      <w:bookmarkStart w:id="128" w:name="_Toc296944497"/>
      <w:bookmarkStart w:id="129" w:name="_Toc296891198"/>
      <w:bookmarkStart w:id="130" w:name="_Toc292559868"/>
      <w:bookmarkStart w:id="131" w:name="_Toc296503158"/>
      <w:r>
        <w:rPr>
          <w:rFonts w:hint="eastAsia" w:ascii="仿宋" w:hAnsi="仿宋" w:eastAsia="仿宋" w:cs="仿宋"/>
          <w:bCs/>
          <w:color w:val="auto"/>
          <w:sz w:val="24"/>
          <w:szCs w:val="24"/>
        </w:rPr>
        <w:t>. 承包人</w:t>
      </w:r>
      <w:bookmarkEnd w:id="121"/>
    </w:p>
    <w:bookmarkEnd w:id="122"/>
    <w:bookmarkEnd w:id="123"/>
    <w:bookmarkEnd w:id="124"/>
    <w:bookmarkEnd w:id="125"/>
    <w:bookmarkEnd w:id="126"/>
    <w:bookmarkEnd w:id="127"/>
    <w:bookmarkEnd w:id="128"/>
    <w:bookmarkEnd w:id="129"/>
    <w:bookmarkEnd w:id="130"/>
    <w:bookmarkEnd w:id="131"/>
    <w:p w14:paraId="114F350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 承包人的一般义务</w:t>
      </w:r>
    </w:p>
    <w:p w14:paraId="6F9078D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color w:val="auto"/>
          <w:sz w:val="24"/>
          <w:szCs w:val="24"/>
        </w:rPr>
        <w:t>（9）承包人提交</w:t>
      </w:r>
      <w:r>
        <w:rPr>
          <w:rFonts w:hint="eastAsia" w:ascii="仿宋" w:hAnsi="仿宋" w:eastAsia="仿宋" w:cs="仿宋"/>
          <w:b w:val="0"/>
          <w:bCs w:val="0"/>
          <w:color w:val="auto"/>
          <w:sz w:val="24"/>
          <w:szCs w:val="24"/>
          <w:u w:val="none"/>
        </w:rPr>
        <w:t>的竣工资料的内容：1、执行通用条款中的， 2、承包人应按照工程竣工验收办法的规定和内容的要求编制竣工图表和施工文件。全部工程完工后，在全部工程的完工证书签发之前，承包人须向业主提交4套业主认为完整、合格的竣工文件。在缺陷责任期内应补充竣工资料，并应在签发缺陷责任证书之前提交。</w:t>
      </w:r>
    </w:p>
    <w:p w14:paraId="5CAEC18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3、承包人在报送竣工文件时，须同时报送工程声像档案2套。</w:t>
      </w:r>
    </w:p>
    <w:p w14:paraId="0C7D34F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4、承包人在报送竣工文件时，须同时报送本工程地下管线电子版竣工图（在dwg格式下）一套。</w:t>
      </w:r>
    </w:p>
    <w:p w14:paraId="3B0906F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5、承包人在报送竣工档案时，须同时报送本工程地下管线最新现状竣工测量图。</w:t>
      </w:r>
    </w:p>
    <w:p w14:paraId="31CBA6E6">
      <w:pPr>
        <w:pageBreakBefore w:val="0"/>
        <w:widowControl w:val="0"/>
        <w:kinsoku/>
        <w:wordWrap/>
        <w:overflowPunct/>
        <w:topLinePunct w:val="0"/>
        <w:bidi w:val="0"/>
        <w:snapToGrid/>
        <w:spacing w:line="400" w:lineRule="exact"/>
        <w:ind w:firstLine="470" w:firstLineChars="196"/>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6、若承包人不能在规定的时间内提交上述竣工文件，发包人有权停付工程款并计入企业履约诚信评价不良记录中 。</w:t>
      </w:r>
    </w:p>
    <w:p w14:paraId="6858181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承包人需要提交的竣工资料套数： 4套书面，2套电子版（扫描后刻录光盘）。</w:t>
      </w:r>
    </w:p>
    <w:p w14:paraId="4FB4F4F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承包人提交的竣工资料的费用承担： 由承包人自行承担      。</w:t>
      </w:r>
    </w:p>
    <w:p w14:paraId="04391C6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 xml:space="preserve">承包人提交的竣工资料移交时间：  工程竣工验收后28天内。 </w:t>
      </w:r>
    </w:p>
    <w:p w14:paraId="15B0C43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承包人提交的竣工资料形式要求：按档案规范要求提供书面版及电子版。</w:t>
      </w:r>
    </w:p>
    <w:p w14:paraId="61E715D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10）承包人应履行的其他义务：1、承包人应在签订合同协议书后，向监理工程师提交2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14:paraId="3C93E666">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2、承包人应按发包人要求免费提供投标文件，承包人在签订施工合同的同时向监理单位、跟踪审计单位提交投标清单计价文件；每月25日前向发包人报下月工程进度计划；每月20日前向发包人报工程量验收报告；</w:t>
      </w:r>
    </w:p>
    <w:p w14:paraId="618CFFAE">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3、遵守政府有关主管部门对施工场地安全生产、文明施工、环境保护的管理规定，按规定办理有关手续，并以书面形式通知发包人，由此发生的费用包括在投标总报价中；</w:t>
      </w:r>
    </w:p>
    <w:p w14:paraId="0A60A06E">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4、参加各类施工协调、交通配合例会，做好施工现场的交通管理工作；</w:t>
      </w:r>
    </w:p>
    <w:p w14:paraId="5DA29D06">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 xml:space="preserve">5、负责与交通管理部门的协调、配合工作；负责管线单位施工的现场管理；竣工验收通过次日起至本工程办妥接管手续之日止之时段内的养护及管理； </w:t>
      </w:r>
    </w:p>
    <w:p w14:paraId="583DCFE4">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6、负责对工地范围内已废弃的地下管线（需经权属单位确认）搬迁及协调以及其他障碍物拆除和处理；</w:t>
      </w:r>
    </w:p>
    <w:p w14:paraId="33B38684">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7、按时向发包人提交开竣工报告，隐蔽工程验收报告，质量自检记录，交工验收报告及工程事故报告等资料；</w:t>
      </w:r>
    </w:p>
    <w:p w14:paraId="0C8AF051">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8、本工程实施前承包人应根据招标时或交底时提供的工程地质、地下管线、设施等资料对工程影响范围内地下管线、道路和周围建筑物、构筑物进行周密的勘察与调查，在施工前应采取必要的加固措施，确保在施工过程中各类管线和临近建（构）筑物的安全，避免在施工期间造成损坏；施工过程中应采取必要措施对变形进行控制，发现损坏时应及时抢修，施工结束后及缺陷责任期进行必要的维修，确保沿线影响范围内地下管线、地面道路、下水道和周围建筑物、构筑物的安全与正常使用；因承包商的责任导致索赔、赔偿、及诉讼费用和其它开支时，由承包人承担一切责任及费用；</w:t>
      </w:r>
    </w:p>
    <w:p w14:paraId="7D2FE14D">
      <w:pPr>
        <w:pageBreakBefore w:val="0"/>
        <w:widowControl w:val="0"/>
        <w:kinsoku/>
        <w:wordWrap/>
        <w:overflowPunct/>
        <w:topLinePunct w:val="0"/>
        <w:bidi w:val="0"/>
        <w:snapToGrid/>
        <w:spacing w:line="400" w:lineRule="exact"/>
        <w:ind w:firstLine="56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9、文明施工按照有关部门颁发的文明施工手册执行，施工时不影响交通道路的正常运行和保证排水畅通，施工区域范围内必须采取封闭措施，搞好市容环境卫生，并接受有关部门和发包人的检查；</w:t>
      </w:r>
    </w:p>
    <w:p w14:paraId="765D21A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rPr>
        <w:t>10、必须接受发包人或其委托的监理工程师的监理，并为其开展工作和生活提供方便，按照要求提供完整的原始记录，检测记录等技术、经济资料。</w:t>
      </w:r>
    </w:p>
    <w:p w14:paraId="17C765A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 项目经理</w:t>
      </w:r>
    </w:p>
    <w:p w14:paraId="0E930B1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项目经理：</w:t>
      </w:r>
    </w:p>
    <w:p w14:paraId="766DF822">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A6D460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793BE0B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建造师执业资格等级：</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6488726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建造师注册证书号：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DE1431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建造师执业印章号：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D9BE09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安全生产考核合格证书号：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CCFA59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 </w:t>
      </w:r>
      <w:r>
        <w:rPr>
          <w:rFonts w:hint="eastAsia" w:ascii="仿宋" w:hAnsi="仿宋" w:eastAsia="仿宋" w:cs="仿宋"/>
          <w:color w:val="auto"/>
          <w:sz w:val="24"/>
          <w:szCs w:val="24"/>
        </w:rPr>
        <w:t>；</w:t>
      </w:r>
    </w:p>
    <w:p w14:paraId="3738CBB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2718122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080B98E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承包人对项目经理的授权范围如下：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F8591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关于项目经理每月在施工现场的时间要求：</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25天以上。</w:t>
      </w:r>
    </w:p>
    <w:p w14:paraId="0841E2C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承包人未提交劳动合同，以及没有为项目经理缴纳社会保险证明的违约责任：</w:t>
      </w:r>
      <w:r>
        <w:rPr>
          <w:rFonts w:hint="eastAsia" w:ascii="仿宋" w:hAnsi="仿宋" w:eastAsia="仿宋" w:cs="仿宋"/>
          <w:color w:val="auto"/>
          <w:sz w:val="24"/>
          <w:szCs w:val="24"/>
          <w:u w:val="single"/>
        </w:rPr>
        <w:t>有权要求更换项目经理，并换投标文件中的承诺款项进行处罚 。</w:t>
      </w:r>
    </w:p>
    <w:p w14:paraId="00DC711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项目经理未经批准，擅自离开施工现场的违约责任：</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项目负责人不按工程开工时间进入施工现场和开工后无故不到现场，每延误（或不到现场）一天，承包人须向发包人缴纳5000元违约金（最终在工程结算中扣除</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59DEF55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 承包人擅自更换项目经理的违约责任：</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未经发包人同意，不得擅自更换项目负责人；因承包人原因造成项目负责人更换，即使得到发包人同意，承包人（每更换一次项目负责人）也须向发包人缴纳合同价的1%作为违约金（最终在工程结算中扣减），并计入企业履约诚信评价不良记录中。</w:t>
      </w:r>
    </w:p>
    <w:p w14:paraId="326E366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 承包人无正当理由拒绝更换项目经理的违约责任：</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发包人有权要求更换其认为不称职的项目负责人，承包人必须服从，否则承包人承担违约责任。</w:t>
      </w:r>
    </w:p>
    <w:p w14:paraId="0F04DD0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 承包人人员</w:t>
      </w:r>
    </w:p>
    <w:p w14:paraId="318AD0A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 承包人提交项目管理机构及施工现场管理人员安排报告的期限：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开工七日前 </w:t>
      </w:r>
      <w:r>
        <w:rPr>
          <w:rFonts w:hint="eastAsia" w:ascii="仿宋" w:hAnsi="仿宋" w:eastAsia="仿宋" w:cs="仿宋"/>
          <w:color w:val="auto"/>
          <w:sz w:val="24"/>
          <w:szCs w:val="24"/>
        </w:rPr>
        <w:t>。</w:t>
      </w:r>
    </w:p>
    <w:p w14:paraId="3DD93E0C">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3.3.3 承包人无正当理由拒绝撤换主要施工管理人员的违约责任：</w:t>
      </w:r>
      <w:r>
        <w:rPr>
          <w:rFonts w:hint="eastAsia" w:ascii="仿宋" w:hAnsi="仿宋" w:eastAsia="仿宋" w:cs="仿宋"/>
          <w:b/>
          <w:color w:val="auto"/>
          <w:sz w:val="24"/>
          <w:szCs w:val="24"/>
          <w:u w:val="single"/>
        </w:rPr>
        <w:t>发包人有权要求更换其认为不称职的主要施工管理人员，承包人必须服从，否则承包人承担违约责任。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5422DF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3.3.4 承包人主要施工管理人员离开施工现场的批准要求：   </w:t>
      </w:r>
      <w:r>
        <w:rPr>
          <w:rFonts w:hint="eastAsia" w:ascii="仿宋" w:hAnsi="仿宋" w:eastAsia="仿宋" w:cs="仿宋"/>
          <w:b/>
          <w:bCs/>
          <w:color w:val="auto"/>
          <w:sz w:val="24"/>
          <w:szCs w:val="24"/>
          <w:u w:val="single"/>
        </w:rPr>
        <w:t>主要施工管理人员离开施工现场48小时以上的须向发包人请假，经业主代表批准</w:t>
      </w:r>
      <w:r>
        <w:rPr>
          <w:rFonts w:hint="eastAsia" w:ascii="仿宋" w:hAnsi="仿宋" w:eastAsia="仿宋" w:cs="仿宋"/>
          <w:color w:val="auto"/>
          <w:sz w:val="24"/>
          <w:szCs w:val="24"/>
        </w:rPr>
        <w:t>后方可离开。</w:t>
      </w:r>
    </w:p>
    <w:p w14:paraId="71C664F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3.3.5承包人擅自更换主要施工管理人员的违约责任：</w:t>
      </w:r>
      <w:r>
        <w:rPr>
          <w:rFonts w:hint="eastAsia" w:ascii="仿宋" w:hAnsi="仿宋" w:eastAsia="仿宋" w:cs="仿宋"/>
          <w:b/>
          <w:color w:val="auto"/>
          <w:sz w:val="24"/>
          <w:szCs w:val="24"/>
          <w:u w:val="single"/>
        </w:rPr>
        <w:t>未经发包人同意，不得擅自更换项目负责人及主要管理人员；由于承包人原因造成项目技术负责人及主要管理人员更换，即使得到发包人同意，承包人（每更换一名）也须向发包人缴纳10000元违约金，并计入企业履约诚信评价不良记录中。</w:t>
      </w:r>
    </w:p>
    <w:p w14:paraId="52216D4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承包人主要施工管理人员擅自离开施工现场的违约责任：</w:t>
      </w:r>
      <w:r>
        <w:rPr>
          <w:rFonts w:hint="eastAsia" w:ascii="仿宋" w:hAnsi="仿宋" w:eastAsia="仿宋" w:cs="仿宋"/>
          <w:b/>
          <w:bCs/>
          <w:color w:val="auto"/>
          <w:sz w:val="24"/>
          <w:szCs w:val="24"/>
          <w:u w:val="single"/>
        </w:rPr>
        <w:t>主要项目管理人员不按工程开工时间进入施工现场或开工后无故不到现场，每人每延误（或不到现场）一天承包人须向发包人缴纳1000元违约金（</w:t>
      </w:r>
      <w:r>
        <w:rPr>
          <w:rFonts w:hint="eastAsia" w:ascii="仿宋" w:hAnsi="仿宋" w:eastAsia="仿宋" w:cs="仿宋"/>
          <w:b/>
          <w:color w:val="auto"/>
          <w:sz w:val="24"/>
          <w:szCs w:val="24"/>
          <w:u w:val="single"/>
        </w:rPr>
        <w:t>最终在工程结算中扣减</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 xml:space="preserve"> </w:t>
      </w:r>
    </w:p>
    <w:p w14:paraId="7D581D4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bookmarkStart w:id="132" w:name="_Toc292559364"/>
      <w:bookmarkStart w:id="133" w:name="_Toc300934945"/>
      <w:bookmarkStart w:id="134" w:name="_Toc296890987"/>
      <w:bookmarkStart w:id="135" w:name="_Toc296346660"/>
      <w:bookmarkStart w:id="136" w:name="_Toc296944498"/>
      <w:bookmarkStart w:id="137" w:name="_Toc297123492"/>
      <w:bookmarkStart w:id="138" w:name="_Toc312677988"/>
      <w:bookmarkStart w:id="139" w:name="_Toc304295523"/>
      <w:bookmarkStart w:id="140" w:name="_Toc297048345"/>
      <w:bookmarkStart w:id="141" w:name="_Toc296347158"/>
      <w:bookmarkStart w:id="142" w:name="_Toc303539102"/>
      <w:bookmarkStart w:id="143" w:name="_Toc297216151"/>
      <w:bookmarkStart w:id="144" w:name="_Toc292559869"/>
      <w:bookmarkStart w:id="145" w:name="_Toc296891199"/>
      <w:bookmarkStart w:id="146" w:name="_Toc297120459"/>
      <w:bookmarkStart w:id="147" w:name="_Toc296503159"/>
      <w:r>
        <w:rPr>
          <w:rFonts w:hint="eastAsia" w:ascii="仿宋" w:hAnsi="仿宋" w:eastAsia="仿宋" w:cs="仿宋"/>
          <w:color w:val="auto"/>
          <w:sz w:val="24"/>
          <w:szCs w:val="24"/>
        </w:rPr>
        <w:t>.5 分包</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4B1F2BF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bookmarkStart w:id="148" w:name="_Toc297123493"/>
      <w:bookmarkStart w:id="149" w:name="_Toc296944499"/>
      <w:bookmarkStart w:id="150" w:name="_Toc292559870"/>
      <w:bookmarkStart w:id="151" w:name="_Toc297216152"/>
      <w:bookmarkStart w:id="152" w:name="_Toc296347159"/>
      <w:bookmarkStart w:id="153" w:name="_Toc297120460"/>
      <w:bookmarkStart w:id="154" w:name="_Toc296503160"/>
      <w:bookmarkStart w:id="155" w:name="_Toc297048346"/>
      <w:bookmarkStart w:id="156" w:name="_Toc303539103"/>
      <w:bookmarkStart w:id="157" w:name="_Toc304295524"/>
      <w:bookmarkStart w:id="158" w:name="_Toc296346661"/>
      <w:bookmarkStart w:id="159" w:name="_Toc296891200"/>
      <w:bookmarkStart w:id="160" w:name="_Toc296890988"/>
      <w:bookmarkStart w:id="161" w:name="_Toc300934946"/>
      <w:bookmarkStart w:id="162" w:name="_Toc292559365"/>
      <w:bookmarkStart w:id="163" w:name="_Toc312677989"/>
      <w:bookmarkStart w:id="164" w:name="_Toc318581158"/>
      <w:r>
        <w:rPr>
          <w:rFonts w:hint="eastAsia" w:ascii="仿宋" w:hAnsi="仿宋" w:eastAsia="仿宋" w:cs="仿宋"/>
          <w:color w:val="auto"/>
          <w:sz w:val="24"/>
          <w:szCs w:val="24"/>
        </w:rPr>
        <w:t>.5.1 分包的一般约定</w:t>
      </w:r>
    </w:p>
    <w:p w14:paraId="5A6D769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禁止分包的工程包括：</w:t>
      </w:r>
      <w:r>
        <w:rPr>
          <w:rFonts w:hint="eastAsia" w:ascii="仿宋" w:hAnsi="仿宋" w:eastAsia="仿宋" w:cs="仿宋"/>
          <w:color w:val="auto"/>
          <w:sz w:val="24"/>
          <w:szCs w:val="24"/>
          <w:u w:val="single"/>
        </w:rPr>
        <w:t></w:t>
      </w:r>
      <w:r>
        <w:rPr>
          <w:rFonts w:hint="eastAsia" w:ascii="仿宋" w:hAnsi="仿宋" w:eastAsia="仿宋" w:cs="仿宋"/>
          <w:b/>
          <w:bCs/>
          <w:color w:val="auto"/>
          <w:sz w:val="24"/>
          <w:szCs w:val="24"/>
          <w:u w:val="single"/>
        </w:rPr>
        <w:t>主体结构、关键性工作</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B48822F">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主体结构、关键性工作的范围：</w:t>
      </w:r>
      <w:r>
        <w:rPr>
          <w:rFonts w:hint="eastAsia" w:ascii="仿宋" w:hAnsi="仿宋" w:eastAsia="仿宋" w:cs="仿宋"/>
          <w:b/>
          <w:color w:val="auto"/>
          <w:sz w:val="24"/>
          <w:szCs w:val="24"/>
          <w:u w:val="single"/>
        </w:rPr>
        <w:t>按国家相关规定执行</w:t>
      </w:r>
      <w:r>
        <w:rPr>
          <w:rFonts w:hint="eastAsia" w:ascii="仿宋" w:hAnsi="仿宋" w:eastAsia="仿宋" w:cs="仿宋"/>
          <w:color w:val="auto"/>
          <w:sz w:val="24"/>
          <w:szCs w:val="24"/>
        </w:rPr>
        <w: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5" w:name="_Toc304295525"/>
      <w:bookmarkStart w:id="166" w:name="_Toc297120461"/>
      <w:bookmarkStart w:id="167" w:name="_Toc296891201"/>
      <w:bookmarkStart w:id="168" w:name="_Toc296347160"/>
      <w:bookmarkStart w:id="169" w:name="_Toc296346662"/>
      <w:bookmarkStart w:id="170" w:name="_Toc297216153"/>
      <w:bookmarkStart w:id="171" w:name="_Toc297048347"/>
      <w:bookmarkStart w:id="172" w:name="_Toc296890989"/>
      <w:bookmarkStart w:id="173" w:name="_Toc303539104"/>
      <w:bookmarkStart w:id="174" w:name="_Toc296944500"/>
      <w:bookmarkStart w:id="175" w:name="_Toc300934947"/>
      <w:bookmarkStart w:id="176" w:name="_Toc296503161"/>
      <w:bookmarkStart w:id="177" w:name="_Toc297123494"/>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14:paraId="0A9F76EF">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bookmarkStart w:id="178" w:name="_Toc318581159"/>
      <w:bookmarkStart w:id="179" w:name="_Toc312677990"/>
      <w:r>
        <w:rPr>
          <w:rFonts w:hint="eastAsia" w:ascii="仿宋" w:hAnsi="仿宋" w:eastAsia="仿宋" w:cs="仿宋"/>
          <w:color w:val="auto"/>
          <w:sz w:val="24"/>
          <w:szCs w:val="24"/>
        </w:rPr>
        <w:t>.5.2分包的确定</w:t>
      </w:r>
    </w:p>
    <w:p w14:paraId="2737D76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允许分包的专业工程包括：</w:t>
      </w:r>
      <w:r>
        <w:rPr>
          <w:rFonts w:hint="eastAsia" w:ascii="仿宋" w:hAnsi="仿宋" w:eastAsia="仿宋" w:cs="仿宋"/>
          <w:b/>
          <w:color w:val="auto"/>
          <w:sz w:val="24"/>
          <w:szCs w:val="24"/>
          <w:u w:val="single"/>
        </w:rPr>
        <w:t>按国家相关规定执行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625A25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其他关于分包的约定：</w:t>
      </w:r>
      <w:r>
        <w:rPr>
          <w:rFonts w:hint="eastAsia" w:ascii="仿宋" w:hAnsi="仿宋" w:eastAsia="仿宋" w:cs="仿宋"/>
          <w:b/>
          <w:bCs/>
          <w:color w:val="auto"/>
          <w:sz w:val="24"/>
          <w:szCs w:val="24"/>
          <w:u w:val="single"/>
        </w:rPr>
        <w:t>若有转包或违法分包工程的，将计入企业履约诚信评价不良记录中</w:t>
      </w:r>
      <w:r>
        <w:rPr>
          <w:rFonts w:hint="eastAsia" w:ascii="仿宋" w:hAnsi="仿宋" w:eastAsia="仿宋" w:cs="仿宋"/>
          <w:color w:val="auto"/>
          <w:sz w:val="24"/>
          <w:szCs w:val="24"/>
        </w:rPr>
        <w:t>。</w:t>
      </w:r>
    </w:p>
    <w:p w14:paraId="5B56B77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3.5.4 分包合同价款</w:t>
      </w:r>
    </w:p>
    <w:p w14:paraId="6A3BF675">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关于分包合同价款支付的约定：</w:t>
      </w:r>
      <w:r>
        <w:rPr>
          <w:rFonts w:hint="eastAsia" w:ascii="仿宋" w:hAnsi="仿宋" w:eastAsia="仿宋" w:cs="仿宋"/>
          <w:color w:val="auto"/>
          <w:sz w:val="24"/>
          <w:szCs w:val="24"/>
          <w:u w:val="single"/>
        </w:rPr>
        <w:t xml:space="preserve">无    </w:t>
      </w:r>
      <w:r>
        <w:rPr>
          <w:rFonts w:hint="eastAsia" w:ascii="仿宋" w:hAnsi="仿宋" w:eastAsia="仿宋" w:cs="仿宋"/>
          <w:color w:val="auto"/>
          <w:sz w:val="24"/>
          <w:szCs w:val="24"/>
        </w:rPr>
        <w:t>。</w:t>
      </w:r>
    </w:p>
    <w:bookmarkEnd w:id="178"/>
    <w:bookmarkEnd w:id="179"/>
    <w:p w14:paraId="77D98A3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 工程照管与成品、半成品保护</w:t>
      </w:r>
    </w:p>
    <w:p w14:paraId="72D3BA0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承包人负责照管工程及工程相关的材料、工程设备的起始时间：执行通用条款。 </w:t>
      </w:r>
    </w:p>
    <w:p w14:paraId="44D4813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 履约担保</w:t>
      </w:r>
    </w:p>
    <w:p w14:paraId="6495D11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承包人是否提供履约担保：</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w:t>
      </w:r>
      <w:r>
        <w:rPr>
          <w:rFonts w:hint="eastAsia" w:ascii="仿宋" w:hAnsi="仿宋" w:eastAsia="仿宋" w:cs="仿宋"/>
          <w:b/>
          <w:bCs/>
          <w:color w:val="auto"/>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819C3E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180" w:name="_Toc351203636"/>
      <w:r>
        <w:rPr>
          <w:rFonts w:hint="eastAsia" w:ascii="仿宋" w:hAnsi="仿宋" w:eastAsia="仿宋" w:cs="仿宋"/>
          <w:bCs/>
          <w:color w:val="auto"/>
          <w:sz w:val="24"/>
          <w:szCs w:val="24"/>
        </w:rPr>
        <w:t>4</w:t>
      </w:r>
      <w:bookmarkStart w:id="181" w:name="_Toc297048348"/>
      <w:bookmarkStart w:id="182" w:name="_Toc297120462"/>
      <w:bookmarkStart w:id="183" w:name="_Toc296944501"/>
      <w:bookmarkStart w:id="184" w:name="_Toc296891202"/>
      <w:bookmarkStart w:id="185" w:name="_Toc296890990"/>
      <w:bookmarkStart w:id="186" w:name="_Toc292559366"/>
      <w:bookmarkStart w:id="187" w:name="_Toc296346663"/>
      <w:bookmarkStart w:id="188" w:name="_Toc267251413"/>
      <w:bookmarkStart w:id="189" w:name="_Toc292559871"/>
      <w:bookmarkStart w:id="190" w:name="_Toc296503162"/>
      <w:bookmarkStart w:id="191" w:name="_Toc296347161"/>
      <w:r>
        <w:rPr>
          <w:rFonts w:hint="eastAsia" w:ascii="仿宋" w:hAnsi="仿宋" w:eastAsia="仿宋" w:cs="仿宋"/>
          <w:bCs/>
          <w:color w:val="auto"/>
          <w:sz w:val="24"/>
          <w:szCs w:val="24"/>
        </w:rPr>
        <w:t>. 监</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bCs/>
          <w:color w:val="auto"/>
          <w:sz w:val="24"/>
          <w:szCs w:val="24"/>
        </w:rPr>
        <w:t>理人</w:t>
      </w:r>
      <w:bookmarkEnd w:id="180"/>
    </w:p>
    <w:p w14:paraId="08BFD15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4.1监理人的一般规定</w:t>
      </w:r>
    </w:p>
    <w:p w14:paraId="5026FCF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关于监理人的监理内容：</w:t>
      </w:r>
      <w:r>
        <w:rPr>
          <w:rFonts w:hint="eastAsia" w:ascii="仿宋" w:hAnsi="仿宋" w:eastAsia="仿宋" w:cs="仿宋"/>
          <w:b/>
          <w:color w:val="auto"/>
          <w:sz w:val="24"/>
          <w:szCs w:val="24"/>
          <w:u w:val="single"/>
        </w:rPr>
        <w:t>与本工程有关的一切监理活动。</w:t>
      </w:r>
    </w:p>
    <w:p w14:paraId="5C40DB0D">
      <w:pPr>
        <w:pageBreakBefore w:val="0"/>
        <w:widowControl w:val="0"/>
        <w:kinsoku/>
        <w:wordWrap/>
        <w:overflowPunct/>
        <w:topLinePunct w:val="0"/>
        <w:bidi w:val="0"/>
        <w:snapToGrid/>
        <w:spacing w:line="400" w:lineRule="exact"/>
        <w:ind w:firstLine="592" w:firstLineChars="24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关于监理人的监理权限：</w:t>
      </w:r>
      <w:r>
        <w:rPr>
          <w:rFonts w:hint="eastAsia" w:ascii="仿宋" w:hAnsi="仿宋" w:eastAsia="仿宋" w:cs="仿宋"/>
          <w:b/>
          <w:bCs/>
          <w:color w:val="auto"/>
          <w:sz w:val="24"/>
          <w:szCs w:val="24"/>
          <w:u w:val="single"/>
        </w:rPr>
        <w:t>按发包人与监理人签订的《建设工程委托监理合同》的有关条款执行。发包人委托施工监理人负责对工程材料设备的标准及质量、工程质量、进度、安全、文明、环境以及工程量等管理和控制。</w:t>
      </w:r>
      <w:r>
        <w:rPr>
          <w:rFonts w:hint="eastAsia" w:ascii="仿宋" w:hAnsi="仿宋" w:eastAsia="仿宋" w:cs="仿宋"/>
          <w:color w:val="auto"/>
          <w:sz w:val="24"/>
          <w:szCs w:val="24"/>
        </w:rPr>
        <w:t xml:space="preserve"> </w:t>
      </w:r>
    </w:p>
    <w:p w14:paraId="397223E6">
      <w:pPr>
        <w:pageBreakBefore w:val="0"/>
        <w:widowControl w:val="0"/>
        <w:kinsoku/>
        <w:wordWrap/>
        <w:overflowPunct/>
        <w:topLinePunct w:val="0"/>
        <w:bidi w:val="0"/>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关于监理人在施工现场的办公场所、生活场所的提供和费用承担的约定：</w:t>
      </w:r>
      <w:r>
        <w:rPr>
          <w:rFonts w:hint="eastAsia" w:ascii="仿宋" w:hAnsi="仿宋" w:eastAsia="仿宋" w:cs="仿宋"/>
          <w:b/>
          <w:color w:val="auto"/>
          <w:sz w:val="24"/>
          <w:szCs w:val="24"/>
          <w:u w:val="single"/>
        </w:rPr>
        <w:t xml:space="preserve">承包方提供一间办公场所，其它设施由监理人自行承担。 </w:t>
      </w:r>
      <w:r>
        <w:rPr>
          <w:rFonts w:hint="eastAsia" w:ascii="仿宋" w:hAnsi="仿宋" w:eastAsia="仿宋" w:cs="仿宋"/>
          <w:color w:val="auto"/>
          <w:sz w:val="24"/>
          <w:szCs w:val="24"/>
          <w:u w:val="single"/>
        </w:rPr>
        <w:t xml:space="preserve">  </w:t>
      </w:r>
    </w:p>
    <w:p w14:paraId="0C807EF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监理人员</w:t>
      </w:r>
    </w:p>
    <w:p w14:paraId="2DFF9F4E">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总监理工程师：</w:t>
      </w:r>
    </w:p>
    <w:p w14:paraId="5744D04D">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990BD7F">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40CFE2E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监理工程师执业资格证书号：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049A71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5CC01B44">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16CE9CF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 </w:t>
      </w:r>
      <w:r>
        <w:rPr>
          <w:rFonts w:hint="eastAsia" w:ascii="仿宋" w:hAnsi="仿宋" w:eastAsia="仿宋" w:cs="仿宋"/>
          <w:color w:val="auto"/>
          <w:sz w:val="24"/>
          <w:szCs w:val="24"/>
        </w:rPr>
        <w:t>；</w:t>
      </w:r>
    </w:p>
    <w:p w14:paraId="27BF2453">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关于监理人的其他约定：</w:t>
      </w:r>
      <w:r>
        <w:rPr>
          <w:rFonts w:hint="eastAsia" w:ascii="仿宋" w:hAnsi="仿宋" w:eastAsia="仿宋" w:cs="仿宋"/>
          <w:b/>
          <w:color w:val="auto"/>
          <w:sz w:val="24"/>
          <w:szCs w:val="24"/>
          <w:u w:val="single"/>
        </w:rPr>
        <w:t>开工令、停工令、工程变更、经济签证须取得发包人的同意。现场签证及工程进度款报表等由监理工程师先行核实后，再交发包人审核</w:t>
      </w:r>
      <w:r>
        <w:rPr>
          <w:rFonts w:hint="eastAsia" w:ascii="仿宋" w:hAnsi="仿宋" w:eastAsia="仿宋" w:cs="仿宋"/>
          <w:color w:val="auto"/>
          <w:sz w:val="24"/>
          <w:szCs w:val="24"/>
        </w:rPr>
        <w:t>。</w:t>
      </w:r>
    </w:p>
    <w:p w14:paraId="5BD9B050">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08255498">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u w:val="single"/>
        </w:rPr>
        <w:t>不管通用合同条款第4.1项如何约定，监理人行使须经发包人批准行使的权力时，应当向承包人出示其行使该权力已经取得发包人批准的文件或者其他合法有效的证明。</w:t>
      </w:r>
    </w:p>
    <w:p w14:paraId="13F45F3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商定或确定</w:t>
      </w:r>
    </w:p>
    <w:p w14:paraId="10D4B75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bookmarkStart w:id="192" w:name="_Toc267251418"/>
      <w:r>
        <w:rPr>
          <w:rFonts w:hint="eastAsia" w:ascii="仿宋" w:hAnsi="仿宋" w:eastAsia="仿宋" w:cs="仿宋"/>
          <w:color w:val="auto"/>
          <w:sz w:val="24"/>
          <w:szCs w:val="24"/>
        </w:rPr>
        <w:t>在发包人和承包人不能通过协商达成一致意见时，发包人授权监理人对以下事项进行确定：</w:t>
      </w:r>
      <w:r>
        <w:rPr>
          <w:rFonts w:hint="eastAsia" w:ascii="仿宋" w:hAnsi="仿宋" w:eastAsia="仿宋" w:cs="仿宋"/>
          <w:b/>
          <w:bCs/>
          <w:color w:val="auto"/>
          <w:sz w:val="24"/>
          <w:szCs w:val="24"/>
          <w:u w:val="single"/>
        </w:rPr>
        <w:t>执行通用条款。</w:t>
      </w:r>
      <w:bookmarkStart w:id="193" w:name="_Toc351203637"/>
    </w:p>
    <w:p w14:paraId="544C5F07">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5</w:t>
      </w:r>
      <w:bookmarkEnd w:id="192"/>
      <w:bookmarkStart w:id="194" w:name="_Toc296347162"/>
      <w:bookmarkStart w:id="195" w:name="_Toc297120463"/>
      <w:bookmarkStart w:id="196" w:name="_Toc296944502"/>
      <w:bookmarkStart w:id="197" w:name="_Toc296890991"/>
      <w:bookmarkStart w:id="198" w:name="_Toc296891203"/>
      <w:bookmarkStart w:id="199" w:name="_Toc296503163"/>
      <w:bookmarkStart w:id="200" w:name="_Toc292559367"/>
      <w:bookmarkStart w:id="201" w:name="_Toc292559872"/>
      <w:bookmarkStart w:id="202" w:name="_Toc297048349"/>
      <w:bookmarkStart w:id="203" w:name="_Toc296346664"/>
      <w:r>
        <w:rPr>
          <w:rFonts w:hint="eastAsia" w:ascii="仿宋" w:hAnsi="仿宋" w:eastAsia="仿宋" w:cs="仿宋"/>
          <w:bCs/>
          <w:color w:val="auto"/>
          <w:sz w:val="24"/>
          <w:szCs w:val="24"/>
        </w:rPr>
        <w:t>. 工程质量</w:t>
      </w:r>
      <w:bookmarkEnd w:id="193"/>
    </w:p>
    <w:p w14:paraId="570F28A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5.1 质量要求</w:t>
      </w:r>
    </w:p>
    <w:p w14:paraId="0E0274F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bookmarkStart w:id="204" w:name="_Toc297123496"/>
      <w:bookmarkStart w:id="205" w:name="_Toc304295527"/>
      <w:bookmarkStart w:id="206" w:name="_Toc318581164"/>
      <w:bookmarkStart w:id="207" w:name="_Toc300934949"/>
      <w:bookmarkStart w:id="208" w:name="_Toc297216155"/>
      <w:bookmarkStart w:id="209" w:name="_Toc312677997"/>
      <w:bookmarkStart w:id="210" w:name="_Toc303539106"/>
      <w:r>
        <w:rPr>
          <w:rFonts w:hint="eastAsia" w:ascii="仿宋" w:hAnsi="仿宋" w:eastAsia="仿宋" w:cs="仿宋"/>
          <w:color w:val="auto"/>
          <w:sz w:val="24"/>
          <w:szCs w:val="24"/>
        </w:rPr>
        <w:t>.1.1 特殊质量标准和要求：</w:t>
      </w:r>
      <w:r>
        <w:rPr>
          <w:rFonts w:hint="eastAsia" w:ascii="仿宋" w:hAnsi="仿宋" w:eastAsia="仿宋" w:cs="仿宋"/>
          <w:b/>
          <w:bCs/>
          <w:color w:val="auto"/>
          <w:sz w:val="24"/>
          <w:szCs w:val="24"/>
          <w:u w:val="single"/>
        </w:rPr>
        <w:t>执行通用条款。</w:t>
      </w:r>
    </w:p>
    <w:p w14:paraId="39B34E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关于工程奖项的约定：</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FB94A5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5.3 隐蔽工程检查</w:t>
      </w:r>
    </w:p>
    <w:p w14:paraId="4E3A3C5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5.3.2承包人提前通知监理人隐蔽工程检查的期限的约定：</w:t>
      </w:r>
      <w:r>
        <w:rPr>
          <w:rFonts w:hint="eastAsia" w:ascii="仿宋" w:hAnsi="仿宋" w:eastAsia="仿宋" w:cs="仿宋"/>
          <w:b/>
          <w:color w:val="auto"/>
          <w:sz w:val="24"/>
          <w:szCs w:val="24"/>
          <w:u w:val="single"/>
        </w:rPr>
        <w:t>承包人应在共同检查前24小时书面通知监理人和发包人代表</w:t>
      </w:r>
    </w:p>
    <w:p w14:paraId="7C40EAD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监理人不能按时进行检查时，应提前</w:t>
      </w:r>
      <w:r>
        <w:rPr>
          <w:rFonts w:hint="eastAsia" w:ascii="仿宋" w:hAnsi="仿宋" w:eastAsia="仿宋" w:cs="仿宋"/>
          <w:color w:val="auto"/>
          <w:sz w:val="24"/>
          <w:szCs w:val="24"/>
          <w:u w:val="single"/>
        </w:rPr>
        <w:t xml:space="preserve">  12     </w:t>
      </w:r>
      <w:r>
        <w:rPr>
          <w:rFonts w:hint="eastAsia" w:ascii="仿宋" w:hAnsi="仿宋" w:eastAsia="仿宋" w:cs="仿宋"/>
          <w:color w:val="auto"/>
          <w:sz w:val="24"/>
          <w:szCs w:val="24"/>
        </w:rPr>
        <w:t>小时提交书面延期要求。</w:t>
      </w:r>
    </w:p>
    <w:p w14:paraId="5FE0B53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关于延期最长不得超过：</w:t>
      </w:r>
      <w:r>
        <w:rPr>
          <w:rFonts w:hint="eastAsia" w:ascii="仿宋" w:hAnsi="仿宋" w:eastAsia="仿宋" w:cs="仿宋"/>
          <w:color w:val="auto"/>
          <w:sz w:val="24"/>
          <w:szCs w:val="24"/>
          <w:u w:val="single"/>
        </w:rPr>
        <w:t xml:space="preserve">   48      </w:t>
      </w:r>
      <w:r>
        <w:rPr>
          <w:rFonts w:hint="eastAsia" w:ascii="仿宋" w:hAnsi="仿宋" w:eastAsia="仿宋" w:cs="仿宋"/>
          <w:color w:val="auto"/>
          <w:sz w:val="24"/>
          <w:szCs w:val="24"/>
        </w:rPr>
        <w:t>小时。</w:t>
      </w:r>
    </w:p>
    <w:p w14:paraId="4777C1C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5.5 质量争议检测</w:t>
      </w:r>
    </w:p>
    <w:p w14:paraId="0E42DCCF">
      <w:pPr>
        <w:pageBreakBefore w:val="0"/>
        <w:widowControl w:val="0"/>
        <w:kinsoku/>
        <w:wordWrap/>
        <w:overflowPunct/>
        <w:topLinePunct w:val="0"/>
        <w:bidi w:val="0"/>
        <w:snapToGrid/>
        <w:spacing w:line="400" w:lineRule="exact"/>
        <w:ind w:firstLine="472" w:firstLineChars="196"/>
        <w:jc w:val="left"/>
        <w:textAlignment w:val="auto"/>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合同当事人对工程质量有争议的，由发包方确定自治区建筑科学研究院的工程质量检测中心进行鉴定，由此产生的费用及因此造成的损失，由责任方承担。均有责任的，由双方根据其责任分别承担。无法达成一致的，按照第4.4款〔商定或确定〕执行。</w:t>
      </w:r>
      <w:bookmarkStart w:id="211" w:name="_Toc351203638"/>
    </w:p>
    <w:p w14:paraId="345CB67D">
      <w:pPr>
        <w:pageBreakBefore w:val="0"/>
        <w:widowControl w:val="0"/>
        <w:kinsoku/>
        <w:wordWrap/>
        <w:overflowPunct/>
        <w:topLinePunct w:val="0"/>
        <w:bidi w:val="0"/>
        <w:snapToGrid/>
        <w:spacing w:line="400" w:lineRule="exact"/>
        <w:ind w:firstLine="470" w:firstLineChars="196"/>
        <w:jc w:val="left"/>
        <w:textAlignment w:val="auto"/>
        <w:rPr>
          <w:rFonts w:hint="eastAsia" w:ascii="仿宋" w:hAnsi="仿宋" w:eastAsia="仿宋" w:cs="仿宋"/>
          <w:b/>
          <w:color w:val="auto"/>
          <w:sz w:val="24"/>
          <w:szCs w:val="24"/>
          <w:u w:val="single"/>
        </w:rPr>
      </w:pPr>
      <w:r>
        <w:rPr>
          <w:rFonts w:hint="eastAsia" w:ascii="仿宋" w:hAnsi="仿宋" w:eastAsia="仿宋" w:cs="仿宋"/>
          <w:bCs/>
          <w:color w:val="auto"/>
          <w:sz w:val="24"/>
          <w:szCs w:val="24"/>
        </w:rPr>
        <w:t>6. 安全文明施工与环境保护</w:t>
      </w:r>
      <w:bookmarkEnd w:id="211"/>
    </w:p>
    <w:p w14:paraId="76E2E14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6.1安全文明施工</w:t>
      </w:r>
    </w:p>
    <w:p w14:paraId="61ADE17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6.1.1 项目安全生产的达标目标及相应事项的约定：</w:t>
      </w:r>
      <w:r>
        <w:rPr>
          <w:rFonts w:hint="eastAsia" w:ascii="仿宋" w:hAnsi="仿宋" w:eastAsia="仿宋" w:cs="仿宋"/>
          <w:b/>
          <w:bCs/>
          <w:color w:val="auto"/>
          <w:sz w:val="24"/>
          <w:szCs w:val="24"/>
          <w:u w:val="single"/>
        </w:rPr>
        <w:t>要求达到《建筑施工安全检查标准》（JGJ59-2011）标准，及业主对安全文明措施项目的标准和要求执行（标准及要求附后）。</w:t>
      </w:r>
    </w:p>
    <w:p w14:paraId="2565BE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6.1.4 关于治安保卫的特别约定：</w:t>
      </w:r>
      <w:r>
        <w:rPr>
          <w:rFonts w:hint="eastAsia" w:ascii="仿宋" w:hAnsi="仿宋" w:eastAsia="仿宋" w:cs="仿宋"/>
          <w:b/>
          <w:bCs/>
          <w:color w:val="auto"/>
          <w:sz w:val="24"/>
          <w:szCs w:val="24"/>
          <w:u w:val="single"/>
        </w:rPr>
        <w:t xml:space="preserve"> 执行通用条款。</w:t>
      </w:r>
    </w:p>
    <w:p w14:paraId="5219260C">
      <w:pPr>
        <w:pageBreakBefore w:val="0"/>
        <w:widowControl w:val="0"/>
        <w:kinsoku/>
        <w:wordWrap/>
        <w:overflowPunct/>
        <w:topLinePunct w:val="0"/>
        <w:bidi w:val="0"/>
        <w:snapToGrid/>
        <w:spacing w:line="400" w:lineRule="exact"/>
        <w:ind w:left="420" w:leftChars="200"/>
        <w:jc w:val="left"/>
        <w:textAlignment w:val="auto"/>
        <w:rPr>
          <w:rFonts w:hint="eastAsia" w:ascii="仿宋" w:hAnsi="仿宋" w:eastAsia="仿宋" w:cs="仿宋"/>
          <w:b/>
          <w:color w:val="auto"/>
          <w:sz w:val="24"/>
          <w:szCs w:val="24"/>
          <w:u w:val="single"/>
          <w:lang w:eastAsia="zh-CN"/>
        </w:rPr>
      </w:pPr>
      <w:r>
        <w:rPr>
          <w:rFonts w:hint="eastAsia" w:ascii="仿宋" w:hAnsi="仿宋" w:eastAsia="仿宋" w:cs="仿宋"/>
          <w:color w:val="auto"/>
          <w:sz w:val="24"/>
          <w:szCs w:val="24"/>
        </w:rPr>
        <w:t>关于编制施工场地治安管理计划的约定：</w:t>
      </w:r>
      <w:r>
        <w:rPr>
          <w:rFonts w:hint="eastAsia" w:ascii="仿宋" w:hAnsi="仿宋" w:eastAsia="仿宋" w:cs="仿宋"/>
          <w:b/>
          <w:color w:val="auto"/>
          <w:sz w:val="24"/>
          <w:szCs w:val="24"/>
          <w:u w:val="single"/>
        </w:rPr>
        <w:t>开工前提供施工场地治安管理计划。</w:t>
      </w:r>
    </w:p>
    <w:p w14:paraId="479A5AE6">
      <w:pPr>
        <w:pageBreakBefore w:val="0"/>
        <w:widowControl w:val="0"/>
        <w:kinsoku/>
        <w:wordWrap/>
        <w:overflowPunct/>
        <w:topLinePunct w:val="0"/>
        <w:bidi w:val="0"/>
        <w:snapToGrid/>
        <w:spacing w:line="400" w:lineRule="exact"/>
        <w:ind w:left="420" w:left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6.1.5 文明施工</w:t>
      </w:r>
    </w:p>
    <w:p w14:paraId="1795467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合同当事人对文明施工的要求：</w:t>
      </w:r>
      <w:r>
        <w:rPr>
          <w:rFonts w:hint="eastAsia" w:ascii="仿宋" w:hAnsi="仿宋" w:eastAsia="仿宋" w:cs="仿宋"/>
          <w:bCs/>
          <w:color w:val="auto"/>
          <w:sz w:val="24"/>
          <w:szCs w:val="24"/>
          <w:u w:val="single"/>
        </w:rPr>
        <w:t xml:space="preserve">达到《建筑施工现场环境与卫生标准》及业主对安全文明措施项目的标准和要求执行（标准及要求附后）。 </w:t>
      </w:r>
    </w:p>
    <w:p w14:paraId="0BD870C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6.1.6 关于安全文明施工费支付比例和支付期限的约定：</w:t>
      </w:r>
      <w:r>
        <w:rPr>
          <w:rFonts w:hint="eastAsia" w:ascii="仿宋" w:hAnsi="仿宋" w:eastAsia="仿宋" w:cs="仿宋"/>
          <w:bCs/>
          <w:color w:val="auto"/>
          <w:sz w:val="24"/>
          <w:szCs w:val="24"/>
          <w:u w:val="single"/>
        </w:rPr>
        <w:t xml:space="preserve">与工程款同时支付。  </w:t>
      </w:r>
    </w:p>
    <w:p w14:paraId="75B5A12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6.3</w:t>
      </w:r>
      <w:r>
        <w:rPr>
          <w:rFonts w:hint="eastAsia" w:ascii="仿宋" w:hAnsi="仿宋" w:eastAsia="仿宋" w:cs="仿宋"/>
          <w:b/>
          <w:color w:val="auto"/>
          <w:sz w:val="24"/>
          <w:szCs w:val="24"/>
        </w:rPr>
        <w:t>环境保护</w:t>
      </w:r>
    </w:p>
    <w:p w14:paraId="7C03202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6.3.1项目扬尘污染防治达标目标及相应事项的约定：</w:t>
      </w:r>
      <w:r>
        <w:rPr>
          <w:rFonts w:hint="eastAsia" w:ascii="仿宋" w:hAnsi="仿宋" w:eastAsia="仿宋" w:cs="仿宋"/>
          <w:bCs/>
          <w:color w:val="auto"/>
          <w:sz w:val="24"/>
          <w:szCs w:val="24"/>
          <w:u w:val="single"/>
        </w:rPr>
        <w:t>要求达到《乌鲁木齐建筑工程施工现场扬尘污染防治实施细则》标准，及业主对安全文明措施项目的标准和要示执行。</w:t>
      </w:r>
    </w:p>
    <w:p w14:paraId="2BB8456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6.3.2关于扬尘污染防治费支付比例和支付期限的约定：</w:t>
      </w:r>
      <w:r>
        <w:rPr>
          <w:rFonts w:hint="eastAsia" w:ascii="仿宋" w:hAnsi="仿宋" w:eastAsia="仿宋" w:cs="仿宋"/>
          <w:bCs/>
          <w:color w:val="auto"/>
          <w:sz w:val="24"/>
          <w:szCs w:val="24"/>
          <w:u w:val="single"/>
        </w:rPr>
        <w:t>结算时统一支付。</w:t>
      </w:r>
    </w:p>
    <w:p w14:paraId="58EF16C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6.3.3其它环境保护措施：</w:t>
      </w:r>
      <w:r>
        <w:rPr>
          <w:rFonts w:hint="eastAsia" w:ascii="仿宋" w:hAnsi="仿宋" w:eastAsia="仿宋" w:cs="仿宋"/>
          <w:bCs/>
          <w:color w:val="auto"/>
          <w:sz w:val="24"/>
          <w:szCs w:val="24"/>
          <w:u w:val="single"/>
        </w:rPr>
        <w:t>执行通用条款。</w:t>
      </w:r>
      <w:r>
        <w:rPr>
          <w:rFonts w:hint="eastAsia" w:ascii="仿宋" w:hAnsi="仿宋" w:eastAsia="仿宋" w:cs="仿宋"/>
          <w:bCs/>
          <w:color w:val="auto"/>
          <w:sz w:val="24"/>
          <w:szCs w:val="24"/>
        </w:rPr>
        <w:t xml:space="preserve"> </w:t>
      </w:r>
      <w:bookmarkEnd w:id="204"/>
      <w:bookmarkEnd w:id="205"/>
      <w:bookmarkEnd w:id="206"/>
      <w:bookmarkEnd w:id="207"/>
      <w:bookmarkEnd w:id="208"/>
      <w:bookmarkEnd w:id="209"/>
      <w:bookmarkEnd w:id="210"/>
      <w:bookmarkStart w:id="212" w:name="_Toc351203639"/>
    </w:p>
    <w:p w14:paraId="6C4AC57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7. 工期和进度</w:t>
      </w:r>
      <w:bookmarkEnd w:id="212"/>
    </w:p>
    <w:p w14:paraId="1D019AB1">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施工组织设计</w:t>
      </w:r>
    </w:p>
    <w:p w14:paraId="7DA08DB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7.1.1 合同当事人约定的施工组织设计应包括的其他内容：</w:t>
      </w:r>
      <w:r>
        <w:rPr>
          <w:rFonts w:hint="eastAsia" w:ascii="仿宋" w:hAnsi="仿宋" w:eastAsia="仿宋" w:cs="仿宋"/>
          <w:bCs/>
          <w:color w:val="auto"/>
          <w:sz w:val="24"/>
          <w:szCs w:val="24"/>
          <w:u w:val="single"/>
        </w:rPr>
        <w:t>执行通用条款，并在每月20日提供当月进度报表和次月进度计划。</w:t>
      </w:r>
    </w:p>
    <w:p w14:paraId="249D2979">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7.1.2 施工组织设计的提交和修改</w:t>
      </w:r>
    </w:p>
    <w:p w14:paraId="1B03690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承包人提交详细施工组织设计的期限的约定：</w:t>
      </w:r>
      <w:r>
        <w:rPr>
          <w:rFonts w:hint="eastAsia" w:ascii="仿宋" w:hAnsi="仿宋" w:eastAsia="仿宋" w:cs="仿宋"/>
          <w:bCs/>
          <w:color w:val="auto"/>
          <w:sz w:val="24"/>
          <w:szCs w:val="24"/>
          <w:u w:val="single"/>
        </w:rPr>
        <w:t xml:space="preserve">合同签订7日内且不晚于开工前7天。   </w:t>
      </w:r>
    </w:p>
    <w:p w14:paraId="09A745C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发包人和监理人在收到详细的施工组织设计后确认或提出修改意见的期限：</w:t>
      </w:r>
      <w:r>
        <w:rPr>
          <w:rFonts w:hint="eastAsia" w:ascii="仿宋" w:hAnsi="仿宋" w:eastAsia="仿宋" w:cs="仿宋"/>
          <w:bCs/>
          <w:color w:val="auto"/>
          <w:sz w:val="24"/>
          <w:szCs w:val="24"/>
          <w:u w:val="single"/>
        </w:rPr>
        <w:t>收到承包人报告48小时内。</w:t>
      </w:r>
    </w:p>
    <w:p w14:paraId="3BA09B8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13" w:name="_Toc304295541"/>
      <w:bookmarkStart w:id="214" w:name="_Toc312678005"/>
      <w:bookmarkStart w:id="215" w:name="_Toc312677479"/>
      <w:bookmarkStart w:id="216" w:name="_Toc297123514"/>
      <w:bookmarkStart w:id="217" w:name="_Toc297216173"/>
      <w:bookmarkStart w:id="218" w:name="_Toc300934966"/>
      <w:bookmarkStart w:id="219" w:name="_Toc303539123"/>
      <w:r>
        <w:rPr>
          <w:rFonts w:hint="eastAsia" w:ascii="仿宋" w:hAnsi="仿宋" w:eastAsia="仿宋" w:cs="仿宋"/>
          <w:color w:val="auto"/>
          <w:sz w:val="24"/>
          <w:szCs w:val="24"/>
        </w:rPr>
        <w:t>.2 施工进度计划</w:t>
      </w:r>
    </w:p>
    <w:p w14:paraId="4BCDCA2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7.2.2 施工进度计划的修订</w:t>
      </w:r>
    </w:p>
    <w:p w14:paraId="3F4D15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发包人和监理人在收到修订的施工进度计划后确认或提出修改意见的期限：</w:t>
      </w:r>
      <w:r>
        <w:rPr>
          <w:rFonts w:hint="eastAsia" w:ascii="仿宋" w:hAnsi="仿宋" w:eastAsia="仿宋" w:cs="仿宋"/>
          <w:bCs/>
          <w:color w:val="auto"/>
          <w:sz w:val="24"/>
          <w:szCs w:val="24"/>
          <w:u w:val="single"/>
        </w:rPr>
        <w:t>收到承包人申请报告48小时内。</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C0D544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 开工</w:t>
      </w:r>
    </w:p>
    <w:p w14:paraId="2C62937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7.3.1 开工准备</w:t>
      </w:r>
    </w:p>
    <w:p w14:paraId="410BD80A">
      <w:pPr>
        <w:pageBreakBefore w:val="0"/>
        <w:widowControl w:val="0"/>
        <w:kinsoku/>
        <w:wordWrap/>
        <w:overflowPunct/>
        <w:topLinePunct w:val="0"/>
        <w:bidi w:val="0"/>
        <w:snapToGrid/>
        <w:spacing w:line="400" w:lineRule="exact"/>
        <w:ind w:firstLine="645"/>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关于承包人提交工程开工报审表的期限：</w:t>
      </w:r>
      <w:r>
        <w:rPr>
          <w:rFonts w:hint="eastAsia" w:ascii="仿宋" w:hAnsi="仿宋" w:eastAsia="仿宋" w:cs="仿宋"/>
          <w:bCs/>
          <w:color w:val="auto"/>
          <w:sz w:val="24"/>
          <w:szCs w:val="24"/>
          <w:u w:val="single"/>
        </w:rPr>
        <w:t>合同签订后、开工前。</w:t>
      </w:r>
    </w:p>
    <w:p w14:paraId="3179D3BB">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关于发包人应完成的其他开工准备工作及期限：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C1277BE">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关于承包人应完成的其他开工准备工作及期限：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28116C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7.3.2开工通知</w:t>
      </w:r>
    </w:p>
    <w:p w14:paraId="6229D7F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因发包人原因造成监理人未能在计划开工日期之日起</w:t>
      </w:r>
      <w:r>
        <w:rPr>
          <w:rFonts w:hint="eastAsia" w:ascii="仿宋" w:hAnsi="仿宋" w:eastAsia="仿宋" w:cs="仿宋"/>
          <w:bCs/>
          <w:color w:val="auto"/>
          <w:sz w:val="24"/>
          <w:szCs w:val="24"/>
          <w:u w:val="single"/>
        </w:rPr>
        <w:t>90</w:t>
      </w:r>
      <w:r>
        <w:rPr>
          <w:rFonts w:hint="eastAsia" w:ascii="仿宋" w:hAnsi="仿宋" w:eastAsia="仿宋" w:cs="仿宋"/>
          <w:color w:val="auto"/>
          <w:sz w:val="24"/>
          <w:szCs w:val="24"/>
        </w:rPr>
        <w:t>天内发出开工通知的，承包人有权提出价格调整要求，或者解除合同。</w:t>
      </w:r>
    </w:p>
    <w:bookmarkEnd w:id="213"/>
    <w:bookmarkEnd w:id="214"/>
    <w:bookmarkEnd w:id="215"/>
    <w:bookmarkEnd w:id="216"/>
    <w:bookmarkEnd w:id="217"/>
    <w:bookmarkEnd w:id="218"/>
    <w:bookmarkEnd w:id="219"/>
    <w:p w14:paraId="1D5AE18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7.4 测量放线</w:t>
      </w:r>
    </w:p>
    <w:p w14:paraId="4684BF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7.4.1发包人通过监理人向承包人提供测量基准点、基准线和水准点及其书面资料的期限：</w:t>
      </w:r>
      <w:r>
        <w:rPr>
          <w:rFonts w:hint="eastAsia" w:ascii="仿宋" w:hAnsi="仿宋" w:eastAsia="仿宋" w:cs="仿宋"/>
          <w:b/>
          <w:bCs/>
          <w:color w:val="auto"/>
          <w:sz w:val="24"/>
          <w:szCs w:val="24"/>
          <w:u w:val="single"/>
        </w:rPr>
        <w:t xml:space="preserve"> 合同签订后、开工前完成。</w:t>
      </w:r>
    </w:p>
    <w:p w14:paraId="57CA29F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20" w:name="_Toc300934968"/>
      <w:bookmarkStart w:id="221" w:name="_Toc297123516"/>
      <w:bookmarkStart w:id="222" w:name="_Toc297216175"/>
      <w:bookmarkStart w:id="223" w:name="_Toc304295546"/>
      <w:bookmarkStart w:id="224" w:name="_Toc312677484"/>
      <w:bookmarkStart w:id="225" w:name="_Toc312678010"/>
      <w:bookmarkStart w:id="226" w:name="_Toc303539125"/>
      <w:r>
        <w:rPr>
          <w:rFonts w:hint="eastAsia" w:ascii="仿宋" w:hAnsi="仿宋" w:eastAsia="仿宋" w:cs="仿宋"/>
          <w:color w:val="auto"/>
          <w:sz w:val="24"/>
          <w:szCs w:val="24"/>
        </w:rPr>
        <w:t>.5 工期延误</w:t>
      </w:r>
    </w:p>
    <w:bookmarkEnd w:id="220"/>
    <w:bookmarkEnd w:id="221"/>
    <w:bookmarkEnd w:id="222"/>
    <w:bookmarkEnd w:id="223"/>
    <w:bookmarkEnd w:id="224"/>
    <w:bookmarkEnd w:id="225"/>
    <w:bookmarkEnd w:id="226"/>
    <w:p w14:paraId="592C2D1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7.5.1 因发包人原因导致工期延误</w:t>
      </w:r>
    </w:p>
    <w:p w14:paraId="3CDC95D9">
      <w:pPr>
        <w:pageBreakBefore w:val="0"/>
        <w:widowControl w:val="0"/>
        <w:kinsoku/>
        <w:wordWrap/>
        <w:overflowPunct/>
        <w:topLinePunct w:val="0"/>
        <w:bidi w:val="0"/>
        <w:snapToGrid/>
        <w:spacing w:line="400" w:lineRule="exact"/>
        <w:ind w:firstLine="360" w:firstLineChars="1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（7）因发包人原因导致工期延误的其他情形：</w:t>
      </w:r>
      <w:r>
        <w:rPr>
          <w:rFonts w:hint="eastAsia" w:ascii="仿宋" w:hAnsi="仿宋" w:eastAsia="仿宋" w:cs="仿宋"/>
          <w:color w:val="auto"/>
          <w:sz w:val="24"/>
          <w:szCs w:val="24"/>
          <w:u w:val="single"/>
        </w:rPr>
        <w:t xml:space="preserve"> </w:t>
      </w:r>
      <w:r>
        <w:rPr>
          <w:rFonts w:hint="eastAsia" w:ascii="仿宋" w:hAnsi="仿宋" w:eastAsia="仿宋" w:cs="仿宋"/>
          <w:b/>
          <w:bCs/>
          <w:color w:val="auto"/>
          <w:sz w:val="24"/>
          <w:szCs w:val="24"/>
          <w:u w:val="single"/>
        </w:rPr>
        <w:t>无</w:t>
      </w:r>
      <w:r>
        <w:rPr>
          <w:rFonts w:hint="eastAsia" w:ascii="仿宋" w:hAnsi="仿宋" w:eastAsia="仿宋" w:cs="仿宋"/>
          <w:color w:val="auto"/>
          <w:sz w:val="24"/>
          <w:szCs w:val="24"/>
        </w:rPr>
        <w:t>。</w:t>
      </w:r>
    </w:p>
    <w:p w14:paraId="4A3DA97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27" w:name="_Toc312677486"/>
      <w:bookmarkStart w:id="228" w:name="_Toc318581169"/>
      <w:bookmarkStart w:id="229" w:name="_Toc312678012"/>
      <w:bookmarkStart w:id="230" w:name="_Toc297216177"/>
      <w:bookmarkStart w:id="231" w:name="_Toc303539127"/>
      <w:bookmarkStart w:id="232" w:name="_Toc297123518"/>
      <w:bookmarkStart w:id="233" w:name="_Toc300934970"/>
      <w:bookmarkStart w:id="234" w:name="_Toc304295548"/>
      <w:r>
        <w:rPr>
          <w:rFonts w:hint="eastAsia" w:ascii="仿宋" w:hAnsi="仿宋" w:eastAsia="仿宋" w:cs="仿宋"/>
          <w:color w:val="auto"/>
          <w:sz w:val="24"/>
          <w:szCs w:val="24"/>
        </w:rPr>
        <w:t>.5.2 因承包人原因导致工期延误</w:t>
      </w:r>
    </w:p>
    <w:bookmarkEnd w:id="227"/>
    <w:bookmarkEnd w:id="228"/>
    <w:bookmarkEnd w:id="229"/>
    <w:p w14:paraId="1B51CFA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因</w:t>
      </w:r>
      <w:bookmarkStart w:id="235" w:name="_Toc312677487"/>
      <w:bookmarkStart w:id="236" w:name="_Toc312678013"/>
      <w:bookmarkStart w:id="237" w:name="_Toc318581170"/>
      <w:r>
        <w:rPr>
          <w:rFonts w:hint="eastAsia" w:ascii="仿宋" w:hAnsi="仿宋" w:eastAsia="仿宋" w:cs="仿宋"/>
          <w:color w:val="auto"/>
          <w:sz w:val="24"/>
          <w:szCs w:val="24"/>
        </w:rPr>
        <w:t>承包人原因造成工期延误，逾期竣工违约金的计算方法为：</w:t>
      </w:r>
    </w:p>
    <w:p w14:paraId="67F93B8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0.1%缴纳违约金（最终在工程结算中扣减）。</w:t>
      </w:r>
    </w:p>
    <w:bookmarkEnd w:id="230"/>
    <w:bookmarkEnd w:id="231"/>
    <w:bookmarkEnd w:id="232"/>
    <w:bookmarkEnd w:id="233"/>
    <w:bookmarkEnd w:id="234"/>
    <w:bookmarkEnd w:id="235"/>
    <w:bookmarkEnd w:id="236"/>
    <w:bookmarkEnd w:id="237"/>
    <w:p w14:paraId="1F904AC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因承包人原因造成工期延误，逾</w:t>
      </w:r>
      <w:bookmarkStart w:id="238" w:name="_Toc312678014"/>
      <w:bookmarkStart w:id="239" w:name="_Toc318581171"/>
      <w:r>
        <w:rPr>
          <w:rFonts w:hint="eastAsia" w:ascii="仿宋" w:hAnsi="仿宋" w:eastAsia="仿宋" w:cs="仿宋"/>
          <w:color w:val="auto"/>
          <w:sz w:val="24"/>
          <w:szCs w:val="24"/>
        </w:rPr>
        <w:t>期竣工违约金的上限：</w:t>
      </w:r>
      <w:r>
        <w:rPr>
          <w:rFonts w:hint="eastAsia" w:ascii="仿宋" w:hAnsi="仿宋" w:eastAsia="仿宋" w:cs="仿宋"/>
          <w:color w:val="auto"/>
          <w:sz w:val="24"/>
          <w:szCs w:val="24"/>
          <w:u w:val="single"/>
        </w:rPr>
        <w:t>违约金最高限价额为合同价的6%。</w:t>
      </w:r>
    </w:p>
    <w:bookmarkEnd w:id="238"/>
    <w:bookmarkEnd w:id="239"/>
    <w:p w14:paraId="2E3E47D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40" w:name="_Toc312678015"/>
      <w:bookmarkStart w:id="241" w:name="_Toc300934971"/>
      <w:bookmarkStart w:id="242" w:name="_Toc297216178"/>
      <w:bookmarkStart w:id="243" w:name="_Toc297123519"/>
      <w:bookmarkStart w:id="244" w:name="_Toc303539128"/>
      <w:bookmarkStart w:id="245" w:name="_Toc304295549"/>
      <w:r>
        <w:rPr>
          <w:rFonts w:hint="eastAsia" w:ascii="仿宋" w:hAnsi="仿宋" w:eastAsia="仿宋" w:cs="仿宋"/>
          <w:color w:val="auto"/>
          <w:sz w:val="24"/>
          <w:szCs w:val="24"/>
        </w:rPr>
        <w:t>.6 不</w:t>
      </w:r>
      <w:bookmarkEnd w:id="240"/>
      <w:bookmarkEnd w:id="241"/>
      <w:bookmarkEnd w:id="242"/>
      <w:bookmarkEnd w:id="243"/>
      <w:bookmarkEnd w:id="244"/>
      <w:bookmarkEnd w:id="245"/>
      <w:r>
        <w:rPr>
          <w:rFonts w:hint="eastAsia" w:ascii="仿宋" w:hAnsi="仿宋" w:eastAsia="仿宋" w:cs="仿宋"/>
          <w:color w:val="auto"/>
          <w:sz w:val="24"/>
          <w:szCs w:val="24"/>
        </w:rPr>
        <w:t>利物质条件</w:t>
      </w:r>
    </w:p>
    <w:p w14:paraId="6CEAC69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246" w:name="_Toc312678016"/>
      <w:bookmarkStart w:id="247" w:name="_Toc303539129"/>
      <w:bookmarkStart w:id="248" w:name="_Toc318581172"/>
      <w:bookmarkStart w:id="249" w:name="_Toc304295550"/>
      <w:bookmarkStart w:id="250" w:name="_Toc297123520"/>
      <w:bookmarkStart w:id="251" w:name="_Toc297216179"/>
      <w:bookmarkStart w:id="252" w:name="_Toc300934972"/>
      <w:r>
        <w:rPr>
          <w:rFonts w:hint="eastAsia" w:ascii="仿宋" w:hAnsi="仿宋" w:eastAsia="仿宋" w:cs="仿宋"/>
          <w:color w:val="auto"/>
          <w:sz w:val="24"/>
          <w:szCs w:val="24"/>
        </w:rPr>
        <w:t>不利物质条件的其他情形和有关约定：</w:t>
      </w:r>
      <w:r>
        <w:rPr>
          <w:rFonts w:hint="eastAsia" w:ascii="仿宋" w:hAnsi="仿宋" w:eastAsia="仿宋" w:cs="仿宋"/>
          <w:color w:val="auto"/>
          <w:sz w:val="24"/>
          <w:szCs w:val="24"/>
          <w:u w:val="single"/>
        </w:rPr>
        <w:t>执行通用条款。</w:t>
      </w:r>
    </w:p>
    <w:bookmarkEnd w:id="246"/>
    <w:bookmarkEnd w:id="247"/>
    <w:bookmarkEnd w:id="248"/>
    <w:bookmarkEnd w:id="249"/>
    <w:bookmarkEnd w:id="250"/>
    <w:bookmarkEnd w:id="251"/>
    <w:bookmarkEnd w:id="252"/>
    <w:p w14:paraId="61B8172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bookmarkStart w:id="253" w:name="_Toc304295551"/>
      <w:bookmarkStart w:id="254" w:name="_Toc300934973"/>
      <w:bookmarkStart w:id="255" w:name="_Toc297123521"/>
      <w:bookmarkStart w:id="256" w:name="_Toc312678017"/>
      <w:bookmarkStart w:id="257" w:name="_Toc303539130"/>
      <w:bookmarkStart w:id="258" w:name="_Toc297216180"/>
      <w:r>
        <w:rPr>
          <w:rFonts w:hint="eastAsia" w:ascii="仿宋" w:hAnsi="仿宋" w:eastAsia="仿宋" w:cs="仿宋"/>
          <w:color w:val="auto"/>
          <w:sz w:val="24"/>
          <w:szCs w:val="24"/>
        </w:rPr>
        <w:t>.7异常恶劣的气候条件</w:t>
      </w:r>
    </w:p>
    <w:bookmarkEnd w:id="253"/>
    <w:bookmarkEnd w:id="254"/>
    <w:bookmarkEnd w:id="255"/>
    <w:bookmarkEnd w:id="256"/>
    <w:bookmarkEnd w:id="257"/>
    <w:bookmarkEnd w:id="258"/>
    <w:p w14:paraId="52E5512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发包人和承包人同意以下情形视为异常恶劣的气候条件：</w:t>
      </w:r>
    </w:p>
    <w:p w14:paraId="369D9D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u w:val="single"/>
        </w:rPr>
        <w:t>异常恶劣的气候导致无法正常施工；</w:t>
      </w:r>
    </w:p>
    <w:p w14:paraId="315E206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（2）其他由</w:t>
      </w:r>
      <w:r>
        <w:rPr>
          <w:rFonts w:hint="eastAsia" w:ascii="仿宋" w:hAnsi="仿宋" w:eastAsia="仿宋" w:cs="仿宋"/>
          <w:bCs/>
          <w:color w:val="auto"/>
          <w:sz w:val="24"/>
          <w:szCs w:val="24"/>
          <w:u w:val="single"/>
        </w:rPr>
        <w:t>双方另行确定；</w:t>
      </w:r>
    </w:p>
    <w:p w14:paraId="63B9C0A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7.9 提前竣工的奖励</w:t>
      </w:r>
    </w:p>
    <w:p w14:paraId="289C14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7.9.2提前竣工的奖励：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bookmarkStart w:id="259" w:name="_Toc351203640"/>
    </w:p>
    <w:p w14:paraId="64C927B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8. 材料与设备</w:t>
      </w:r>
      <w:bookmarkEnd w:id="259"/>
    </w:p>
    <w:bookmarkEnd w:id="194"/>
    <w:bookmarkEnd w:id="195"/>
    <w:bookmarkEnd w:id="196"/>
    <w:bookmarkEnd w:id="197"/>
    <w:bookmarkEnd w:id="198"/>
    <w:bookmarkEnd w:id="199"/>
    <w:bookmarkEnd w:id="200"/>
    <w:bookmarkEnd w:id="201"/>
    <w:bookmarkEnd w:id="202"/>
    <w:bookmarkEnd w:id="203"/>
    <w:p w14:paraId="7FBA331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bookmarkStart w:id="260" w:name="_Toc296503167"/>
      <w:bookmarkStart w:id="261" w:name="_Toc280868654"/>
      <w:bookmarkStart w:id="262" w:name="_Toc296347166"/>
      <w:bookmarkStart w:id="263" w:name="_Toc312678019"/>
      <w:bookmarkStart w:id="264" w:name="_Toc304295556"/>
      <w:bookmarkStart w:id="265" w:name="_Toc312677493"/>
      <w:bookmarkStart w:id="266" w:name="_Toc297048353"/>
      <w:bookmarkStart w:id="267" w:name="_Toc296346668"/>
      <w:bookmarkStart w:id="268" w:name="_Toc297216186"/>
      <w:bookmarkStart w:id="269" w:name="_Toc296890995"/>
      <w:bookmarkStart w:id="270" w:name="_Toc303539136"/>
      <w:bookmarkStart w:id="271" w:name="_Toc296944506"/>
      <w:bookmarkStart w:id="272" w:name="_Toc292559877"/>
      <w:bookmarkStart w:id="273" w:name="_Toc292559372"/>
      <w:bookmarkStart w:id="274" w:name="_Toc297120467"/>
      <w:bookmarkStart w:id="275" w:name="_Toc296891207"/>
      <w:bookmarkStart w:id="276" w:name="_Toc297123527"/>
      <w:bookmarkStart w:id="277" w:name="_Toc300934979"/>
      <w:bookmarkStart w:id="278" w:name="_Toc280868656"/>
      <w:bookmarkStart w:id="279" w:name="_Toc280868655"/>
      <w:bookmarkStart w:id="280" w:name="_Toc267251424"/>
      <w:r>
        <w:rPr>
          <w:rFonts w:hint="eastAsia" w:ascii="仿宋" w:hAnsi="仿宋" w:eastAsia="仿宋" w:cs="仿宋"/>
          <w:color w:val="auto"/>
          <w:sz w:val="24"/>
          <w:szCs w:val="24"/>
        </w:rPr>
        <w:t>.4材料与工程设备的保管与使用</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7F4839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bookmarkStart w:id="281" w:name="_Toc292559373"/>
      <w:bookmarkStart w:id="282" w:name="_Toc292559878"/>
      <w:bookmarkStart w:id="283" w:name="_Toc318581173"/>
      <w:bookmarkStart w:id="284" w:name="_Toc296346669"/>
      <w:bookmarkStart w:id="285" w:name="_Toc297048354"/>
      <w:bookmarkStart w:id="286" w:name="_Toc312678020"/>
      <w:bookmarkStart w:id="287" w:name="_Toc312677494"/>
      <w:bookmarkStart w:id="288" w:name="_Toc296891208"/>
      <w:bookmarkStart w:id="289" w:name="_Toc297216187"/>
      <w:bookmarkStart w:id="290" w:name="_Toc297123528"/>
      <w:bookmarkStart w:id="291" w:name="_Toc303539137"/>
      <w:bookmarkStart w:id="292" w:name="_Toc300934980"/>
      <w:bookmarkStart w:id="293" w:name="_Toc296503168"/>
      <w:bookmarkStart w:id="294" w:name="_Toc296347167"/>
      <w:bookmarkStart w:id="295" w:name="_Toc297120468"/>
      <w:bookmarkStart w:id="296" w:name="_Toc296944507"/>
      <w:bookmarkStart w:id="297" w:name="_Toc304295557"/>
      <w:bookmarkStart w:id="298" w:name="_Toc296890996"/>
      <w:r>
        <w:rPr>
          <w:rFonts w:hint="eastAsia" w:ascii="仿宋" w:hAnsi="仿宋" w:eastAsia="仿宋" w:cs="仿宋"/>
          <w:color w:val="auto"/>
          <w:sz w:val="24"/>
          <w:szCs w:val="24"/>
        </w:rPr>
        <w:t>.4.1发包人供应的材料设备的保管费用的承担：</w:t>
      </w:r>
      <w:r>
        <w:rPr>
          <w:rFonts w:hint="eastAsia" w:ascii="仿宋" w:hAnsi="仿宋" w:eastAsia="仿宋" w:cs="仿宋"/>
          <w:color w:val="auto"/>
          <w:sz w:val="24"/>
          <w:szCs w:val="24"/>
          <w:u w:val="single"/>
        </w:rPr>
        <w:t>执行通用条款。</w:t>
      </w:r>
      <w:bookmarkEnd w:id="281"/>
      <w:bookmarkEnd w:id="282"/>
    </w:p>
    <w:p w14:paraId="78A8A768">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8.6 样品</w:t>
      </w:r>
    </w:p>
    <w:p w14:paraId="1DDBADA7">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8.6.1 样品的报送与封存</w:t>
      </w:r>
    </w:p>
    <w:p w14:paraId="60F70CDF">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需要承包人报送样品的材料或工程设备，样品的种类、名称、规格、数量要求：</w:t>
      </w:r>
      <w:r>
        <w:rPr>
          <w:rFonts w:hint="eastAsia" w:ascii="仿宋" w:hAnsi="仿宋" w:eastAsia="仿宋" w:cs="仿宋"/>
          <w:bCs/>
          <w:color w:val="auto"/>
          <w:sz w:val="24"/>
          <w:szCs w:val="24"/>
          <w:u w:val="single"/>
        </w:rPr>
        <w:t>按《建设工程监理规范》及监理细则有关规定执行</w:t>
      </w:r>
    </w:p>
    <w:p w14:paraId="201D9386">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8.8 施工设备和临时设施</w:t>
      </w:r>
    </w:p>
    <w:p w14:paraId="0298657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8.8.1 承包人提供的施工设备和临时设施</w:t>
      </w:r>
    </w:p>
    <w:p w14:paraId="1C6E1DFA">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关于修建临时设施费用承担的约定：</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承包人自行承担修建临时设施的费用，需要临时占红线范围内用地的，经发包人申请办理相关手续，发包人承担相应费用。 </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Start w:id="299" w:name="_Toc351203641"/>
    </w:p>
    <w:p w14:paraId="360D8C57">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9</w:t>
      </w:r>
      <w:bookmarkEnd w:id="278"/>
      <w:bookmarkEnd w:id="279"/>
      <w:bookmarkEnd w:id="280"/>
      <w:bookmarkStart w:id="300" w:name="_Toc312677495"/>
      <w:bookmarkStart w:id="301" w:name="_Toc304295559"/>
      <w:bookmarkStart w:id="302" w:name="_Toc297216192"/>
      <w:bookmarkStart w:id="303" w:name="_Toc300934982"/>
      <w:bookmarkStart w:id="304" w:name="_Toc303539139"/>
      <w:bookmarkStart w:id="305" w:name="_Toc312678021"/>
      <w:bookmarkStart w:id="306" w:name="_Toc297123533"/>
      <w:bookmarkStart w:id="307" w:name="_Toc297120473"/>
      <w:bookmarkStart w:id="308" w:name="_Toc297048359"/>
      <w:bookmarkStart w:id="309" w:name="_Toc296346674"/>
      <w:bookmarkStart w:id="310" w:name="_Toc296944512"/>
      <w:bookmarkStart w:id="311" w:name="_Toc296503173"/>
      <w:bookmarkStart w:id="312" w:name="_Toc296891213"/>
      <w:bookmarkStart w:id="313" w:name="_Toc296347172"/>
      <w:bookmarkStart w:id="314" w:name="_Toc267251427"/>
      <w:bookmarkStart w:id="315" w:name="_Toc296891001"/>
      <w:bookmarkStart w:id="316" w:name="_Toc292559378"/>
      <w:bookmarkStart w:id="317" w:name="_Toc292559883"/>
      <w:bookmarkStart w:id="318" w:name="_Toc267251428"/>
      <w:r>
        <w:rPr>
          <w:rFonts w:hint="eastAsia" w:ascii="仿宋" w:hAnsi="仿宋" w:eastAsia="仿宋" w:cs="仿宋"/>
          <w:bCs/>
          <w:color w:val="auto"/>
          <w:sz w:val="24"/>
          <w:szCs w:val="24"/>
        </w:rPr>
        <w:t>. 试验与检验</w:t>
      </w:r>
      <w:bookmarkEnd w:id="299"/>
    </w:p>
    <w:bookmarkEnd w:id="300"/>
    <w:bookmarkEnd w:id="301"/>
    <w:bookmarkEnd w:id="302"/>
    <w:bookmarkEnd w:id="303"/>
    <w:bookmarkEnd w:id="304"/>
    <w:bookmarkEnd w:id="305"/>
    <w:bookmarkEnd w:id="306"/>
    <w:p w14:paraId="34F672C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bookmarkStart w:id="319" w:name="_Toc297216193"/>
      <w:bookmarkStart w:id="320" w:name="_Toc300934983"/>
      <w:bookmarkStart w:id="321" w:name="_Toc304295560"/>
      <w:bookmarkStart w:id="322" w:name="_Toc297123534"/>
      <w:bookmarkStart w:id="323" w:name="_Toc303539140"/>
      <w:bookmarkStart w:id="324" w:name="_Toc312677496"/>
      <w:bookmarkStart w:id="325" w:name="_Toc312678022"/>
      <w:r>
        <w:rPr>
          <w:rFonts w:hint="eastAsia" w:ascii="仿宋" w:hAnsi="仿宋" w:eastAsia="仿宋" w:cs="仿宋"/>
          <w:color w:val="auto"/>
          <w:sz w:val="24"/>
          <w:szCs w:val="24"/>
        </w:rPr>
        <w:t>.1试验设备与试验人员</w:t>
      </w:r>
    </w:p>
    <w:bookmarkEnd w:id="319"/>
    <w:bookmarkEnd w:id="320"/>
    <w:bookmarkEnd w:id="321"/>
    <w:bookmarkEnd w:id="322"/>
    <w:bookmarkEnd w:id="323"/>
    <w:bookmarkEnd w:id="324"/>
    <w:bookmarkEnd w:id="325"/>
    <w:p w14:paraId="5779CF8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bookmarkStart w:id="326" w:name="_Toc304295561"/>
      <w:bookmarkStart w:id="327" w:name="_Toc312678023"/>
      <w:bookmarkStart w:id="328" w:name="_Toc300934984"/>
      <w:bookmarkStart w:id="329" w:name="_Toc312677497"/>
      <w:bookmarkStart w:id="330" w:name="_Toc297123535"/>
      <w:bookmarkStart w:id="331" w:name="_Toc297216194"/>
      <w:bookmarkStart w:id="332" w:name="_Toc303539141"/>
      <w:bookmarkStart w:id="333" w:name="_Toc318581174"/>
      <w:r>
        <w:rPr>
          <w:rFonts w:hint="eastAsia" w:ascii="仿宋" w:hAnsi="仿宋" w:eastAsia="仿宋" w:cs="仿宋"/>
          <w:color w:val="auto"/>
          <w:sz w:val="24"/>
          <w:szCs w:val="24"/>
        </w:rPr>
        <w:t>.1.2 试验设备</w:t>
      </w:r>
    </w:p>
    <w:p w14:paraId="152CF38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施工现场需要配置的试验场所：</w:t>
      </w:r>
      <w:bookmarkEnd w:id="326"/>
      <w:bookmarkEnd w:id="327"/>
      <w:bookmarkEnd w:id="328"/>
      <w:bookmarkEnd w:id="329"/>
      <w:bookmarkEnd w:id="330"/>
      <w:bookmarkEnd w:id="331"/>
      <w:bookmarkEnd w:id="332"/>
      <w:bookmarkStart w:id="334" w:name="_Toc304295562"/>
      <w:bookmarkStart w:id="335" w:name="_Toc297123536"/>
      <w:bookmarkStart w:id="336" w:name="_Toc312677498"/>
      <w:bookmarkStart w:id="337" w:name="_Toc300934985"/>
      <w:bookmarkStart w:id="338" w:name="_Toc303539142"/>
      <w:bookmarkStart w:id="339" w:name="_Toc297216195"/>
      <w:bookmarkStart w:id="340" w:name="_Toc312678024"/>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 xml:space="preserve">按有关规定执行。                  。 </w:t>
      </w:r>
    </w:p>
    <w:p w14:paraId="14E1E49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施工现场需要配备的试验设备：</w:t>
      </w:r>
      <w:r>
        <w:rPr>
          <w:rFonts w:hint="eastAsia" w:ascii="仿宋" w:hAnsi="仿宋" w:eastAsia="仿宋" w:cs="仿宋"/>
          <w:bCs/>
          <w:color w:val="auto"/>
          <w:sz w:val="24"/>
          <w:szCs w:val="24"/>
          <w:u w:val="single"/>
        </w:rPr>
        <w:t>按有关规定执行。                    。</w:t>
      </w:r>
    </w:p>
    <w:p w14:paraId="7375ED0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施工现场需要具备的其他试验条件：</w:t>
      </w:r>
      <w:r>
        <w:rPr>
          <w:rFonts w:hint="eastAsia" w:ascii="仿宋" w:hAnsi="仿宋" w:eastAsia="仿宋" w:cs="仿宋"/>
          <w:bCs/>
          <w:color w:val="auto"/>
          <w:sz w:val="24"/>
          <w:szCs w:val="24"/>
          <w:u w:val="single"/>
        </w:rPr>
        <w:t xml:space="preserve"> 按有关规定执行。              。</w:t>
      </w:r>
    </w:p>
    <w:p w14:paraId="23AABA3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9.4 现场工艺试验 </w:t>
      </w:r>
    </w:p>
    <w:p w14:paraId="0DC1AAC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现场工艺试验的有关约定：</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bookmarkEnd w:id="333"/>
      <w:bookmarkEnd w:id="334"/>
      <w:bookmarkEnd w:id="335"/>
      <w:bookmarkEnd w:id="336"/>
      <w:bookmarkEnd w:id="337"/>
      <w:bookmarkEnd w:id="338"/>
      <w:bookmarkEnd w:id="339"/>
      <w:bookmarkEnd w:id="340"/>
      <w:bookmarkStart w:id="341" w:name="_Toc351203642"/>
    </w:p>
    <w:p w14:paraId="179173C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w:t>
      </w:r>
      <w:bookmarkEnd w:id="307"/>
      <w:bookmarkEnd w:id="308"/>
      <w:bookmarkEnd w:id="309"/>
      <w:bookmarkEnd w:id="310"/>
      <w:bookmarkEnd w:id="311"/>
      <w:bookmarkEnd w:id="312"/>
      <w:bookmarkEnd w:id="313"/>
      <w:bookmarkEnd w:id="314"/>
      <w:bookmarkEnd w:id="315"/>
      <w:bookmarkEnd w:id="316"/>
      <w:bookmarkEnd w:id="317"/>
      <w:bookmarkEnd w:id="318"/>
      <w:bookmarkStart w:id="342" w:name="_Toc292559903"/>
      <w:bookmarkStart w:id="343" w:name="_Toc297048379"/>
      <w:bookmarkStart w:id="344" w:name="_Toc296503193"/>
      <w:bookmarkStart w:id="345" w:name="_Toc303539146"/>
      <w:bookmarkStart w:id="346" w:name="_Toc296944532"/>
      <w:bookmarkStart w:id="347" w:name="_Toc297123540"/>
      <w:bookmarkStart w:id="348" w:name="_Toc296346694"/>
      <w:bookmarkStart w:id="349" w:name="_Toc304295566"/>
      <w:bookmarkStart w:id="350" w:name="_Toc300934989"/>
      <w:bookmarkStart w:id="351" w:name="_Toc297216199"/>
      <w:bookmarkStart w:id="352" w:name="_Toc296891021"/>
      <w:bookmarkStart w:id="353" w:name="_Toc296891233"/>
      <w:bookmarkStart w:id="354" w:name="_Toc296347192"/>
      <w:bookmarkStart w:id="355" w:name="_Toc292559398"/>
      <w:bookmarkStart w:id="356" w:name="_Toc297120493"/>
      <w:bookmarkStart w:id="357" w:name="_Toc312677499"/>
      <w:bookmarkStart w:id="358" w:name="_Toc312678025"/>
      <w:bookmarkStart w:id="359" w:name="_Toc267251435"/>
      <w:bookmarkStart w:id="360" w:name="_Toc267251440"/>
      <w:bookmarkStart w:id="361" w:name="_Toc267251441"/>
      <w:bookmarkStart w:id="362" w:name="_Toc267251433"/>
      <w:bookmarkStart w:id="363" w:name="_Toc267251437"/>
      <w:bookmarkStart w:id="364" w:name="_Toc267251439"/>
      <w:bookmarkStart w:id="365" w:name="_Toc267251442"/>
      <w:r>
        <w:rPr>
          <w:rFonts w:hint="eastAsia" w:ascii="仿宋" w:hAnsi="仿宋" w:eastAsia="仿宋" w:cs="仿宋"/>
          <w:bCs/>
          <w:color w:val="auto"/>
          <w:sz w:val="24"/>
          <w:szCs w:val="24"/>
        </w:rPr>
        <w:t>0. 变更</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bookmarkEnd w:id="357"/>
    <w:bookmarkEnd w:id="358"/>
    <w:p w14:paraId="0F369B14">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366" w:name="_Toc296503194"/>
      <w:bookmarkStart w:id="367" w:name="_Toc292559904"/>
      <w:bookmarkStart w:id="368" w:name="_Toc297216200"/>
      <w:bookmarkStart w:id="369" w:name="_Toc296346695"/>
      <w:bookmarkStart w:id="370" w:name="_Toc296347193"/>
      <w:bookmarkStart w:id="371" w:name="_Toc296891022"/>
      <w:bookmarkStart w:id="372" w:name="_Toc296891234"/>
      <w:bookmarkStart w:id="373" w:name="_Toc300934990"/>
      <w:bookmarkStart w:id="374" w:name="_Toc297048380"/>
      <w:bookmarkStart w:id="375" w:name="_Toc296944533"/>
      <w:bookmarkStart w:id="376" w:name="_Toc303539147"/>
      <w:bookmarkStart w:id="377" w:name="_Toc297120494"/>
      <w:bookmarkStart w:id="378" w:name="_Toc297123541"/>
      <w:bookmarkStart w:id="379" w:name="_Toc312678026"/>
      <w:bookmarkStart w:id="380" w:name="_Toc292559399"/>
      <w:bookmarkStart w:id="381" w:name="_Toc312677500"/>
      <w:bookmarkStart w:id="382" w:name="_Toc304295567"/>
      <w:r>
        <w:rPr>
          <w:rFonts w:hint="eastAsia" w:ascii="仿宋" w:hAnsi="仿宋" w:eastAsia="仿宋" w:cs="仿宋"/>
          <w:color w:val="auto"/>
          <w:sz w:val="24"/>
          <w:szCs w:val="24"/>
        </w:rPr>
        <w:t>0.1变更的范围</w:t>
      </w:r>
    </w:p>
    <w:p w14:paraId="0CCB863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关于变更的范围的约定：</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6BF8E70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10.3变更程序</w:t>
      </w:r>
    </w:p>
    <w:p w14:paraId="2952582F">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10.3.1 发包人提出变更：</w:t>
      </w:r>
      <w:r>
        <w:rPr>
          <w:rFonts w:hint="eastAsia" w:ascii="仿宋" w:hAnsi="仿宋" w:eastAsia="仿宋" w:cs="仿宋"/>
          <w:color w:val="auto"/>
          <w:sz w:val="24"/>
          <w:szCs w:val="24"/>
          <w:u w:val="single"/>
        </w:rPr>
        <w:t>发包人提出变更的应当按相关规定程序审批通过后（审批表附后），方可通过监理人向承包人发出变更指示，变更指示应说明计划变更的工程范围和变更的内容</w:t>
      </w:r>
      <w:r>
        <w:rPr>
          <w:rFonts w:hint="eastAsia" w:ascii="仿宋" w:hAnsi="仿宋" w:eastAsia="仿宋" w:cs="仿宋"/>
          <w:b/>
          <w:bCs/>
          <w:color w:val="auto"/>
          <w:sz w:val="24"/>
          <w:szCs w:val="24"/>
          <w:u w:val="single"/>
        </w:rPr>
        <w:t>。</w:t>
      </w:r>
    </w:p>
    <w:p w14:paraId="5F9D17F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10.4 变更估价</w:t>
      </w:r>
    </w:p>
    <w:p w14:paraId="5CC16E1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10.4.1 变更估价原则</w:t>
      </w:r>
    </w:p>
    <w:p w14:paraId="40256E6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关于变更估价的约定: </w:t>
      </w:r>
      <w:r>
        <w:rPr>
          <w:rFonts w:hint="eastAsia" w:ascii="仿宋" w:hAnsi="仿宋" w:eastAsia="仿宋" w:cs="仿宋"/>
          <w:color w:val="auto"/>
          <w:sz w:val="24"/>
          <w:szCs w:val="24"/>
          <w:u w:val="single"/>
        </w:rPr>
        <w:t xml:space="preserve">执行通用合同条款10.4.1（1）、（2）。通用合同条款10.4.1（3）中规定的情况，执行2012年市政工程单位估价表（2010房建工程单位估价表、2014园林单位估价表等）及执行施工同期的调价文件（定额取费中的企业管理费及利润按上限计取），并按中标价与招标控制价相比的下浮率整体下浮后，由监理人和跟踪审计单位按第10.4.2条款规定的程序变更项目的单价。工程量变化超过15%的按专用条款中11.2的规定执行。  </w:t>
      </w:r>
    </w:p>
    <w:p w14:paraId="62D2D43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3" w:name="_Toc296891237"/>
      <w:bookmarkStart w:id="384" w:name="_Toc303539150"/>
      <w:bookmarkStart w:id="385" w:name="_Toc296347196"/>
      <w:bookmarkStart w:id="386" w:name="_Toc300934993"/>
      <w:bookmarkStart w:id="387" w:name="_Toc296944536"/>
      <w:bookmarkStart w:id="388" w:name="_Toc292559907"/>
      <w:bookmarkStart w:id="389" w:name="_Toc297048383"/>
      <w:bookmarkStart w:id="390" w:name="_Toc296891025"/>
      <w:bookmarkStart w:id="391" w:name="_Toc297123544"/>
      <w:bookmarkStart w:id="392" w:name="_Toc296503197"/>
      <w:bookmarkStart w:id="393" w:name="_Toc296346698"/>
      <w:bookmarkStart w:id="394" w:name="_Toc297120497"/>
      <w:bookmarkStart w:id="395" w:name="_Toc297216203"/>
      <w:bookmarkStart w:id="396" w:name="_Toc292559402"/>
      <w:bookmarkStart w:id="397" w:name="_Toc312678029"/>
      <w:bookmarkStart w:id="398" w:name="_Toc304295570"/>
      <w:bookmarkStart w:id="399" w:name="_Toc312677503"/>
      <w:r>
        <w:rPr>
          <w:rFonts w:hint="eastAsia" w:ascii="仿宋" w:hAnsi="仿宋" w:eastAsia="仿宋" w:cs="仿宋"/>
          <w:color w:val="auto"/>
          <w:sz w:val="24"/>
          <w:szCs w:val="24"/>
        </w:rPr>
        <w:t>0.5承</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Start w:id="400" w:name="_Toc300934994"/>
      <w:bookmarkStart w:id="401" w:name="_Toc297123545"/>
      <w:bookmarkStart w:id="402" w:name="_Toc296347202"/>
      <w:bookmarkStart w:id="403" w:name="_Toc297120503"/>
      <w:bookmarkStart w:id="404" w:name="_Toc292559913"/>
      <w:bookmarkStart w:id="405" w:name="_Toc296891031"/>
      <w:bookmarkStart w:id="406" w:name="_Toc292559408"/>
      <w:bookmarkStart w:id="407" w:name="_Toc297216204"/>
      <w:bookmarkStart w:id="408" w:name="_Toc296891243"/>
      <w:bookmarkStart w:id="409" w:name="_Toc297048389"/>
      <w:bookmarkStart w:id="410" w:name="_Toc296944542"/>
      <w:bookmarkStart w:id="411" w:name="_Toc303539151"/>
      <w:bookmarkStart w:id="412" w:name="_Toc296346704"/>
      <w:bookmarkStart w:id="413" w:name="_Toc296503203"/>
      <w:r>
        <w:rPr>
          <w:rFonts w:hint="eastAsia" w:ascii="仿宋" w:hAnsi="仿宋" w:eastAsia="仿宋" w:cs="仿宋"/>
          <w:color w:val="auto"/>
          <w:sz w:val="24"/>
          <w:szCs w:val="24"/>
        </w:rPr>
        <w:t>包人的合理化建议</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7BFFBB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监理人审查承包人合理化建议的期限：</w:t>
      </w:r>
      <w:r>
        <w:rPr>
          <w:rFonts w:hint="eastAsia" w:ascii="仿宋" w:hAnsi="仿宋" w:eastAsia="仿宋" w:cs="仿宋"/>
          <w:color w:val="auto"/>
          <w:sz w:val="24"/>
          <w:szCs w:val="24"/>
          <w:u w:val="single"/>
        </w:rPr>
        <w:t xml:space="preserve"> 收到承包人提交的合理化建议7日内审查完毕并报送发包人。</w:t>
      </w:r>
    </w:p>
    <w:p w14:paraId="5BB0424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发包人审批承包人合理化建议的期限：</w:t>
      </w:r>
      <w:r>
        <w:rPr>
          <w:rFonts w:hint="eastAsia" w:ascii="仿宋" w:hAnsi="仿宋" w:eastAsia="仿宋" w:cs="仿宋"/>
          <w:color w:val="auto"/>
          <w:sz w:val="24"/>
          <w:szCs w:val="24"/>
          <w:u w:val="single"/>
        </w:rPr>
        <w:t>收到监理人提交的合理化建议7日内审查完毕并通知承包人。</w:t>
      </w:r>
    </w:p>
    <w:p w14:paraId="136FF96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w:t>
      </w:r>
      <w:bookmarkStart w:id="414" w:name="_Toc297123546"/>
      <w:bookmarkStart w:id="415" w:name="_Toc292559409"/>
      <w:bookmarkStart w:id="416" w:name="_Toc296346705"/>
      <w:bookmarkStart w:id="417" w:name="_Toc296944543"/>
      <w:bookmarkStart w:id="418" w:name="_Toc296503204"/>
      <w:bookmarkStart w:id="419" w:name="_Toc300934995"/>
      <w:bookmarkStart w:id="420" w:name="_Toc312677504"/>
      <w:bookmarkStart w:id="421" w:name="_Toc303539152"/>
      <w:bookmarkStart w:id="422" w:name="_Toc296891244"/>
      <w:bookmarkStart w:id="423" w:name="_Toc296347203"/>
      <w:bookmarkStart w:id="424" w:name="_Toc297048390"/>
      <w:bookmarkStart w:id="425" w:name="_Toc318581175"/>
      <w:bookmarkStart w:id="426" w:name="_Toc304295571"/>
      <w:bookmarkStart w:id="427" w:name="_Toc297216205"/>
      <w:bookmarkStart w:id="428" w:name="_Toc296891032"/>
      <w:bookmarkStart w:id="429" w:name="_Toc292559914"/>
      <w:bookmarkStart w:id="430" w:name="_Toc297120504"/>
      <w:bookmarkStart w:id="431" w:name="_Toc312678030"/>
      <w:r>
        <w:rPr>
          <w:rFonts w:hint="eastAsia" w:ascii="仿宋" w:hAnsi="仿宋" w:eastAsia="仿宋" w:cs="仿宋"/>
          <w:color w:val="auto"/>
          <w:sz w:val="24"/>
          <w:szCs w:val="24"/>
        </w:rPr>
        <w:t>包人提出的合理化建议降低了合同价格或者提高了工程经济效益的奖励的方法和金额为：</w:t>
      </w:r>
      <w:r>
        <w:rPr>
          <w:rFonts w:hint="eastAsia" w:ascii="仿宋" w:hAnsi="仿宋" w:eastAsia="仿宋" w:cs="仿宋"/>
          <w:color w:val="auto"/>
          <w:sz w:val="24"/>
          <w:szCs w:val="24"/>
          <w:u w:val="single"/>
        </w:rPr>
        <w:t>按国家有关规定执行或协商确定。</w:t>
      </w: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5F4AE353">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432" w:name="_Toc292559909"/>
      <w:bookmarkStart w:id="433" w:name="_Toc304295574"/>
      <w:bookmarkStart w:id="434" w:name="_Toc297048385"/>
      <w:bookmarkStart w:id="435" w:name="_Toc292559404"/>
      <w:bookmarkStart w:id="436" w:name="_Toc312678033"/>
      <w:bookmarkStart w:id="437" w:name="_Toc296346700"/>
      <w:bookmarkStart w:id="438" w:name="_Toc296944538"/>
      <w:bookmarkStart w:id="439" w:name="_Toc312677507"/>
      <w:bookmarkStart w:id="440" w:name="_Toc296891027"/>
      <w:bookmarkStart w:id="441" w:name="_Toc300934997"/>
      <w:bookmarkStart w:id="442" w:name="_Toc297216207"/>
      <w:bookmarkStart w:id="443" w:name="_Toc296347198"/>
      <w:bookmarkStart w:id="444" w:name="_Toc296503199"/>
      <w:bookmarkStart w:id="445" w:name="_Toc303539154"/>
      <w:bookmarkStart w:id="446" w:name="_Toc297123548"/>
      <w:bookmarkStart w:id="447" w:name="_Toc297120499"/>
      <w:bookmarkStart w:id="448" w:name="_Toc296891239"/>
      <w:r>
        <w:rPr>
          <w:rFonts w:hint="eastAsia" w:ascii="仿宋" w:hAnsi="仿宋" w:eastAsia="仿宋" w:cs="仿宋"/>
          <w:color w:val="auto"/>
          <w:sz w:val="24"/>
          <w:szCs w:val="24"/>
        </w:rPr>
        <w:t>0.7 暂估价</w:t>
      </w:r>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1B7C561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暂</w:t>
      </w:r>
      <w:bookmarkStart w:id="449" w:name="_Toc312677508"/>
      <w:bookmarkStart w:id="450" w:name="_Toc312678034"/>
      <w:bookmarkStart w:id="451" w:name="_Toc318581176"/>
      <w:r>
        <w:rPr>
          <w:rFonts w:hint="eastAsia" w:ascii="仿宋" w:hAnsi="仿宋" w:eastAsia="仿宋" w:cs="仿宋"/>
          <w:color w:val="auto"/>
          <w:sz w:val="24"/>
          <w:szCs w:val="24"/>
        </w:rPr>
        <w:t>估价材料和工程设备的明细详见附件11：《暂估价一览表》。</w:t>
      </w:r>
    </w:p>
    <w:bookmarkEnd w:id="449"/>
    <w:bookmarkEnd w:id="450"/>
    <w:bookmarkEnd w:id="451"/>
    <w:p w14:paraId="029D444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Start w:id="452" w:name="_Toc318581177"/>
      <w:bookmarkStart w:id="453" w:name="_Toc312677509"/>
      <w:bookmarkStart w:id="454" w:name="_Toc312678035"/>
      <w:r>
        <w:rPr>
          <w:rFonts w:hint="eastAsia" w:ascii="仿宋" w:hAnsi="仿宋" w:eastAsia="仿宋" w:cs="仿宋"/>
          <w:color w:val="auto"/>
          <w:sz w:val="24"/>
          <w:szCs w:val="24"/>
        </w:rPr>
        <w:t>0.7.1 依法必须招标的暂估价项目</w:t>
      </w:r>
    </w:p>
    <w:bookmarkEnd w:id="452"/>
    <w:bookmarkEnd w:id="453"/>
    <w:bookmarkEnd w:id="454"/>
    <w:p w14:paraId="7F0734D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对于依法必须招标的暂估价项目的确认和批准采取第 </w:t>
      </w:r>
      <w:r>
        <w:rPr>
          <w:rFonts w:hint="eastAsia" w:ascii="仿宋" w:hAnsi="仿宋" w:eastAsia="仿宋" w:cs="仿宋"/>
          <w:color w:val="auto"/>
          <w:sz w:val="24"/>
          <w:szCs w:val="24"/>
          <w:u w:val="single"/>
        </w:rPr>
        <w:t>2</w:t>
      </w:r>
      <w:r>
        <w:rPr>
          <w:rFonts w:hint="eastAsia" w:ascii="仿宋" w:hAnsi="仿宋" w:eastAsia="仿宋" w:cs="仿宋"/>
          <w:color w:val="auto"/>
          <w:sz w:val="24"/>
          <w:szCs w:val="24"/>
        </w:rPr>
        <w:t>种方式确定。</w:t>
      </w:r>
    </w:p>
    <w:p w14:paraId="75F0363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10.7.2 不属于依法必须招标的暂估价项目</w:t>
      </w:r>
    </w:p>
    <w:p w14:paraId="478EEB4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对于不属于依法必须招标的暂估价项目的确认和批准采取第</w:t>
      </w:r>
      <w:r>
        <w:rPr>
          <w:rFonts w:hint="eastAsia" w:ascii="仿宋" w:hAnsi="仿宋" w:eastAsia="仿宋" w:cs="仿宋"/>
          <w:color w:val="auto"/>
          <w:sz w:val="24"/>
          <w:szCs w:val="24"/>
          <w:u w:val="single"/>
        </w:rPr>
        <w:t xml:space="preserve">1 </w:t>
      </w:r>
      <w:r>
        <w:rPr>
          <w:rFonts w:hint="eastAsia" w:ascii="仿宋" w:hAnsi="仿宋" w:eastAsia="仿宋" w:cs="仿宋"/>
          <w:color w:val="auto"/>
          <w:sz w:val="24"/>
          <w:szCs w:val="24"/>
        </w:rPr>
        <w:t xml:space="preserve"> 种方式确定。</w:t>
      </w:r>
    </w:p>
    <w:p w14:paraId="38A3F4D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第3种方式：承包人直接实施的暂估价项目</w:t>
      </w:r>
    </w:p>
    <w:p w14:paraId="0062B75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承包人直接实施的暂估价项目的约定：</w:t>
      </w:r>
      <w:r>
        <w:rPr>
          <w:rFonts w:hint="eastAsia" w:ascii="仿宋" w:hAnsi="仿宋" w:eastAsia="仿宋" w:cs="仿宋"/>
          <w:color w:val="auto"/>
          <w:sz w:val="24"/>
          <w:szCs w:val="24"/>
          <w:u w:val="single"/>
        </w:rPr>
        <w:t>承包人可以在暂估价内完成的，可能以按10.3.1变更程序办理，不计入进度款支付范围，工程完工价款计入竣工结算。</w:t>
      </w:r>
    </w:p>
    <w:p w14:paraId="312D6DB5">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10.8 暂列金额</w:t>
      </w:r>
    </w:p>
    <w:p w14:paraId="339D65A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合同当事人关于暂列金额使用的约定：</w:t>
      </w:r>
      <w:r>
        <w:rPr>
          <w:rFonts w:hint="eastAsia" w:ascii="仿宋" w:hAnsi="仿宋" w:eastAsia="仿宋" w:cs="仿宋"/>
          <w:color w:val="auto"/>
          <w:sz w:val="24"/>
          <w:szCs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还包括部份扬尘污染防治费（其中施工现场设置的扬尘监控系统和远程视频监控系统按三次进行摊销，本工程不计入软件及信号网络传输相关费用）暂列金是招标人自行确定设立的，承包商无权使用此笔费用。此费用按实际发生经招标人签证后确定全部使用、部分使用或不使用。暂列金不计入工程款付款的基数。</w:t>
      </w:r>
      <w:bookmarkStart w:id="455" w:name="_Toc351203643"/>
    </w:p>
    <w:p w14:paraId="37860F4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11. 价格调整</w:t>
      </w:r>
      <w:bookmarkEnd w:id="455"/>
    </w:p>
    <w:p w14:paraId="04D020A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456" w:name="_Toc297216209"/>
      <w:bookmarkStart w:id="457" w:name="_Toc297120501"/>
      <w:bookmarkStart w:id="458" w:name="_Toc303539157"/>
      <w:bookmarkStart w:id="459" w:name="_Toc296891241"/>
      <w:bookmarkStart w:id="460" w:name="_Toc312678039"/>
      <w:bookmarkStart w:id="461" w:name="_Toc296346702"/>
      <w:bookmarkStart w:id="462" w:name="_Toc300935000"/>
      <w:bookmarkStart w:id="463" w:name="_Toc296891029"/>
      <w:bookmarkStart w:id="464" w:name="_Toc292559911"/>
      <w:bookmarkStart w:id="465" w:name="_Toc296503201"/>
      <w:bookmarkStart w:id="466" w:name="_Toc296944540"/>
      <w:bookmarkStart w:id="467" w:name="_Toc292559406"/>
      <w:bookmarkStart w:id="468" w:name="_Toc304295577"/>
      <w:bookmarkStart w:id="469" w:name="_Toc296347200"/>
      <w:bookmarkStart w:id="470" w:name="_Toc297123550"/>
      <w:bookmarkStart w:id="471" w:name="_Toc297048387"/>
      <w:r>
        <w:rPr>
          <w:rFonts w:hint="eastAsia" w:ascii="仿宋" w:hAnsi="仿宋" w:eastAsia="仿宋" w:cs="仿宋"/>
          <w:color w:val="auto"/>
          <w:sz w:val="24"/>
          <w:szCs w:val="24"/>
        </w:rPr>
        <w:t>11.1 市场价格波动引起的调整</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4E340E1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市场价格波动是否调整合同价格的约定：</w:t>
      </w:r>
      <w:r>
        <w:rPr>
          <w:rFonts w:hint="eastAsia" w:ascii="仿宋" w:hAnsi="仿宋" w:eastAsia="仿宋" w:cs="仿宋"/>
          <w:color w:val="auto"/>
          <w:sz w:val="24"/>
          <w:szCs w:val="24"/>
          <w:u w:val="single"/>
        </w:rPr>
        <w:t xml:space="preserve">   若施工期内市场价格波动超出一定幅度时，应按合同约定调整工程价款；合同没有约定或约定不明确的，应按省级或行业建设主管部门或其授权的工程造价管理机构的规定调整。              </w:t>
      </w:r>
      <w:r>
        <w:rPr>
          <w:rFonts w:hint="eastAsia" w:ascii="仿宋" w:hAnsi="仿宋" w:eastAsia="仿宋" w:cs="仿宋"/>
          <w:color w:val="auto"/>
          <w:sz w:val="24"/>
          <w:szCs w:val="24"/>
        </w:rPr>
        <w:t>。</w:t>
      </w:r>
    </w:p>
    <w:p w14:paraId="46141D0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因市场价格波动调整合同价格，采用以下第</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2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种方式对合同价格进行调整：</w:t>
      </w:r>
    </w:p>
    <w:p w14:paraId="4E9089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第1种方式：采用价格指数进行价格调整。</w:t>
      </w:r>
    </w:p>
    <w:p w14:paraId="12A63CB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关于各可调因子、定值和变值权重，以及基本价格指数及其来源的约定：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7B2BFED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第2种方式：采用造价信息进行价格调整。</w:t>
      </w:r>
    </w:p>
    <w:p w14:paraId="4AB698B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（2）关于基准价格的约定：</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48070C3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%时，或材料单价跌幅以已标价工程量清单或预算书中载明材料单价为基础超过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5818C3C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%时，材料单价涨幅以已标价工程量清单或预算书中载明材料单价为基础超过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4E9D42C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%时，其超过部分据实调整。</w:t>
      </w:r>
    </w:p>
    <w:p w14:paraId="690C674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第3种方式：其他价格调整方式：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11.2因非承包人原因引起的工程增减，该项工程量变化在合同约定幅度以内的，应执行原有的综合单价；该项工程量变倾合同约定幅度以外的，其综合单价及措施费应予以调整。按以下原则办理：</w:t>
      </w:r>
    </w:p>
    <w:p w14:paraId="08CAF2C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1、当工程量清单项目工程量的变化幅度在15%以内时，其综合单价不做调整，执行原有综合单价。</w:t>
      </w:r>
    </w:p>
    <w:p w14:paraId="69ADB1E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当工程量清单项目一种量的变化幅度在15%以外，其综合单价以及对应的措施费（如有）均应作调整。调整的方法是由承包人对增加的工程量或减少后剩余的工程量提出新的综合单价和措施项目费，经发包人确认后调整。</w:t>
      </w:r>
    </w:p>
    <w:p w14:paraId="633A2ECE">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3、当工程量变化符合以上规定时，调整办法如下：</w:t>
      </w:r>
    </w:p>
    <w:p w14:paraId="1ADE3B4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1、当Q1＞1.15Q0时：</w:t>
      </w:r>
    </w:p>
    <w:p w14:paraId="48BB4B4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S=1.15Q0×P0＋（Q1-1.15Q0）×P1</w:t>
      </w:r>
    </w:p>
    <w:p w14:paraId="694F574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2、当Q1＜0.85Q0时：</w:t>
      </w:r>
    </w:p>
    <w:p w14:paraId="3C4B82F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 Q1×P1</w:t>
      </w:r>
    </w:p>
    <w:p w14:paraId="59B8530D">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式中S——调整后的某一分部分项工程费结算价；</w:t>
      </w:r>
    </w:p>
    <w:p w14:paraId="63D652C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Q1——最终完成的工程量；</w:t>
      </w:r>
    </w:p>
    <w:p w14:paraId="6254DAF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Q0——招标工程量清单中列出的工程量；</w:t>
      </w:r>
    </w:p>
    <w:p w14:paraId="43CE8AAF">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P1——按照最终完成工程量重新调整后的综合单价；</w:t>
      </w:r>
    </w:p>
    <w:p w14:paraId="681CD84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P0——承包人在工程量清单中填报的综合单价。</w:t>
      </w:r>
    </w:p>
    <w:p w14:paraId="3BC97A8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确定新的综合单价，即P1确定的方法：</w:t>
      </w:r>
    </w:p>
    <w:p w14:paraId="774884A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与招标控制价相联系，当工程量偏差项目出现施工单位在工程量清单中填报的综合单价与发包人招标控制价相应清单项目的综合单价偏差超过15%时，工程量偏差项目综合单价的调整可参考以下公式：</w:t>
      </w:r>
    </w:p>
    <w:p w14:paraId="345C3D90">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3、当P0＜P2×（1-L）×(1-15%)时，该类项目的综合单价：</w:t>
      </w:r>
    </w:p>
    <w:p w14:paraId="4680F6A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P1按照P2×（1-L）×(1-15%)调整。</w:t>
      </w:r>
    </w:p>
    <w:p w14:paraId="68ADB49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4、当P0＞P2× (1+15%)时，该类项目的综合单价：</w:t>
      </w:r>
    </w:p>
    <w:p w14:paraId="58C5EEF3">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P1按照P2× (1+15%)调整</w:t>
      </w:r>
    </w:p>
    <w:p w14:paraId="6E4CDE33">
      <w:pPr>
        <w:pageBreakBefore w:val="0"/>
        <w:widowControl w:val="0"/>
        <w:numPr>
          <w:ilvl w:val="0"/>
          <w:numId w:val="15"/>
        </w:numPr>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当P0＞P2× （1-L）×(1-15%)或P0＜P2×(1+15%)，P1不调整。</w:t>
      </w:r>
    </w:p>
    <w:p w14:paraId="4328AA2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式中：P0——承包人在工程量清单中填报的综合单价。</w:t>
      </w:r>
    </w:p>
    <w:p w14:paraId="0888D0B2">
      <w:pPr>
        <w:pageBreakBefore w:val="0"/>
        <w:widowControl w:val="0"/>
        <w:kinsoku/>
        <w:wordWrap/>
        <w:overflowPunct/>
        <w:topLinePunct w:val="0"/>
        <w:bidi w:val="0"/>
        <w:snapToGrid/>
        <w:spacing w:after="120" w:line="400" w:lineRule="exact"/>
        <w:ind w:firstLine="1200" w:firstLineChars="5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P2——发包人招标控制价相应项目的综合单价；</w:t>
      </w:r>
    </w:p>
    <w:p w14:paraId="4487AC42">
      <w:pPr>
        <w:pageBreakBefore w:val="0"/>
        <w:widowControl w:val="0"/>
        <w:kinsoku/>
        <w:wordWrap/>
        <w:overflowPunct/>
        <w:topLinePunct w:val="0"/>
        <w:bidi w:val="0"/>
        <w:snapToGrid/>
        <w:spacing w:after="120" w:line="400" w:lineRule="exact"/>
        <w:ind w:firstLine="1200" w:firstLineChars="5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L——承包人报价浮动率</w:t>
      </w:r>
    </w:p>
    <w:p w14:paraId="3ABEA8F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（5）、清单缺项的，根据工程完工的施工资料，按照现行的计量规则，执行定额价×（1-承包人报价浮动率）确定新的单价。</w:t>
      </w:r>
    </w:p>
    <w:p w14:paraId="69DDA6F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注释：承包人报价浮动率=（1-中标价/招标控制价）×100%。</w:t>
      </w:r>
      <w:bookmarkEnd w:id="359"/>
      <w:bookmarkEnd w:id="360"/>
      <w:bookmarkEnd w:id="361"/>
      <w:bookmarkEnd w:id="362"/>
      <w:bookmarkEnd w:id="363"/>
      <w:bookmarkEnd w:id="364"/>
      <w:bookmarkStart w:id="472" w:name="_Toc296347204"/>
      <w:bookmarkStart w:id="473" w:name="_Toc296891033"/>
      <w:bookmarkStart w:id="474" w:name="_Toc292559915"/>
      <w:bookmarkStart w:id="475" w:name="_Toc296891245"/>
      <w:bookmarkStart w:id="476" w:name="_Toc296346706"/>
      <w:bookmarkStart w:id="477" w:name="_Toc297048391"/>
      <w:bookmarkStart w:id="478" w:name="_Toc296944544"/>
      <w:bookmarkStart w:id="479" w:name="_Toc296503205"/>
      <w:bookmarkStart w:id="480" w:name="_Toc297120505"/>
      <w:bookmarkStart w:id="481" w:name="_Toc292559410"/>
      <w:bookmarkStart w:id="482" w:name="_Toc351203644"/>
      <w:bookmarkStart w:id="483" w:name="_Toc304295579"/>
      <w:bookmarkStart w:id="484" w:name="_Toc297123552"/>
      <w:bookmarkStart w:id="485" w:name="_Toc303539159"/>
      <w:bookmarkStart w:id="486" w:name="_Toc300935002"/>
      <w:bookmarkStart w:id="487" w:name="_Toc297216211"/>
      <w:bookmarkStart w:id="488" w:name="_Toc312678040"/>
    </w:p>
    <w:p w14:paraId="4AF8AB8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12. </w:t>
      </w:r>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bCs/>
          <w:color w:val="auto"/>
          <w:sz w:val="24"/>
          <w:szCs w:val="24"/>
        </w:rPr>
        <w:t>合同价格、计量与支付</w:t>
      </w:r>
      <w:bookmarkEnd w:id="482"/>
    </w:p>
    <w:bookmarkEnd w:id="483"/>
    <w:bookmarkEnd w:id="484"/>
    <w:bookmarkEnd w:id="485"/>
    <w:bookmarkEnd w:id="486"/>
    <w:bookmarkEnd w:id="487"/>
    <w:bookmarkEnd w:id="488"/>
    <w:p w14:paraId="411AF058">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489" w:name="_Toc267251461"/>
      <w:bookmarkStart w:id="490" w:name="_Toc292559411"/>
      <w:bookmarkStart w:id="491" w:name="_Toc292559916"/>
      <w:bookmarkStart w:id="492" w:name="_Toc296346707"/>
      <w:bookmarkStart w:id="493" w:name="_Toc297120506"/>
      <w:bookmarkStart w:id="494" w:name="_Toc296347205"/>
      <w:bookmarkStart w:id="495" w:name="_Toc296891034"/>
      <w:bookmarkStart w:id="496" w:name="_Toc297048392"/>
      <w:bookmarkStart w:id="497" w:name="_Toc296891246"/>
      <w:bookmarkStart w:id="498" w:name="_Toc296503206"/>
      <w:bookmarkStart w:id="499" w:name="_Toc296944545"/>
      <w:bookmarkStart w:id="500" w:name="_Toc312678041"/>
      <w:bookmarkStart w:id="501" w:name="_Toc300935003"/>
      <w:bookmarkStart w:id="502" w:name="_Toc303539160"/>
      <w:bookmarkStart w:id="503" w:name="_Toc304295580"/>
      <w:bookmarkStart w:id="504" w:name="_Toc297216212"/>
      <w:bookmarkStart w:id="505" w:name="_Toc297123553"/>
      <w:r>
        <w:rPr>
          <w:rFonts w:hint="eastAsia" w:ascii="仿宋" w:hAnsi="仿宋" w:eastAsia="仿宋" w:cs="仿宋"/>
          <w:color w:val="auto"/>
          <w:sz w:val="24"/>
          <w:szCs w:val="24"/>
        </w:rPr>
        <w:t>12.1 合</w:t>
      </w:r>
      <w:bookmarkEnd w:id="489"/>
      <w:bookmarkEnd w:id="490"/>
      <w:bookmarkEnd w:id="491"/>
      <w:r>
        <w:rPr>
          <w:rFonts w:hint="eastAsia" w:ascii="仿宋" w:hAnsi="仿宋" w:eastAsia="仿宋" w:cs="仿宋"/>
          <w:color w:val="auto"/>
          <w:sz w:val="24"/>
          <w:szCs w:val="24"/>
        </w:rPr>
        <w:t>同价</w:t>
      </w:r>
      <w:bookmarkEnd w:id="492"/>
      <w:bookmarkEnd w:id="493"/>
      <w:bookmarkEnd w:id="494"/>
      <w:bookmarkEnd w:id="495"/>
      <w:bookmarkEnd w:id="496"/>
      <w:bookmarkEnd w:id="497"/>
      <w:bookmarkEnd w:id="498"/>
      <w:bookmarkEnd w:id="499"/>
      <w:r>
        <w:rPr>
          <w:rFonts w:hint="eastAsia" w:ascii="仿宋" w:hAnsi="仿宋" w:eastAsia="仿宋" w:cs="仿宋"/>
          <w:color w:val="auto"/>
          <w:sz w:val="24"/>
          <w:szCs w:val="24"/>
        </w:rPr>
        <w:t>格形式</w:t>
      </w:r>
    </w:p>
    <w:bookmarkEnd w:id="500"/>
    <w:bookmarkEnd w:id="501"/>
    <w:bookmarkEnd w:id="502"/>
    <w:bookmarkEnd w:id="503"/>
    <w:bookmarkEnd w:id="504"/>
    <w:bookmarkEnd w:id="505"/>
    <w:p w14:paraId="0ED80C8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1、单价合同。</w:t>
      </w:r>
    </w:p>
    <w:p w14:paraId="58129D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52"/>
          <w:sz w:val="24"/>
          <w:szCs w:val="24"/>
        </w:rPr>
        <w:t>综合单价包含的风险范围：</w:t>
      </w:r>
      <w:r>
        <w:rPr>
          <w:rFonts w:hint="eastAsia" w:ascii="仿宋" w:hAnsi="仿宋" w:eastAsia="仿宋" w:cs="仿宋"/>
          <w:color w:val="auto"/>
          <w:sz w:val="24"/>
          <w:szCs w:val="24"/>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p>
    <w:p w14:paraId="5A9C8E7B">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1、对于主要由市场价格波动导致的价格风险，如工程造价中的建筑材料、燃料等价格风险，承包人可承担5%以内的材料价格风险，不调整人工费及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善能够自主控制的风险，台承包人的管理费、利润的风险，承包人应结合市场情况，根据企业自身实际合理确定、自主报价，该部分风险由承包人全部承担。</w:t>
      </w:r>
    </w:p>
    <w:p w14:paraId="78634D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B1252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w:t>
      </w:r>
    </w:p>
    <w:p w14:paraId="0EAC3DE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p>
    <w:p w14:paraId="1330276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0D46E0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56F2F1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3、其他价格方式：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8844DF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506" w:name="_Toc297216213"/>
      <w:bookmarkStart w:id="507" w:name="_Toc312678042"/>
      <w:bookmarkStart w:id="508" w:name="_Toc304295581"/>
      <w:bookmarkStart w:id="509" w:name="_Toc303539161"/>
      <w:bookmarkStart w:id="510" w:name="_Toc297123554"/>
      <w:bookmarkStart w:id="511" w:name="_Toc300935004"/>
      <w:bookmarkStart w:id="512" w:name="_Toc296503207"/>
      <w:bookmarkStart w:id="513" w:name="_Toc296944546"/>
      <w:bookmarkStart w:id="514" w:name="_Toc292559917"/>
      <w:bookmarkStart w:id="515" w:name="_Toc296891247"/>
      <w:bookmarkStart w:id="516" w:name="_Toc296346708"/>
      <w:bookmarkStart w:id="517" w:name="_Toc297120507"/>
      <w:bookmarkStart w:id="518" w:name="_Toc296347206"/>
      <w:bookmarkStart w:id="519" w:name="_Toc296891035"/>
      <w:bookmarkStart w:id="520" w:name="_Toc292559412"/>
      <w:bookmarkStart w:id="521" w:name="_Toc297048393"/>
      <w:r>
        <w:rPr>
          <w:rFonts w:hint="eastAsia" w:ascii="仿宋" w:hAnsi="仿宋" w:eastAsia="仿宋" w:cs="仿宋"/>
          <w:color w:val="auto"/>
          <w:sz w:val="24"/>
          <w:szCs w:val="24"/>
        </w:rPr>
        <w:t>12.2 预付款</w:t>
      </w:r>
    </w:p>
    <w:bookmarkEnd w:id="506"/>
    <w:bookmarkEnd w:id="507"/>
    <w:bookmarkEnd w:id="508"/>
    <w:bookmarkEnd w:id="509"/>
    <w:bookmarkEnd w:id="510"/>
    <w:bookmarkEnd w:id="511"/>
    <w:p w14:paraId="5B120F9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12.2.1 预付款的支付</w:t>
      </w:r>
    </w:p>
    <w:p w14:paraId="5A13CBD8">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预付款支付比例或金额：</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p>
    <w:p w14:paraId="0364021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预付款支付期限：</w:t>
      </w:r>
      <w:r>
        <w:rPr>
          <w:rFonts w:hint="eastAsia" w:ascii="仿宋" w:hAnsi="仿宋" w:eastAsia="仿宋" w:cs="仿宋"/>
          <w:color w:val="auto"/>
          <w:sz w:val="24"/>
          <w:szCs w:val="24"/>
          <w:u w:val="single"/>
        </w:rPr>
        <w:t xml:space="preserve">   合同签订备案后14天内     </w:t>
      </w:r>
      <w:r>
        <w:rPr>
          <w:rFonts w:hint="eastAsia" w:ascii="仿宋" w:hAnsi="仿宋" w:eastAsia="仿宋" w:cs="仿宋"/>
          <w:color w:val="auto"/>
          <w:sz w:val="24"/>
          <w:szCs w:val="24"/>
        </w:rPr>
        <w:t>。</w:t>
      </w:r>
    </w:p>
    <w:p w14:paraId="0796C0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预付款扣回的方式：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3F61DCA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12.2.2 预付款担保</w:t>
      </w:r>
    </w:p>
    <w:p w14:paraId="38534D8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承包人提交预付款担保的期限：</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2F03114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预付款担保的形式为：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12"/>
    <w:bookmarkEnd w:id="513"/>
    <w:bookmarkEnd w:id="514"/>
    <w:bookmarkEnd w:id="515"/>
    <w:bookmarkEnd w:id="516"/>
    <w:bookmarkEnd w:id="517"/>
    <w:bookmarkEnd w:id="518"/>
    <w:bookmarkEnd w:id="519"/>
    <w:bookmarkEnd w:id="520"/>
    <w:bookmarkEnd w:id="521"/>
    <w:p w14:paraId="790DD19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 计量</w:t>
      </w:r>
    </w:p>
    <w:p w14:paraId="3015469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12.3.1 计量原则</w:t>
      </w:r>
    </w:p>
    <w:p w14:paraId="546364F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工程量计算规则：</w:t>
      </w:r>
      <w:r>
        <w:rPr>
          <w:rFonts w:hint="eastAsia" w:ascii="仿宋" w:hAnsi="仿宋" w:eastAsia="仿宋" w:cs="仿宋"/>
          <w:color w:val="auto"/>
          <w:sz w:val="24"/>
          <w:szCs w:val="24"/>
          <w:u w:val="single"/>
        </w:rPr>
        <w:t xml:space="preserve">  建设工程量清单计价规范GB50500-2013。                 </w:t>
      </w:r>
      <w:r>
        <w:rPr>
          <w:rFonts w:hint="eastAsia" w:ascii="仿宋" w:hAnsi="仿宋" w:eastAsia="仿宋" w:cs="仿宋"/>
          <w:color w:val="auto"/>
          <w:sz w:val="24"/>
          <w:szCs w:val="24"/>
        </w:rPr>
        <w:t>。</w:t>
      </w:r>
    </w:p>
    <w:p w14:paraId="7484935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12.3.2 计量周期</w:t>
      </w:r>
    </w:p>
    <w:p w14:paraId="746C36D4">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关于计量周期的约定：</w:t>
      </w:r>
      <w:r>
        <w:rPr>
          <w:rFonts w:hint="eastAsia" w:ascii="仿宋" w:hAnsi="仿宋" w:eastAsia="仿宋" w:cs="仿宋"/>
          <w:color w:val="auto"/>
          <w:sz w:val="24"/>
          <w:szCs w:val="24"/>
          <w:u w:val="single"/>
        </w:rPr>
        <w:t xml:space="preserve">   房建工程分三次计量（土方工程、基础及主体工程、工程竣工），市政（包括园林）工程分三次计量（土方、管线、工程竣工），其它工程竣工时一次计量计量，表格按附件二：《工程计量申请（核准）表》</w:t>
      </w:r>
      <w:r>
        <w:rPr>
          <w:rFonts w:hint="eastAsia" w:ascii="仿宋" w:hAnsi="仿宋" w:eastAsia="仿宋" w:cs="仿宋"/>
          <w:color w:val="auto"/>
          <w:sz w:val="24"/>
          <w:szCs w:val="24"/>
        </w:rPr>
        <w:t>。</w:t>
      </w:r>
    </w:p>
    <w:p w14:paraId="14853AF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12.3.3 单价合同的计量</w:t>
      </w:r>
    </w:p>
    <w:p w14:paraId="52862329">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关于单价合同计量的约定：</w:t>
      </w:r>
      <w:r>
        <w:rPr>
          <w:rFonts w:hint="eastAsia" w:ascii="仿宋" w:hAnsi="仿宋" w:eastAsia="仿宋" w:cs="仿宋"/>
          <w:color w:val="auto"/>
          <w:sz w:val="24"/>
          <w:szCs w:val="24"/>
          <w:u w:val="single"/>
        </w:rPr>
        <w:t xml:space="preserve"> （1）承包人应于计量部位工程完成后7日内向监理人报送已完成的工程量报告，已完成工程量报表和有关资料。</w:t>
      </w:r>
    </w:p>
    <w:p w14:paraId="661645B1">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（2）监理人应在收到承包人提交的工程量报告后7天内完成对承包人提交的工程量报表的审核并报送发包人。</w:t>
      </w:r>
    </w:p>
    <w:p w14:paraId="3DE8E5EF">
      <w:pPr>
        <w:pageBreakBefore w:val="0"/>
        <w:widowControl w:val="0"/>
        <w:kinsoku/>
        <w:wordWrap/>
        <w:overflowPunct/>
        <w:topLinePunct w:val="0"/>
        <w:bidi w:val="0"/>
        <w:snapToGrid/>
        <w:spacing w:line="400" w:lineRule="exact"/>
        <w:ind w:firstLine="600" w:firstLineChars="25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（3）其它执行通用条款       。</w:t>
      </w:r>
    </w:p>
    <w:p w14:paraId="5A2AFEA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12.3.4 总价合同的计量</w:t>
      </w:r>
    </w:p>
    <w:p w14:paraId="71343A5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关于总价合同计量的约定：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1773F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12.3.5总价合同采用支付分解表计量支付的，是否适用第12.3.4 项〔总价合同的计量〕约定进行计量：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5129CF1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12.3.6 其他价格形式合同的计量</w:t>
      </w:r>
    </w:p>
    <w:p w14:paraId="3C0025E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其他价格形式的计量方式和程序：</w:t>
      </w:r>
      <w:r>
        <w:rPr>
          <w:rFonts w:hint="eastAsia" w:ascii="仿宋" w:hAnsi="仿宋" w:eastAsia="仿宋" w:cs="仿宋"/>
          <w:color w:val="auto"/>
          <w:sz w:val="24"/>
          <w:szCs w:val="24"/>
          <w:u w:val="single"/>
        </w:rPr>
        <w:t xml:space="preserve">     无              。</w:t>
      </w:r>
    </w:p>
    <w:p w14:paraId="790C4B5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 工程进度款支付</w:t>
      </w:r>
    </w:p>
    <w:p w14:paraId="5CD51F2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522" w:name="_Toc297120511"/>
      <w:bookmarkStart w:id="523" w:name="_Toc292559921"/>
      <w:bookmarkStart w:id="524" w:name="_Toc296503211"/>
      <w:bookmarkStart w:id="525" w:name="_Toc296346712"/>
      <w:bookmarkStart w:id="526" w:name="_Toc296347210"/>
      <w:bookmarkStart w:id="527" w:name="_Toc296891251"/>
      <w:bookmarkStart w:id="528" w:name="_Toc297123556"/>
      <w:bookmarkStart w:id="529" w:name="_Toc297216215"/>
      <w:bookmarkStart w:id="530" w:name="_Toc296944550"/>
      <w:bookmarkStart w:id="531" w:name="_Toc300935006"/>
      <w:bookmarkStart w:id="532" w:name="_Toc292559416"/>
      <w:bookmarkStart w:id="533" w:name="_Toc297048397"/>
      <w:bookmarkStart w:id="534" w:name="_Toc303539163"/>
      <w:bookmarkStart w:id="535" w:name="_Toc296891039"/>
      <w:r>
        <w:rPr>
          <w:rFonts w:hint="eastAsia" w:ascii="仿宋" w:hAnsi="仿宋" w:eastAsia="仿宋" w:cs="仿宋"/>
          <w:color w:val="auto"/>
          <w:sz w:val="24"/>
          <w:szCs w:val="24"/>
        </w:rPr>
        <w:t>12.4.1 付款周期</w:t>
      </w:r>
    </w:p>
    <w:p w14:paraId="5C44E589">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关于付款周期的约定：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814E77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12.4.2 进度付款申请单的编制</w:t>
      </w:r>
    </w:p>
    <w:p w14:paraId="3C4D43E4">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关于进度付款申请单编制的约定：</w:t>
      </w:r>
      <w:r>
        <w:rPr>
          <w:rFonts w:hint="eastAsia" w:ascii="仿宋" w:hAnsi="仿宋" w:eastAsia="仿宋" w:cs="仿宋"/>
          <w:color w:val="auto"/>
          <w:sz w:val="24"/>
          <w:szCs w:val="24"/>
          <w:u w:val="single"/>
        </w:rPr>
        <w:t>首次按工程进度支付30%的工程款。工程累计付款至签约合同价（不含暂列金）的97%时停止支付；结算价款的3%作为工程质量保证金。</w:t>
      </w:r>
    </w:p>
    <w:p w14:paraId="7E6B76C0">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rFonts w:hint="eastAsia" w:ascii="仿宋" w:hAnsi="仿宋" w:eastAsia="仿宋" w:cs="仿宋"/>
          <w:color w:val="auto"/>
          <w:sz w:val="24"/>
          <w:szCs w:val="24"/>
        </w:rPr>
        <w:t>2.4.3 进度付款申请单的提交</w:t>
      </w:r>
    </w:p>
    <w:p w14:paraId="5EBBA4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（1）单价合同进度付款申请单提交的约定：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5B594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（2）总价合同进度付款申请单提交的约定：</w:t>
      </w:r>
      <w:r>
        <w:rPr>
          <w:rFonts w:hint="eastAsia" w:ascii="仿宋" w:hAnsi="仿宋" w:eastAsia="仿宋" w:cs="仿宋"/>
          <w:color w:val="auto"/>
          <w:sz w:val="24"/>
          <w:szCs w:val="24"/>
          <w:u w:val="single"/>
        </w:rPr>
        <w:t xml:space="preserve">    无  。</w:t>
      </w:r>
    </w:p>
    <w:p w14:paraId="4E8AD88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（3）其他价格形式合同进度付款申请单提交的约定：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763DCC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12.4.4 进度款审核和支付</w:t>
      </w:r>
    </w:p>
    <w:p w14:paraId="1A578A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（1）监理人审查并报送发包人的期限：</w:t>
      </w:r>
      <w:r>
        <w:rPr>
          <w:rFonts w:hint="eastAsia" w:ascii="仿宋" w:hAnsi="仿宋" w:eastAsia="仿宋" w:cs="仿宋"/>
          <w:color w:val="auto"/>
          <w:sz w:val="24"/>
          <w:szCs w:val="24"/>
          <w:u w:val="single"/>
        </w:rPr>
        <w:t>收到申请7天内              。</w:t>
      </w:r>
    </w:p>
    <w:p w14:paraId="491790A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发包人完成审批并签发进度款支付证书的期限：</w:t>
      </w:r>
      <w:r>
        <w:rPr>
          <w:rFonts w:hint="eastAsia" w:ascii="仿宋" w:hAnsi="仿宋" w:eastAsia="仿宋" w:cs="仿宋"/>
          <w:color w:val="auto"/>
          <w:sz w:val="24"/>
          <w:szCs w:val="24"/>
          <w:u w:val="single"/>
        </w:rPr>
        <w:t xml:space="preserve"> 收到申请7天内      </w:t>
      </w:r>
      <w:r>
        <w:rPr>
          <w:rFonts w:hint="eastAsia" w:ascii="仿宋" w:hAnsi="仿宋" w:eastAsia="仿宋" w:cs="仿宋"/>
          <w:color w:val="auto"/>
          <w:sz w:val="24"/>
          <w:szCs w:val="24"/>
        </w:rPr>
        <w:t>。</w:t>
      </w:r>
    </w:p>
    <w:p w14:paraId="5ACF053A">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（2）发包人支付进度款的期限：</w:t>
      </w:r>
      <w:r>
        <w:rPr>
          <w:rFonts w:hint="eastAsia" w:ascii="仿宋" w:hAnsi="仿宋" w:eastAsia="仿宋" w:cs="仿宋"/>
          <w:color w:val="auto"/>
          <w:sz w:val="24"/>
          <w:szCs w:val="24"/>
          <w:u w:val="single"/>
        </w:rPr>
        <w:t xml:space="preserve">  本工程是政府投资项目，发包人只对承包人出具进度款支付申请书，进度款按基建支付程序进行支付，若进度款暂无法按合同约定到位，承包人也应按计划组织施工，不得因此停工延误计划竣工日期。</w:t>
      </w:r>
    </w:p>
    <w:p w14:paraId="72345B2B">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发包人逾期支付进度款的违约金的计算方式：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33A0DB4">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12.4.6 支付分解表的编制</w:t>
      </w:r>
    </w:p>
    <w:p w14:paraId="2BED1414">
      <w:pPr>
        <w:pageBreakBefore w:val="0"/>
        <w:widowControl w:val="0"/>
        <w:kinsoku/>
        <w:wordWrap/>
        <w:overflowPunct/>
        <w:topLinePunct w:val="0"/>
        <w:bidi w:val="0"/>
        <w:snapToGrid/>
        <w:spacing w:line="400" w:lineRule="exact"/>
        <w:ind w:left="4200" w:hanging="4800" w:hangingChars="20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2、总价合同支付分解表的编制与审批：</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59C6D4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3、单价合同的总价项目支付分解表的编制与审批：</w:t>
      </w:r>
      <w:r>
        <w:rPr>
          <w:rFonts w:hint="eastAsia" w:ascii="仿宋" w:hAnsi="仿宋" w:eastAsia="仿宋" w:cs="仿宋"/>
          <w:color w:val="auto"/>
          <w:sz w:val="24"/>
          <w:szCs w:val="24"/>
          <w:u w:val="single"/>
        </w:rPr>
        <w:t xml:space="preserve">   执行通用合同  </w:t>
      </w:r>
      <w:r>
        <w:rPr>
          <w:rFonts w:hint="eastAsia" w:ascii="仿宋" w:hAnsi="仿宋" w:eastAsia="仿宋" w:cs="仿宋"/>
          <w:color w:val="auto"/>
          <w:sz w:val="24"/>
          <w:szCs w:val="24"/>
        </w:rPr>
        <w:t>。</w:t>
      </w:r>
      <w:bookmarkEnd w:id="365"/>
      <w:bookmarkStart w:id="536" w:name="_Toc351203645"/>
      <w:bookmarkStart w:id="537" w:name="_Toc296347218"/>
      <w:bookmarkStart w:id="538" w:name="_Toc297120519"/>
      <w:bookmarkStart w:id="539" w:name="_Toc292559424"/>
      <w:bookmarkStart w:id="540" w:name="_Toc297123564"/>
      <w:bookmarkStart w:id="541" w:name="_Toc300935015"/>
      <w:bookmarkStart w:id="542" w:name="_Toc296503219"/>
      <w:bookmarkStart w:id="543" w:name="_Toc312678053"/>
      <w:bookmarkStart w:id="544" w:name="_Toc296944558"/>
      <w:bookmarkStart w:id="545" w:name="_Toc296891259"/>
      <w:bookmarkStart w:id="546" w:name="_Toc304295593"/>
      <w:bookmarkStart w:id="547" w:name="_Toc296891047"/>
      <w:bookmarkStart w:id="548" w:name="_Toc296346720"/>
      <w:bookmarkStart w:id="549" w:name="_Toc292559929"/>
      <w:bookmarkStart w:id="550" w:name="_Toc303539172"/>
      <w:bookmarkStart w:id="551" w:name="_Toc297216223"/>
      <w:bookmarkStart w:id="552" w:name="_Toc297048405"/>
    </w:p>
    <w:p w14:paraId="1DA8474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13. 验收和工程试车</w:t>
      </w:r>
      <w:bookmarkEnd w:id="536"/>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21494026">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分部分项工程验收</w:t>
      </w:r>
    </w:p>
    <w:p w14:paraId="22ABAE3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13.1.2监理人不能按时进行验收时，应提前</w:t>
      </w:r>
      <w:r>
        <w:rPr>
          <w:rFonts w:hint="eastAsia" w:ascii="仿宋" w:hAnsi="仿宋" w:eastAsia="仿宋" w:cs="仿宋"/>
          <w:color w:val="auto"/>
          <w:sz w:val="24"/>
          <w:szCs w:val="24"/>
          <w:u w:val="single"/>
        </w:rPr>
        <w:t xml:space="preserve">  24  </w:t>
      </w:r>
      <w:r>
        <w:rPr>
          <w:rFonts w:hint="eastAsia" w:ascii="仿宋" w:hAnsi="仿宋" w:eastAsia="仿宋" w:cs="仿宋"/>
          <w:color w:val="auto"/>
          <w:sz w:val="24"/>
          <w:szCs w:val="24"/>
        </w:rPr>
        <w:t>小时提交书面延期要求。</w:t>
      </w:r>
    </w:p>
    <w:p w14:paraId="0B5CAAB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关于延期最长不得超过：</w:t>
      </w:r>
      <w:r>
        <w:rPr>
          <w:rFonts w:hint="eastAsia" w:ascii="仿宋" w:hAnsi="仿宋" w:eastAsia="仿宋" w:cs="仿宋"/>
          <w:color w:val="auto"/>
          <w:sz w:val="24"/>
          <w:szCs w:val="24"/>
          <w:u w:val="single"/>
        </w:rPr>
        <w:t xml:space="preserve">    48     </w:t>
      </w:r>
      <w:r>
        <w:rPr>
          <w:rFonts w:hint="eastAsia" w:ascii="仿宋" w:hAnsi="仿宋" w:eastAsia="仿宋" w:cs="仿宋"/>
          <w:color w:val="auto"/>
          <w:sz w:val="24"/>
          <w:szCs w:val="24"/>
        </w:rPr>
        <w:t>小时。</w:t>
      </w:r>
    </w:p>
    <w:p w14:paraId="38DC0AD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bookmarkStart w:id="553" w:name="_Toc296346724"/>
      <w:bookmarkStart w:id="554" w:name="_Toc312678056"/>
      <w:bookmarkStart w:id="555" w:name="_Toc297048409"/>
      <w:bookmarkStart w:id="556" w:name="_Toc303539173"/>
      <w:bookmarkStart w:id="557" w:name="_Toc297216224"/>
      <w:bookmarkStart w:id="558" w:name="_Toc292559428"/>
      <w:bookmarkStart w:id="559" w:name="_Toc304295596"/>
      <w:bookmarkStart w:id="560" w:name="_Toc297120523"/>
      <w:bookmarkStart w:id="561" w:name="_Toc296891051"/>
      <w:bookmarkStart w:id="562" w:name="_Toc297123565"/>
      <w:bookmarkStart w:id="563" w:name="_Toc296944562"/>
      <w:bookmarkStart w:id="564" w:name="_Toc292559933"/>
      <w:bookmarkStart w:id="565" w:name="_Toc300935016"/>
      <w:bookmarkStart w:id="566" w:name="_Toc296891263"/>
      <w:bookmarkStart w:id="567" w:name="_Toc296347222"/>
      <w:bookmarkStart w:id="568" w:name="_Toc296503223"/>
      <w:bookmarkStart w:id="569" w:name="_Toc267251476"/>
      <w:bookmarkStart w:id="570" w:name="_Toc267251472"/>
      <w:bookmarkStart w:id="571" w:name="_Toc267251475"/>
      <w:bookmarkStart w:id="572" w:name="_Toc267251474"/>
      <w:bookmarkStart w:id="573" w:name="_Toc267251473"/>
      <w:bookmarkStart w:id="574" w:name="_Toc267251470"/>
      <w:bookmarkStart w:id="575" w:name="_Toc267251471"/>
      <w:r>
        <w:rPr>
          <w:rFonts w:hint="eastAsia" w:ascii="仿宋" w:hAnsi="仿宋" w:eastAsia="仿宋" w:cs="仿宋"/>
          <w:color w:val="auto"/>
          <w:sz w:val="24"/>
          <w:szCs w:val="24"/>
        </w:rPr>
        <w:t>13.2 竣工验收</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5F1B664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bookmarkStart w:id="576" w:name="_Toc280868704"/>
      <w:bookmarkStart w:id="577" w:name="_Toc280868705"/>
      <w:bookmarkStart w:id="578" w:name="_Toc280868706"/>
      <w:bookmarkStart w:id="579" w:name="_Toc280868707"/>
      <w:bookmarkStart w:id="580" w:name="_Toc280868708"/>
      <w:bookmarkStart w:id="581" w:name="_Toc280868709"/>
      <w:r>
        <w:rPr>
          <w:rFonts w:hint="eastAsia" w:ascii="仿宋" w:hAnsi="仿宋" w:eastAsia="仿宋" w:cs="仿宋"/>
          <w:color w:val="auto"/>
          <w:sz w:val="24"/>
          <w:szCs w:val="24"/>
        </w:rPr>
        <w:t>13.2.2竣工验收程序</w:t>
      </w:r>
    </w:p>
    <w:bookmarkEnd w:id="576"/>
    <w:p w14:paraId="296DC951">
      <w:pPr>
        <w:pageBreakBefore w:val="0"/>
        <w:widowControl w:val="0"/>
        <w:kinsoku/>
        <w:wordWrap/>
        <w:overflowPunct/>
        <w:topLinePunct w:val="0"/>
        <w:bidi w:val="0"/>
        <w:snapToGrid/>
        <w:spacing w:line="400" w:lineRule="exact"/>
        <w:ind w:left="4740" w:leftChars="200" w:hanging="4320" w:hanging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关于竣工验收程序的约定：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执行通用条款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20F877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发包人不按照本项约定组织竣工验收、颁发工程接收证书的违约金的计算方法：</w:t>
      </w:r>
      <w:r>
        <w:rPr>
          <w:rFonts w:hint="eastAsia" w:ascii="仿宋" w:hAnsi="仿宋" w:eastAsia="仿宋" w:cs="仿宋"/>
          <w:b/>
          <w:color w:val="auto"/>
          <w:sz w:val="24"/>
          <w:szCs w:val="24"/>
          <w:u w:val="single"/>
        </w:rPr>
        <w:t xml:space="preserve">  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bookmarkEnd w:id="577"/>
    <w:p w14:paraId="62FBC2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13.2.5移交、接收全部与部分工程</w:t>
      </w:r>
    </w:p>
    <w:bookmarkEnd w:id="578"/>
    <w:p w14:paraId="7C991ED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承包人向发包人移交工程的期限：</w:t>
      </w:r>
      <w:r>
        <w:rPr>
          <w:rFonts w:hint="eastAsia" w:ascii="仿宋" w:hAnsi="仿宋" w:eastAsia="仿宋" w:cs="仿宋"/>
          <w:color w:val="auto"/>
          <w:sz w:val="24"/>
          <w:szCs w:val="24"/>
          <w:u w:val="single"/>
        </w:rPr>
        <w:t xml:space="preserve">     颁发工程接收证书后7天内完成工程的移交。    </w:t>
      </w:r>
    </w:p>
    <w:p w14:paraId="592FF7F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发包人未按本合同约定接收全部或部分工程的，违约金的计算方法为：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79"/>
    <w:p w14:paraId="4941A0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承包人未按时移交工程的，违约金的计算方法为：</w:t>
      </w:r>
      <w:r>
        <w:rPr>
          <w:rFonts w:hint="eastAsia" w:ascii="仿宋" w:hAnsi="仿宋" w:eastAsia="仿宋" w:cs="仿宋"/>
          <w:color w:val="auto"/>
          <w:sz w:val="24"/>
          <w:szCs w:val="24"/>
          <w:u w:val="single"/>
        </w:rPr>
        <w:t>按专用条款7.5.2条执行。</w:t>
      </w:r>
    </w:p>
    <w:p w14:paraId="7B104A3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工程试车</w:t>
      </w:r>
    </w:p>
    <w:bookmarkEnd w:id="580"/>
    <w:p w14:paraId="54A460F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13.3.1 试车程序</w:t>
      </w:r>
    </w:p>
    <w:p w14:paraId="1E4E86C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工程试车内容：</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0D2A7FE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（1）单机无负荷试车费用由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承担；</w:t>
      </w:r>
    </w:p>
    <w:p w14:paraId="3FDE4B2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（2）无负荷联动试车费用由</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承担。</w:t>
      </w:r>
    </w:p>
    <w:p w14:paraId="640F069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13.3.3 投料试车</w:t>
      </w:r>
    </w:p>
    <w:p w14:paraId="06FBCEB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关于投料试车相关事项的约定：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E301651">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13.6 竣工退场</w:t>
      </w:r>
    </w:p>
    <w:p w14:paraId="174F4D5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13.6.1 竣工退场</w:t>
      </w:r>
    </w:p>
    <w:p w14:paraId="5D7A921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承包人完成竣工退场的期限：</w:t>
      </w:r>
      <w:r>
        <w:rPr>
          <w:rFonts w:hint="eastAsia" w:ascii="仿宋" w:hAnsi="仿宋" w:eastAsia="仿宋" w:cs="仿宋"/>
          <w:color w:val="auto"/>
          <w:sz w:val="24"/>
          <w:szCs w:val="24"/>
          <w:u w:val="single"/>
        </w:rPr>
        <w:t>颁发工程接受证书14天内   。</w:t>
      </w:r>
      <w:bookmarkStart w:id="582" w:name="_Toc351203646"/>
    </w:p>
    <w:p w14:paraId="7A25932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14. 竣工结算</w:t>
      </w:r>
      <w:bookmarkEnd w:id="582"/>
    </w:p>
    <w:p w14:paraId="65D8831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 竣工结算申请</w:t>
      </w:r>
    </w:p>
    <w:p w14:paraId="278FB79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承包人提交竣工结算申请单的期限：</w:t>
      </w:r>
      <w:r>
        <w:rPr>
          <w:rFonts w:hint="eastAsia" w:ascii="仿宋" w:hAnsi="仿宋" w:eastAsia="仿宋" w:cs="仿宋"/>
          <w:color w:val="auto"/>
          <w:sz w:val="24"/>
          <w:szCs w:val="24"/>
          <w:u w:val="single"/>
        </w:rPr>
        <w:t>竣工验收合格后28天内。</w:t>
      </w:r>
    </w:p>
    <w:p w14:paraId="49B3ED1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竣工结算申请单应包括的内容：</w:t>
      </w:r>
      <w:r>
        <w:rPr>
          <w:rFonts w:hint="eastAsia" w:ascii="仿宋" w:hAnsi="仿宋" w:eastAsia="仿宋" w:cs="仿宋"/>
          <w:color w:val="auto"/>
          <w:sz w:val="24"/>
          <w:szCs w:val="24"/>
          <w:u w:val="single"/>
        </w:rPr>
        <w:t>竣工结算合同总价、发包人已经支付承包人的工程价款、应扣留的质量保证金、应支付的竣工结算金额。并同时递交结算报告及完整结算资料。</w:t>
      </w:r>
    </w:p>
    <w:p w14:paraId="74A3F9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承包人应在工程竣工验收28天内提交竣工结算资料。若逾期，每延误一天承包人须向发包人缴纳2000元违约金，最高可扣除30000元作为违约金（最终在工程结算中扣减），并计入企业履约诚信评价不良记录中。竣工款最终按工程审定结算报告的金额进行支付（扣除质量保证金）。</w:t>
      </w:r>
    </w:p>
    <w:p w14:paraId="01AFA68A">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14.2 竣工结算审核</w:t>
      </w:r>
    </w:p>
    <w:p w14:paraId="08C549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发包人审批竣工付款申请单的期限：</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2717CD2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发包人完成竣工付款的期限：</w:t>
      </w:r>
      <w:r>
        <w:rPr>
          <w:rFonts w:hint="eastAsia" w:ascii="仿宋" w:hAnsi="仿宋" w:eastAsia="仿宋" w:cs="仿宋"/>
          <w:color w:val="auto"/>
          <w:sz w:val="24"/>
          <w:szCs w:val="24"/>
          <w:u w:val="single"/>
        </w:rPr>
        <w:t>本工程是政府投资项目，结算完成后28天办理付款手续。发包人不承担逾期支付所造成的利息及其他衍生的费用，发包人不承担由于工程竣工款逾期支付而造成的纠纷责任。</w:t>
      </w:r>
    </w:p>
    <w:p w14:paraId="751BEEFD">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关于竣工付款证书异议部分复核的方式和程序：</w:t>
      </w:r>
      <w:r>
        <w:rPr>
          <w:rFonts w:hint="eastAsia" w:ascii="仿宋" w:hAnsi="仿宋" w:eastAsia="仿宋" w:cs="仿宋"/>
          <w:color w:val="auto"/>
          <w:sz w:val="24"/>
          <w:szCs w:val="24"/>
          <w:u w:val="single"/>
        </w:rPr>
        <w:t xml:space="preserve"> 执行通用条款 。  </w:t>
      </w:r>
    </w:p>
    <w:p w14:paraId="621391A2">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 最终结清</w:t>
      </w:r>
    </w:p>
    <w:p w14:paraId="19BD831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14.4.1 最终结清申请单</w:t>
      </w:r>
    </w:p>
    <w:p w14:paraId="35D77D1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承包人提交最终结清申请单的份数：</w:t>
      </w:r>
      <w:r>
        <w:rPr>
          <w:rFonts w:hint="eastAsia" w:ascii="仿宋" w:hAnsi="仿宋" w:eastAsia="仿宋" w:cs="仿宋"/>
          <w:color w:val="auto"/>
          <w:sz w:val="24"/>
          <w:szCs w:val="24"/>
          <w:u w:val="single"/>
        </w:rPr>
        <w:t xml:space="preserve">  4份              </w:t>
      </w:r>
      <w:r>
        <w:rPr>
          <w:rFonts w:hint="eastAsia" w:ascii="仿宋" w:hAnsi="仿宋" w:eastAsia="仿宋" w:cs="仿宋"/>
          <w:color w:val="auto"/>
          <w:sz w:val="24"/>
          <w:szCs w:val="24"/>
        </w:rPr>
        <w:t>。</w:t>
      </w:r>
    </w:p>
    <w:p w14:paraId="65BC2E6E">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承包人提交最终结算申请单的期限：</w:t>
      </w:r>
      <w:r>
        <w:rPr>
          <w:rFonts w:hint="eastAsia" w:ascii="仿宋" w:hAnsi="仿宋" w:eastAsia="仿宋" w:cs="仿宋"/>
          <w:color w:val="auto"/>
          <w:sz w:val="24"/>
          <w:szCs w:val="24"/>
          <w:u w:val="single"/>
        </w:rPr>
        <w:t xml:space="preserve">在缺陷责任期后14天内  </w:t>
      </w:r>
      <w:r>
        <w:rPr>
          <w:rFonts w:hint="eastAsia" w:ascii="仿宋" w:hAnsi="仿宋" w:eastAsia="仿宋" w:cs="仿宋"/>
          <w:color w:val="auto"/>
          <w:sz w:val="24"/>
          <w:szCs w:val="24"/>
        </w:rPr>
        <w:t xml:space="preserve">。 </w:t>
      </w:r>
    </w:p>
    <w:p w14:paraId="5C415F55">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14.4.2 最终结清证书和支付</w:t>
      </w:r>
    </w:p>
    <w:p w14:paraId="4C7E65E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（1）发包人完成最终结清申请单的审批并颁发最终结清证书的期限：</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p>
    <w:p w14:paraId="41BFCB9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（2）发包人完成支付的期限：</w:t>
      </w:r>
      <w:r>
        <w:rPr>
          <w:rFonts w:hint="eastAsia" w:ascii="仿宋" w:hAnsi="仿宋" w:eastAsia="仿宋" w:cs="仿宋"/>
          <w:color w:val="auto"/>
          <w:sz w:val="24"/>
          <w:szCs w:val="24"/>
          <w:u w:val="single"/>
        </w:rPr>
        <w:t xml:space="preserve">   执行通用条款   </w:t>
      </w:r>
      <w:r>
        <w:rPr>
          <w:rFonts w:hint="eastAsia" w:ascii="仿宋" w:hAnsi="仿宋" w:eastAsia="仿宋" w:cs="仿宋"/>
          <w:color w:val="auto"/>
          <w:sz w:val="24"/>
          <w:szCs w:val="24"/>
        </w:rPr>
        <w:t>。</w:t>
      </w:r>
      <w:bookmarkEnd w:id="569"/>
      <w:bookmarkEnd w:id="570"/>
      <w:bookmarkEnd w:id="571"/>
      <w:bookmarkEnd w:id="572"/>
      <w:bookmarkEnd w:id="573"/>
      <w:bookmarkEnd w:id="574"/>
      <w:bookmarkEnd w:id="575"/>
      <w:bookmarkEnd w:id="581"/>
      <w:bookmarkStart w:id="583" w:name="_Toc351203647"/>
      <w:bookmarkStart w:id="584" w:name="_Toc267251483"/>
      <w:bookmarkStart w:id="585" w:name="_Toc267251484"/>
      <w:bookmarkStart w:id="586" w:name="_Toc267251482"/>
      <w:bookmarkStart w:id="587" w:name="_Toc267251485"/>
      <w:bookmarkStart w:id="588" w:name="_Toc267251489"/>
      <w:bookmarkStart w:id="589" w:name="_Toc267251486"/>
      <w:bookmarkStart w:id="590" w:name="_Toc267251490"/>
      <w:bookmarkStart w:id="591" w:name="_Toc267251488"/>
      <w:bookmarkStart w:id="592" w:name="_Toc267251494"/>
      <w:bookmarkStart w:id="593" w:name="_Toc267251496"/>
      <w:bookmarkStart w:id="594" w:name="_Toc267251497"/>
      <w:bookmarkStart w:id="595" w:name="_Toc267251503"/>
      <w:bookmarkStart w:id="596" w:name="_Toc267251502"/>
      <w:bookmarkStart w:id="597" w:name="_Toc267251492"/>
      <w:bookmarkStart w:id="598" w:name="_Toc267251491"/>
      <w:bookmarkStart w:id="599" w:name="_Toc267251495"/>
      <w:bookmarkStart w:id="600" w:name="_Toc267251499"/>
      <w:bookmarkStart w:id="601" w:name="_Toc267251498"/>
      <w:bookmarkStart w:id="602" w:name="_Toc267251501"/>
      <w:bookmarkStart w:id="603" w:name="_Toc267251493"/>
      <w:bookmarkStart w:id="604" w:name="_Toc267251506"/>
      <w:bookmarkStart w:id="605" w:name="_Toc267251504"/>
      <w:bookmarkStart w:id="606" w:name="_Toc267251507"/>
      <w:bookmarkStart w:id="607" w:name="_Toc267251508"/>
      <w:bookmarkStart w:id="608" w:name="_Toc267251509"/>
      <w:bookmarkStart w:id="609" w:name="_Toc267251513"/>
      <w:bookmarkStart w:id="610" w:name="_Toc267251511"/>
      <w:bookmarkStart w:id="611" w:name="_Toc267251515"/>
      <w:bookmarkStart w:id="612" w:name="_Toc267251514"/>
      <w:bookmarkStart w:id="613" w:name="_Toc267251510"/>
    </w:p>
    <w:p w14:paraId="2794497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15. 缺陷责任期与保修</w:t>
      </w:r>
      <w:bookmarkEnd w:id="583"/>
    </w:p>
    <w:p w14:paraId="57B0C36A">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15.2缺陷责任期</w:t>
      </w:r>
      <w:bookmarkEnd w:id="584"/>
    </w:p>
    <w:p w14:paraId="4F1A4CCA">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缺陷责任期的具体期限：</w:t>
      </w:r>
      <w:r>
        <w:rPr>
          <w:rFonts w:hint="eastAsia" w:ascii="仿宋" w:hAnsi="仿宋" w:eastAsia="仿宋" w:cs="仿宋"/>
          <w:color w:val="auto"/>
          <w:sz w:val="24"/>
          <w:szCs w:val="24"/>
          <w:u w:val="single"/>
        </w:rPr>
        <w:t xml:space="preserve">    2年       </w:t>
      </w:r>
      <w:r>
        <w:rPr>
          <w:rFonts w:hint="eastAsia" w:ascii="仿宋" w:hAnsi="仿宋" w:eastAsia="仿宋" w:cs="仿宋"/>
          <w:color w:val="auto"/>
          <w:sz w:val="24"/>
          <w:szCs w:val="24"/>
        </w:rPr>
        <w:t>。</w:t>
      </w:r>
    </w:p>
    <w:p w14:paraId="2F94073C">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15.3 质量保证金</w:t>
      </w:r>
    </w:p>
    <w:p w14:paraId="03E26F7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关于是否扣留质量保证金的约定：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扣留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。在工程项目竣工前，承包人按专用合同条款第3.7条提供履约担保的，发包人不得同时预留工程质量保证金。</w:t>
      </w:r>
    </w:p>
    <w:p w14:paraId="17AF4811">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15.3.1 承包人提供质量保证金的方式</w:t>
      </w:r>
    </w:p>
    <w:p w14:paraId="12090C7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质量保证金采用以下第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w:t>
      </w:r>
    </w:p>
    <w:p w14:paraId="397FB79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（1）质量保证金保函，保证金额为：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 xml:space="preserve">； </w:t>
      </w:r>
    </w:p>
    <w:p w14:paraId="31213A3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%的工程款；</w:t>
      </w:r>
    </w:p>
    <w:p w14:paraId="6CBC5DE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0A1EB68F">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15.3.2 质量保证金的扣留 </w:t>
      </w:r>
    </w:p>
    <w:p w14:paraId="7F87FA0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质量保证金的扣留采取以下第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w:t>
      </w:r>
    </w:p>
    <w:p w14:paraId="3E0354B8">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（1）在支付工程进度款时逐次扣留，在此情形下，质量保证金的计算基数不包括预付款的支付、扣回以及价格调整的金额；</w:t>
      </w:r>
    </w:p>
    <w:p w14:paraId="4BEDA64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（2）工程竣工结算时一次性扣留质量保证金</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w:t>
      </w:r>
    </w:p>
    <w:p w14:paraId="05527581">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（3）其他扣留方式:</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4A5C371">
      <w:pPr>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关于质量保证金的补充约定：</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bookmarkEnd w:id="585"/>
    <w:bookmarkEnd w:id="586"/>
    <w:p w14:paraId="177440C7">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15.4保修</w:t>
      </w:r>
    </w:p>
    <w:bookmarkEnd w:id="587"/>
    <w:p w14:paraId="4BBE13F1">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15.4.1 保修责任</w:t>
      </w:r>
    </w:p>
    <w:p w14:paraId="4A16A3D7">
      <w:pPr>
        <w:pageBreakBefore w:val="0"/>
        <w:widowControl w:val="0"/>
        <w:kinsoku/>
        <w:wordWrap/>
        <w:overflowPunct/>
        <w:topLinePunct w:val="0"/>
        <w:bidi w:val="0"/>
        <w:snapToGrid/>
        <w:spacing w:line="400" w:lineRule="exact"/>
        <w:ind w:firstLine="600" w:firstLineChars="2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工程保修期为：</w:t>
      </w:r>
      <w:r>
        <w:rPr>
          <w:rFonts w:hint="eastAsia" w:ascii="仿宋" w:hAnsi="仿宋" w:eastAsia="仿宋" w:cs="仿宋"/>
          <w:color w:val="auto"/>
          <w:sz w:val="24"/>
          <w:szCs w:val="24"/>
          <w:u w:val="single"/>
        </w:rPr>
        <w:t xml:space="preserve">    2年     </w:t>
      </w:r>
      <w:r>
        <w:rPr>
          <w:rFonts w:hint="eastAsia" w:ascii="仿宋" w:hAnsi="仿宋" w:eastAsia="仿宋" w:cs="仿宋"/>
          <w:color w:val="auto"/>
          <w:sz w:val="24"/>
          <w:szCs w:val="24"/>
        </w:rPr>
        <w:t>。</w:t>
      </w:r>
    </w:p>
    <w:p w14:paraId="02EC0C4D">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15.4.3 修复通知</w:t>
      </w:r>
    </w:p>
    <w:p w14:paraId="0CA5D144">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承包人收到保修通知并到达工程现场的合理时间：</w:t>
      </w:r>
      <w:r>
        <w:rPr>
          <w:rFonts w:hint="eastAsia" w:ascii="仿宋" w:hAnsi="仿宋" w:eastAsia="仿宋" w:cs="仿宋"/>
          <w:color w:val="auto"/>
          <w:sz w:val="24"/>
          <w:szCs w:val="24"/>
          <w:u w:val="single"/>
        </w:rPr>
        <w:t xml:space="preserve"> 2小时内到现场，12小时内恢复使用功能。</w:t>
      </w:r>
      <w:bookmarkEnd w:id="588"/>
      <w:bookmarkEnd w:id="589"/>
      <w:bookmarkEnd w:id="590"/>
      <w:bookmarkEnd w:id="591"/>
      <w:bookmarkStart w:id="614" w:name="_Toc351203648"/>
      <w:bookmarkStart w:id="615" w:name="_Toc280868717"/>
      <w:bookmarkStart w:id="616" w:name="_Toc280868718"/>
    </w:p>
    <w:p w14:paraId="02A60EC9">
      <w:pPr>
        <w:pageBreakBefore w:val="0"/>
        <w:widowControl w:val="0"/>
        <w:kinsoku/>
        <w:wordWrap/>
        <w:overflowPunct/>
        <w:topLinePunct w:val="0"/>
        <w:bidi w:val="0"/>
        <w:snapToGrid/>
        <w:spacing w:line="400" w:lineRule="exact"/>
        <w:ind w:firstLine="468" w:firstLineChars="195"/>
        <w:jc w:val="left"/>
        <w:textAlignment w:val="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16. 违约</w:t>
      </w:r>
      <w:bookmarkEnd w:id="614"/>
    </w:p>
    <w:p w14:paraId="14EC82EF">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16.1 发包人违约</w:t>
      </w:r>
    </w:p>
    <w:p w14:paraId="20C1739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16.1.1发包人违约的情形</w:t>
      </w:r>
    </w:p>
    <w:p w14:paraId="1D1588A5">
      <w:pPr>
        <w:pageBreakBefore w:val="0"/>
        <w:widowControl w:val="0"/>
        <w:kinsoku/>
        <w:wordWrap/>
        <w:overflowPunct/>
        <w:topLinePunct w:val="0"/>
        <w:bidi w:val="0"/>
        <w:snapToGrid/>
        <w:spacing w:line="400" w:lineRule="exact"/>
        <w:ind w:left="1050" w:hanging="1200" w:hangingChars="5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发包人违约的其他情形：</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7A2E21AD">
      <w:pPr>
        <w:pageBreakBefore w:val="0"/>
        <w:widowControl w:val="0"/>
        <w:kinsoku/>
        <w:wordWrap/>
        <w:overflowPunct/>
        <w:topLinePunct w:val="0"/>
        <w:bidi w:val="0"/>
        <w:snapToGrid/>
        <w:spacing w:line="400" w:lineRule="exact"/>
        <w:ind w:left="1050" w:hanging="1200" w:hangingChars="5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16.1.2 发包人违约的责任</w:t>
      </w:r>
    </w:p>
    <w:p w14:paraId="707B4853">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发包人违约责任的承担方式和计算方法：</w:t>
      </w:r>
    </w:p>
    <w:p w14:paraId="55BEF44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（1）因发包人原因未能在计划开工日期前7天内下达开工通知的违约责任：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3C34EFCB">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（2）因发包人原因未能按合同约定支付合同价款的违约责任：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E1A776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（3）发包人违反第10.1款〔变更的范围〕第（2）项约定，自行实施被取消的工作或转由他人实施的违约责任：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A0B0A7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2673A6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（5）因发包人违反合同约定造成暂停施工的违约责任：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4C32E24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（6）发包人无正当理由没有在约定期限内发出复工指示，导致承包人无法复工的违约责任：</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7A84D8C9">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（7）其他：</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A71E31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16.1.3 因发包人违约解除合同</w:t>
      </w:r>
    </w:p>
    <w:p w14:paraId="7869997E">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承包人按16.1.1项〔发包人违约的情形〕约定暂停施工满</w:t>
      </w:r>
      <w:r>
        <w:rPr>
          <w:rFonts w:hint="eastAsia" w:ascii="仿宋" w:hAnsi="仿宋" w:eastAsia="仿宋" w:cs="仿宋"/>
          <w:color w:val="auto"/>
          <w:sz w:val="24"/>
          <w:szCs w:val="24"/>
          <w:u w:val="single"/>
        </w:rPr>
        <w:t xml:space="preserve">  28   </w:t>
      </w:r>
      <w:r>
        <w:rPr>
          <w:rFonts w:hint="eastAsia" w:ascii="仿宋" w:hAnsi="仿宋" w:eastAsia="仿宋" w:cs="仿宋"/>
          <w:color w:val="auto"/>
          <w:sz w:val="24"/>
          <w:szCs w:val="24"/>
        </w:rPr>
        <w:t>天后发包人仍不纠正其违约行为并致使合同目的不能实现的，承包人有权解除合同。</w:t>
      </w:r>
    </w:p>
    <w:p w14:paraId="010CCA0D">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16.2 承包人违约</w:t>
      </w:r>
    </w:p>
    <w:p w14:paraId="4AE1695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16.2.1 承包人违约的情形</w:t>
      </w:r>
    </w:p>
    <w:p w14:paraId="14F87794">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承包人违约的其他情形：</w:t>
      </w:r>
      <w:r>
        <w:rPr>
          <w:rFonts w:hint="eastAsia" w:ascii="仿宋" w:hAnsi="仿宋" w:eastAsia="仿宋" w:cs="仿宋"/>
          <w:b/>
          <w:bCs/>
          <w:color w:val="auto"/>
          <w:sz w:val="24"/>
          <w:szCs w:val="24"/>
          <w:u w:val="single"/>
        </w:rPr>
        <w:t>（8）</w:t>
      </w:r>
      <w:r>
        <w:rPr>
          <w:rFonts w:hint="eastAsia" w:ascii="仿宋" w:hAnsi="仿宋" w:eastAsia="仿宋" w:cs="仿宋"/>
          <w:color w:val="auto"/>
          <w:sz w:val="24"/>
          <w:szCs w:val="24"/>
          <w:u w:val="single"/>
        </w:rPr>
        <w:t>发包人在给承包人合格工程计量支付工程款后，承包人无故拖欠劳务工工资、材料供应商的材料款、机械设备租赁以及分包商的工程款，引起合同纠纷，造成不良影响。</w:t>
      </w:r>
      <w:r>
        <w:rPr>
          <w:rFonts w:hint="eastAsia" w:ascii="仿宋" w:hAnsi="仿宋" w:eastAsia="仿宋" w:cs="仿宋"/>
          <w:b/>
          <w:bCs/>
          <w:color w:val="auto"/>
          <w:sz w:val="24"/>
          <w:szCs w:val="24"/>
          <w:u w:val="single"/>
        </w:rPr>
        <w:t>（9）</w:t>
      </w:r>
      <w:r>
        <w:rPr>
          <w:rFonts w:hint="eastAsia" w:ascii="仿宋" w:hAnsi="仿宋" w:eastAsia="仿宋" w:cs="仿宋"/>
          <w:color w:val="auto"/>
          <w:sz w:val="24"/>
          <w:szCs w:val="24"/>
          <w:u w:val="single"/>
        </w:rPr>
        <w:t>承包人未能按投标文件承诺书中约定的履行义务及承包人不按合同约定履行义务的其他情况。</w:t>
      </w:r>
    </w:p>
    <w:p w14:paraId="3E25451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16.2.2承包人违约的责任</w:t>
      </w:r>
    </w:p>
    <w:p w14:paraId="5F4FE482">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承包人违约责任的承担方式和计算方法：</w:t>
      </w:r>
      <w:r>
        <w:rPr>
          <w:rFonts w:hint="eastAsia" w:ascii="仿宋" w:hAnsi="仿宋" w:eastAsia="仿宋" w:cs="仿宋"/>
          <w:color w:val="auto"/>
          <w:sz w:val="24"/>
          <w:szCs w:val="24"/>
          <w:u w:val="single"/>
        </w:rPr>
        <w:t>1、发包人有权将承包人未能或预见不能按合同进度计划及时完成合同约定的工作给有能力完成这项工作的其他承包人完成，并支付（或由发包人扣除）该部分工作的合同清单综合单价、所占合同清单比例的措施费、规费税金累计金额，给完成此项工作的承包人，若完成此项工作的承包人因价格较低，不接受合同综合单价，则按现行工程预算定额、费用定额，单位估价表及有关现行调价文件由监理人确定的核定金额支付给完成此项工作的承包人。两种结算方式的相关金额由原中标承包人承担，原中标承包人须无条件执行本条款，所产生的一切后果由原承包人承担，造成不良影响将计入企业履约诚信评价不良记录中。发包人的这一行动不免除原承包人应承担的违约责任，也不影响发包人根据合同约定享有的索赔权利。2、3、承包人发生第16.2.1（9）约定的违约情况时，按承诺的赔偿规定执行，并按有关法律处理。</w:t>
      </w:r>
    </w:p>
    <w:p w14:paraId="40E9070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16.2.3 因承包人违约解除合同</w:t>
      </w:r>
    </w:p>
    <w:p w14:paraId="30EAD8CB">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关于承包人违约解除合同的特别约定：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19DCB456">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u w:val="single"/>
        </w:rPr>
        <w:t xml:space="preserve">由承包人承担            </w:t>
      </w:r>
      <w:r>
        <w:rPr>
          <w:rFonts w:hint="eastAsia" w:ascii="仿宋" w:hAnsi="仿宋" w:eastAsia="仿宋" w:cs="仿宋"/>
          <w:color w:val="auto"/>
          <w:sz w:val="24"/>
          <w:szCs w:val="24"/>
        </w:rPr>
        <w:t>。</w:t>
      </w:r>
      <w:bookmarkStart w:id="617" w:name="_Toc351203649"/>
    </w:p>
    <w:p w14:paraId="3F5F644E">
      <w:pPr>
        <w:pageBreakBefore w:val="0"/>
        <w:widowControl w:val="0"/>
        <w:kinsoku/>
        <w:wordWrap/>
        <w:overflowPunct/>
        <w:topLinePunct w:val="0"/>
        <w:bidi w:val="0"/>
        <w:snapToGrid/>
        <w:spacing w:before="120"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17. 不可抗力</w:t>
      </w:r>
      <w:bookmarkEnd w:id="617"/>
      <w:r>
        <w:rPr>
          <w:rFonts w:hint="eastAsia" w:ascii="仿宋" w:hAnsi="仿宋" w:eastAsia="仿宋" w:cs="仿宋"/>
          <w:bCs/>
          <w:color w:val="auto"/>
          <w:sz w:val="24"/>
          <w:szCs w:val="24"/>
        </w:rPr>
        <w:t xml:space="preserve"> </w:t>
      </w:r>
      <w:bookmarkEnd w:id="615"/>
    </w:p>
    <w:p w14:paraId="781355EE">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17.1 不可抗力的确认</w:t>
      </w:r>
    </w:p>
    <w:p w14:paraId="71AC3F7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除通用合同条款约定的不可抗力事件之外，视为不可抗力的其他情形：</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43810F7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17.4 因不可抗力解除合同</w:t>
      </w:r>
    </w:p>
    <w:p w14:paraId="36759C16">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合同解除后，发包人应在商定或确定发包人应支付款项后</w:t>
      </w:r>
      <w:r>
        <w:rPr>
          <w:rFonts w:hint="eastAsia" w:ascii="仿宋" w:hAnsi="仿宋" w:eastAsia="仿宋" w:cs="仿宋"/>
          <w:color w:val="auto"/>
          <w:sz w:val="24"/>
          <w:szCs w:val="24"/>
          <w:u w:val="single"/>
        </w:rPr>
        <w:t xml:space="preserve">  90  </w:t>
      </w:r>
      <w:r>
        <w:rPr>
          <w:rFonts w:hint="eastAsia" w:ascii="仿宋" w:hAnsi="仿宋" w:eastAsia="仿宋" w:cs="仿宋"/>
          <w:color w:val="auto"/>
          <w:sz w:val="24"/>
          <w:szCs w:val="24"/>
        </w:rPr>
        <w:t>天内完成款项的支付。</w:t>
      </w:r>
      <w:bookmarkStart w:id="618" w:name="_Toc351203650"/>
    </w:p>
    <w:p w14:paraId="2F951887">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18. 保险</w:t>
      </w:r>
      <w:bookmarkEnd w:id="618"/>
    </w:p>
    <w:bookmarkEnd w:id="616"/>
    <w:p w14:paraId="26E9543C">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18.1 工程保险</w:t>
      </w:r>
    </w:p>
    <w:p w14:paraId="271D49C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关于工程保险的特别约定：</w:t>
      </w:r>
      <w:r>
        <w:rPr>
          <w:rFonts w:hint="eastAsia" w:ascii="仿宋" w:hAnsi="仿宋" w:eastAsia="仿宋" w:cs="仿宋"/>
          <w:color w:val="auto"/>
          <w:sz w:val="24"/>
          <w:szCs w:val="24"/>
          <w:u w:val="single"/>
        </w:rPr>
        <w:t xml:space="preserve"> 承包人根据自己的抗风险能力自行确定保险形式，发包人认为保险费已含投标报价中   。</w:t>
      </w:r>
    </w:p>
    <w:p w14:paraId="7C0956FD">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18.3 其他保险</w:t>
      </w:r>
    </w:p>
    <w:p w14:paraId="27552EB1">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关于其他保险的约定：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p>
    <w:p w14:paraId="531E176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承包人是否应为其施工设备等办理财产保险：</w:t>
      </w:r>
      <w:r>
        <w:rPr>
          <w:rFonts w:hint="eastAsia" w:ascii="仿宋" w:hAnsi="仿宋" w:eastAsia="仿宋" w:cs="仿宋"/>
          <w:color w:val="auto"/>
          <w:sz w:val="24"/>
          <w:szCs w:val="24"/>
          <w:u w:val="single"/>
        </w:rPr>
        <w:t>执行通用条款</w:t>
      </w:r>
      <w:r>
        <w:rPr>
          <w:rFonts w:hint="eastAsia" w:ascii="仿宋" w:hAnsi="仿宋" w:eastAsia="仿宋" w:cs="仿宋"/>
          <w:color w:val="auto"/>
          <w:sz w:val="24"/>
          <w:szCs w:val="24"/>
        </w:rPr>
        <w:t>。</w:t>
      </w:r>
    </w:p>
    <w:p w14:paraId="7ECA796B">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18.7 通知义务</w:t>
      </w:r>
    </w:p>
    <w:p w14:paraId="5225379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关于变更保险合同时的通知义务的约定：</w:t>
      </w:r>
      <w:r>
        <w:rPr>
          <w:rFonts w:hint="eastAsia" w:ascii="仿宋" w:hAnsi="仿宋" w:eastAsia="仿宋" w:cs="仿宋"/>
          <w:color w:val="auto"/>
          <w:sz w:val="24"/>
          <w:szCs w:val="24"/>
          <w:u w:val="single"/>
        </w:rPr>
        <w:t xml:space="preserve">执行通用条款 </w:t>
      </w:r>
      <w:r>
        <w:rPr>
          <w:rFonts w:hint="eastAsia" w:ascii="仿宋" w:hAnsi="仿宋" w:eastAsia="仿宋" w:cs="仿宋"/>
          <w:color w:val="auto"/>
          <w:sz w:val="24"/>
          <w:szCs w:val="24"/>
        </w:rPr>
        <w:t>。</w:t>
      </w:r>
      <w:bookmarkEnd w:id="592"/>
      <w:bookmarkEnd w:id="593"/>
      <w:bookmarkEnd w:id="594"/>
      <w:bookmarkEnd w:id="595"/>
      <w:bookmarkEnd w:id="596"/>
      <w:bookmarkEnd w:id="597"/>
      <w:bookmarkEnd w:id="598"/>
      <w:bookmarkEnd w:id="599"/>
      <w:bookmarkEnd w:id="600"/>
      <w:bookmarkEnd w:id="601"/>
      <w:bookmarkEnd w:id="602"/>
      <w:bookmarkEnd w:id="603"/>
      <w:bookmarkStart w:id="619" w:name="_Toc351203651"/>
    </w:p>
    <w:p w14:paraId="300E31D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20. 争议解决</w:t>
      </w:r>
      <w:bookmarkEnd w:id="619"/>
    </w:p>
    <w:bookmarkEnd w:id="604"/>
    <w:bookmarkEnd w:id="605"/>
    <w:p w14:paraId="0030442E">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 争</w:t>
      </w:r>
      <w:bookmarkEnd w:id="606"/>
      <w:r>
        <w:rPr>
          <w:rFonts w:hint="eastAsia" w:ascii="仿宋" w:hAnsi="仿宋" w:eastAsia="仿宋" w:cs="仿宋"/>
          <w:color w:val="auto"/>
          <w:sz w:val="24"/>
          <w:szCs w:val="24"/>
        </w:rPr>
        <w:t>议评审</w:t>
      </w:r>
    </w:p>
    <w:p w14:paraId="0AEB7E9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合同当事人是否同意将工程争议提交争议评审小组决定：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6505B57">
      <w:pPr>
        <w:pageBreakBefore w:val="0"/>
        <w:widowControl w:val="0"/>
        <w:kinsoku/>
        <w:wordWrap/>
        <w:overflowPunct/>
        <w:topLinePunct w:val="0"/>
        <w:bidi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20.3.1 争议评审小组的确定</w:t>
      </w:r>
    </w:p>
    <w:p w14:paraId="55246DD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争议评审小组成员的确定：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FFB89F8">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选定争议评审员的期限：</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145200A">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争议评审小组成员的报酬承担方式：</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35B9800F">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其他事项的约定：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841B705">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20.3.2 争议评审小组的决定</w:t>
      </w:r>
    </w:p>
    <w:p w14:paraId="3183A380">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合同当事人关于本项的约定：</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5760B69">
      <w:pPr>
        <w:pageBreakBefore w:val="0"/>
        <w:widowControl w:val="0"/>
        <w:kinsoku/>
        <w:wordWrap/>
        <w:overflowPunct/>
        <w:topLinePunct w:val="0"/>
        <w:bidi w:val="0"/>
        <w:snapToGrid/>
        <w:spacing w:after="120" w:line="400" w:lineRule="exact"/>
        <w:ind w:firstLine="48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20.4仲裁或诉讼</w:t>
      </w:r>
      <w:bookmarkEnd w:id="607"/>
    </w:p>
    <w:p w14:paraId="30AB330F">
      <w:pPr>
        <w:pageBreakBefore w:val="0"/>
        <w:widowControl w:val="0"/>
        <w:kinsoku/>
        <w:wordWrap/>
        <w:overflowPunct/>
        <w:topLinePunct w:val="0"/>
        <w:bidi w:val="0"/>
        <w:snapToGrid/>
        <w:spacing w:after="120"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因合同及合同有关事项发生的争议，按下列第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种方式解决：</w:t>
      </w:r>
    </w:p>
    <w:p w14:paraId="5B1F832C">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仲裁委员会申请仲裁；</w:t>
      </w:r>
    </w:p>
    <w:p w14:paraId="18256DCD">
      <w:pPr>
        <w:pageBreakBefore w:val="0"/>
        <w:widowControl w:val="0"/>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（2）向</w:t>
      </w:r>
      <w:r>
        <w:rPr>
          <w:rFonts w:hint="eastAsia" w:ascii="仿宋" w:hAnsi="仿宋" w:eastAsia="仿宋" w:cs="仿宋"/>
          <w:color w:val="auto"/>
          <w:sz w:val="24"/>
          <w:szCs w:val="24"/>
          <w:u w:val="single"/>
        </w:rPr>
        <w:t xml:space="preserve">     项目所在地      </w:t>
      </w:r>
      <w:r>
        <w:rPr>
          <w:rFonts w:hint="eastAsia" w:ascii="仿宋" w:hAnsi="仿宋" w:eastAsia="仿宋" w:cs="仿宋"/>
          <w:color w:val="auto"/>
          <w:sz w:val="24"/>
          <w:szCs w:val="24"/>
        </w:rPr>
        <w:t>人民法院起诉。</w:t>
      </w:r>
      <w:bookmarkEnd w:id="608"/>
      <w:bookmarkEnd w:id="609"/>
      <w:bookmarkEnd w:id="610"/>
      <w:bookmarkEnd w:id="611"/>
      <w:bookmarkEnd w:id="612"/>
      <w:bookmarkEnd w:id="613"/>
    </w:p>
    <w:p w14:paraId="7A9AAEA0">
      <w:pPr>
        <w:pageBreakBefore w:val="0"/>
        <w:widowControl w:val="0"/>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补充条款：</w:t>
      </w:r>
    </w:p>
    <w:p w14:paraId="1B95674E">
      <w:pPr>
        <w:pageBreakBefore w:val="0"/>
        <w:widowControl w:val="0"/>
        <w:kinsoku/>
        <w:wordWrap/>
        <w:overflowPunct/>
        <w:topLinePunct w:val="0"/>
        <w:bidi w:val="0"/>
        <w:snapToGrid/>
        <w:spacing w:line="40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1、最终本项目的施工合同版本以甲方签订版本为准。</w:t>
      </w:r>
    </w:p>
    <w:p w14:paraId="2F328991">
      <w:pPr>
        <w:spacing w:line="360" w:lineRule="auto"/>
        <w:jc w:val="left"/>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附件</w:t>
      </w:r>
    </w:p>
    <w:p w14:paraId="4CDE5D82">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协议书附件：</w:t>
      </w:r>
    </w:p>
    <w:p w14:paraId="0864B312">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附件1：承包人承揽工程项目一览表</w:t>
      </w:r>
    </w:p>
    <w:p w14:paraId="3537019B">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专用合同条款附件：</w:t>
      </w:r>
    </w:p>
    <w:p w14:paraId="029A296C">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附件2：发包人供应材料设备一览表</w:t>
      </w:r>
    </w:p>
    <w:p w14:paraId="31C072F9">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附件3：工程质量保修书</w:t>
      </w:r>
    </w:p>
    <w:p w14:paraId="5034A948">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附件4：主要建设工程文件目录</w:t>
      </w:r>
    </w:p>
    <w:p w14:paraId="4B5C5F89">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附件5：承包人用于本工程施工的机械设备表</w:t>
      </w:r>
    </w:p>
    <w:p w14:paraId="0628DC30">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附件6：承包人主要施工管理人员表</w:t>
      </w:r>
    </w:p>
    <w:p w14:paraId="59F496AA">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附件7：分包人主要施工管理人员表 </w:t>
      </w:r>
    </w:p>
    <w:p w14:paraId="30192C53">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附件8：履约担保格式</w:t>
      </w:r>
    </w:p>
    <w:p w14:paraId="71CE50CD">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附件9：预付款担保格式</w:t>
      </w:r>
    </w:p>
    <w:p w14:paraId="446D33C6">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附件10：支付担保格式</w:t>
      </w:r>
    </w:p>
    <w:p w14:paraId="099F720D">
      <w:pPr>
        <w:spacing w:line="360" w:lineRule="auto"/>
        <w:rPr>
          <w:rFonts w:hint="eastAsia" w:ascii="仿宋" w:hAnsi="仿宋" w:eastAsia="仿宋" w:cs="仿宋"/>
          <w:color w:val="auto"/>
          <w:sz w:val="24"/>
          <w:szCs w:val="24"/>
        </w:rPr>
        <w:sectPr>
          <w:footerReference r:id="rId11" w:type="first"/>
          <w:footerReference r:id="rId10"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color w:val="auto"/>
          <w:sz w:val="24"/>
          <w:szCs w:val="24"/>
        </w:rPr>
        <w:t>附件11：暂估价一览表</w:t>
      </w:r>
    </w:p>
    <w:p w14:paraId="20EFF937">
      <w:pPr>
        <w:spacing w:before="156" w:beforeLines="50" w:after="156" w:afterLines="50" w:line="440" w:lineRule="exact"/>
        <w:jc w:val="left"/>
        <w:rPr>
          <w:rFonts w:hint="eastAsia" w:ascii="仿宋" w:hAnsi="仿宋" w:eastAsia="仿宋" w:cs="仿宋"/>
          <w:color w:val="auto"/>
          <w:szCs w:val="21"/>
        </w:rPr>
      </w:pPr>
      <w:r>
        <w:rPr>
          <w:rFonts w:hint="eastAsia" w:ascii="仿宋" w:hAnsi="仿宋" w:eastAsia="仿宋" w:cs="仿宋"/>
          <w:color w:val="auto"/>
          <w:szCs w:val="21"/>
        </w:rPr>
        <w:t xml:space="preserve">附件1： </w:t>
      </w:r>
    </w:p>
    <w:p w14:paraId="220242CC">
      <w:pPr>
        <w:spacing w:before="156" w:beforeLines="50" w:after="156"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承包人承揽工程项目一览表</w:t>
      </w:r>
    </w:p>
    <w:tbl>
      <w:tblPr>
        <w:tblStyle w:val="60"/>
        <w:tblW w:w="9298"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6"/>
        <w:gridCol w:w="940"/>
        <w:gridCol w:w="1038"/>
        <w:gridCol w:w="671"/>
        <w:gridCol w:w="598"/>
        <w:gridCol w:w="705"/>
        <w:gridCol w:w="975"/>
        <w:gridCol w:w="1185"/>
        <w:gridCol w:w="1065"/>
        <w:gridCol w:w="1185"/>
      </w:tblGrid>
      <w:tr w14:paraId="1E25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936" w:type="dxa"/>
            <w:tcBorders>
              <w:top w:val="single" w:color="auto" w:sz="12" w:space="0"/>
              <w:bottom w:val="double" w:color="auto" w:sz="6" w:space="0"/>
            </w:tcBorders>
            <w:noWrap w:val="0"/>
            <w:vAlign w:val="center"/>
          </w:tcPr>
          <w:p w14:paraId="1E57CF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单位工程名称</w:t>
            </w:r>
          </w:p>
        </w:tc>
        <w:tc>
          <w:tcPr>
            <w:tcW w:w="940" w:type="dxa"/>
            <w:tcBorders>
              <w:top w:val="single" w:color="auto" w:sz="12" w:space="0"/>
              <w:bottom w:val="double" w:color="auto" w:sz="6" w:space="0"/>
            </w:tcBorders>
            <w:noWrap w:val="0"/>
            <w:vAlign w:val="center"/>
          </w:tcPr>
          <w:p w14:paraId="50F728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建设规模</w:t>
            </w:r>
          </w:p>
        </w:tc>
        <w:tc>
          <w:tcPr>
            <w:tcW w:w="1038" w:type="dxa"/>
            <w:tcBorders>
              <w:top w:val="single" w:color="auto" w:sz="12" w:space="0"/>
              <w:bottom w:val="double" w:color="auto" w:sz="6" w:space="0"/>
            </w:tcBorders>
            <w:noWrap w:val="0"/>
            <w:vAlign w:val="center"/>
          </w:tcPr>
          <w:p w14:paraId="60C385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建筑面积(平方米)</w:t>
            </w:r>
          </w:p>
        </w:tc>
        <w:tc>
          <w:tcPr>
            <w:tcW w:w="671" w:type="dxa"/>
            <w:tcBorders>
              <w:top w:val="single" w:color="auto" w:sz="12" w:space="0"/>
              <w:bottom w:val="double" w:color="auto" w:sz="6" w:space="0"/>
            </w:tcBorders>
            <w:noWrap w:val="0"/>
            <w:vAlign w:val="center"/>
          </w:tcPr>
          <w:p w14:paraId="59EBEE5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结构形式</w:t>
            </w:r>
          </w:p>
        </w:tc>
        <w:tc>
          <w:tcPr>
            <w:tcW w:w="598" w:type="dxa"/>
            <w:tcBorders>
              <w:top w:val="single" w:color="auto" w:sz="12" w:space="0"/>
              <w:bottom w:val="double" w:color="auto" w:sz="6" w:space="0"/>
            </w:tcBorders>
            <w:noWrap w:val="0"/>
            <w:vAlign w:val="center"/>
          </w:tcPr>
          <w:p w14:paraId="338565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层数</w:t>
            </w:r>
          </w:p>
        </w:tc>
        <w:tc>
          <w:tcPr>
            <w:tcW w:w="705" w:type="dxa"/>
            <w:tcBorders>
              <w:top w:val="single" w:color="auto" w:sz="12" w:space="0"/>
              <w:bottom w:val="double" w:color="auto" w:sz="6" w:space="0"/>
            </w:tcBorders>
            <w:noWrap w:val="0"/>
            <w:vAlign w:val="center"/>
          </w:tcPr>
          <w:p w14:paraId="5DF8D8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生产能力</w:t>
            </w:r>
          </w:p>
        </w:tc>
        <w:tc>
          <w:tcPr>
            <w:tcW w:w="975" w:type="dxa"/>
            <w:tcBorders>
              <w:top w:val="single" w:color="auto" w:sz="12" w:space="0"/>
              <w:bottom w:val="double" w:color="auto" w:sz="6" w:space="0"/>
            </w:tcBorders>
            <w:noWrap w:val="0"/>
            <w:vAlign w:val="center"/>
          </w:tcPr>
          <w:p w14:paraId="1FAAB69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设备安装内容</w:t>
            </w:r>
          </w:p>
        </w:tc>
        <w:tc>
          <w:tcPr>
            <w:tcW w:w="1185" w:type="dxa"/>
            <w:tcBorders>
              <w:top w:val="single" w:color="auto" w:sz="12" w:space="0"/>
              <w:bottom w:val="double" w:color="auto" w:sz="6" w:space="0"/>
            </w:tcBorders>
            <w:noWrap w:val="0"/>
            <w:vAlign w:val="center"/>
          </w:tcPr>
          <w:p w14:paraId="2FEB48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合同价格（元）</w:t>
            </w:r>
          </w:p>
        </w:tc>
        <w:tc>
          <w:tcPr>
            <w:tcW w:w="1065" w:type="dxa"/>
            <w:tcBorders>
              <w:top w:val="single" w:color="auto" w:sz="12" w:space="0"/>
              <w:bottom w:val="double" w:color="auto" w:sz="6" w:space="0"/>
            </w:tcBorders>
            <w:noWrap w:val="0"/>
            <w:vAlign w:val="center"/>
          </w:tcPr>
          <w:p w14:paraId="067635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开工日期</w:t>
            </w:r>
          </w:p>
        </w:tc>
        <w:tc>
          <w:tcPr>
            <w:tcW w:w="1185" w:type="dxa"/>
            <w:tcBorders>
              <w:top w:val="single" w:color="auto" w:sz="12" w:space="0"/>
              <w:bottom w:val="double" w:color="auto" w:sz="6" w:space="0"/>
            </w:tcBorders>
            <w:noWrap w:val="0"/>
            <w:vAlign w:val="center"/>
          </w:tcPr>
          <w:p w14:paraId="4E99BB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竣工日期</w:t>
            </w:r>
          </w:p>
        </w:tc>
      </w:tr>
      <w:tr w14:paraId="05ABE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tcBorders>
              <w:top w:val="double" w:color="auto" w:sz="6" w:space="0"/>
              <w:bottom w:val="single" w:color="auto" w:sz="6" w:space="0"/>
            </w:tcBorders>
            <w:noWrap w:val="0"/>
            <w:vAlign w:val="center"/>
          </w:tcPr>
          <w:p w14:paraId="23DFD9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double" w:color="auto" w:sz="6" w:space="0"/>
              <w:bottom w:val="single" w:color="auto" w:sz="6" w:space="0"/>
            </w:tcBorders>
            <w:noWrap w:val="0"/>
            <w:vAlign w:val="center"/>
          </w:tcPr>
          <w:p w14:paraId="4668D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double" w:color="auto" w:sz="6" w:space="0"/>
              <w:bottom w:val="single" w:color="auto" w:sz="6" w:space="0"/>
            </w:tcBorders>
            <w:noWrap w:val="0"/>
            <w:vAlign w:val="center"/>
          </w:tcPr>
          <w:p w14:paraId="0854DB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double" w:color="auto" w:sz="6" w:space="0"/>
              <w:bottom w:val="single" w:color="auto" w:sz="6" w:space="0"/>
            </w:tcBorders>
            <w:noWrap w:val="0"/>
            <w:vAlign w:val="center"/>
          </w:tcPr>
          <w:p w14:paraId="46659B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double" w:color="auto" w:sz="6" w:space="0"/>
              <w:bottom w:val="single" w:color="auto" w:sz="6" w:space="0"/>
            </w:tcBorders>
            <w:noWrap w:val="0"/>
            <w:vAlign w:val="center"/>
          </w:tcPr>
          <w:p w14:paraId="071570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double" w:color="auto" w:sz="6" w:space="0"/>
              <w:bottom w:val="single" w:color="auto" w:sz="6" w:space="0"/>
            </w:tcBorders>
            <w:noWrap w:val="0"/>
            <w:vAlign w:val="center"/>
          </w:tcPr>
          <w:p w14:paraId="0C5D5A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double" w:color="auto" w:sz="6" w:space="0"/>
              <w:bottom w:val="single" w:color="auto" w:sz="6" w:space="0"/>
            </w:tcBorders>
            <w:noWrap w:val="0"/>
            <w:vAlign w:val="center"/>
          </w:tcPr>
          <w:p w14:paraId="34B14B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double" w:color="auto" w:sz="6" w:space="0"/>
              <w:bottom w:val="single" w:color="auto" w:sz="6" w:space="0"/>
            </w:tcBorders>
            <w:noWrap w:val="0"/>
            <w:vAlign w:val="center"/>
          </w:tcPr>
          <w:p w14:paraId="3A776C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double" w:color="auto" w:sz="6" w:space="0"/>
              <w:bottom w:val="single" w:color="auto" w:sz="6" w:space="0"/>
            </w:tcBorders>
            <w:noWrap w:val="0"/>
            <w:vAlign w:val="center"/>
          </w:tcPr>
          <w:p w14:paraId="3DF53A6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double" w:color="auto" w:sz="6" w:space="0"/>
              <w:bottom w:val="single" w:color="auto" w:sz="6" w:space="0"/>
            </w:tcBorders>
            <w:noWrap w:val="0"/>
            <w:vAlign w:val="center"/>
          </w:tcPr>
          <w:p w14:paraId="473F57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2A42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1443AD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366556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3CCDD7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687582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38D3D9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1E7531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7400B73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207BC2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70E023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3F7898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761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64B221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7152EE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74A4CF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08807B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6E9686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0733B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255FAD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67A9A9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166F44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A9C25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04FF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4A09A6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44102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3DE351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5B206C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066069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79ABE4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4D4ED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37AD5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45BC7D7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54707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A9D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68796D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194BC8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515025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37BFFD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0323D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06A4099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30E5DC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7E63B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1BFB90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4D6924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E3B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3C126F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5582D9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4C0171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670004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CF846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CB028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40548D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70B322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092324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0D2B67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7F6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49B34D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3EAC34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6EBA47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23066D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46B146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7E084B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72F9C2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1DA9A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7AF7DD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F3C91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C927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1E5187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25775C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00F85D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5529E5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156C9C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238262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676D33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633B6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328A18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2BC57B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9BD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noWrap w:val="0"/>
            <w:vAlign w:val="center"/>
          </w:tcPr>
          <w:p w14:paraId="2494577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6EE23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5D5F8C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6E66B7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21A26A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3EB9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5878B4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58DED23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D12D0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04D237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8C32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936" w:type="dxa"/>
            <w:tcBorders>
              <w:top w:val="nil"/>
            </w:tcBorders>
            <w:noWrap w:val="0"/>
            <w:vAlign w:val="center"/>
          </w:tcPr>
          <w:p w14:paraId="4EF558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49255C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tcBorders>
              <w:top w:val="nil"/>
            </w:tcBorders>
            <w:noWrap w:val="0"/>
            <w:vAlign w:val="center"/>
          </w:tcPr>
          <w:p w14:paraId="3DC8CD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tcBorders>
              <w:top w:val="nil"/>
            </w:tcBorders>
            <w:noWrap w:val="0"/>
            <w:vAlign w:val="center"/>
          </w:tcPr>
          <w:p w14:paraId="3CDE8B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tcBorders>
              <w:top w:val="nil"/>
            </w:tcBorders>
            <w:noWrap w:val="0"/>
            <w:vAlign w:val="center"/>
          </w:tcPr>
          <w:p w14:paraId="2DDC7D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tcBorders>
              <w:top w:val="nil"/>
            </w:tcBorders>
            <w:noWrap w:val="0"/>
            <w:vAlign w:val="center"/>
          </w:tcPr>
          <w:p w14:paraId="3D3515F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tcBorders>
              <w:top w:val="nil"/>
            </w:tcBorders>
            <w:noWrap w:val="0"/>
            <w:vAlign w:val="center"/>
          </w:tcPr>
          <w:p w14:paraId="66C105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115C39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tcBorders>
              <w:top w:val="nil"/>
            </w:tcBorders>
            <w:noWrap w:val="0"/>
            <w:vAlign w:val="center"/>
          </w:tcPr>
          <w:p w14:paraId="0AE987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tcBorders>
              <w:top w:val="nil"/>
            </w:tcBorders>
            <w:noWrap w:val="0"/>
            <w:vAlign w:val="center"/>
          </w:tcPr>
          <w:p w14:paraId="5B3CA7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7F3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7ED746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2738C4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14C94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473C85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439B32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66091D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A389C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BF011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03196E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FCD0D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C64A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792DFC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F267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211CE2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5A2663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B921B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62D22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4C32AE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53CE3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38EB5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384FD8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89B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06150E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92FC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7D127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215608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13493E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4FB087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5CE250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105FCA4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686065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526F75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940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4AA467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A816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15F07E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7C269F2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177A9C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33F09A6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11A6F9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43027E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3BE3D9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6D652A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353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936" w:type="dxa"/>
            <w:noWrap w:val="0"/>
            <w:vAlign w:val="center"/>
          </w:tcPr>
          <w:p w14:paraId="3000D2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138C97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38" w:type="dxa"/>
            <w:noWrap w:val="0"/>
            <w:vAlign w:val="center"/>
          </w:tcPr>
          <w:p w14:paraId="7088604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671" w:type="dxa"/>
            <w:noWrap w:val="0"/>
            <w:vAlign w:val="center"/>
          </w:tcPr>
          <w:p w14:paraId="1AE219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598" w:type="dxa"/>
            <w:noWrap w:val="0"/>
            <w:vAlign w:val="center"/>
          </w:tcPr>
          <w:p w14:paraId="5266D7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05" w:type="dxa"/>
            <w:noWrap w:val="0"/>
            <w:vAlign w:val="center"/>
          </w:tcPr>
          <w:p w14:paraId="5C5904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75" w:type="dxa"/>
            <w:noWrap w:val="0"/>
            <w:vAlign w:val="center"/>
          </w:tcPr>
          <w:p w14:paraId="6560A2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2C555F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65" w:type="dxa"/>
            <w:noWrap w:val="0"/>
            <w:vAlign w:val="center"/>
          </w:tcPr>
          <w:p w14:paraId="1E11BC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85" w:type="dxa"/>
            <w:noWrap w:val="0"/>
            <w:vAlign w:val="center"/>
          </w:tcPr>
          <w:p w14:paraId="329365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01343B48">
      <w:pPr>
        <w:spacing w:line="440" w:lineRule="exact"/>
        <w:rPr>
          <w:rFonts w:hint="eastAsia" w:ascii="仿宋" w:hAnsi="仿宋" w:eastAsia="仿宋" w:cs="仿宋"/>
          <w:b/>
          <w:color w:val="auto"/>
          <w:szCs w:val="21"/>
        </w:rPr>
        <w:sectPr>
          <w:headerReference r:id="rId12" w:type="first"/>
          <w:footerReference r:id="rId14" w:type="first"/>
          <w:footerReference r:id="rId13" w:type="default"/>
          <w:pgSz w:w="11906" w:h="16838"/>
          <w:pgMar w:top="1418" w:right="1531" w:bottom="1418" w:left="1554"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13711B74">
      <w:pPr>
        <w:spacing w:line="440" w:lineRule="exact"/>
        <w:rPr>
          <w:rFonts w:hint="eastAsia" w:ascii="仿宋" w:hAnsi="仿宋" w:eastAsia="仿宋" w:cs="仿宋"/>
          <w:color w:val="auto"/>
          <w:szCs w:val="21"/>
        </w:rPr>
      </w:pPr>
      <w:r>
        <w:rPr>
          <w:rFonts w:hint="eastAsia" w:ascii="仿宋" w:hAnsi="仿宋" w:eastAsia="仿宋" w:cs="仿宋"/>
          <w:color w:val="auto"/>
          <w:szCs w:val="21"/>
        </w:rPr>
        <w:t>附件2：</w:t>
      </w:r>
    </w:p>
    <w:p w14:paraId="716B3118">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发包人供应材料设备一览表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5520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2479C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276" w:type="dxa"/>
            <w:tcBorders>
              <w:top w:val="single" w:color="auto" w:sz="12" w:space="0"/>
              <w:bottom w:val="double" w:color="auto" w:sz="6" w:space="0"/>
            </w:tcBorders>
            <w:noWrap w:val="0"/>
            <w:vAlign w:val="center"/>
          </w:tcPr>
          <w:p w14:paraId="0B9279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 xml:space="preserve">  材料、</w:t>
            </w:r>
          </w:p>
          <w:p w14:paraId="35AB1C2B">
            <w:pPr>
              <w:keepNext/>
              <w:adjustRightInd w:val="0"/>
              <w:spacing w:line="440" w:lineRule="exact"/>
              <w:ind w:right="63" w:rightChars="30"/>
              <w:textAlignment w:val="baseline"/>
              <w:rPr>
                <w:rFonts w:hint="eastAsia" w:ascii="仿宋" w:hAnsi="仿宋" w:eastAsia="仿宋" w:cs="仿宋"/>
                <w:color w:val="auto"/>
                <w:szCs w:val="21"/>
              </w:rPr>
            </w:pPr>
            <w:r>
              <w:rPr>
                <w:rFonts w:hint="eastAsia" w:ascii="仿宋" w:hAnsi="仿宋" w:eastAsia="仿宋" w:cs="仿宋"/>
                <w:color w:val="auto"/>
                <w:szCs w:val="21"/>
              </w:rPr>
              <w:t>设备品种</w:t>
            </w:r>
          </w:p>
        </w:tc>
        <w:tc>
          <w:tcPr>
            <w:tcW w:w="1418" w:type="dxa"/>
            <w:tcBorders>
              <w:top w:val="single" w:color="auto" w:sz="12" w:space="0"/>
              <w:bottom w:val="double" w:color="auto" w:sz="6" w:space="0"/>
            </w:tcBorders>
            <w:noWrap w:val="0"/>
            <w:vAlign w:val="center"/>
          </w:tcPr>
          <w:p w14:paraId="33B04E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规格型号</w:t>
            </w:r>
          </w:p>
        </w:tc>
        <w:tc>
          <w:tcPr>
            <w:tcW w:w="940" w:type="dxa"/>
            <w:tcBorders>
              <w:top w:val="single" w:color="auto" w:sz="12" w:space="0"/>
              <w:bottom w:val="double" w:color="auto" w:sz="6" w:space="0"/>
            </w:tcBorders>
            <w:noWrap w:val="0"/>
            <w:vAlign w:val="center"/>
          </w:tcPr>
          <w:p w14:paraId="277E1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851" w:type="dxa"/>
            <w:tcBorders>
              <w:top w:val="single" w:color="auto" w:sz="12" w:space="0"/>
              <w:bottom w:val="double" w:color="auto" w:sz="6" w:space="0"/>
            </w:tcBorders>
            <w:noWrap w:val="0"/>
            <w:vAlign w:val="center"/>
          </w:tcPr>
          <w:p w14:paraId="67BBE7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044" w:type="dxa"/>
            <w:tcBorders>
              <w:top w:val="single" w:color="auto" w:sz="12" w:space="0"/>
              <w:bottom w:val="double" w:color="auto" w:sz="6" w:space="0"/>
            </w:tcBorders>
            <w:noWrap w:val="0"/>
            <w:vAlign w:val="center"/>
          </w:tcPr>
          <w:p w14:paraId="553503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992" w:type="dxa"/>
            <w:tcBorders>
              <w:top w:val="single" w:color="auto" w:sz="12" w:space="0"/>
              <w:bottom w:val="double" w:color="auto" w:sz="6" w:space="0"/>
            </w:tcBorders>
            <w:noWrap w:val="0"/>
            <w:vAlign w:val="center"/>
          </w:tcPr>
          <w:p w14:paraId="4E2032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质量等级</w:t>
            </w:r>
          </w:p>
        </w:tc>
        <w:tc>
          <w:tcPr>
            <w:tcW w:w="851" w:type="dxa"/>
            <w:tcBorders>
              <w:top w:val="single" w:color="auto" w:sz="12" w:space="0"/>
              <w:bottom w:val="double" w:color="auto" w:sz="6" w:space="0"/>
            </w:tcBorders>
            <w:noWrap w:val="0"/>
            <w:vAlign w:val="center"/>
          </w:tcPr>
          <w:p w14:paraId="4670CF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供应时间</w:t>
            </w:r>
          </w:p>
        </w:tc>
        <w:tc>
          <w:tcPr>
            <w:tcW w:w="1487" w:type="dxa"/>
            <w:tcBorders>
              <w:top w:val="single" w:color="auto" w:sz="12" w:space="0"/>
              <w:bottom w:val="double" w:color="auto" w:sz="6" w:space="0"/>
            </w:tcBorders>
            <w:noWrap w:val="0"/>
            <w:vAlign w:val="center"/>
          </w:tcPr>
          <w:p w14:paraId="277C72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送达地点</w:t>
            </w:r>
          </w:p>
        </w:tc>
        <w:tc>
          <w:tcPr>
            <w:tcW w:w="992" w:type="dxa"/>
            <w:tcBorders>
              <w:top w:val="single" w:color="auto" w:sz="12" w:space="0"/>
              <w:bottom w:val="double" w:color="auto" w:sz="6" w:space="0"/>
            </w:tcBorders>
            <w:noWrap w:val="0"/>
            <w:vAlign w:val="center"/>
          </w:tcPr>
          <w:p w14:paraId="1D527D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32E4C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19301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center"/>
          </w:tcPr>
          <w:p w14:paraId="344C7E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center"/>
          </w:tcPr>
          <w:p w14:paraId="681A663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double" w:color="auto" w:sz="6" w:space="0"/>
              <w:bottom w:val="single" w:color="auto" w:sz="6" w:space="0"/>
            </w:tcBorders>
            <w:noWrap w:val="0"/>
            <w:vAlign w:val="center"/>
          </w:tcPr>
          <w:p w14:paraId="2BDC41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center"/>
          </w:tcPr>
          <w:p w14:paraId="652021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tcBorders>
              <w:top w:val="double" w:color="auto" w:sz="6" w:space="0"/>
              <w:bottom w:val="single" w:color="auto" w:sz="6" w:space="0"/>
            </w:tcBorders>
            <w:noWrap w:val="0"/>
            <w:vAlign w:val="center"/>
          </w:tcPr>
          <w:p w14:paraId="1152EF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double" w:color="auto" w:sz="6" w:space="0"/>
              <w:bottom w:val="single" w:color="auto" w:sz="6" w:space="0"/>
            </w:tcBorders>
            <w:noWrap w:val="0"/>
            <w:vAlign w:val="center"/>
          </w:tcPr>
          <w:p w14:paraId="315273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center"/>
          </w:tcPr>
          <w:p w14:paraId="25CB5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tcBorders>
              <w:top w:val="double" w:color="auto" w:sz="6" w:space="0"/>
              <w:bottom w:val="single" w:color="auto" w:sz="6" w:space="0"/>
            </w:tcBorders>
            <w:noWrap w:val="0"/>
            <w:vAlign w:val="center"/>
          </w:tcPr>
          <w:p w14:paraId="06A5B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double" w:color="auto" w:sz="6" w:space="0"/>
              <w:bottom w:val="single" w:color="auto" w:sz="6" w:space="0"/>
            </w:tcBorders>
            <w:noWrap w:val="0"/>
            <w:vAlign w:val="center"/>
          </w:tcPr>
          <w:p w14:paraId="44F2B8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4604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69BEFF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center"/>
          </w:tcPr>
          <w:p w14:paraId="7BDA0E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center"/>
          </w:tcPr>
          <w:p w14:paraId="2F8F99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tcBorders>
              <w:top w:val="nil"/>
            </w:tcBorders>
            <w:noWrap w:val="0"/>
            <w:vAlign w:val="center"/>
          </w:tcPr>
          <w:p w14:paraId="5923E3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center"/>
          </w:tcPr>
          <w:p w14:paraId="6240AA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tcBorders>
              <w:top w:val="nil"/>
            </w:tcBorders>
            <w:noWrap w:val="0"/>
            <w:vAlign w:val="center"/>
          </w:tcPr>
          <w:p w14:paraId="481BF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nil"/>
            </w:tcBorders>
            <w:noWrap w:val="0"/>
            <w:vAlign w:val="center"/>
          </w:tcPr>
          <w:p w14:paraId="41B3ED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center"/>
          </w:tcPr>
          <w:p w14:paraId="14663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tcBorders>
              <w:top w:val="nil"/>
            </w:tcBorders>
            <w:noWrap w:val="0"/>
            <w:vAlign w:val="center"/>
          </w:tcPr>
          <w:p w14:paraId="33A6BF6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tcBorders>
              <w:top w:val="nil"/>
            </w:tcBorders>
            <w:noWrap w:val="0"/>
            <w:vAlign w:val="center"/>
          </w:tcPr>
          <w:p w14:paraId="41FDE3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0B8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FA06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2BAC0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7893C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40631C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C05FF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3A3879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B4AA49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3364F1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42C1C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CE9E0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67B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FF54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3F2B29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5C1FBA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2E0991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A555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4CC2DC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DDE09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68BF3A6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1FA17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58C6E7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AF65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FAD73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4AB90B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C0693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732E18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F321E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6CEE85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6C83C8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4EE27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13F802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23DDF25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6085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2C23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E1A05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3EE92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018F06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64F73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45683B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41910B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08ECD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4CBA83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3E7D6F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07A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61ADF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3BA37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76C30C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3EE7F0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2117C0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3D4814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1DE8F7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79E94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362AA7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6905EA9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47F1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FC8A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7835F8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98DE8C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0D45F9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7DE1CD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1E7AB1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4E1A0B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6F5A6B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7BA5A9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7CC4D2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CB41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15749D">
            <w:pPr>
              <w:jc w:val="center"/>
              <w:rPr>
                <w:rFonts w:hint="eastAsia" w:ascii="仿宋" w:hAnsi="仿宋" w:eastAsia="仿宋" w:cs="仿宋"/>
                <w:color w:val="auto"/>
                <w:szCs w:val="21"/>
              </w:rPr>
            </w:pPr>
          </w:p>
        </w:tc>
        <w:tc>
          <w:tcPr>
            <w:tcW w:w="1276" w:type="dxa"/>
            <w:noWrap w:val="0"/>
            <w:vAlign w:val="center"/>
          </w:tcPr>
          <w:p w14:paraId="43A32E01">
            <w:pPr>
              <w:jc w:val="center"/>
              <w:rPr>
                <w:rFonts w:hint="eastAsia" w:ascii="仿宋" w:hAnsi="仿宋" w:eastAsia="仿宋" w:cs="仿宋"/>
                <w:color w:val="auto"/>
                <w:szCs w:val="21"/>
              </w:rPr>
            </w:pPr>
          </w:p>
        </w:tc>
        <w:tc>
          <w:tcPr>
            <w:tcW w:w="1418" w:type="dxa"/>
            <w:noWrap w:val="0"/>
            <w:vAlign w:val="center"/>
          </w:tcPr>
          <w:p w14:paraId="0E4D9C0A">
            <w:pPr>
              <w:jc w:val="center"/>
              <w:rPr>
                <w:rFonts w:hint="eastAsia" w:ascii="仿宋" w:hAnsi="仿宋" w:eastAsia="仿宋" w:cs="仿宋"/>
                <w:color w:val="auto"/>
                <w:szCs w:val="21"/>
              </w:rPr>
            </w:pPr>
          </w:p>
        </w:tc>
        <w:tc>
          <w:tcPr>
            <w:tcW w:w="940" w:type="dxa"/>
            <w:noWrap w:val="0"/>
            <w:vAlign w:val="center"/>
          </w:tcPr>
          <w:p w14:paraId="5874B01F">
            <w:pPr>
              <w:jc w:val="center"/>
              <w:rPr>
                <w:rFonts w:hint="eastAsia" w:ascii="仿宋" w:hAnsi="仿宋" w:eastAsia="仿宋" w:cs="仿宋"/>
                <w:color w:val="auto"/>
                <w:szCs w:val="21"/>
              </w:rPr>
            </w:pPr>
          </w:p>
        </w:tc>
        <w:tc>
          <w:tcPr>
            <w:tcW w:w="851" w:type="dxa"/>
            <w:noWrap w:val="0"/>
            <w:vAlign w:val="center"/>
          </w:tcPr>
          <w:p w14:paraId="57A728DA">
            <w:pPr>
              <w:jc w:val="center"/>
              <w:rPr>
                <w:rFonts w:hint="eastAsia" w:ascii="仿宋" w:hAnsi="仿宋" w:eastAsia="仿宋" w:cs="仿宋"/>
                <w:color w:val="auto"/>
                <w:szCs w:val="21"/>
              </w:rPr>
            </w:pPr>
          </w:p>
        </w:tc>
        <w:tc>
          <w:tcPr>
            <w:tcW w:w="1044" w:type="dxa"/>
            <w:noWrap w:val="0"/>
            <w:vAlign w:val="center"/>
          </w:tcPr>
          <w:p w14:paraId="6B579934">
            <w:pPr>
              <w:jc w:val="center"/>
              <w:rPr>
                <w:rFonts w:hint="eastAsia" w:ascii="仿宋" w:hAnsi="仿宋" w:eastAsia="仿宋" w:cs="仿宋"/>
                <w:color w:val="auto"/>
                <w:szCs w:val="21"/>
              </w:rPr>
            </w:pPr>
          </w:p>
        </w:tc>
        <w:tc>
          <w:tcPr>
            <w:tcW w:w="992" w:type="dxa"/>
            <w:noWrap w:val="0"/>
            <w:vAlign w:val="center"/>
          </w:tcPr>
          <w:p w14:paraId="5871DF03">
            <w:pPr>
              <w:jc w:val="center"/>
              <w:rPr>
                <w:rFonts w:hint="eastAsia" w:ascii="仿宋" w:hAnsi="仿宋" w:eastAsia="仿宋" w:cs="仿宋"/>
                <w:color w:val="auto"/>
                <w:szCs w:val="21"/>
              </w:rPr>
            </w:pPr>
          </w:p>
        </w:tc>
        <w:tc>
          <w:tcPr>
            <w:tcW w:w="851" w:type="dxa"/>
            <w:noWrap w:val="0"/>
            <w:vAlign w:val="center"/>
          </w:tcPr>
          <w:p w14:paraId="1BFF74F8">
            <w:pPr>
              <w:jc w:val="center"/>
              <w:rPr>
                <w:rFonts w:hint="eastAsia" w:ascii="仿宋" w:hAnsi="仿宋" w:eastAsia="仿宋" w:cs="仿宋"/>
                <w:color w:val="auto"/>
                <w:szCs w:val="21"/>
              </w:rPr>
            </w:pPr>
          </w:p>
        </w:tc>
        <w:tc>
          <w:tcPr>
            <w:tcW w:w="1487" w:type="dxa"/>
            <w:noWrap w:val="0"/>
            <w:vAlign w:val="center"/>
          </w:tcPr>
          <w:p w14:paraId="39BF2559">
            <w:pPr>
              <w:jc w:val="center"/>
              <w:rPr>
                <w:rFonts w:hint="eastAsia" w:ascii="仿宋" w:hAnsi="仿宋" w:eastAsia="仿宋" w:cs="仿宋"/>
                <w:color w:val="auto"/>
                <w:szCs w:val="21"/>
              </w:rPr>
            </w:pPr>
          </w:p>
        </w:tc>
        <w:tc>
          <w:tcPr>
            <w:tcW w:w="992" w:type="dxa"/>
            <w:noWrap w:val="0"/>
            <w:vAlign w:val="center"/>
          </w:tcPr>
          <w:p w14:paraId="40B471A0">
            <w:pPr>
              <w:jc w:val="center"/>
              <w:rPr>
                <w:rFonts w:hint="eastAsia" w:ascii="仿宋" w:hAnsi="仿宋" w:eastAsia="仿宋" w:cs="仿宋"/>
                <w:color w:val="auto"/>
                <w:szCs w:val="21"/>
              </w:rPr>
            </w:pPr>
          </w:p>
        </w:tc>
      </w:tr>
      <w:tr w14:paraId="2CD34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6292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9AD48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5A545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40" w:type="dxa"/>
            <w:noWrap w:val="0"/>
            <w:vAlign w:val="center"/>
          </w:tcPr>
          <w:p w14:paraId="3DAF53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56F38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44" w:type="dxa"/>
            <w:noWrap w:val="0"/>
            <w:vAlign w:val="center"/>
          </w:tcPr>
          <w:p w14:paraId="2DB2A0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792C6B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center"/>
          </w:tcPr>
          <w:p w14:paraId="026BCA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7" w:type="dxa"/>
            <w:noWrap w:val="0"/>
            <w:vAlign w:val="center"/>
          </w:tcPr>
          <w:p w14:paraId="37FB0D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92" w:type="dxa"/>
            <w:noWrap w:val="0"/>
            <w:vAlign w:val="center"/>
          </w:tcPr>
          <w:p w14:paraId="52697E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493E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A5A6BF">
            <w:pPr>
              <w:jc w:val="center"/>
              <w:rPr>
                <w:rFonts w:hint="eastAsia" w:ascii="仿宋" w:hAnsi="仿宋" w:eastAsia="仿宋" w:cs="仿宋"/>
                <w:color w:val="auto"/>
                <w:szCs w:val="21"/>
              </w:rPr>
            </w:pPr>
          </w:p>
        </w:tc>
        <w:tc>
          <w:tcPr>
            <w:tcW w:w="1276" w:type="dxa"/>
            <w:noWrap w:val="0"/>
            <w:vAlign w:val="center"/>
          </w:tcPr>
          <w:p w14:paraId="4CD24171">
            <w:pPr>
              <w:jc w:val="center"/>
              <w:rPr>
                <w:rFonts w:hint="eastAsia" w:ascii="仿宋" w:hAnsi="仿宋" w:eastAsia="仿宋" w:cs="仿宋"/>
                <w:color w:val="auto"/>
                <w:szCs w:val="21"/>
              </w:rPr>
            </w:pPr>
          </w:p>
        </w:tc>
        <w:tc>
          <w:tcPr>
            <w:tcW w:w="1418" w:type="dxa"/>
            <w:noWrap w:val="0"/>
            <w:vAlign w:val="center"/>
          </w:tcPr>
          <w:p w14:paraId="51FC1D73">
            <w:pPr>
              <w:jc w:val="center"/>
              <w:rPr>
                <w:rFonts w:hint="eastAsia" w:ascii="仿宋" w:hAnsi="仿宋" w:eastAsia="仿宋" w:cs="仿宋"/>
                <w:color w:val="auto"/>
                <w:szCs w:val="21"/>
              </w:rPr>
            </w:pPr>
          </w:p>
        </w:tc>
        <w:tc>
          <w:tcPr>
            <w:tcW w:w="940" w:type="dxa"/>
            <w:noWrap w:val="0"/>
            <w:vAlign w:val="center"/>
          </w:tcPr>
          <w:p w14:paraId="5FBB9697">
            <w:pPr>
              <w:jc w:val="center"/>
              <w:rPr>
                <w:rFonts w:hint="eastAsia" w:ascii="仿宋" w:hAnsi="仿宋" w:eastAsia="仿宋" w:cs="仿宋"/>
                <w:color w:val="auto"/>
                <w:szCs w:val="21"/>
              </w:rPr>
            </w:pPr>
          </w:p>
        </w:tc>
        <w:tc>
          <w:tcPr>
            <w:tcW w:w="851" w:type="dxa"/>
            <w:noWrap w:val="0"/>
            <w:vAlign w:val="center"/>
          </w:tcPr>
          <w:p w14:paraId="742D2C1A">
            <w:pPr>
              <w:jc w:val="center"/>
              <w:rPr>
                <w:rFonts w:hint="eastAsia" w:ascii="仿宋" w:hAnsi="仿宋" w:eastAsia="仿宋" w:cs="仿宋"/>
                <w:color w:val="auto"/>
                <w:szCs w:val="21"/>
              </w:rPr>
            </w:pPr>
          </w:p>
        </w:tc>
        <w:tc>
          <w:tcPr>
            <w:tcW w:w="1044" w:type="dxa"/>
            <w:noWrap w:val="0"/>
            <w:vAlign w:val="center"/>
          </w:tcPr>
          <w:p w14:paraId="570DBCD6">
            <w:pPr>
              <w:jc w:val="center"/>
              <w:rPr>
                <w:rFonts w:hint="eastAsia" w:ascii="仿宋" w:hAnsi="仿宋" w:eastAsia="仿宋" w:cs="仿宋"/>
                <w:color w:val="auto"/>
                <w:szCs w:val="21"/>
              </w:rPr>
            </w:pPr>
          </w:p>
        </w:tc>
        <w:tc>
          <w:tcPr>
            <w:tcW w:w="992" w:type="dxa"/>
            <w:noWrap w:val="0"/>
            <w:vAlign w:val="center"/>
          </w:tcPr>
          <w:p w14:paraId="122C5D95">
            <w:pPr>
              <w:jc w:val="center"/>
              <w:rPr>
                <w:rFonts w:hint="eastAsia" w:ascii="仿宋" w:hAnsi="仿宋" w:eastAsia="仿宋" w:cs="仿宋"/>
                <w:color w:val="auto"/>
                <w:szCs w:val="21"/>
              </w:rPr>
            </w:pPr>
          </w:p>
        </w:tc>
        <w:tc>
          <w:tcPr>
            <w:tcW w:w="851" w:type="dxa"/>
            <w:noWrap w:val="0"/>
            <w:vAlign w:val="center"/>
          </w:tcPr>
          <w:p w14:paraId="0619F0C3">
            <w:pPr>
              <w:jc w:val="center"/>
              <w:rPr>
                <w:rFonts w:hint="eastAsia" w:ascii="仿宋" w:hAnsi="仿宋" w:eastAsia="仿宋" w:cs="仿宋"/>
                <w:color w:val="auto"/>
                <w:szCs w:val="21"/>
              </w:rPr>
            </w:pPr>
          </w:p>
        </w:tc>
        <w:tc>
          <w:tcPr>
            <w:tcW w:w="1487" w:type="dxa"/>
            <w:noWrap w:val="0"/>
            <w:vAlign w:val="center"/>
          </w:tcPr>
          <w:p w14:paraId="65764C5B">
            <w:pPr>
              <w:jc w:val="center"/>
              <w:rPr>
                <w:rFonts w:hint="eastAsia" w:ascii="仿宋" w:hAnsi="仿宋" w:eastAsia="仿宋" w:cs="仿宋"/>
                <w:color w:val="auto"/>
                <w:szCs w:val="21"/>
              </w:rPr>
            </w:pPr>
          </w:p>
        </w:tc>
        <w:tc>
          <w:tcPr>
            <w:tcW w:w="992" w:type="dxa"/>
            <w:noWrap w:val="0"/>
            <w:vAlign w:val="center"/>
          </w:tcPr>
          <w:p w14:paraId="0576520B">
            <w:pPr>
              <w:jc w:val="center"/>
              <w:rPr>
                <w:rFonts w:hint="eastAsia" w:ascii="仿宋" w:hAnsi="仿宋" w:eastAsia="仿宋" w:cs="仿宋"/>
                <w:color w:val="auto"/>
                <w:szCs w:val="21"/>
              </w:rPr>
            </w:pPr>
          </w:p>
        </w:tc>
      </w:tr>
      <w:tr w14:paraId="5186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BDBB29C">
            <w:pPr>
              <w:jc w:val="center"/>
              <w:rPr>
                <w:rFonts w:hint="eastAsia" w:ascii="仿宋" w:hAnsi="仿宋" w:eastAsia="仿宋" w:cs="仿宋"/>
                <w:color w:val="auto"/>
                <w:szCs w:val="21"/>
              </w:rPr>
            </w:pPr>
          </w:p>
        </w:tc>
        <w:tc>
          <w:tcPr>
            <w:tcW w:w="1276" w:type="dxa"/>
            <w:noWrap w:val="0"/>
            <w:vAlign w:val="center"/>
          </w:tcPr>
          <w:p w14:paraId="738C1F38">
            <w:pPr>
              <w:jc w:val="center"/>
              <w:rPr>
                <w:rFonts w:hint="eastAsia" w:ascii="仿宋" w:hAnsi="仿宋" w:eastAsia="仿宋" w:cs="仿宋"/>
                <w:color w:val="auto"/>
                <w:szCs w:val="21"/>
              </w:rPr>
            </w:pPr>
          </w:p>
        </w:tc>
        <w:tc>
          <w:tcPr>
            <w:tcW w:w="1418" w:type="dxa"/>
            <w:noWrap w:val="0"/>
            <w:vAlign w:val="center"/>
          </w:tcPr>
          <w:p w14:paraId="77D58573">
            <w:pPr>
              <w:jc w:val="center"/>
              <w:rPr>
                <w:rFonts w:hint="eastAsia" w:ascii="仿宋" w:hAnsi="仿宋" w:eastAsia="仿宋" w:cs="仿宋"/>
                <w:color w:val="auto"/>
                <w:szCs w:val="21"/>
              </w:rPr>
            </w:pPr>
          </w:p>
        </w:tc>
        <w:tc>
          <w:tcPr>
            <w:tcW w:w="940" w:type="dxa"/>
            <w:noWrap w:val="0"/>
            <w:vAlign w:val="center"/>
          </w:tcPr>
          <w:p w14:paraId="0FF794F2">
            <w:pPr>
              <w:jc w:val="center"/>
              <w:rPr>
                <w:rFonts w:hint="eastAsia" w:ascii="仿宋" w:hAnsi="仿宋" w:eastAsia="仿宋" w:cs="仿宋"/>
                <w:color w:val="auto"/>
                <w:szCs w:val="21"/>
              </w:rPr>
            </w:pPr>
          </w:p>
        </w:tc>
        <w:tc>
          <w:tcPr>
            <w:tcW w:w="851" w:type="dxa"/>
            <w:noWrap w:val="0"/>
            <w:vAlign w:val="center"/>
          </w:tcPr>
          <w:p w14:paraId="5280D4E1">
            <w:pPr>
              <w:jc w:val="center"/>
              <w:rPr>
                <w:rFonts w:hint="eastAsia" w:ascii="仿宋" w:hAnsi="仿宋" w:eastAsia="仿宋" w:cs="仿宋"/>
                <w:color w:val="auto"/>
                <w:szCs w:val="21"/>
              </w:rPr>
            </w:pPr>
          </w:p>
        </w:tc>
        <w:tc>
          <w:tcPr>
            <w:tcW w:w="1044" w:type="dxa"/>
            <w:noWrap w:val="0"/>
            <w:vAlign w:val="center"/>
          </w:tcPr>
          <w:p w14:paraId="178B3EB1">
            <w:pPr>
              <w:jc w:val="center"/>
              <w:rPr>
                <w:rFonts w:hint="eastAsia" w:ascii="仿宋" w:hAnsi="仿宋" w:eastAsia="仿宋" w:cs="仿宋"/>
                <w:color w:val="auto"/>
                <w:szCs w:val="21"/>
              </w:rPr>
            </w:pPr>
          </w:p>
        </w:tc>
        <w:tc>
          <w:tcPr>
            <w:tcW w:w="992" w:type="dxa"/>
            <w:noWrap w:val="0"/>
            <w:vAlign w:val="center"/>
          </w:tcPr>
          <w:p w14:paraId="273CB00E">
            <w:pPr>
              <w:jc w:val="center"/>
              <w:rPr>
                <w:rFonts w:hint="eastAsia" w:ascii="仿宋" w:hAnsi="仿宋" w:eastAsia="仿宋" w:cs="仿宋"/>
                <w:color w:val="auto"/>
                <w:szCs w:val="21"/>
              </w:rPr>
            </w:pPr>
          </w:p>
        </w:tc>
        <w:tc>
          <w:tcPr>
            <w:tcW w:w="851" w:type="dxa"/>
            <w:noWrap w:val="0"/>
            <w:vAlign w:val="center"/>
          </w:tcPr>
          <w:p w14:paraId="17301D3E">
            <w:pPr>
              <w:jc w:val="center"/>
              <w:rPr>
                <w:rFonts w:hint="eastAsia" w:ascii="仿宋" w:hAnsi="仿宋" w:eastAsia="仿宋" w:cs="仿宋"/>
                <w:color w:val="auto"/>
                <w:szCs w:val="21"/>
              </w:rPr>
            </w:pPr>
          </w:p>
        </w:tc>
        <w:tc>
          <w:tcPr>
            <w:tcW w:w="1487" w:type="dxa"/>
            <w:noWrap w:val="0"/>
            <w:vAlign w:val="center"/>
          </w:tcPr>
          <w:p w14:paraId="74EB41C6">
            <w:pPr>
              <w:jc w:val="center"/>
              <w:rPr>
                <w:rFonts w:hint="eastAsia" w:ascii="仿宋" w:hAnsi="仿宋" w:eastAsia="仿宋" w:cs="仿宋"/>
                <w:color w:val="auto"/>
                <w:szCs w:val="21"/>
              </w:rPr>
            </w:pPr>
          </w:p>
        </w:tc>
        <w:tc>
          <w:tcPr>
            <w:tcW w:w="992" w:type="dxa"/>
            <w:noWrap w:val="0"/>
            <w:vAlign w:val="center"/>
          </w:tcPr>
          <w:p w14:paraId="6316A8FA">
            <w:pPr>
              <w:jc w:val="center"/>
              <w:rPr>
                <w:rFonts w:hint="eastAsia" w:ascii="仿宋" w:hAnsi="仿宋" w:eastAsia="仿宋" w:cs="仿宋"/>
                <w:color w:val="auto"/>
                <w:szCs w:val="21"/>
              </w:rPr>
            </w:pPr>
          </w:p>
        </w:tc>
      </w:tr>
      <w:tr w14:paraId="5B7E7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029D14">
            <w:pPr>
              <w:jc w:val="center"/>
              <w:rPr>
                <w:rFonts w:hint="eastAsia" w:ascii="仿宋" w:hAnsi="仿宋" w:eastAsia="仿宋" w:cs="仿宋"/>
                <w:color w:val="auto"/>
                <w:szCs w:val="21"/>
              </w:rPr>
            </w:pPr>
          </w:p>
        </w:tc>
        <w:tc>
          <w:tcPr>
            <w:tcW w:w="1276" w:type="dxa"/>
            <w:noWrap w:val="0"/>
            <w:vAlign w:val="center"/>
          </w:tcPr>
          <w:p w14:paraId="4904DDEC">
            <w:pPr>
              <w:jc w:val="center"/>
              <w:rPr>
                <w:rFonts w:hint="eastAsia" w:ascii="仿宋" w:hAnsi="仿宋" w:eastAsia="仿宋" w:cs="仿宋"/>
                <w:color w:val="auto"/>
                <w:szCs w:val="21"/>
              </w:rPr>
            </w:pPr>
          </w:p>
        </w:tc>
        <w:tc>
          <w:tcPr>
            <w:tcW w:w="1418" w:type="dxa"/>
            <w:noWrap w:val="0"/>
            <w:vAlign w:val="center"/>
          </w:tcPr>
          <w:p w14:paraId="298273BA">
            <w:pPr>
              <w:jc w:val="center"/>
              <w:rPr>
                <w:rFonts w:hint="eastAsia" w:ascii="仿宋" w:hAnsi="仿宋" w:eastAsia="仿宋" w:cs="仿宋"/>
                <w:color w:val="auto"/>
                <w:szCs w:val="21"/>
              </w:rPr>
            </w:pPr>
          </w:p>
        </w:tc>
        <w:tc>
          <w:tcPr>
            <w:tcW w:w="940" w:type="dxa"/>
            <w:noWrap w:val="0"/>
            <w:vAlign w:val="center"/>
          </w:tcPr>
          <w:p w14:paraId="5178066E">
            <w:pPr>
              <w:jc w:val="center"/>
              <w:rPr>
                <w:rFonts w:hint="eastAsia" w:ascii="仿宋" w:hAnsi="仿宋" w:eastAsia="仿宋" w:cs="仿宋"/>
                <w:color w:val="auto"/>
                <w:szCs w:val="21"/>
              </w:rPr>
            </w:pPr>
          </w:p>
        </w:tc>
        <w:tc>
          <w:tcPr>
            <w:tcW w:w="851" w:type="dxa"/>
            <w:noWrap w:val="0"/>
            <w:vAlign w:val="center"/>
          </w:tcPr>
          <w:p w14:paraId="6F9C6CC4">
            <w:pPr>
              <w:jc w:val="center"/>
              <w:rPr>
                <w:rFonts w:hint="eastAsia" w:ascii="仿宋" w:hAnsi="仿宋" w:eastAsia="仿宋" w:cs="仿宋"/>
                <w:color w:val="auto"/>
                <w:szCs w:val="21"/>
              </w:rPr>
            </w:pPr>
          </w:p>
        </w:tc>
        <w:tc>
          <w:tcPr>
            <w:tcW w:w="1044" w:type="dxa"/>
            <w:noWrap w:val="0"/>
            <w:vAlign w:val="center"/>
          </w:tcPr>
          <w:p w14:paraId="47F55C20">
            <w:pPr>
              <w:jc w:val="center"/>
              <w:rPr>
                <w:rFonts w:hint="eastAsia" w:ascii="仿宋" w:hAnsi="仿宋" w:eastAsia="仿宋" w:cs="仿宋"/>
                <w:color w:val="auto"/>
                <w:szCs w:val="21"/>
              </w:rPr>
            </w:pPr>
          </w:p>
        </w:tc>
        <w:tc>
          <w:tcPr>
            <w:tcW w:w="992" w:type="dxa"/>
            <w:noWrap w:val="0"/>
            <w:vAlign w:val="center"/>
          </w:tcPr>
          <w:p w14:paraId="471A6E9E">
            <w:pPr>
              <w:jc w:val="center"/>
              <w:rPr>
                <w:rFonts w:hint="eastAsia" w:ascii="仿宋" w:hAnsi="仿宋" w:eastAsia="仿宋" w:cs="仿宋"/>
                <w:color w:val="auto"/>
                <w:szCs w:val="21"/>
              </w:rPr>
            </w:pPr>
          </w:p>
        </w:tc>
        <w:tc>
          <w:tcPr>
            <w:tcW w:w="851" w:type="dxa"/>
            <w:noWrap w:val="0"/>
            <w:vAlign w:val="center"/>
          </w:tcPr>
          <w:p w14:paraId="6F415C25">
            <w:pPr>
              <w:jc w:val="center"/>
              <w:rPr>
                <w:rFonts w:hint="eastAsia" w:ascii="仿宋" w:hAnsi="仿宋" w:eastAsia="仿宋" w:cs="仿宋"/>
                <w:color w:val="auto"/>
                <w:szCs w:val="21"/>
              </w:rPr>
            </w:pPr>
          </w:p>
        </w:tc>
        <w:tc>
          <w:tcPr>
            <w:tcW w:w="1487" w:type="dxa"/>
            <w:noWrap w:val="0"/>
            <w:vAlign w:val="center"/>
          </w:tcPr>
          <w:p w14:paraId="0CCDA24D">
            <w:pPr>
              <w:jc w:val="center"/>
              <w:rPr>
                <w:rFonts w:hint="eastAsia" w:ascii="仿宋" w:hAnsi="仿宋" w:eastAsia="仿宋" w:cs="仿宋"/>
                <w:color w:val="auto"/>
                <w:szCs w:val="21"/>
              </w:rPr>
            </w:pPr>
          </w:p>
        </w:tc>
        <w:tc>
          <w:tcPr>
            <w:tcW w:w="992" w:type="dxa"/>
            <w:noWrap w:val="0"/>
            <w:vAlign w:val="center"/>
          </w:tcPr>
          <w:p w14:paraId="153B2362">
            <w:pPr>
              <w:jc w:val="center"/>
              <w:rPr>
                <w:rFonts w:hint="eastAsia" w:ascii="仿宋" w:hAnsi="仿宋" w:eastAsia="仿宋" w:cs="仿宋"/>
                <w:color w:val="auto"/>
                <w:szCs w:val="21"/>
              </w:rPr>
            </w:pPr>
          </w:p>
        </w:tc>
      </w:tr>
      <w:tr w14:paraId="18969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98C219">
            <w:pPr>
              <w:jc w:val="center"/>
              <w:rPr>
                <w:rFonts w:hint="eastAsia" w:ascii="仿宋" w:hAnsi="仿宋" w:eastAsia="仿宋" w:cs="仿宋"/>
                <w:color w:val="auto"/>
                <w:szCs w:val="21"/>
              </w:rPr>
            </w:pPr>
          </w:p>
        </w:tc>
        <w:tc>
          <w:tcPr>
            <w:tcW w:w="1276" w:type="dxa"/>
            <w:noWrap w:val="0"/>
            <w:vAlign w:val="center"/>
          </w:tcPr>
          <w:p w14:paraId="62627F30">
            <w:pPr>
              <w:jc w:val="center"/>
              <w:rPr>
                <w:rFonts w:hint="eastAsia" w:ascii="仿宋" w:hAnsi="仿宋" w:eastAsia="仿宋" w:cs="仿宋"/>
                <w:color w:val="auto"/>
                <w:szCs w:val="21"/>
              </w:rPr>
            </w:pPr>
          </w:p>
        </w:tc>
        <w:tc>
          <w:tcPr>
            <w:tcW w:w="1418" w:type="dxa"/>
            <w:noWrap w:val="0"/>
            <w:vAlign w:val="center"/>
          </w:tcPr>
          <w:p w14:paraId="733D7692">
            <w:pPr>
              <w:jc w:val="center"/>
              <w:rPr>
                <w:rFonts w:hint="eastAsia" w:ascii="仿宋" w:hAnsi="仿宋" w:eastAsia="仿宋" w:cs="仿宋"/>
                <w:color w:val="auto"/>
                <w:szCs w:val="21"/>
              </w:rPr>
            </w:pPr>
          </w:p>
        </w:tc>
        <w:tc>
          <w:tcPr>
            <w:tcW w:w="940" w:type="dxa"/>
            <w:noWrap w:val="0"/>
            <w:vAlign w:val="center"/>
          </w:tcPr>
          <w:p w14:paraId="675DF504">
            <w:pPr>
              <w:jc w:val="center"/>
              <w:rPr>
                <w:rFonts w:hint="eastAsia" w:ascii="仿宋" w:hAnsi="仿宋" w:eastAsia="仿宋" w:cs="仿宋"/>
                <w:color w:val="auto"/>
                <w:szCs w:val="21"/>
              </w:rPr>
            </w:pPr>
          </w:p>
        </w:tc>
        <w:tc>
          <w:tcPr>
            <w:tcW w:w="851" w:type="dxa"/>
            <w:noWrap w:val="0"/>
            <w:vAlign w:val="center"/>
          </w:tcPr>
          <w:p w14:paraId="52DB1A94">
            <w:pPr>
              <w:jc w:val="center"/>
              <w:rPr>
                <w:rFonts w:hint="eastAsia" w:ascii="仿宋" w:hAnsi="仿宋" w:eastAsia="仿宋" w:cs="仿宋"/>
                <w:color w:val="auto"/>
                <w:szCs w:val="21"/>
              </w:rPr>
            </w:pPr>
          </w:p>
        </w:tc>
        <w:tc>
          <w:tcPr>
            <w:tcW w:w="1044" w:type="dxa"/>
            <w:noWrap w:val="0"/>
            <w:vAlign w:val="center"/>
          </w:tcPr>
          <w:p w14:paraId="25690FF2">
            <w:pPr>
              <w:jc w:val="center"/>
              <w:rPr>
                <w:rFonts w:hint="eastAsia" w:ascii="仿宋" w:hAnsi="仿宋" w:eastAsia="仿宋" w:cs="仿宋"/>
                <w:color w:val="auto"/>
                <w:szCs w:val="21"/>
              </w:rPr>
            </w:pPr>
          </w:p>
        </w:tc>
        <w:tc>
          <w:tcPr>
            <w:tcW w:w="992" w:type="dxa"/>
            <w:noWrap w:val="0"/>
            <w:vAlign w:val="center"/>
          </w:tcPr>
          <w:p w14:paraId="7124A5EB">
            <w:pPr>
              <w:jc w:val="center"/>
              <w:rPr>
                <w:rFonts w:hint="eastAsia" w:ascii="仿宋" w:hAnsi="仿宋" w:eastAsia="仿宋" w:cs="仿宋"/>
                <w:color w:val="auto"/>
                <w:szCs w:val="21"/>
              </w:rPr>
            </w:pPr>
          </w:p>
        </w:tc>
        <w:tc>
          <w:tcPr>
            <w:tcW w:w="851" w:type="dxa"/>
            <w:noWrap w:val="0"/>
            <w:vAlign w:val="center"/>
          </w:tcPr>
          <w:p w14:paraId="1A41F825">
            <w:pPr>
              <w:jc w:val="center"/>
              <w:rPr>
                <w:rFonts w:hint="eastAsia" w:ascii="仿宋" w:hAnsi="仿宋" w:eastAsia="仿宋" w:cs="仿宋"/>
                <w:color w:val="auto"/>
                <w:szCs w:val="21"/>
              </w:rPr>
            </w:pPr>
          </w:p>
        </w:tc>
        <w:tc>
          <w:tcPr>
            <w:tcW w:w="1487" w:type="dxa"/>
            <w:noWrap w:val="0"/>
            <w:vAlign w:val="center"/>
          </w:tcPr>
          <w:p w14:paraId="3F975238">
            <w:pPr>
              <w:jc w:val="center"/>
              <w:rPr>
                <w:rFonts w:hint="eastAsia" w:ascii="仿宋" w:hAnsi="仿宋" w:eastAsia="仿宋" w:cs="仿宋"/>
                <w:color w:val="auto"/>
                <w:szCs w:val="21"/>
              </w:rPr>
            </w:pPr>
          </w:p>
        </w:tc>
        <w:tc>
          <w:tcPr>
            <w:tcW w:w="992" w:type="dxa"/>
            <w:noWrap w:val="0"/>
            <w:vAlign w:val="center"/>
          </w:tcPr>
          <w:p w14:paraId="2BCE4FBD">
            <w:pPr>
              <w:jc w:val="center"/>
              <w:rPr>
                <w:rFonts w:hint="eastAsia" w:ascii="仿宋" w:hAnsi="仿宋" w:eastAsia="仿宋" w:cs="仿宋"/>
                <w:color w:val="auto"/>
                <w:szCs w:val="21"/>
              </w:rPr>
            </w:pPr>
          </w:p>
        </w:tc>
      </w:tr>
      <w:tr w14:paraId="17A7B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6C3CF3">
            <w:pPr>
              <w:jc w:val="center"/>
              <w:rPr>
                <w:rFonts w:hint="eastAsia" w:ascii="仿宋" w:hAnsi="仿宋" w:eastAsia="仿宋" w:cs="仿宋"/>
                <w:color w:val="auto"/>
                <w:szCs w:val="21"/>
              </w:rPr>
            </w:pPr>
          </w:p>
        </w:tc>
        <w:tc>
          <w:tcPr>
            <w:tcW w:w="1276" w:type="dxa"/>
            <w:noWrap w:val="0"/>
            <w:vAlign w:val="center"/>
          </w:tcPr>
          <w:p w14:paraId="69E20838">
            <w:pPr>
              <w:jc w:val="center"/>
              <w:rPr>
                <w:rFonts w:hint="eastAsia" w:ascii="仿宋" w:hAnsi="仿宋" w:eastAsia="仿宋" w:cs="仿宋"/>
                <w:color w:val="auto"/>
                <w:szCs w:val="21"/>
              </w:rPr>
            </w:pPr>
          </w:p>
        </w:tc>
        <w:tc>
          <w:tcPr>
            <w:tcW w:w="1418" w:type="dxa"/>
            <w:noWrap w:val="0"/>
            <w:vAlign w:val="center"/>
          </w:tcPr>
          <w:p w14:paraId="719333C5">
            <w:pPr>
              <w:jc w:val="center"/>
              <w:rPr>
                <w:rFonts w:hint="eastAsia" w:ascii="仿宋" w:hAnsi="仿宋" w:eastAsia="仿宋" w:cs="仿宋"/>
                <w:color w:val="auto"/>
                <w:szCs w:val="21"/>
              </w:rPr>
            </w:pPr>
          </w:p>
        </w:tc>
        <w:tc>
          <w:tcPr>
            <w:tcW w:w="940" w:type="dxa"/>
            <w:noWrap w:val="0"/>
            <w:vAlign w:val="center"/>
          </w:tcPr>
          <w:p w14:paraId="53CA2CE4">
            <w:pPr>
              <w:jc w:val="center"/>
              <w:rPr>
                <w:rFonts w:hint="eastAsia" w:ascii="仿宋" w:hAnsi="仿宋" w:eastAsia="仿宋" w:cs="仿宋"/>
                <w:color w:val="auto"/>
                <w:szCs w:val="21"/>
              </w:rPr>
            </w:pPr>
          </w:p>
        </w:tc>
        <w:tc>
          <w:tcPr>
            <w:tcW w:w="851" w:type="dxa"/>
            <w:noWrap w:val="0"/>
            <w:vAlign w:val="center"/>
          </w:tcPr>
          <w:p w14:paraId="2F13D6AA">
            <w:pPr>
              <w:jc w:val="center"/>
              <w:rPr>
                <w:rFonts w:hint="eastAsia" w:ascii="仿宋" w:hAnsi="仿宋" w:eastAsia="仿宋" w:cs="仿宋"/>
                <w:color w:val="auto"/>
                <w:szCs w:val="21"/>
              </w:rPr>
            </w:pPr>
          </w:p>
        </w:tc>
        <w:tc>
          <w:tcPr>
            <w:tcW w:w="1044" w:type="dxa"/>
            <w:noWrap w:val="0"/>
            <w:vAlign w:val="center"/>
          </w:tcPr>
          <w:p w14:paraId="307117E4">
            <w:pPr>
              <w:jc w:val="center"/>
              <w:rPr>
                <w:rFonts w:hint="eastAsia" w:ascii="仿宋" w:hAnsi="仿宋" w:eastAsia="仿宋" w:cs="仿宋"/>
                <w:color w:val="auto"/>
                <w:szCs w:val="21"/>
              </w:rPr>
            </w:pPr>
          </w:p>
        </w:tc>
        <w:tc>
          <w:tcPr>
            <w:tcW w:w="992" w:type="dxa"/>
            <w:noWrap w:val="0"/>
            <w:vAlign w:val="center"/>
          </w:tcPr>
          <w:p w14:paraId="5F4FA024">
            <w:pPr>
              <w:jc w:val="center"/>
              <w:rPr>
                <w:rFonts w:hint="eastAsia" w:ascii="仿宋" w:hAnsi="仿宋" w:eastAsia="仿宋" w:cs="仿宋"/>
                <w:color w:val="auto"/>
                <w:szCs w:val="21"/>
              </w:rPr>
            </w:pPr>
          </w:p>
        </w:tc>
        <w:tc>
          <w:tcPr>
            <w:tcW w:w="851" w:type="dxa"/>
            <w:noWrap w:val="0"/>
            <w:vAlign w:val="center"/>
          </w:tcPr>
          <w:p w14:paraId="2C38C56F">
            <w:pPr>
              <w:jc w:val="center"/>
              <w:rPr>
                <w:rFonts w:hint="eastAsia" w:ascii="仿宋" w:hAnsi="仿宋" w:eastAsia="仿宋" w:cs="仿宋"/>
                <w:color w:val="auto"/>
                <w:szCs w:val="21"/>
              </w:rPr>
            </w:pPr>
          </w:p>
        </w:tc>
        <w:tc>
          <w:tcPr>
            <w:tcW w:w="1487" w:type="dxa"/>
            <w:noWrap w:val="0"/>
            <w:vAlign w:val="center"/>
          </w:tcPr>
          <w:p w14:paraId="35ED76A3">
            <w:pPr>
              <w:jc w:val="center"/>
              <w:rPr>
                <w:rFonts w:hint="eastAsia" w:ascii="仿宋" w:hAnsi="仿宋" w:eastAsia="仿宋" w:cs="仿宋"/>
                <w:color w:val="auto"/>
                <w:szCs w:val="21"/>
              </w:rPr>
            </w:pPr>
          </w:p>
        </w:tc>
        <w:tc>
          <w:tcPr>
            <w:tcW w:w="992" w:type="dxa"/>
            <w:noWrap w:val="0"/>
            <w:vAlign w:val="center"/>
          </w:tcPr>
          <w:p w14:paraId="4818726E">
            <w:pPr>
              <w:jc w:val="center"/>
              <w:rPr>
                <w:rFonts w:hint="eastAsia" w:ascii="仿宋" w:hAnsi="仿宋" w:eastAsia="仿宋" w:cs="仿宋"/>
                <w:color w:val="auto"/>
                <w:szCs w:val="21"/>
              </w:rPr>
            </w:pPr>
          </w:p>
        </w:tc>
      </w:tr>
      <w:tr w14:paraId="14C26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416704">
            <w:pPr>
              <w:jc w:val="center"/>
              <w:rPr>
                <w:rFonts w:hint="eastAsia" w:ascii="仿宋" w:hAnsi="仿宋" w:eastAsia="仿宋" w:cs="仿宋"/>
                <w:color w:val="auto"/>
                <w:szCs w:val="21"/>
              </w:rPr>
            </w:pPr>
          </w:p>
        </w:tc>
        <w:tc>
          <w:tcPr>
            <w:tcW w:w="1276" w:type="dxa"/>
            <w:noWrap w:val="0"/>
            <w:vAlign w:val="center"/>
          </w:tcPr>
          <w:p w14:paraId="06C4C020">
            <w:pPr>
              <w:jc w:val="center"/>
              <w:rPr>
                <w:rFonts w:hint="eastAsia" w:ascii="仿宋" w:hAnsi="仿宋" w:eastAsia="仿宋" w:cs="仿宋"/>
                <w:color w:val="auto"/>
                <w:szCs w:val="21"/>
              </w:rPr>
            </w:pPr>
          </w:p>
        </w:tc>
        <w:tc>
          <w:tcPr>
            <w:tcW w:w="1418" w:type="dxa"/>
            <w:noWrap w:val="0"/>
            <w:vAlign w:val="center"/>
          </w:tcPr>
          <w:p w14:paraId="4BE713C0">
            <w:pPr>
              <w:jc w:val="center"/>
              <w:rPr>
                <w:rFonts w:hint="eastAsia" w:ascii="仿宋" w:hAnsi="仿宋" w:eastAsia="仿宋" w:cs="仿宋"/>
                <w:color w:val="auto"/>
                <w:szCs w:val="21"/>
              </w:rPr>
            </w:pPr>
          </w:p>
        </w:tc>
        <w:tc>
          <w:tcPr>
            <w:tcW w:w="940" w:type="dxa"/>
            <w:noWrap w:val="0"/>
            <w:vAlign w:val="center"/>
          </w:tcPr>
          <w:p w14:paraId="3A2D313A">
            <w:pPr>
              <w:jc w:val="center"/>
              <w:rPr>
                <w:rFonts w:hint="eastAsia" w:ascii="仿宋" w:hAnsi="仿宋" w:eastAsia="仿宋" w:cs="仿宋"/>
                <w:color w:val="auto"/>
                <w:szCs w:val="21"/>
              </w:rPr>
            </w:pPr>
          </w:p>
        </w:tc>
        <w:tc>
          <w:tcPr>
            <w:tcW w:w="851" w:type="dxa"/>
            <w:noWrap w:val="0"/>
            <w:vAlign w:val="center"/>
          </w:tcPr>
          <w:p w14:paraId="27AC2A60">
            <w:pPr>
              <w:jc w:val="center"/>
              <w:rPr>
                <w:rFonts w:hint="eastAsia" w:ascii="仿宋" w:hAnsi="仿宋" w:eastAsia="仿宋" w:cs="仿宋"/>
                <w:color w:val="auto"/>
                <w:szCs w:val="21"/>
              </w:rPr>
            </w:pPr>
          </w:p>
        </w:tc>
        <w:tc>
          <w:tcPr>
            <w:tcW w:w="1044" w:type="dxa"/>
            <w:noWrap w:val="0"/>
            <w:vAlign w:val="center"/>
          </w:tcPr>
          <w:p w14:paraId="55B8196C">
            <w:pPr>
              <w:jc w:val="center"/>
              <w:rPr>
                <w:rFonts w:hint="eastAsia" w:ascii="仿宋" w:hAnsi="仿宋" w:eastAsia="仿宋" w:cs="仿宋"/>
                <w:color w:val="auto"/>
                <w:szCs w:val="21"/>
              </w:rPr>
            </w:pPr>
          </w:p>
        </w:tc>
        <w:tc>
          <w:tcPr>
            <w:tcW w:w="992" w:type="dxa"/>
            <w:noWrap w:val="0"/>
            <w:vAlign w:val="center"/>
          </w:tcPr>
          <w:p w14:paraId="34270DE2">
            <w:pPr>
              <w:jc w:val="center"/>
              <w:rPr>
                <w:rFonts w:hint="eastAsia" w:ascii="仿宋" w:hAnsi="仿宋" w:eastAsia="仿宋" w:cs="仿宋"/>
                <w:color w:val="auto"/>
                <w:szCs w:val="21"/>
              </w:rPr>
            </w:pPr>
          </w:p>
        </w:tc>
        <w:tc>
          <w:tcPr>
            <w:tcW w:w="851" w:type="dxa"/>
            <w:noWrap w:val="0"/>
            <w:vAlign w:val="center"/>
          </w:tcPr>
          <w:p w14:paraId="0DE110DF">
            <w:pPr>
              <w:jc w:val="center"/>
              <w:rPr>
                <w:rFonts w:hint="eastAsia" w:ascii="仿宋" w:hAnsi="仿宋" w:eastAsia="仿宋" w:cs="仿宋"/>
                <w:color w:val="auto"/>
                <w:szCs w:val="21"/>
              </w:rPr>
            </w:pPr>
          </w:p>
        </w:tc>
        <w:tc>
          <w:tcPr>
            <w:tcW w:w="1487" w:type="dxa"/>
            <w:noWrap w:val="0"/>
            <w:vAlign w:val="center"/>
          </w:tcPr>
          <w:p w14:paraId="7A896076">
            <w:pPr>
              <w:jc w:val="center"/>
              <w:rPr>
                <w:rFonts w:hint="eastAsia" w:ascii="仿宋" w:hAnsi="仿宋" w:eastAsia="仿宋" w:cs="仿宋"/>
                <w:color w:val="auto"/>
                <w:szCs w:val="21"/>
              </w:rPr>
            </w:pPr>
          </w:p>
        </w:tc>
        <w:tc>
          <w:tcPr>
            <w:tcW w:w="992" w:type="dxa"/>
            <w:noWrap w:val="0"/>
            <w:vAlign w:val="center"/>
          </w:tcPr>
          <w:p w14:paraId="4FE49137">
            <w:pPr>
              <w:jc w:val="center"/>
              <w:rPr>
                <w:rFonts w:hint="eastAsia" w:ascii="仿宋" w:hAnsi="仿宋" w:eastAsia="仿宋" w:cs="仿宋"/>
                <w:color w:val="auto"/>
                <w:szCs w:val="21"/>
              </w:rPr>
            </w:pPr>
          </w:p>
        </w:tc>
      </w:tr>
      <w:tr w14:paraId="3A894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C7E9FE">
            <w:pPr>
              <w:jc w:val="center"/>
              <w:rPr>
                <w:rFonts w:hint="eastAsia" w:ascii="仿宋" w:hAnsi="仿宋" w:eastAsia="仿宋" w:cs="仿宋"/>
                <w:color w:val="auto"/>
                <w:szCs w:val="21"/>
              </w:rPr>
            </w:pPr>
          </w:p>
        </w:tc>
        <w:tc>
          <w:tcPr>
            <w:tcW w:w="1276" w:type="dxa"/>
            <w:noWrap w:val="0"/>
            <w:vAlign w:val="center"/>
          </w:tcPr>
          <w:p w14:paraId="0A87688D">
            <w:pPr>
              <w:jc w:val="center"/>
              <w:rPr>
                <w:rFonts w:hint="eastAsia" w:ascii="仿宋" w:hAnsi="仿宋" w:eastAsia="仿宋" w:cs="仿宋"/>
                <w:color w:val="auto"/>
                <w:szCs w:val="21"/>
              </w:rPr>
            </w:pPr>
          </w:p>
        </w:tc>
        <w:tc>
          <w:tcPr>
            <w:tcW w:w="1418" w:type="dxa"/>
            <w:noWrap w:val="0"/>
            <w:vAlign w:val="center"/>
          </w:tcPr>
          <w:p w14:paraId="16055495">
            <w:pPr>
              <w:jc w:val="center"/>
              <w:rPr>
                <w:rFonts w:hint="eastAsia" w:ascii="仿宋" w:hAnsi="仿宋" w:eastAsia="仿宋" w:cs="仿宋"/>
                <w:color w:val="auto"/>
                <w:szCs w:val="21"/>
              </w:rPr>
            </w:pPr>
          </w:p>
        </w:tc>
        <w:tc>
          <w:tcPr>
            <w:tcW w:w="940" w:type="dxa"/>
            <w:noWrap w:val="0"/>
            <w:vAlign w:val="center"/>
          </w:tcPr>
          <w:p w14:paraId="373CDBE1">
            <w:pPr>
              <w:jc w:val="center"/>
              <w:rPr>
                <w:rFonts w:hint="eastAsia" w:ascii="仿宋" w:hAnsi="仿宋" w:eastAsia="仿宋" w:cs="仿宋"/>
                <w:color w:val="auto"/>
                <w:szCs w:val="21"/>
              </w:rPr>
            </w:pPr>
          </w:p>
        </w:tc>
        <w:tc>
          <w:tcPr>
            <w:tcW w:w="851" w:type="dxa"/>
            <w:noWrap w:val="0"/>
            <w:vAlign w:val="center"/>
          </w:tcPr>
          <w:p w14:paraId="16269F12">
            <w:pPr>
              <w:jc w:val="center"/>
              <w:rPr>
                <w:rFonts w:hint="eastAsia" w:ascii="仿宋" w:hAnsi="仿宋" w:eastAsia="仿宋" w:cs="仿宋"/>
                <w:color w:val="auto"/>
                <w:szCs w:val="21"/>
              </w:rPr>
            </w:pPr>
          </w:p>
        </w:tc>
        <w:tc>
          <w:tcPr>
            <w:tcW w:w="1044" w:type="dxa"/>
            <w:noWrap w:val="0"/>
            <w:vAlign w:val="center"/>
          </w:tcPr>
          <w:p w14:paraId="755121B4">
            <w:pPr>
              <w:jc w:val="center"/>
              <w:rPr>
                <w:rFonts w:hint="eastAsia" w:ascii="仿宋" w:hAnsi="仿宋" w:eastAsia="仿宋" w:cs="仿宋"/>
                <w:color w:val="auto"/>
                <w:szCs w:val="21"/>
              </w:rPr>
            </w:pPr>
          </w:p>
        </w:tc>
        <w:tc>
          <w:tcPr>
            <w:tcW w:w="992" w:type="dxa"/>
            <w:noWrap w:val="0"/>
            <w:vAlign w:val="center"/>
          </w:tcPr>
          <w:p w14:paraId="1079EF9D">
            <w:pPr>
              <w:jc w:val="center"/>
              <w:rPr>
                <w:rFonts w:hint="eastAsia" w:ascii="仿宋" w:hAnsi="仿宋" w:eastAsia="仿宋" w:cs="仿宋"/>
                <w:color w:val="auto"/>
                <w:szCs w:val="21"/>
              </w:rPr>
            </w:pPr>
          </w:p>
        </w:tc>
        <w:tc>
          <w:tcPr>
            <w:tcW w:w="851" w:type="dxa"/>
            <w:noWrap w:val="0"/>
            <w:vAlign w:val="center"/>
          </w:tcPr>
          <w:p w14:paraId="6F2AB877">
            <w:pPr>
              <w:jc w:val="center"/>
              <w:rPr>
                <w:rFonts w:hint="eastAsia" w:ascii="仿宋" w:hAnsi="仿宋" w:eastAsia="仿宋" w:cs="仿宋"/>
                <w:color w:val="auto"/>
                <w:szCs w:val="21"/>
              </w:rPr>
            </w:pPr>
          </w:p>
        </w:tc>
        <w:tc>
          <w:tcPr>
            <w:tcW w:w="1487" w:type="dxa"/>
            <w:noWrap w:val="0"/>
            <w:vAlign w:val="center"/>
          </w:tcPr>
          <w:p w14:paraId="2B1FC282">
            <w:pPr>
              <w:jc w:val="center"/>
              <w:rPr>
                <w:rFonts w:hint="eastAsia" w:ascii="仿宋" w:hAnsi="仿宋" w:eastAsia="仿宋" w:cs="仿宋"/>
                <w:color w:val="auto"/>
                <w:szCs w:val="21"/>
              </w:rPr>
            </w:pPr>
          </w:p>
        </w:tc>
        <w:tc>
          <w:tcPr>
            <w:tcW w:w="992" w:type="dxa"/>
            <w:noWrap w:val="0"/>
            <w:vAlign w:val="center"/>
          </w:tcPr>
          <w:p w14:paraId="22FE7999">
            <w:pPr>
              <w:jc w:val="center"/>
              <w:rPr>
                <w:rFonts w:hint="eastAsia" w:ascii="仿宋" w:hAnsi="仿宋" w:eastAsia="仿宋" w:cs="仿宋"/>
                <w:color w:val="auto"/>
                <w:szCs w:val="21"/>
              </w:rPr>
            </w:pPr>
          </w:p>
        </w:tc>
      </w:tr>
      <w:tr w14:paraId="3D8C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22D990">
            <w:pPr>
              <w:jc w:val="center"/>
              <w:rPr>
                <w:rFonts w:hint="eastAsia" w:ascii="仿宋" w:hAnsi="仿宋" w:eastAsia="仿宋" w:cs="仿宋"/>
                <w:color w:val="auto"/>
                <w:szCs w:val="21"/>
              </w:rPr>
            </w:pPr>
          </w:p>
        </w:tc>
        <w:tc>
          <w:tcPr>
            <w:tcW w:w="1276" w:type="dxa"/>
            <w:noWrap w:val="0"/>
            <w:vAlign w:val="center"/>
          </w:tcPr>
          <w:p w14:paraId="1AC06E89">
            <w:pPr>
              <w:jc w:val="center"/>
              <w:rPr>
                <w:rFonts w:hint="eastAsia" w:ascii="仿宋" w:hAnsi="仿宋" w:eastAsia="仿宋" w:cs="仿宋"/>
                <w:color w:val="auto"/>
                <w:szCs w:val="21"/>
              </w:rPr>
            </w:pPr>
          </w:p>
        </w:tc>
        <w:tc>
          <w:tcPr>
            <w:tcW w:w="1418" w:type="dxa"/>
            <w:noWrap w:val="0"/>
            <w:vAlign w:val="center"/>
          </w:tcPr>
          <w:p w14:paraId="612709FA">
            <w:pPr>
              <w:jc w:val="center"/>
              <w:rPr>
                <w:rFonts w:hint="eastAsia" w:ascii="仿宋" w:hAnsi="仿宋" w:eastAsia="仿宋" w:cs="仿宋"/>
                <w:color w:val="auto"/>
                <w:szCs w:val="21"/>
              </w:rPr>
            </w:pPr>
          </w:p>
        </w:tc>
        <w:tc>
          <w:tcPr>
            <w:tcW w:w="940" w:type="dxa"/>
            <w:noWrap w:val="0"/>
            <w:vAlign w:val="center"/>
          </w:tcPr>
          <w:p w14:paraId="5933FD98">
            <w:pPr>
              <w:jc w:val="center"/>
              <w:rPr>
                <w:rFonts w:hint="eastAsia" w:ascii="仿宋" w:hAnsi="仿宋" w:eastAsia="仿宋" w:cs="仿宋"/>
                <w:color w:val="auto"/>
                <w:szCs w:val="21"/>
              </w:rPr>
            </w:pPr>
          </w:p>
        </w:tc>
        <w:tc>
          <w:tcPr>
            <w:tcW w:w="851" w:type="dxa"/>
            <w:noWrap w:val="0"/>
            <w:vAlign w:val="center"/>
          </w:tcPr>
          <w:p w14:paraId="65F3630F">
            <w:pPr>
              <w:jc w:val="center"/>
              <w:rPr>
                <w:rFonts w:hint="eastAsia" w:ascii="仿宋" w:hAnsi="仿宋" w:eastAsia="仿宋" w:cs="仿宋"/>
                <w:color w:val="auto"/>
                <w:szCs w:val="21"/>
              </w:rPr>
            </w:pPr>
          </w:p>
        </w:tc>
        <w:tc>
          <w:tcPr>
            <w:tcW w:w="1044" w:type="dxa"/>
            <w:noWrap w:val="0"/>
            <w:vAlign w:val="center"/>
          </w:tcPr>
          <w:p w14:paraId="5CB54E6D">
            <w:pPr>
              <w:jc w:val="center"/>
              <w:rPr>
                <w:rFonts w:hint="eastAsia" w:ascii="仿宋" w:hAnsi="仿宋" w:eastAsia="仿宋" w:cs="仿宋"/>
                <w:color w:val="auto"/>
                <w:szCs w:val="21"/>
              </w:rPr>
            </w:pPr>
          </w:p>
        </w:tc>
        <w:tc>
          <w:tcPr>
            <w:tcW w:w="992" w:type="dxa"/>
            <w:noWrap w:val="0"/>
            <w:vAlign w:val="center"/>
          </w:tcPr>
          <w:p w14:paraId="25E6EC94">
            <w:pPr>
              <w:jc w:val="center"/>
              <w:rPr>
                <w:rFonts w:hint="eastAsia" w:ascii="仿宋" w:hAnsi="仿宋" w:eastAsia="仿宋" w:cs="仿宋"/>
                <w:color w:val="auto"/>
                <w:szCs w:val="21"/>
              </w:rPr>
            </w:pPr>
          </w:p>
        </w:tc>
        <w:tc>
          <w:tcPr>
            <w:tcW w:w="851" w:type="dxa"/>
            <w:noWrap w:val="0"/>
            <w:vAlign w:val="center"/>
          </w:tcPr>
          <w:p w14:paraId="72E2B6BC">
            <w:pPr>
              <w:jc w:val="center"/>
              <w:rPr>
                <w:rFonts w:hint="eastAsia" w:ascii="仿宋" w:hAnsi="仿宋" w:eastAsia="仿宋" w:cs="仿宋"/>
                <w:color w:val="auto"/>
                <w:szCs w:val="21"/>
              </w:rPr>
            </w:pPr>
          </w:p>
        </w:tc>
        <w:tc>
          <w:tcPr>
            <w:tcW w:w="1487" w:type="dxa"/>
            <w:noWrap w:val="0"/>
            <w:vAlign w:val="center"/>
          </w:tcPr>
          <w:p w14:paraId="388DC081">
            <w:pPr>
              <w:jc w:val="center"/>
              <w:rPr>
                <w:rFonts w:hint="eastAsia" w:ascii="仿宋" w:hAnsi="仿宋" w:eastAsia="仿宋" w:cs="仿宋"/>
                <w:color w:val="auto"/>
                <w:szCs w:val="21"/>
              </w:rPr>
            </w:pPr>
          </w:p>
        </w:tc>
        <w:tc>
          <w:tcPr>
            <w:tcW w:w="992" w:type="dxa"/>
            <w:noWrap w:val="0"/>
            <w:vAlign w:val="center"/>
          </w:tcPr>
          <w:p w14:paraId="07BC198F">
            <w:pPr>
              <w:jc w:val="center"/>
              <w:rPr>
                <w:rFonts w:hint="eastAsia" w:ascii="仿宋" w:hAnsi="仿宋" w:eastAsia="仿宋" w:cs="仿宋"/>
                <w:color w:val="auto"/>
                <w:szCs w:val="21"/>
              </w:rPr>
            </w:pPr>
          </w:p>
        </w:tc>
      </w:tr>
    </w:tbl>
    <w:p w14:paraId="6840F151">
      <w:pPr>
        <w:spacing w:line="440" w:lineRule="exact"/>
        <w:rPr>
          <w:rFonts w:hint="eastAsia" w:ascii="仿宋" w:hAnsi="仿宋" w:eastAsia="仿宋" w:cs="仿宋"/>
          <w:color w:val="auto"/>
          <w:szCs w:val="21"/>
        </w:rPr>
      </w:pPr>
    </w:p>
    <w:p w14:paraId="7E555F9E">
      <w:pPr>
        <w:spacing w:line="440" w:lineRule="exact"/>
        <w:rPr>
          <w:rFonts w:hint="eastAsia" w:ascii="仿宋" w:hAnsi="仿宋" w:eastAsia="仿宋" w:cs="仿宋"/>
          <w:color w:val="auto"/>
          <w:szCs w:val="21"/>
        </w:rPr>
      </w:pPr>
    </w:p>
    <w:p w14:paraId="6DDF8912">
      <w:pPr>
        <w:spacing w:line="440" w:lineRule="exact"/>
        <w:rPr>
          <w:rFonts w:hint="eastAsia" w:ascii="仿宋" w:hAnsi="仿宋" w:eastAsia="仿宋" w:cs="仿宋"/>
          <w:color w:val="auto"/>
          <w:szCs w:val="21"/>
        </w:rPr>
      </w:pPr>
    </w:p>
    <w:p w14:paraId="5F7A5B68">
      <w:pPr>
        <w:spacing w:line="440" w:lineRule="exact"/>
        <w:rPr>
          <w:rFonts w:hint="eastAsia" w:ascii="仿宋" w:hAnsi="仿宋" w:eastAsia="仿宋" w:cs="仿宋"/>
          <w:color w:val="auto"/>
          <w:szCs w:val="21"/>
        </w:rPr>
      </w:pPr>
    </w:p>
    <w:p w14:paraId="10AA9258">
      <w:pPr>
        <w:spacing w:line="440" w:lineRule="exact"/>
        <w:rPr>
          <w:rFonts w:hint="eastAsia" w:ascii="仿宋" w:hAnsi="仿宋" w:eastAsia="仿宋" w:cs="仿宋"/>
          <w:color w:val="auto"/>
          <w:szCs w:val="21"/>
        </w:rPr>
      </w:pPr>
      <w:r>
        <w:rPr>
          <w:rFonts w:hint="eastAsia" w:ascii="仿宋" w:hAnsi="仿宋" w:eastAsia="仿宋" w:cs="仿宋"/>
          <w:color w:val="auto"/>
          <w:szCs w:val="21"/>
        </w:rPr>
        <w:t xml:space="preserve">附件3：    </w:t>
      </w:r>
    </w:p>
    <w:p w14:paraId="2F32DF0D">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工程质量保修书</w:t>
      </w:r>
    </w:p>
    <w:p w14:paraId="2E634971">
      <w:pPr>
        <w:spacing w:line="44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发包人（全称）：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523E721A">
      <w:pPr>
        <w:spacing w:line="440" w:lineRule="exact"/>
        <w:rPr>
          <w:rFonts w:hint="eastAsia" w:ascii="仿宋" w:hAnsi="仿宋" w:eastAsia="仿宋" w:cs="仿宋"/>
          <w:color w:val="auto"/>
          <w:szCs w:val="21"/>
        </w:rPr>
      </w:pPr>
      <w:r>
        <w:rPr>
          <w:rFonts w:hint="eastAsia" w:ascii="仿宋" w:hAnsi="仿宋" w:eastAsia="仿宋" w:cs="仿宋"/>
          <w:color w:val="auto"/>
          <w:szCs w:val="21"/>
        </w:rPr>
        <w:t>　　承包人（全称）：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12F361FA">
      <w:pPr>
        <w:spacing w:line="440" w:lineRule="exact"/>
        <w:rPr>
          <w:rFonts w:hint="eastAsia" w:ascii="仿宋" w:hAnsi="仿宋" w:eastAsia="仿宋" w:cs="仿宋"/>
          <w:color w:val="auto"/>
          <w:szCs w:val="21"/>
        </w:rPr>
      </w:pPr>
    </w:p>
    <w:p w14:paraId="34AD0563">
      <w:pPr>
        <w:spacing w:line="360" w:lineRule="auto"/>
        <w:rPr>
          <w:rFonts w:hint="eastAsia" w:ascii="仿宋" w:hAnsi="仿宋" w:eastAsia="仿宋" w:cs="仿宋"/>
          <w:color w:val="auto"/>
          <w:szCs w:val="21"/>
        </w:rPr>
      </w:pPr>
      <w:r>
        <w:rPr>
          <w:rFonts w:hint="eastAsia" w:ascii="仿宋" w:hAnsi="仿宋" w:eastAsia="仿宋" w:cs="仿宋"/>
          <w:color w:val="auto"/>
          <w:szCs w:val="21"/>
        </w:rPr>
        <w:t>　　发包人和承包人根据《中华人民共和国建筑法》和《建设工程质量管理条例》，经协商一致就</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（工程全称）签订工程质量保修书。</w:t>
      </w:r>
    </w:p>
    <w:p w14:paraId="3BB81DFA">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一、工程质量保修范围和内容</w:t>
      </w:r>
    </w:p>
    <w:p w14:paraId="054D2A40">
      <w:pPr>
        <w:spacing w:line="360" w:lineRule="auto"/>
        <w:rPr>
          <w:rFonts w:hint="eastAsia" w:ascii="仿宋" w:hAnsi="仿宋" w:eastAsia="仿宋" w:cs="仿宋"/>
          <w:color w:val="auto"/>
          <w:szCs w:val="21"/>
        </w:rPr>
      </w:pPr>
      <w:r>
        <w:rPr>
          <w:rFonts w:hint="eastAsia" w:ascii="仿宋" w:hAnsi="仿宋" w:eastAsia="仿宋" w:cs="仿宋"/>
          <w:color w:val="auto"/>
          <w:szCs w:val="21"/>
        </w:rPr>
        <w:t>　　承包人在质量保修期内，按照有关法律规定和合同约定，承担工程质量保修责任。</w:t>
      </w:r>
    </w:p>
    <w:p w14:paraId="06E0B657">
      <w:pPr>
        <w:spacing w:line="360" w:lineRule="auto"/>
        <w:rPr>
          <w:rFonts w:hint="eastAsia" w:ascii="仿宋" w:hAnsi="仿宋" w:eastAsia="仿宋" w:cs="仿宋"/>
          <w:color w:val="auto"/>
          <w:szCs w:val="21"/>
        </w:rPr>
      </w:pPr>
      <w:r>
        <w:rPr>
          <w:rFonts w:hint="eastAsia" w:ascii="仿宋" w:hAnsi="仿宋" w:eastAsia="仿宋" w:cs="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FBBA72">
      <w:pPr>
        <w:spacing w:line="360" w:lineRule="auto"/>
        <w:rPr>
          <w:rFonts w:hint="eastAsia" w:ascii="仿宋" w:hAnsi="仿宋" w:eastAsia="仿宋" w:cs="仿宋"/>
          <w:color w:val="auto"/>
          <w:szCs w:val="21"/>
        </w:rPr>
      </w:pPr>
      <w:r>
        <w:rPr>
          <w:rFonts w:hint="eastAsia" w:ascii="仿宋" w:hAnsi="仿宋" w:eastAsia="仿宋" w:cs="仿宋"/>
          <w:color w:val="auto"/>
          <w:szCs w:val="21"/>
        </w:rPr>
        <w:t>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21D0FC9">
      <w:pPr>
        <w:spacing w:line="360" w:lineRule="auto"/>
        <w:outlineLvl w:val="0"/>
        <w:rPr>
          <w:rFonts w:hint="eastAsia" w:ascii="仿宋" w:hAnsi="仿宋" w:eastAsia="仿宋" w:cs="仿宋"/>
          <w:color w:val="auto"/>
          <w:szCs w:val="21"/>
        </w:rPr>
      </w:pPr>
      <w:r>
        <w:rPr>
          <w:rFonts w:hint="eastAsia" w:ascii="仿宋" w:hAnsi="仿宋" w:eastAsia="仿宋" w:cs="仿宋"/>
          <w:b/>
          <w:color w:val="auto"/>
          <w:szCs w:val="21"/>
        </w:rPr>
        <w:t>　　</w:t>
      </w:r>
      <w:r>
        <w:rPr>
          <w:rFonts w:hint="eastAsia" w:ascii="仿宋" w:hAnsi="仿宋" w:eastAsia="仿宋" w:cs="仿宋"/>
          <w:color w:val="auto"/>
          <w:szCs w:val="21"/>
        </w:rPr>
        <w:t>二、质量保修期</w:t>
      </w:r>
    </w:p>
    <w:p w14:paraId="538A278D">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根据《建设工程质量管理条例》及有关规定，工程的质量保修期如下：</w:t>
      </w:r>
    </w:p>
    <w:p w14:paraId="0D64F2B5">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1．地基基础工程和主体结构工程为设计文件规定的工程合理使用年限；</w:t>
      </w:r>
    </w:p>
    <w:p w14:paraId="623D5253">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2．屋面防水工程、有防水要求的卫生间、房间和外墙面的防渗为</w:t>
      </w:r>
      <w:r>
        <w:rPr>
          <w:rFonts w:hint="eastAsia" w:ascii="仿宋" w:hAnsi="仿宋" w:eastAsia="仿宋" w:cs="仿宋"/>
          <w:color w:val="auto"/>
          <w:szCs w:val="21"/>
          <w:u w:val="single"/>
        </w:rPr>
        <w:t xml:space="preserve">  5  </w:t>
      </w:r>
      <w:r>
        <w:rPr>
          <w:rFonts w:hint="eastAsia" w:ascii="仿宋" w:hAnsi="仿宋" w:eastAsia="仿宋" w:cs="仿宋"/>
          <w:color w:val="auto"/>
          <w:szCs w:val="21"/>
        </w:rPr>
        <w:t>年；</w:t>
      </w:r>
    </w:p>
    <w:p w14:paraId="237C7979">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3．装修工程为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3CB08C72">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4．电气管线、给排水管道、设备安装工程为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42E673D9">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5．供热与供冷系统为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个采暖期、供冷期；</w:t>
      </w:r>
    </w:p>
    <w:p w14:paraId="6700184D">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6．住宅小区内的给排水设施、道路等配套工程为</w:t>
      </w:r>
      <w:r>
        <w:rPr>
          <w:rFonts w:hint="eastAsia" w:ascii="仿宋" w:hAnsi="仿宋" w:eastAsia="仿宋" w:cs="仿宋"/>
          <w:color w:val="auto"/>
          <w:szCs w:val="21"/>
          <w:u w:val="single"/>
        </w:rPr>
        <w:t xml:space="preserve">  2  </w:t>
      </w:r>
      <w:r>
        <w:rPr>
          <w:rFonts w:hint="eastAsia" w:ascii="仿宋" w:hAnsi="仿宋" w:eastAsia="仿宋" w:cs="仿宋"/>
          <w:color w:val="auto"/>
          <w:szCs w:val="21"/>
        </w:rPr>
        <w:t>年；</w:t>
      </w:r>
    </w:p>
    <w:p w14:paraId="44472BF7">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7．其他项目保修期限约定如下：</w:t>
      </w:r>
    </w:p>
    <w:p w14:paraId="02C8C67B">
      <w:pPr>
        <w:spacing w:line="360" w:lineRule="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24C0C4F">
      <w:pPr>
        <w:spacing w:line="360" w:lineRule="auto"/>
        <w:rPr>
          <w:rFonts w:hint="eastAsia" w:ascii="仿宋" w:hAnsi="仿宋" w:eastAsia="仿宋" w:cs="仿宋"/>
          <w:color w:val="auto"/>
          <w:szCs w:val="21"/>
        </w:rPr>
      </w:pPr>
      <w:r>
        <w:rPr>
          <w:rFonts w:hint="eastAsia" w:ascii="仿宋" w:hAnsi="仿宋" w:eastAsia="仿宋" w:cs="仿宋"/>
          <w:color w:val="auto"/>
          <w:szCs w:val="21"/>
        </w:rPr>
        <w:t>　　质量保修期自工程竣工验收合格之日起计算。</w:t>
      </w:r>
    </w:p>
    <w:p w14:paraId="527BD804">
      <w:pPr>
        <w:spacing w:line="360" w:lineRule="auto"/>
        <w:ind w:firstLine="420" w:firstLineChars="200"/>
        <w:outlineLvl w:val="0"/>
        <w:rPr>
          <w:rFonts w:hint="eastAsia" w:ascii="仿宋" w:hAnsi="仿宋" w:eastAsia="仿宋" w:cs="仿宋"/>
          <w:color w:val="auto"/>
          <w:szCs w:val="21"/>
        </w:rPr>
      </w:pPr>
      <w:r>
        <w:rPr>
          <w:rFonts w:hint="eastAsia" w:ascii="仿宋" w:hAnsi="仿宋" w:eastAsia="仿宋" w:cs="仿宋"/>
          <w:color w:val="auto"/>
          <w:szCs w:val="21"/>
        </w:rPr>
        <w:t>三、缺陷责任期</w:t>
      </w:r>
    </w:p>
    <w:p w14:paraId="5D6C79E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工程缺陷责任期为</w:t>
      </w:r>
      <w:r>
        <w:rPr>
          <w:rFonts w:hint="eastAsia" w:ascii="仿宋" w:hAnsi="仿宋" w:eastAsia="仿宋" w:cs="仿宋"/>
          <w:color w:val="auto"/>
          <w:szCs w:val="21"/>
          <w:u w:val="single"/>
        </w:rPr>
        <w:t xml:space="preserve">  12  </w:t>
      </w:r>
      <w:r>
        <w:rPr>
          <w:rFonts w:hint="eastAsia" w:ascii="仿宋" w:hAnsi="仿宋" w:eastAsia="仿宋" w:cs="仿宋"/>
          <w:color w:val="auto"/>
          <w:szCs w:val="21"/>
        </w:rPr>
        <w:t>个月，缺陷责任期自工程通过竣工验收之日起计算。单位工程先于全部工程进行验收，单位工程缺陷责任期自单位工程验收合格之日起算。</w:t>
      </w:r>
    </w:p>
    <w:p w14:paraId="0A4E71F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缺陷责任期终止后，发包人应退还剩余的质量保证金。</w:t>
      </w:r>
    </w:p>
    <w:p w14:paraId="105BE0E3">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xml:space="preserve">    四、质量保修责任</w:t>
      </w:r>
    </w:p>
    <w:p w14:paraId="52E286B7">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1．属于保修范围、内容的项目，承包人应当在接到保修通知之日起7天内派人保修。承包人不在约定期限内派人保修的，发包人可以委托他人修理。</w:t>
      </w:r>
    </w:p>
    <w:p w14:paraId="419C937C">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2．发生紧急事故需抢修的，承包人在接到事故通知后，应当立即到达事故现场抢修。</w:t>
      </w:r>
    </w:p>
    <w:p w14:paraId="330327C0">
      <w:pPr>
        <w:spacing w:line="360" w:lineRule="auto"/>
        <w:ind w:left="105" w:leftChars="50" w:firstLine="430" w:firstLineChars="205"/>
        <w:rPr>
          <w:rFonts w:hint="eastAsia" w:ascii="仿宋" w:hAnsi="仿宋" w:eastAsia="仿宋" w:cs="仿宋"/>
          <w:color w:val="auto"/>
          <w:szCs w:val="21"/>
        </w:rPr>
      </w:pPr>
      <w:r>
        <w:rPr>
          <w:rFonts w:hint="eastAsia" w:ascii="仿宋" w:hAnsi="仿宋" w:eastAsia="仿宋" w:cs="仿宋"/>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9B1ACF">
      <w:pPr>
        <w:spacing w:line="360" w:lineRule="auto"/>
        <w:ind w:left="420" w:leftChars="200" w:firstLine="105" w:firstLineChars="50"/>
        <w:rPr>
          <w:rFonts w:hint="eastAsia" w:ascii="仿宋" w:hAnsi="仿宋" w:eastAsia="仿宋" w:cs="仿宋"/>
          <w:color w:val="auto"/>
          <w:szCs w:val="21"/>
        </w:rPr>
      </w:pPr>
      <w:r>
        <w:rPr>
          <w:rFonts w:hint="eastAsia" w:ascii="仿宋" w:hAnsi="仿宋" w:eastAsia="仿宋" w:cs="仿宋"/>
          <w:color w:val="auto"/>
          <w:szCs w:val="21"/>
        </w:rPr>
        <w:t>4．质量保修完成后，由发包人组织验收。</w:t>
      </w:r>
    </w:p>
    <w:p w14:paraId="03749A51">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rPr>
        <w:t>　　五、保修费用</w:t>
      </w:r>
    </w:p>
    <w:p w14:paraId="6F10FFDF">
      <w:pPr>
        <w:spacing w:line="360" w:lineRule="auto"/>
        <w:rPr>
          <w:rFonts w:hint="eastAsia" w:ascii="仿宋" w:hAnsi="仿宋" w:eastAsia="仿宋" w:cs="仿宋"/>
          <w:color w:val="auto"/>
          <w:szCs w:val="21"/>
        </w:rPr>
      </w:pPr>
      <w:r>
        <w:rPr>
          <w:rFonts w:hint="eastAsia" w:ascii="仿宋" w:hAnsi="仿宋" w:eastAsia="仿宋" w:cs="仿宋"/>
          <w:color w:val="auto"/>
          <w:szCs w:val="21"/>
        </w:rPr>
        <w:t>　　保修费用由造成质量缺陷的责任方承担。</w:t>
      </w:r>
    </w:p>
    <w:p w14:paraId="3FCF536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六、双方约定的其他工程质量保修事项：</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49F9E13">
      <w:pPr>
        <w:spacing w:line="360" w:lineRule="auto"/>
        <w:ind w:firstLine="399" w:firstLineChars="190"/>
        <w:rPr>
          <w:rFonts w:hint="eastAsia" w:ascii="仿宋" w:hAnsi="仿宋" w:eastAsia="仿宋" w:cs="仿宋"/>
          <w:color w:val="auto"/>
          <w:szCs w:val="21"/>
        </w:rPr>
      </w:pPr>
      <w:r>
        <w:rPr>
          <w:rFonts w:hint="eastAsia" w:ascii="仿宋" w:hAnsi="仿宋" w:eastAsia="仿宋" w:cs="仿宋"/>
          <w:color w:val="auto"/>
          <w:szCs w:val="21"/>
        </w:rPr>
        <w:t>工程质量保修书由发包人、承包人在工程竣工验收前共同签署，作为施工合同附件，其有效期限至保修期满。</w:t>
      </w:r>
    </w:p>
    <w:p w14:paraId="18E3C258">
      <w:pPr>
        <w:spacing w:line="360" w:lineRule="auto"/>
        <w:ind w:firstLine="420"/>
        <w:rPr>
          <w:rFonts w:hint="eastAsia" w:ascii="仿宋" w:hAnsi="仿宋" w:eastAsia="仿宋" w:cs="仿宋"/>
          <w:color w:val="auto"/>
          <w:szCs w:val="21"/>
        </w:rPr>
      </w:pPr>
    </w:p>
    <w:p w14:paraId="292F23B9">
      <w:pPr>
        <w:spacing w:line="360" w:lineRule="auto"/>
        <w:rPr>
          <w:rFonts w:hint="eastAsia" w:ascii="仿宋" w:hAnsi="仿宋" w:eastAsia="仿宋" w:cs="仿宋"/>
          <w:color w:val="auto"/>
          <w:szCs w:val="21"/>
        </w:rPr>
      </w:pPr>
      <w:r>
        <w:rPr>
          <w:rFonts w:hint="eastAsia" w:ascii="仿宋" w:hAnsi="仿宋" w:eastAsia="仿宋" w:cs="仿宋"/>
          <w:color w:val="auto"/>
          <w:szCs w:val="21"/>
        </w:rPr>
        <w:t>发包人(公章)：</w:t>
      </w:r>
      <w:r>
        <w:rPr>
          <w:rFonts w:hint="eastAsia" w:ascii="仿宋" w:hAnsi="仿宋" w:eastAsia="仿宋" w:cs="仿宋"/>
          <w:color w:val="auto"/>
          <w:szCs w:val="21"/>
          <w:u w:val="single"/>
        </w:rPr>
        <w:t xml:space="preserve">        </w:t>
      </w:r>
      <w:r>
        <w:rPr>
          <w:rFonts w:hint="eastAsia" w:ascii="仿宋" w:hAnsi="仿宋" w:eastAsia="仿宋" w:cs="仿宋"/>
          <w:color w:val="auto"/>
          <w:szCs w:val="21"/>
        </w:rPr>
        <w:t xml:space="preserve"> 承包人(公章)：</w:t>
      </w:r>
      <w:r>
        <w:rPr>
          <w:rFonts w:hint="eastAsia" w:ascii="仿宋" w:hAnsi="仿宋" w:eastAsia="仿宋" w:cs="仿宋"/>
          <w:color w:val="auto"/>
          <w:szCs w:val="21"/>
          <w:u w:val="single"/>
        </w:rPr>
        <w:t xml:space="preserve">           </w:t>
      </w:r>
    </w:p>
    <w:p w14:paraId="042A5C28">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地  址：</w:t>
      </w:r>
      <w:r>
        <w:rPr>
          <w:rFonts w:hint="eastAsia" w:ascii="仿宋" w:hAnsi="仿宋" w:eastAsia="仿宋" w:cs="仿宋"/>
          <w:color w:val="auto"/>
          <w:szCs w:val="21"/>
          <w:u w:val="single"/>
        </w:rPr>
        <w:t xml:space="preserve">       </w:t>
      </w:r>
    </w:p>
    <w:p w14:paraId="097E0523">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法定代表人(签字)：</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法定代表人(签字)：</w:t>
      </w:r>
      <w:r>
        <w:rPr>
          <w:rFonts w:hint="eastAsia" w:ascii="仿宋" w:hAnsi="仿宋" w:eastAsia="仿宋" w:cs="仿宋"/>
          <w:color w:val="auto"/>
          <w:szCs w:val="21"/>
          <w:u w:val="single"/>
        </w:rPr>
        <w:t xml:space="preserve">       </w:t>
      </w:r>
    </w:p>
    <w:p w14:paraId="5A0E11FD">
      <w:pPr>
        <w:spacing w:line="360" w:lineRule="auto"/>
        <w:rPr>
          <w:rFonts w:hint="eastAsia" w:ascii="仿宋" w:hAnsi="仿宋" w:eastAsia="仿宋" w:cs="仿宋"/>
          <w:color w:val="auto"/>
          <w:szCs w:val="21"/>
        </w:rPr>
      </w:pPr>
      <w:r>
        <w:rPr>
          <w:rFonts w:hint="eastAsia" w:ascii="仿宋" w:hAnsi="仿宋" w:eastAsia="仿宋" w:cs="仿宋"/>
          <w:color w:val="auto"/>
          <w:szCs w:val="21"/>
        </w:rPr>
        <w:t>委托代理人(签字)：</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委托代理人(签字)：</w:t>
      </w:r>
      <w:r>
        <w:rPr>
          <w:rFonts w:hint="eastAsia" w:ascii="仿宋" w:hAnsi="仿宋" w:eastAsia="仿宋" w:cs="仿宋"/>
          <w:color w:val="auto"/>
          <w:szCs w:val="21"/>
          <w:u w:val="single"/>
        </w:rPr>
        <w:t xml:space="preserve">       </w:t>
      </w:r>
    </w:p>
    <w:p w14:paraId="3F820B2C">
      <w:pPr>
        <w:spacing w:line="360" w:lineRule="auto"/>
        <w:rPr>
          <w:rFonts w:hint="eastAsia" w:ascii="仿宋" w:hAnsi="仿宋" w:eastAsia="仿宋" w:cs="仿宋"/>
          <w:color w:val="auto"/>
          <w:szCs w:val="21"/>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  话：</w:t>
      </w:r>
      <w:r>
        <w:rPr>
          <w:rFonts w:hint="eastAsia" w:ascii="仿宋" w:hAnsi="仿宋" w:eastAsia="仿宋" w:cs="仿宋"/>
          <w:color w:val="auto"/>
          <w:szCs w:val="21"/>
          <w:u w:val="single"/>
        </w:rPr>
        <w:t xml:space="preserve">     </w:t>
      </w:r>
    </w:p>
    <w:p w14:paraId="34467A65">
      <w:pPr>
        <w:spacing w:line="360" w:lineRule="auto"/>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传  真：</w:t>
      </w:r>
      <w:r>
        <w:rPr>
          <w:rFonts w:hint="eastAsia" w:ascii="仿宋" w:hAnsi="仿宋" w:eastAsia="仿宋" w:cs="仿宋"/>
          <w:color w:val="auto"/>
          <w:szCs w:val="21"/>
          <w:u w:val="single"/>
        </w:rPr>
        <w:t xml:space="preserve">     </w:t>
      </w:r>
    </w:p>
    <w:p w14:paraId="60D718F3">
      <w:pPr>
        <w:spacing w:line="360" w:lineRule="auto"/>
        <w:rPr>
          <w:rFonts w:hint="eastAsia" w:ascii="仿宋" w:hAnsi="仿宋" w:eastAsia="仿宋" w:cs="仿宋"/>
          <w:color w:val="auto"/>
          <w:szCs w:val="21"/>
        </w:rPr>
      </w:pPr>
      <w:r>
        <w:rPr>
          <w:rFonts w:hint="eastAsia" w:ascii="仿宋" w:hAnsi="仿宋" w:eastAsia="仿宋" w:cs="仿宋"/>
          <w:color w:val="auto"/>
          <w:szCs w:val="21"/>
        </w:rPr>
        <w:t>开户银行：</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开户银行：</w:t>
      </w:r>
      <w:r>
        <w:rPr>
          <w:rFonts w:hint="eastAsia" w:ascii="仿宋" w:hAnsi="仿宋" w:eastAsia="仿宋" w:cs="仿宋"/>
          <w:color w:val="auto"/>
          <w:szCs w:val="21"/>
          <w:u w:val="single"/>
        </w:rPr>
        <w:t xml:space="preserve">   </w:t>
      </w:r>
    </w:p>
    <w:p w14:paraId="7E36E695">
      <w:pPr>
        <w:spacing w:line="360" w:lineRule="auto"/>
        <w:rPr>
          <w:rFonts w:hint="eastAsia" w:ascii="仿宋" w:hAnsi="仿宋" w:eastAsia="仿宋" w:cs="仿宋"/>
          <w:color w:val="auto"/>
          <w:szCs w:val="21"/>
        </w:rPr>
      </w:pPr>
      <w:r>
        <w:rPr>
          <w:rFonts w:hint="eastAsia" w:ascii="仿宋" w:hAnsi="仿宋" w:eastAsia="仿宋" w:cs="仿宋"/>
          <w:color w:val="auto"/>
          <w:szCs w:val="21"/>
        </w:rPr>
        <w:t>账  号：</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账  号：</w:t>
      </w:r>
      <w:r>
        <w:rPr>
          <w:rFonts w:hint="eastAsia" w:ascii="仿宋" w:hAnsi="仿宋" w:eastAsia="仿宋" w:cs="仿宋"/>
          <w:color w:val="auto"/>
          <w:szCs w:val="21"/>
          <w:u w:val="single"/>
        </w:rPr>
        <w:t xml:space="preserve">     </w:t>
      </w:r>
    </w:p>
    <w:p w14:paraId="727A4F82">
      <w:pPr>
        <w:spacing w:line="360" w:lineRule="auto"/>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 xml:space="preserve"> 邮政编码：</w:t>
      </w:r>
      <w:r>
        <w:rPr>
          <w:rFonts w:hint="eastAsia" w:ascii="仿宋" w:hAnsi="仿宋" w:eastAsia="仿宋" w:cs="仿宋"/>
          <w:color w:val="auto"/>
          <w:szCs w:val="21"/>
          <w:u w:val="single"/>
        </w:rPr>
        <w:t xml:space="preserve">   </w:t>
      </w:r>
    </w:p>
    <w:p w14:paraId="0888B453">
      <w:pPr>
        <w:spacing w:line="440" w:lineRule="exact"/>
        <w:rPr>
          <w:rFonts w:hint="eastAsia" w:ascii="仿宋" w:hAnsi="仿宋" w:eastAsia="仿宋" w:cs="仿宋"/>
          <w:color w:val="auto"/>
          <w:szCs w:val="21"/>
        </w:rPr>
      </w:pPr>
      <w:r>
        <w:rPr>
          <w:rFonts w:hint="eastAsia" w:ascii="仿宋" w:hAnsi="仿宋" w:eastAsia="仿宋" w:cs="仿宋"/>
          <w:b/>
          <w:color w:val="auto"/>
          <w:szCs w:val="21"/>
        </w:rPr>
        <w:br w:type="page"/>
      </w:r>
      <w:r>
        <w:rPr>
          <w:rFonts w:hint="eastAsia" w:ascii="仿宋" w:hAnsi="仿宋" w:eastAsia="仿宋" w:cs="仿宋"/>
          <w:color w:val="auto"/>
          <w:szCs w:val="21"/>
        </w:rPr>
        <w:t>附件4：</w:t>
      </w:r>
    </w:p>
    <w:p w14:paraId="1C1D08B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主要建设工程文件目录</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7377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5D731C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文件名称</w:t>
            </w:r>
          </w:p>
        </w:tc>
        <w:tc>
          <w:tcPr>
            <w:tcW w:w="1276" w:type="dxa"/>
            <w:tcBorders>
              <w:top w:val="single" w:color="auto" w:sz="12" w:space="0"/>
              <w:bottom w:val="double" w:color="auto" w:sz="6" w:space="0"/>
            </w:tcBorders>
            <w:noWrap w:val="0"/>
            <w:vAlign w:val="center"/>
          </w:tcPr>
          <w:p w14:paraId="7CDBA4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套数</w:t>
            </w:r>
          </w:p>
        </w:tc>
        <w:tc>
          <w:tcPr>
            <w:tcW w:w="1450" w:type="dxa"/>
            <w:tcBorders>
              <w:top w:val="single" w:color="auto" w:sz="12" w:space="0"/>
              <w:bottom w:val="double" w:color="auto" w:sz="6" w:space="0"/>
            </w:tcBorders>
            <w:noWrap w:val="0"/>
            <w:vAlign w:val="center"/>
          </w:tcPr>
          <w:p w14:paraId="3F71ED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费用（元）</w:t>
            </w:r>
          </w:p>
        </w:tc>
        <w:tc>
          <w:tcPr>
            <w:tcW w:w="1243" w:type="dxa"/>
            <w:tcBorders>
              <w:top w:val="single" w:color="auto" w:sz="12" w:space="0"/>
              <w:bottom w:val="double" w:color="auto" w:sz="6" w:space="0"/>
            </w:tcBorders>
            <w:noWrap w:val="0"/>
            <w:vAlign w:val="center"/>
          </w:tcPr>
          <w:p w14:paraId="6AEB97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w:t>
            </w:r>
          </w:p>
        </w:tc>
        <w:tc>
          <w:tcPr>
            <w:tcW w:w="1450" w:type="dxa"/>
            <w:tcBorders>
              <w:top w:val="single" w:color="auto" w:sz="12" w:space="0"/>
              <w:bottom w:val="double" w:color="auto" w:sz="6" w:space="0"/>
            </w:tcBorders>
            <w:noWrap w:val="0"/>
            <w:vAlign w:val="top"/>
          </w:tcPr>
          <w:p w14:paraId="429DE5BA">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移交时间</w:t>
            </w:r>
          </w:p>
        </w:tc>
        <w:tc>
          <w:tcPr>
            <w:tcW w:w="1667" w:type="dxa"/>
            <w:tcBorders>
              <w:top w:val="single" w:color="auto" w:sz="12" w:space="0"/>
              <w:bottom w:val="double" w:color="auto" w:sz="6" w:space="0"/>
            </w:tcBorders>
            <w:noWrap w:val="0"/>
            <w:vAlign w:val="top"/>
          </w:tcPr>
          <w:p w14:paraId="0967DD9B">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责任人</w:t>
            </w:r>
          </w:p>
        </w:tc>
      </w:tr>
      <w:tr w14:paraId="3A0FD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5E536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center"/>
          </w:tcPr>
          <w:p w14:paraId="0A4083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double" w:color="auto" w:sz="6" w:space="0"/>
              <w:bottom w:val="single" w:color="auto" w:sz="6" w:space="0"/>
            </w:tcBorders>
            <w:noWrap w:val="0"/>
            <w:vAlign w:val="center"/>
          </w:tcPr>
          <w:p w14:paraId="18E4E0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tcBorders>
              <w:top w:val="double" w:color="auto" w:sz="6" w:space="0"/>
              <w:bottom w:val="single" w:color="auto" w:sz="6" w:space="0"/>
            </w:tcBorders>
            <w:noWrap w:val="0"/>
            <w:vAlign w:val="center"/>
          </w:tcPr>
          <w:p w14:paraId="09CB9BC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double" w:color="auto" w:sz="6" w:space="0"/>
              <w:bottom w:val="single" w:color="auto" w:sz="6" w:space="0"/>
            </w:tcBorders>
            <w:noWrap w:val="0"/>
            <w:vAlign w:val="center"/>
          </w:tcPr>
          <w:p w14:paraId="36A181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tcBorders>
              <w:top w:val="double" w:color="auto" w:sz="6" w:space="0"/>
              <w:bottom w:val="single" w:color="auto" w:sz="6" w:space="0"/>
            </w:tcBorders>
            <w:noWrap w:val="0"/>
            <w:vAlign w:val="center"/>
          </w:tcPr>
          <w:p w14:paraId="243C0E5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0CF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A1916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center"/>
          </w:tcPr>
          <w:p w14:paraId="037969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nil"/>
            </w:tcBorders>
            <w:noWrap w:val="0"/>
            <w:vAlign w:val="center"/>
          </w:tcPr>
          <w:p w14:paraId="14CE84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tcBorders>
              <w:top w:val="nil"/>
            </w:tcBorders>
            <w:noWrap w:val="0"/>
            <w:vAlign w:val="center"/>
          </w:tcPr>
          <w:p w14:paraId="556AAB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tcBorders>
              <w:top w:val="nil"/>
            </w:tcBorders>
            <w:noWrap w:val="0"/>
            <w:vAlign w:val="center"/>
          </w:tcPr>
          <w:p w14:paraId="318A63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tcBorders>
              <w:top w:val="nil"/>
            </w:tcBorders>
            <w:noWrap w:val="0"/>
            <w:vAlign w:val="center"/>
          </w:tcPr>
          <w:p w14:paraId="5542273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BE87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AE945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A4C00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A70A3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056B14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44CE87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26FFA0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91F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C2EC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6155FE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30693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5E2E1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47C511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60E813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5EFE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D009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B2BBA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B0A24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40F5C5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59066C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404CDB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532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A42B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BBEDC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09F9AC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5CBC8D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1EFF5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004ACF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A611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56A9F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1D676A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47E1D1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646F3F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02DF90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7D88CE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9F6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90019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0AA33B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6C0856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A3700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12B2FA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749ABA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E04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1633AE6">
            <w:pPr>
              <w:rPr>
                <w:rFonts w:hint="eastAsia" w:ascii="仿宋" w:hAnsi="仿宋" w:eastAsia="仿宋" w:cs="仿宋"/>
                <w:color w:val="auto"/>
                <w:szCs w:val="21"/>
              </w:rPr>
            </w:pPr>
          </w:p>
        </w:tc>
        <w:tc>
          <w:tcPr>
            <w:tcW w:w="1276" w:type="dxa"/>
            <w:noWrap w:val="0"/>
            <w:vAlign w:val="top"/>
          </w:tcPr>
          <w:p w14:paraId="516C0AD2">
            <w:pPr>
              <w:rPr>
                <w:rFonts w:hint="eastAsia" w:ascii="仿宋" w:hAnsi="仿宋" w:eastAsia="仿宋" w:cs="仿宋"/>
                <w:color w:val="auto"/>
                <w:szCs w:val="21"/>
              </w:rPr>
            </w:pPr>
          </w:p>
        </w:tc>
        <w:tc>
          <w:tcPr>
            <w:tcW w:w="1450" w:type="dxa"/>
            <w:noWrap w:val="0"/>
            <w:vAlign w:val="top"/>
          </w:tcPr>
          <w:p w14:paraId="0979D2F5">
            <w:pPr>
              <w:rPr>
                <w:rFonts w:hint="eastAsia" w:ascii="仿宋" w:hAnsi="仿宋" w:eastAsia="仿宋" w:cs="仿宋"/>
                <w:color w:val="auto"/>
                <w:szCs w:val="21"/>
              </w:rPr>
            </w:pPr>
          </w:p>
        </w:tc>
        <w:tc>
          <w:tcPr>
            <w:tcW w:w="1243" w:type="dxa"/>
            <w:noWrap w:val="0"/>
            <w:vAlign w:val="top"/>
          </w:tcPr>
          <w:p w14:paraId="50A4FF27">
            <w:pPr>
              <w:rPr>
                <w:rFonts w:hint="eastAsia" w:ascii="仿宋" w:hAnsi="仿宋" w:eastAsia="仿宋" w:cs="仿宋"/>
                <w:color w:val="auto"/>
                <w:szCs w:val="21"/>
              </w:rPr>
            </w:pPr>
          </w:p>
        </w:tc>
        <w:tc>
          <w:tcPr>
            <w:tcW w:w="1450" w:type="dxa"/>
            <w:noWrap w:val="0"/>
            <w:vAlign w:val="top"/>
          </w:tcPr>
          <w:p w14:paraId="519B7785">
            <w:pPr>
              <w:rPr>
                <w:rFonts w:hint="eastAsia" w:ascii="仿宋" w:hAnsi="仿宋" w:eastAsia="仿宋" w:cs="仿宋"/>
                <w:color w:val="auto"/>
                <w:szCs w:val="21"/>
              </w:rPr>
            </w:pPr>
          </w:p>
        </w:tc>
        <w:tc>
          <w:tcPr>
            <w:tcW w:w="1667" w:type="dxa"/>
            <w:noWrap w:val="0"/>
            <w:vAlign w:val="top"/>
          </w:tcPr>
          <w:p w14:paraId="51ED07F9">
            <w:pPr>
              <w:rPr>
                <w:rFonts w:hint="eastAsia" w:ascii="仿宋" w:hAnsi="仿宋" w:eastAsia="仿宋" w:cs="仿宋"/>
                <w:color w:val="auto"/>
                <w:szCs w:val="21"/>
              </w:rPr>
            </w:pPr>
          </w:p>
        </w:tc>
      </w:tr>
      <w:tr w14:paraId="14851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16B2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center"/>
          </w:tcPr>
          <w:p w14:paraId="77CA65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7D3F40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43" w:type="dxa"/>
            <w:noWrap w:val="0"/>
            <w:vAlign w:val="center"/>
          </w:tcPr>
          <w:p w14:paraId="2EC3ED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50" w:type="dxa"/>
            <w:noWrap w:val="0"/>
            <w:vAlign w:val="center"/>
          </w:tcPr>
          <w:p w14:paraId="5DD472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667" w:type="dxa"/>
            <w:noWrap w:val="0"/>
            <w:vAlign w:val="center"/>
          </w:tcPr>
          <w:p w14:paraId="245B3F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882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535E4E">
            <w:pPr>
              <w:rPr>
                <w:rFonts w:hint="eastAsia" w:ascii="仿宋" w:hAnsi="仿宋" w:eastAsia="仿宋" w:cs="仿宋"/>
                <w:color w:val="auto"/>
                <w:szCs w:val="21"/>
              </w:rPr>
            </w:pPr>
          </w:p>
        </w:tc>
        <w:tc>
          <w:tcPr>
            <w:tcW w:w="1276" w:type="dxa"/>
            <w:noWrap w:val="0"/>
            <w:vAlign w:val="top"/>
          </w:tcPr>
          <w:p w14:paraId="35D3E904">
            <w:pPr>
              <w:rPr>
                <w:rFonts w:hint="eastAsia" w:ascii="仿宋" w:hAnsi="仿宋" w:eastAsia="仿宋" w:cs="仿宋"/>
                <w:color w:val="auto"/>
                <w:szCs w:val="21"/>
              </w:rPr>
            </w:pPr>
          </w:p>
        </w:tc>
        <w:tc>
          <w:tcPr>
            <w:tcW w:w="1450" w:type="dxa"/>
            <w:noWrap w:val="0"/>
            <w:vAlign w:val="top"/>
          </w:tcPr>
          <w:p w14:paraId="10AF06DE">
            <w:pPr>
              <w:rPr>
                <w:rFonts w:hint="eastAsia" w:ascii="仿宋" w:hAnsi="仿宋" w:eastAsia="仿宋" w:cs="仿宋"/>
                <w:color w:val="auto"/>
                <w:szCs w:val="21"/>
              </w:rPr>
            </w:pPr>
          </w:p>
        </w:tc>
        <w:tc>
          <w:tcPr>
            <w:tcW w:w="1243" w:type="dxa"/>
            <w:noWrap w:val="0"/>
            <w:vAlign w:val="top"/>
          </w:tcPr>
          <w:p w14:paraId="575ADF36">
            <w:pPr>
              <w:rPr>
                <w:rFonts w:hint="eastAsia" w:ascii="仿宋" w:hAnsi="仿宋" w:eastAsia="仿宋" w:cs="仿宋"/>
                <w:color w:val="auto"/>
                <w:szCs w:val="21"/>
              </w:rPr>
            </w:pPr>
          </w:p>
        </w:tc>
        <w:tc>
          <w:tcPr>
            <w:tcW w:w="1450" w:type="dxa"/>
            <w:noWrap w:val="0"/>
            <w:vAlign w:val="top"/>
          </w:tcPr>
          <w:p w14:paraId="78B1BA54">
            <w:pPr>
              <w:rPr>
                <w:rFonts w:hint="eastAsia" w:ascii="仿宋" w:hAnsi="仿宋" w:eastAsia="仿宋" w:cs="仿宋"/>
                <w:color w:val="auto"/>
                <w:szCs w:val="21"/>
              </w:rPr>
            </w:pPr>
          </w:p>
        </w:tc>
        <w:tc>
          <w:tcPr>
            <w:tcW w:w="1667" w:type="dxa"/>
            <w:noWrap w:val="0"/>
            <w:vAlign w:val="top"/>
          </w:tcPr>
          <w:p w14:paraId="7D8B2769">
            <w:pPr>
              <w:rPr>
                <w:rFonts w:hint="eastAsia" w:ascii="仿宋" w:hAnsi="仿宋" w:eastAsia="仿宋" w:cs="仿宋"/>
                <w:color w:val="auto"/>
                <w:szCs w:val="21"/>
              </w:rPr>
            </w:pPr>
          </w:p>
        </w:tc>
      </w:tr>
      <w:tr w14:paraId="7BF85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87FC7A">
            <w:pPr>
              <w:rPr>
                <w:rFonts w:hint="eastAsia" w:ascii="仿宋" w:hAnsi="仿宋" w:eastAsia="仿宋" w:cs="仿宋"/>
                <w:color w:val="auto"/>
                <w:szCs w:val="21"/>
              </w:rPr>
            </w:pPr>
          </w:p>
        </w:tc>
        <w:tc>
          <w:tcPr>
            <w:tcW w:w="1276" w:type="dxa"/>
            <w:noWrap w:val="0"/>
            <w:vAlign w:val="top"/>
          </w:tcPr>
          <w:p w14:paraId="6A105D47">
            <w:pPr>
              <w:rPr>
                <w:rFonts w:hint="eastAsia" w:ascii="仿宋" w:hAnsi="仿宋" w:eastAsia="仿宋" w:cs="仿宋"/>
                <w:color w:val="auto"/>
                <w:szCs w:val="21"/>
              </w:rPr>
            </w:pPr>
          </w:p>
        </w:tc>
        <w:tc>
          <w:tcPr>
            <w:tcW w:w="1450" w:type="dxa"/>
            <w:noWrap w:val="0"/>
            <w:vAlign w:val="top"/>
          </w:tcPr>
          <w:p w14:paraId="2E18EB9E">
            <w:pPr>
              <w:rPr>
                <w:rFonts w:hint="eastAsia" w:ascii="仿宋" w:hAnsi="仿宋" w:eastAsia="仿宋" w:cs="仿宋"/>
                <w:color w:val="auto"/>
                <w:szCs w:val="21"/>
              </w:rPr>
            </w:pPr>
          </w:p>
        </w:tc>
        <w:tc>
          <w:tcPr>
            <w:tcW w:w="1243" w:type="dxa"/>
            <w:noWrap w:val="0"/>
            <w:vAlign w:val="top"/>
          </w:tcPr>
          <w:p w14:paraId="0351CEFB">
            <w:pPr>
              <w:rPr>
                <w:rFonts w:hint="eastAsia" w:ascii="仿宋" w:hAnsi="仿宋" w:eastAsia="仿宋" w:cs="仿宋"/>
                <w:color w:val="auto"/>
                <w:szCs w:val="21"/>
              </w:rPr>
            </w:pPr>
          </w:p>
        </w:tc>
        <w:tc>
          <w:tcPr>
            <w:tcW w:w="1450" w:type="dxa"/>
            <w:noWrap w:val="0"/>
            <w:vAlign w:val="top"/>
          </w:tcPr>
          <w:p w14:paraId="1178BA83">
            <w:pPr>
              <w:rPr>
                <w:rFonts w:hint="eastAsia" w:ascii="仿宋" w:hAnsi="仿宋" w:eastAsia="仿宋" w:cs="仿宋"/>
                <w:color w:val="auto"/>
                <w:szCs w:val="21"/>
              </w:rPr>
            </w:pPr>
          </w:p>
        </w:tc>
        <w:tc>
          <w:tcPr>
            <w:tcW w:w="1667" w:type="dxa"/>
            <w:noWrap w:val="0"/>
            <w:vAlign w:val="top"/>
          </w:tcPr>
          <w:p w14:paraId="1086B236">
            <w:pPr>
              <w:rPr>
                <w:rFonts w:hint="eastAsia" w:ascii="仿宋" w:hAnsi="仿宋" w:eastAsia="仿宋" w:cs="仿宋"/>
                <w:color w:val="auto"/>
                <w:szCs w:val="21"/>
              </w:rPr>
            </w:pPr>
          </w:p>
        </w:tc>
      </w:tr>
      <w:tr w14:paraId="76B5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ED6051D">
            <w:pPr>
              <w:rPr>
                <w:rFonts w:hint="eastAsia" w:ascii="仿宋" w:hAnsi="仿宋" w:eastAsia="仿宋" w:cs="仿宋"/>
                <w:color w:val="auto"/>
                <w:szCs w:val="21"/>
              </w:rPr>
            </w:pPr>
          </w:p>
        </w:tc>
        <w:tc>
          <w:tcPr>
            <w:tcW w:w="1276" w:type="dxa"/>
            <w:noWrap w:val="0"/>
            <w:vAlign w:val="top"/>
          </w:tcPr>
          <w:p w14:paraId="5BFC460C">
            <w:pPr>
              <w:rPr>
                <w:rFonts w:hint="eastAsia" w:ascii="仿宋" w:hAnsi="仿宋" w:eastAsia="仿宋" w:cs="仿宋"/>
                <w:color w:val="auto"/>
                <w:szCs w:val="21"/>
              </w:rPr>
            </w:pPr>
          </w:p>
        </w:tc>
        <w:tc>
          <w:tcPr>
            <w:tcW w:w="1450" w:type="dxa"/>
            <w:noWrap w:val="0"/>
            <w:vAlign w:val="top"/>
          </w:tcPr>
          <w:p w14:paraId="23FA71F9">
            <w:pPr>
              <w:rPr>
                <w:rFonts w:hint="eastAsia" w:ascii="仿宋" w:hAnsi="仿宋" w:eastAsia="仿宋" w:cs="仿宋"/>
                <w:color w:val="auto"/>
                <w:szCs w:val="21"/>
              </w:rPr>
            </w:pPr>
          </w:p>
        </w:tc>
        <w:tc>
          <w:tcPr>
            <w:tcW w:w="1243" w:type="dxa"/>
            <w:noWrap w:val="0"/>
            <w:vAlign w:val="top"/>
          </w:tcPr>
          <w:p w14:paraId="508D929B">
            <w:pPr>
              <w:rPr>
                <w:rFonts w:hint="eastAsia" w:ascii="仿宋" w:hAnsi="仿宋" w:eastAsia="仿宋" w:cs="仿宋"/>
                <w:color w:val="auto"/>
                <w:szCs w:val="21"/>
              </w:rPr>
            </w:pPr>
          </w:p>
        </w:tc>
        <w:tc>
          <w:tcPr>
            <w:tcW w:w="1450" w:type="dxa"/>
            <w:noWrap w:val="0"/>
            <w:vAlign w:val="top"/>
          </w:tcPr>
          <w:p w14:paraId="0647990A">
            <w:pPr>
              <w:rPr>
                <w:rFonts w:hint="eastAsia" w:ascii="仿宋" w:hAnsi="仿宋" w:eastAsia="仿宋" w:cs="仿宋"/>
                <w:color w:val="auto"/>
                <w:szCs w:val="21"/>
              </w:rPr>
            </w:pPr>
          </w:p>
        </w:tc>
        <w:tc>
          <w:tcPr>
            <w:tcW w:w="1667" w:type="dxa"/>
            <w:noWrap w:val="0"/>
            <w:vAlign w:val="top"/>
          </w:tcPr>
          <w:p w14:paraId="304DD597">
            <w:pPr>
              <w:rPr>
                <w:rFonts w:hint="eastAsia" w:ascii="仿宋" w:hAnsi="仿宋" w:eastAsia="仿宋" w:cs="仿宋"/>
                <w:color w:val="auto"/>
                <w:szCs w:val="21"/>
              </w:rPr>
            </w:pPr>
          </w:p>
        </w:tc>
      </w:tr>
      <w:tr w14:paraId="3428B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F2ED63">
            <w:pPr>
              <w:rPr>
                <w:rFonts w:hint="eastAsia" w:ascii="仿宋" w:hAnsi="仿宋" w:eastAsia="仿宋" w:cs="仿宋"/>
                <w:color w:val="auto"/>
                <w:szCs w:val="21"/>
              </w:rPr>
            </w:pPr>
          </w:p>
        </w:tc>
        <w:tc>
          <w:tcPr>
            <w:tcW w:w="1276" w:type="dxa"/>
            <w:noWrap w:val="0"/>
            <w:vAlign w:val="top"/>
          </w:tcPr>
          <w:p w14:paraId="2F1B9D21">
            <w:pPr>
              <w:rPr>
                <w:rFonts w:hint="eastAsia" w:ascii="仿宋" w:hAnsi="仿宋" w:eastAsia="仿宋" w:cs="仿宋"/>
                <w:color w:val="auto"/>
                <w:szCs w:val="21"/>
              </w:rPr>
            </w:pPr>
          </w:p>
        </w:tc>
        <w:tc>
          <w:tcPr>
            <w:tcW w:w="1450" w:type="dxa"/>
            <w:noWrap w:val="0"/>
            <w:vAlign w:val="top"/>
          </w:tcPr>
          <w:p w14:paraId="51531A4A">
            <w:pPr>
              <w:rPr>
                <w:rFonts w:hint="eastAsia" w:ascii="仿宋" w:hAnsi="仿宋" w:eastAsia="仿宋" w:cs="仿宋"/>
                <w:color w:val="auto"/>
                <w:szCs w:val="21"/>
              </w:rPr>
            </w:pPr>
          </w:p>
        </w:tc>
        <w:tc>
          <w:tcPr>
            <w:tcW w:w="1243" w:type="dxa"/>
            <w:noWrap w:val="0"/>
            <w:vAlign w:val="top"/>
          </w:tcPr>
          <w:p w14:paraId="5B7751DC">
            <w:pPr>
              <w:rPr>
                <w:rFonts w:hint="eastAsia" w:ascii="仿宋" w:hAnsi="仿宋" w:eastAsia="仿宋" w:cs="仿宋"/>
                <w:color w:val="auto"/>
                <w:szCs w:val="21"/>
              </w:rPr>
            </w:pPr>
          </w:p>
        </w:tc>
        <w:tc>
          <w:tcPr>
            <w:tcW w:w="1450" w:type="dxa"/>
            <w:noWrap w:val="0"/>
            <w:vAlign w:val="top"/>
          </w:tcPr>
          <w:p w14:paraId="45F34E5F">
            <w:pPr>
              <w:rPr>
                <w:rFonts w:hint="eastAsia" w:ascii="仿宋" w:hAnsi="仿宋" w:eastAsia="仿宋" w:cs="仿宋"/>
                <w:color w:val="auto"/>
                <w:szCs w:val="21"/>
              </w:rPr>
            </w:pPr>
          </w:p>
        </w:tc>
        <w:tc>
          <w:tcPr>
            <w:tcW w:w="1667" w:type="dxa"/>
            <w:noWrap w:val="0"/>
            <w:vAlign w:val="top"/>
          </w:tcPr>
          <w:p w14:paraId="13B64D9B">
            <w:pPr>
              <w:rPr>
                <w:rFonts w:hint="eastAsia" w:ascii="仿宋" w:hAnsi="仿宋" w:eastAsia="仿宋" w:cs="仿宋"/>
                <w:color w:val="auto"/>
                <w:szCs w:val="21"/>
              </w:rPr>
            </w:pPr>
          </w:p>
        </w:tc>
      </w:tr>
      <w:tr w14:paraId="42C44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FD23D5">
            <w:pPr>
              <w:rPr>
                <w:rFonts w:hint="eastAsia" w:ascii="仿宋" w:hAnsi="仿宋" w:eastAsia="仿宋" w:cs="仿宋"/>
                <w:color w:val="auto"/>
                <w:szCs w:val="21"/>
              </w:rPr>
            </w:pPr>
          </w:p>
        </w:tc>
        <w:tc>
          <w:tcPr>
            <w:tcW w:w="1276" w:type="dxa"/>
            <w:noWrap w:val="0"/>
            <w:vAlign w:val="top"/>
          </w:tcPr>
          <w:p w14:paraId="4784361E">
            <w:pPr>
              <w:rPr>
                <w:rFonts w:hint="eastAsia" w:ascii="仿宋" w:hAnsi="仿宋" w:eastAsia="仿宋" w:cs="仿宋"/>
                <w:color w:val="auto"/>
                <w:szCs w:val="21"/>
              </w:rPr>
            </w:pPr>
          </w:p>
        </w:tc>
        <w:tc>
          <w:tcPr>
            <w:tcW w:w="1450" w:type="dxa"/>
            <w:noWrap w:val="0"/>
            <w:vAlign w:val="top"/>
          </w:tcPr>
          <w:p w14:paraId="3CE69499">
            <w:pPr>
              <w:rPr>
                <w:rFonts w:hint="eastAsia" w:ascii="仿宋" w:hAnsi="仿宋" w:eastAsia="仿宋" w:cs="仿宋"/>
                <w:color w:val="auto"/>
                <w:szCs w:val="21"/>
              </w:rPr>
            </w:pPr>
          </w:p>
        </w:tc>
        <w:tc>
          <w:tcPr>
            <w:tcW w:w="1243" w:type="dxa"/>
            <w:noWrap w:val="0"/>
            <w:vAlign w:val="top"/>
          </w:tcPr>
          <w:p w14:paraId="7ABA71D2">
            <w:pPr>
              <w:rPr>
                <w:rFonts w:hint="eastAsia" w:ascii="仿宋" w:hAnsi="仿宋" w:eastAsia="仿宋" w:cs="仿宋"/>
                <w:color w:val="auto"/>
                <w:szCs w:val="21"/>
              </w:rPr>
            </w:pPr>
          </w:p>
        </w:tc>
        <w:tc>
          <w:tcPr>
            <w:tcW w:w="1450" w:type="dxa"/>
            <w:noWrap w:val="0"/>
            <w:vAlign w:val="top"/>
          </w:tcPr>
          <w:p w14:paraId="22C7A8E6">
            <w:pPr>
              <w:rPr>
                <w:rFonts w:hint="eastAsia" w:ascii="仿宋" w:hAnsi="仿宋" w:eastAsia="仿宋" w:cs="仿宋"/>
                <w:color w:val="auto"/>
                <w:szCs w:val="21"/>
              </w:rPr>
            </w:pPr>
          </w:p>
        </w:tc>
        <w:tc>
          <w:tcPr>
            <w:tcW w:w="1667" w:type="dxa"/>
            <w:noWrap w:val="0"/>
            <w:vAlign w:val="top"/>
          </w:tcPr>
          <w:p w14:paraId="5DBCAB35">
            <w:pPr>
              <w:rPr>
                <w:rFonts w:hint="eastAsia" w:ascii="仿宋" w:hAnsi="仿宋" w:eastAsia="仿宋" w:cs="仿宋"/>
                <w:color w:val="auto"/>
                <w:szCs w:val="21"/>
              </w:rPr>
            </w:pPr>
          </w:p>
        </w:tc>
      </w:tr>
      <w:tr w14:paraId="03D86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5493FC">
            <w:pPr>
              <w:rPr>
                <w:rFonts w:hint="eastAsia" w:ascii="仿宋" w:hAnsi="仿宋" w:eastAsia="仿宋" w:cs="仿宋"/>
                <w:color w:val="auto"/>
                <w:szCs w:val="21"/>
              </w:rPr>
            </w:pPr>
          </w:p>
        </w:tc>
        <w:tc>
          <w:tcPr>
            <w:tcW w:w="1276" w:type="dxa"/>
            <w:noWrap w:val="0"/>
            <w:vAlign w:val="top"/>
          </w:tcPr>
          <w:p w14:paraId="21D13EDA">
            <w:pPr>
              <w:rPr>
                <w:rFonts w:hint="eastAsia" w:ascii="仿宋" w:hAnsi="仿宋" w:eastAsia="仿宋" w:cs="仿宋"/>
                <w:color w:val="auto"/>
                <w:szCs w:val="21"/>
              </w:rPr>
            </w:pPr>
          </w:p>
        </w:tc>
        <w:tc>
          <w:tcPr>
            <w:tcW w:w="1450" w:type="dxa"/>
            <w:noWrap w:val="0"/>
            <w:vAlign w:val="top"/>
          </w:tcPr>
          <w:p w14:paraId="2C96618B">
            <w:pPr>
              <w:rPr>
                <w:rFonts w:hint="eastAsia" w:ascii="仿宋" w:hAnsi="仿宋" w:eastAsia="仿宋" w:cs="仿宋"/>
                <w:color w:val="auto"/>
                <w:szCs w:val="21"/>
              </w:rPr>
            </w:pPr>
          </w:p>
        </w:tc>
        <w:tc>
          <w:tcPr>
            <w:tcW w:w="1243" w:type="dxa"/>
            <w:noWrap w:val="0"/>
            <w:vAlign w:val="top"/>
          </w:tcPr>
          <w:p w14:paraId="561B51FC">
            <w:pPr>
              <w:rPr>
                <w:rFonts w:hint="eastAsia" w:ascii="仿宋" w:hAnsi="仿宋" w:eastAsia="仿宋" w:cs="仿宋"/>
                <w:color w:val="auto"/>
                <w:szCs w:val="21"/>
              </w:rPr>
            </w:pPr>
          </w:p>
        </w:tc>
        <w:tc>
          <w:tcPr>
            <w:tcW w:w="1450" w:type="dxa"/>
            <w:noWrap w:val="0"/>
            <w:vAlign w:val="top"/>
          </w:tcPr>
          <w:p w14:paraId="3C04C98D">
            <w:pPr>
              <w:rPr>
                <w:rFonts w:hint="eastAsia" w:ascii="仿宋" w:hAnsi="仿宋" w:eastAsia="仿宋" w:cs="仿宋"/>
                <w:color w:val="auto"/>
                <w:szCs w:val="21"/>
              </w:rPr>
            </w:pPr>
          </w:p>
        </w:tc>
        <w:tc>
          <w:tcPr>
            <w:tcW w:w="1667" w:type="dxa"/>
            <w:noWrap w:val="0"/>
            <w:vAlign w:val="top"/>
          </w:tcPr>
          <w:p w14:paraId="111F2045">
            <w:pPr>
              <w:rPr>
                <w:rFonts w:hint="eastAsia" w:ascii="仿宋" w:hAnsi="仿宋" w:eastAsia="仿宋" w:cs="仿宋"/>
                <w:color w:val="auto"/>
                <w:szCs w:val="21"/>
              </w:rPr>
            </w:pPr>
          </w:p>
        </w:tc>
      </w:tr>
      <w:tr w14:paraId="3743F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BAC3CDB">
            <w:pPr>
              <w:rPr>
                <w:rFonts w:hint="eastAsia" w:ascii="仿宋" w:hAnsi="仿宋" w:eastAsia="仿宋" w:cs="仿宋"/>
                <w:color w:val="auto"/>
                <w:szCs w:val="21"/>
              </w:rPr>
            </w:pPr>
          </w:p>
        </w:tc>
        <w:tc>
          <w:tcPr>
            <w:tcW w:w="1276" w:type="dxa"/>
            <w:noWrap w:val="0"/>
            <w:vAlign w:val="top"/>
          </w:tcPr>
          <w:p w14:paraId="19E68403">
            <w:pPr>
              <w:rPr>
                <w:rFonts w:hint="eastAsia" w:ascii="仿宋" w:hAnsi="仿宋" w:eastAsia="仿宋" w:cs="仿宋"/>
                <w:color w:val="auto"/>
                <w:szCs w:val="21"/>
              </w:rPr>
            </w:pPr>
          </w:p>
        </w:tc>
        <w:tc>
          <w:tcPr>
            <w:tcW w:w="1450" w:type="dxa"/>
            <w:noWrap w:val="0"/>
            <w:vAlign w:val="top"/>
          </w:tcPr>
          <w:p w14:paraId="4453919C">
            <w:pPr>
              <w:rPr>
                <w:rFonts w:hint="eastAsia" w:ascii="仿宋" w:hAnsi="仿宋" w:eastAsia="仿宋" w:cs="仿宋"/>
                <w:color w:val="auto"/>
                <w:szCs w:val="21"/>
              </w:rPr>
            </w:pPr>
          </w:p>
        </w:tc>
        <w:tc>
          <w:tcPr>
            <w:tcW w:w="1243" w:type="dxa"/>
            <w:noWrap w:val="0"/>
            <w:vAlign w:val="top"/>
          </w:tcPr>
          <w:p w14:paraId="3CFFE7A3">
            <w:pPr>
              <w:rPr>
                <w:rFonts w:hint="eastAsia" w:ascii="仿宋" w:hAnsi="仿宋" w:eastAsia="仿宋" w:cs="仿宋"/>
                <w:color w:val="auto"/>
                <w:szCs w:val="21"/>
              </w:rPr>
            </w:pPr>
          </w:p>
        </w:tc>
        <w:tc>
          <w:tcPr>
            <w:tcW w:w="1450" w:type="dxa"/>
            <w:noWrap w:val="0"/>
            <w:vAlign w:val="top"/>
          </w:tcPr>
          <w:p w14:paraId="4FE1AD37">
            <w:pPr>
              <w:rPr>
                <w:rFonts w:hint="eastAsia" w:ascii="仿宋" w:hAnsi="仿宋" w:eastAsia="仿宋" w:cs="仿宋"/>
                <w:color w:val="auto"/>
                <w:szCs w:val="21"/>
              </w:rPr>
            </w:pPr>
          </w:p>
        </w:tc>
        <w:tc>
          <w:tcPr>
            <w:tcW w:w="1667" w:type="dxa"/>
            <w:noWrap w:val="0"/>
            <w:vAlign w:val="top"/>
          </w:tcPr>
          <w:p w14:paraId="45EDC4EC">
            <w:pPr>
              <w:rPr>
                <w:rFonts w:hint="eastAsia" w:ascii="仿宋" w:hAnsi="仿宋" w:eastAsia="仿宋" w:cs="仿宋"/>
                <w:color w:val="auto"/>
                <w:szCs w:val="21"/>
              </w:rPr>
            </w:pPr>
          </w:p>
        </w:tc>
      </w:tr>
    </w:tbl>
    <w:p w14:paraId="225881EF">
      <w:pPr>
        <w:spacing w:line="440" w:lineRule="exact"/>
        <w:rPr>
          <w:rFonts w:hint="eastAsia" w:ascii="仿宋" w:hAnsi="仿宋" w:eastAsia="仿宋" w:cs="仿宋"/>
          <w:color w:val="auto"/>
          <w:szCs w:val="21"/>
        </w:rPr>
      </w:pPr>
    </w:p>
    <w:p w14:paraId="57B22BC3">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附件5：</w:t>
      </w:r>
    </w:p>
    <w:p w14:paraId="64D60D4A">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承包人用于本工程施工的机械设备表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4DCD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B1B7E9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418" w:type="dxa"/>
            <w:tcBorders>
              <w:top w:val="single" w:color="auto" w:sz="12" w:space="0"/>
              <w:bottom w:val="double" w:color="auto" w:sz="6" w:space="0"/>
            </w:tcBorders>
            <w:noWrap w:val="0"/>
            <w:vAlign w:val="center"/>
          </w:tcPr>
          <w:p w14:paraId="19D92EB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机械或设备名称</w:t>
            </w:r>
          </w:p>
        </w:tc>
        <w:tc>
          <w:tcPr>
            <w:tcW w:w="850" w:type="dxa"/>
            <w:tcBorders>
              <w:top w:val="single" w:color="auto" w:sz="12" w:space="0"/>
              <w:bottom w:val="double" w:color="auto" w:sz="6" w:space="0"/>
            </w:tcBorders>
            <w:noWrap w:val="0"/>
            <w:vAlign w:val="center"/>
          </w:tcPr>
          <w:p w14:paraId="2D68F9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规格型号</w:t>
            </w:r>
          </w:p>
        </w:tc>
        <w:tc>
          <w:tcPr>
            <w:tcW w:w="1058" w:type="dxa"/>
            <w:tcBorders>
              <w:top w:val="single" w:color="auto" w:sz="12" w:space="0"/>
              <w:bottom w:val="double" w:color="auto" w:sz="6" w:space="0"/>
            </w:tcBorders>
            <w:noWrap w:val="0"/>
            <w:vAlign w:val="center"/>
          </w:tcPr>
          <w:p w14:paraId="2F376B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880" w:type="dxa"/>
            <w:tcBorders>
              <w:top w:val="single" w:color="auto" w:sz="12" w:space="0"/>
              <w:bottom w:val="double" w:color="auto" w:sz="6" w:space="0"/>
            </w:tcBorders>
            <w:noWrap w:val="0"/>
            <w:vAlign w:val="center"/>
          </w:tcPr>
          <w:p w14:paraId="6917E5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产地</w:t>
            </w:r>
          </w:p>
        </w:tc>
        <w:tc>
          <w:tcPr>
            <w:tcW w:w="1020" w:type="dxa"/>
            <w:tcBorders>
              <w:top w:val="single" w:color="auto" w:sz="12" w:space="0"/>
              <w:bottom w:val="double" w:color="auto" w:sz="6" w:space="0"/>
            </w:tcBorders>
            <w:noWrap w:val="0"/>
            <w:vAlign w:val="center"/>
          </w:tcPr>
          <w:p w14:paraId="08528D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制造年份</w:t>
            </w:r>
          </w:p>
        </w:tc>
        <w:tc>
          <w:tcPr>
            <w:tcW w:w="1480" w:type="dxa"/>
            <w:tcBorders>
              <w:top w:val="single" w:color="auto" w:sz="12" w:space="0"/>
              <w:bottom w:val="double" w:color="auto" w:sz="6" w:space="0"/>
            </w:tcBorders>
            <w:noWrap w:val="0"/>
            <w:vAlign w:val="center"/>
          </w:tcPr>
          <w:p w14:paraId="684A2F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额定功率(kW)</w:t>
            </w:r>
          </w:p>
        </w:tc>
        <w:tc>
          <w:tcPr>
            <w:tcW w:w="1020" w:type="dxa"/>
            <w:tcBorders>
              <w:top w:val="single" w:color="auto" w:sz="12" w:space="0"/>
              <w:bottom w:val="double" w:color="auto" w:sz="6" w:space="0"/>
            </w:tcBorders>
            <w:noWrap w:val="0"/>
            <w:vAlign w:val="center"/>
          </w:tcPr>
          <w:p w14:paraId="181940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生产能力</w:t>
            </w:r>
          </w:p>
        </w:tc>
        <w:tc>
          <w:tcPr>
            <w:tcW w:w="921" w:type="dxa"/>
            <w:tcBorders>
              <w:top w:val="single" w:color="auto" w:sz="12" w:space="0"/>
              <w:bottom w:val="double" w:color="auto" w:sz="6" w:space="0"/>
            </w:tcBorders>
            <w:noWrap w:val="0"/>
            <w:vAlign w:val="center"/>
          </w:tcPr>
          <w:p w14:paraId="5154E1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597C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31F7A8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center"/>
          </w:tcPr>
          <w:p w14:paraId="248434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tcBorders>
              <w:top w:val="double" w:color="auto" w:sz="6" w:space="0"/>
              <w:bottom w:val="single" w:color="auto" w:sz="6" w:space="0"/>
            </w:tcBorders>
            <w:noWrap w:val="0"/>
            <w:vAlign w:val="center"/>
          </w:tcPr>
          <w:p w14:paraId="5CB909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tcBorders>
              <w:top w:val="double" w:color="auto" w:sz="6" w:space="0"/>
              <w:bottom w:val="single" w:color="auto" w:sz="6" w:space="0"/>
            </w:tcBorders>
            <w:noWrap w:val="0"/>
            <w:vAlign w:val="center"/>
          </w:tcPr>
          <w:p w14:paraId="7C1C7B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tcBorders>
              <w:top w:val="double" w:color="auto" w:sz="6" w:space="0"/>
              <w:bottom w:val="single" w:color="auto" w:sz="6" w:space="0"/>
            </w:tcBorders>
            <w:noWrap w:val="0"/>
            <w:vAlign w:val="center"/>
          </w:tcPr>
          <w:p w14:paraId="120A07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double" w:color="auto" w:sz="6" w:space="0"/>
              <w:bottom w:val="single" w:color="auto" w:sz="6" w:space="0"/>
            </w:tcBorders>
            <w:noWrap w:val="0"/>
            <w:vAlign w:val="center"/>
          </w:tcPr>
          <w:p w14:paraId="16FA6A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tcBorders>
              <w:top w:val="double" w:color="auto" w:sz="6" w:space="0"/>
              <w:bottom w:val="single" w:color="auto" w:sz="6" w:space="0"/>
            </w:tcBorders>
            <w:noWrap w:val="0"/>
            <w:vAlign w:val="center"/>
          </w:tcPr>
          <w:p w14:paraId="0259D4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double" w:color="auto" w:sz="6" w:space="0"/>
              <w:bottom w:val="single" w:color="auto" w:sz="6" w:space="0"/>
            </w:tcBorders>
            <w:noWrap w:val="0"/>
            <w:vAlign w:val="center"/>
          </w:tcPr>
          <w:p w14:paraId="585FAE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tcBorders>
              <w:top w:val="double" w:color="auto" w:sz="6" w:space="0"/>
              <w:bottom w:val="single" w:color="auto" w:sz="6" w:space="0"/>
            </w:tcBorders>
            <w:noWrap w:val="0"/>
            <w:vAlign w:val="center"/>
          </w:tcPr>
          <w:p w14:paraId="1AA3C5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3E99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5325E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center"/>
          </w:tcPr>
          <w:p w14:paraId="084BF2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tcBorders>
              <w:top w:val="nil"/>
            </w:tcBorders>
            <w:noWrap w:val="0"/>
            <w:vAlign w:val="center"/>
          </w:tcPr>
          <w:p w14:paraId="5CB5C3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tcBorders>
              <w:top w:val="nil"/>
            </w:tcBorders>
            <w:noWrap w:val="0"/>
            <w:vAlign w:val="center"/>
          </w:tcPr>
          <w:p w14:paraId="48FA61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tcBorders>
              <w:top w:val="nil"/>
            </w:tcBorders>
            <w:noWrap w:val="0"/>
            <w:vAlign w:val="center"/>
          </w:tcPr>
          <w:p w14:paraId="6FEE88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nil"/>
            </w:tcBorders>
            <w:noWrap w:val="0"/>
            <w:vAlign w:val="center"/>
          </w:tcPr>
          <w:p w14:paraId="5A28AF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tcBorders>
              <w:top w:val="nil"/>
            </w:tcBorders>
            <w:noWrap w:val="0"/>
            <w:vAlign w:val="center"/>
          </w:tcPr>
          <w:p w14:paraId="5007E7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tcBorders>
              <w:top w:val="nil"/>
            </w:tcBorders>
            <w:noWrap w:val="0"/>
            <w:vAlign w:val="center"/>
          </w:tcPr>
          <w:p w14:paraId="3E407E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tcBorders>
              <w:top w:val="nil"/>
            </w:tcBorders>
            <w:noWrap w:val="0"/>
            <w:vAlign w:val="center"/>
          </w:tcPr>
          <w:p w14:paraId="08163F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5257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B4308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8555A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26DCF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22A3A7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0E82A98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66445C4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6907058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3E0976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6F0A3E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C19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241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5711E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1C3235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4D137A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AB152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60343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789064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20FBA6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3A05FB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096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41F2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AC7A4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160DD9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8DE0F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46C658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6C163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631D4E9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7E156A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1F4428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96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221B6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F2B16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0AE79F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720915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34168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088DEF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36DAA3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072D8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2B81A9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D5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2C4A23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254628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5BBCE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39D863C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3BC7B0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56B74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3B5F32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5EAA4B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271DE2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756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1B16F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DFC7B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6F7948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1BEC4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5FC158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279F97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150745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1B08F6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06E29A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AC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CB6862">
            <w:pPr>
              <w:rPr>
                <w:rFonts w:hint="eastAsia" w:ascii="仿宋" w:hAnsi="仿宋" w:eastAsia="仿宋" w:cs="仿宋"/>
                <w:color w:val="auto"/>
                <w:szCs w:val="21"/>
              </w:rPr>
            </w:pPr>
          </w:p>
        </w:tc>
        <w:tc>
          <w:tcPr>
            <w:tcW w:w="1418" w:type="dxa"/>
            <w:noWrap w:val="0"/>
            <w:vAlign w:val="top"/>
          </w:tcPr>
          <w:p w14:paraId="046871CE">
            <w:pPr>
              <w:rPr>
                <w:rFonts w:hint="eastAsia" w:ascii="仿宋" w:hAnsi="仿宋" w:eastAsia="仿宋" w:cs="仿宋"/>
                <w:color w:val="auto"/>
                <w:szCs w:val="21"/>
              </w:rPr>
            </w:pPr>
          </w:p>
        </w:tc>
        <w:tc>
          <w:tcPr>
            <w:tcW w:w="850" w:type="dxa"/>
            <w:noWrap w:val="0"/>
            <w:vAlign w:val="top"/>
          </w:tcPr>
          <w:p w14:paraId="601CFBB9">
            <w:pPr>
              <w:rPr>
                <w:rFonts w:hint="eastAsia" w:ascii="仿宋" w:hAnsi="仿宋" w:eastAsia="仿宋" w:cs="仿宋"/>
                <w:color w:val="auto"/>
                <w:szCs w:val="21"/>
              </w:rPr>
            </w:pPr>
          </w:p>
        </w:tc>
        <w:tc>
          <w:tcPr>
            <w:tcW w:w="1058" w:type="dxa"/>
            <w:noWrap w:val="0"/>
            <w:vAlign w:val="top"/>
          </w:tcPr>
          <w:p w14:paraId="56C8F0C6">
            <w:pPr>
              <w:rPr>
                <w:rFonts w:hint="eastAsia" w:ascii="仿宋" w:hAnsi="仿宋" w:eastAsia="仿宋" w:cs="仿宋"/>
                <w:color w:val="auto"/>
                <w:szCs w:val="21"/>
              </w:rPr>
            </w:pPr>
          </w:p>
        </w:tc>
        <w:tc>
          <w:tcPr>
            <w:tcW w:w="880" w:type="dxa"/>
            <w:noWrap w:val="0"/>
            <w:vAlign w:val="top"/>
          </w:tcPr>
          <w:p w14:paraId="75968194">
            <w:pPr>
              <w:rPr>
                <w:rFonts w:hint="eastAsia" w:ascii="仿宋" w:hAnsi="仿宋" w:eastAsia="仿宋" w:cs="仿宋"/>
                <w:color w:val="auto"/>
                <w:szCs w:val="21"/>
              </w:rPr>
            </w:pPr>
          </w:p>
        </w:tc>
        <w:tc>
          <w:tcPr>
            <w:tcW w:w="1020" w:type="dxa"/>
            <w:noWrap w:val="0"/>
            <w:vAlign w:val="top"/>
          </w:tcPr>
          <w:p w14:paraId="4D32CCBD">
            <w:pPr>
              <w:rPr>
                <w:rFonts w:hint="eastAsia" w:ascii="仿宋" w:hAnsi="仿宋" w:eastAsia="仿宋" w:cs="仿宋"/>
                <w:color w:val="auto"/>
                <w:szCs w:val="21"/>
              </w:rPr>
            </w:pPr>
          </w:p>
        </w:tc>
        <w:tc>
          <w:tcPr>
            <w:tcW w:w="1480" w:type="dxa"/>
            <w:noWrap w:val="0"/>
            <w:vAlign w:val="top"/>
          </w:tcPr>
          <w:p w14:paraId="281B6447">
            <w:pPr>
              <w:rPr>
                <w:rFonts w:hint="eastAsia" w:ascii="仿宋" w:hAnsi="仿宋" w:eastAsia="仿宋" w:cs="仿宋"/>
                <w:color w:val="auto"/>
                <w:szCs w:val="21"/>
              </w:rPr>
            </w:pPr>
          </w:p>
        </w:tc>
        <w:tc>
          <w:tcPr>
            <w:tcW w:w="1020" w:type="dxa"/>
            <w:noWrap w:val="0"/>
            <w:vAlign w:val="top"/>
          </w:tcPr>
          <w:p w14:paraId="495D1A15">
            <w:pPr>
              <w:rPr>
                <w:rFonts w:hint="eastAsia" w:ascii="仿宋" w:hAnsi="仿宋" w:eastAsia="仿宋" w:cs="仿宋"/>
                <w:color w:val="auto"/>
                <w:szCs w:val="21"/>
              </w:rPr>
            </w:pPr>
          </w:p>
        </w:tc>
        <w:tc>
          <w:tcPr>
            <w:tcW w:w="921" w:type="dxa"/>
            <w:noWrap w:val="0"/>
            <w:vAlign w:val="top"/>
          </w:tcPr>
          <w:p w14:paraId="7550D25E">
            <w:pPr>
              <w:rPr>
                <w:rFonts w:hint="eastAsia" w:ascii="仿宋" w:hAnsi="仿宋" w:eastAsia="仿宋" w:cs="仿宋"/>
                <w:color w:val="auto"/>
                <w:szCs w:val="21"/>
              </w:rPr>
            </w:pPr>
          </w:p>
        </w:tc>
      </w:tr>
      <w:tr w14:paraId="64E07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736E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38F47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0" w:type="dxa"/>
            <w:noWrap w:val="0"/>
            <w:vAlign w:val="center"/>
          </w:tcPr>
          <w:p w14:paraId="504A36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58" w:type="dxa"/>
            <w:noWrap w:val="0"/>
            <w:vAlign w:val="center"/>
          </w:tcPr>
          <w:p w14:paraId="1E96E1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80" w:type="dxa"/>
            <w:noWrap w:val="0"/>
            <w:vAlign w:val="center"/>
          </w:tcPr>
          <w:p w14:paraId="18A737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77A85C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80" w:type="dxa"/>
            <w:noWrap w:val="0"/>
            <w:vAlign w:val="center"/>
          </w:tcPr>
          <w:p w14:paraId="2FBAC3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020" w:type="dxa"/>
            <w:noWrap w:val="0"/>
            <w:vAlign w:val="center"/>
          </w:tcPr>
          <w:p w14:paraId="00B67D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921" w:type="dxa"/>
            <w:noWrap w:val="0"/>
            <w:vAlign w:val="center"/>
          </w:tcPr>
          <w:p w14:paraId="332137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DD78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99DFA95">
            <w:pPr>
              <w:rPr>
                <w:rFonts w:hint="eastAsia" w:ascii="仿宋" w:hAnsi="仿宋" w:eastAsia="仿宋" w:cs="仿宋"/>
                <w:color w:val="auto"/>
                <w:szCs w:val="21"/>
              </w:rPr>
            </w:pPr>
          </w:p>
        </w:tc>
        <w:tc>
          <w:tcPr>
            <w:tcW w:w="1418" w:type="dxa"/>
            <w:noWrap w:val="0"/>
            <w:vAlign w:val="top"/>
          </w:tcPr>
          <w:p w14:paraId="0C4B6D9D">
            <w:pPr>
              <w:rPr>
                <w:rFonts w:hint="eastAsia" w:ascii="仿宋" w:hAnsi="仿宋" w:eastAsia="仿宋" w:cs="仿宋"/>
                <w:color w:val="auto"/>
                <w:szCs w:val="21"/>
              </w:rPr>
            </w:pPr>
          </w:p>
        </w:tc>
        <w:tc>
          <w:tcPr>
            <w:tcW w:w="850" w:type="dxa"/>
            <w:noWrap w:val="0"/>
            <w:vAlign w:val="top"/>
          </w:tcPr>
          <w:p w14:paraId="2CD36268">
            <w:pPr>
              <w:rPr>
                <w:rFonts w:hint="eastAsia" w:ascii="仿宋" w:hAnsi="仿宋" w:eastAsia="仿宋" w:cs="仿宋"/>
                <w:color w:val="auto"/>
                <w:szCs w:val="21"/>
              </w:rPr>
            </w:pPr>
          </w:p>
        </w:tc>
        <w:tc>
          <w:tcPr>
            <w:tcW w:w="1058" w:type="dxa"/>
            <w:noWrap w:val="0"/>
            <w:vAlign w:val="top"/>
          </w:tcPr>
          <w:p w14:paraId="516F9F90">
            <w:pPr>
              <w:rPr>
                <w:rFonts w:hint="eastAsia" w:ascii="仿宋" w:hAnsi="仿宋" w:eastAsia="仿宋" w:cs="仿宋"/>
                <w:color w:val="auto"/>
                <w:szCs w:val="21"/>
              </w:rPr>
            </w:pPr>
          </w:p>
        </w:tc>
        <w:tc>
          <w:tcPr>
            <w:tcW w:w="880" w:type="dxa"/>
            <w:noWrap w:val="0"/>
            <w:vAlign w:val="top"/>
          </w:tcPr>
          <w:p w14:paraId="358553B2">
            <w:pPr>
              <w:rPr>
                <w:rFonts w:hint="eastAsia" w:ascii="仿宋" w:hAnsi="仿宋" w:eastAsia="仿宋" w:cs="仿宋"/>
                <w:color w:val="auto"/>
                <w:szCs w:val="21"/>
              </w:rPr>
            </w:pPr>
          </w:p>
        </w:tc>
        <w:tc>
          <w:tcPr>
            <w:tcW w:w="1020" w:type="dxa"/>
            <w:noWrap w:val="0"/>
            <w:vAlign w:val="top"/>
          </w:tcPr>
          <w:p w14:paraId="3C3F51A2">
            <w:pPr>
              <w:rPr>
                <w:rFonts w:hint="eastAsia" w:ascii="仿宋" w:hAnsi="仿宋" w:eastAsia="仿宋" w:cs="仿宋"/>
                <w:color w:val="auto"/>
                <w:szCs w:val="21"/>
              </w:rPr>
            </w:pPr>
          </w:p>
        </w:tc>
        <w:tc>
          <w:tcPr>
            <w:tcW w:w="1480" w:type="dxa"/>
            <w:noWrap w:val="0"/>
            <w:vAlign w:val="top"/>
          </w:tcPr>
          <w:p w14:paraId="64EBE068">
            <w:pPr>
              <w:rPr>
                <w:rFonts w:hint="eastAsia" w:ascii="仿宋" w:hAnsi="仿宋" w:eastAsia="仿宋" w:cs="仿宋"/>
                <w:color w:val="auto"/>
                <w:szCs w:val="21"/>
              </w:rPr>
            </w:pPr>
          </w:p>
        </w:tc>
        <w:tc>
          <w:tcPr>
            <w:tcW w:w="1020" w:type="dxa"/>
            <w:noWrap w:val="0"/>
            <w:vAlign w:val="top"/>
          </w:tcPr>
          <w:p w14:paraId="18FC7141">
            <w:pPr>
              <w:rPr>
                <w:rFonts w:hint="eastAsia" w:ascii="仿宋" w:hAnsi="仿宋" w:eastAsia="仿宋" w:cs="仿宋"/>
                <w:color w:val="auto"/>
                <w:szCs w:val="21"/>
              </w:rPr>
            </w:pPr>
          </w:p>
        </w:tc>
        <w:tc>
          <w:tcPr>
            <w:tcW w:w="921" w:type="dxa"/>
            <w:noWrap w:val="0"/>
            <w:vAlign w:val="top"/>
          </w:tcPr>
          <w:p w14:paraId="639FEEE6">
            <w:pPr>
              <w:rPr>
                <w:rFonts w:hint="eastAsia" w:ascii="仿宋" w:hAnsi="仿宋" w:eastAsia="仿宋" w:cs="仿宋"/>
                <w:color w:val="auto"/>
                <w:szCs w:val="21"/>
              </w:rPr>
            </w:pPr>
          </w:p>
        </w:tc>
      </w:tr>
      <w:tr w14:paraId="692BD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5E2F852">
            <w:pPr>
              <w:rPr>
                <w:rFonts w:hint="eastAsia" w:ascii="仿宋" w:hAnsi="仿宋" w:eastAsia="仿宋" w:cs="仿宋"/>
                <w:color w:val="auto"/>
                <w:szCs w:val="21"/>
              </w:rPr>
            </w:pPr>
          </w:p>
        </w:tc>
        <w:tc>
          <w:tcPr>
            <w:tcW w:w="1418" w:type="dxa"/>
            <w:noWrap w:val="0"/>
            <w:vAlign w:val="top"/>
          </w:tcPr>
          <w:p w14:paraId="55DAD78F">
            <w:pPr>
              <w:rPr>
                <w:rFonts w:hint="eastAsia" w:ascii="仿宋" w:hAnsi="仿宋" w:eastAsia="仿宋" w:cs="仿宋"/>
                <w:color w:val="auto"/>
                <w:szCs w:val="21"/>
              </w:rPr>
            </w:pPr>
          </w:p>
        </w:tc>
        <w:tc>
          <w:tcPr>
            <w:tcW w:w="850" w:type="dxa"/>
            <w:noWrap w:val="0"/>
            <w:vAlign w:val="top"/>
          </w:tcPr>
          <w:p w14:paraId="15F4CF33">
            <w:pPr>
              <w:rPr>
                <w:rFonts w:hint="eastAsia" w:ascii="仿宋" w:hAnsi="仿宋" w:eastAsia="仿宋" w:cs="仿宋"/>
                <w:color w:val="auto"/>
                <w:szCs w:val="21"/>
              </w:rPr>
            </w:pPr>
          </w:p>
        </w:tc>
        <w:tc>
          <w:tcPr>
            <w:tcW w:w="1058" w:type="dxa"/>
            <w:noWrap w:val="0"/>
            <w:vAlign w:val="top"/>
          </w:tcPr>
          <w:p w14:paraId="2DF6A218">
            <w:pPr>
              <w:rPr>
                <w:rFonts w:hint="eastAsia" w:ascii="仿宋" w:hAnsi="仿宋" w:eastAsia="仿宋" w:cs="仿宋"/>
                <w:color w:val="auto"/>
                <w:szCs w:val="21"/>
              </w:rPr>
            </w:pPr>
          </w:p>
        </w:tc>
        <w:tc>
          <w:tcPr>
            <w:tcW w:w="880" w:type="dxa"/>
            <w:noWrap w:val="0"/>
            <w:vAlign w:val="top"/>
          </w:tcPr>
          <w:p w14:paraId="6F30C123">
            <w:pPr>
              <w:rPr>
                <w:rFonts w:hint="eastAsia" w:ascii="仿宋" w:hAnsi="仿宋" w:eastAsia="仿宋" w:cs="仿宋"/>
                <w:color w:val="auto"/>
                <w:szCs w:val="21"/>
              </w:rPr>
            </w:pPr>
          </w:p>
        </w:tc>
        <w:tc>
          <w:tcPr>
            <w:tcW w:w="1020" w:type="dxa"/>
            <w:noWrap w:val="0"/>
            <w:vAlign w:val="top"/>
          </w:tcPr>
          <w:p w14:paraId="56EE633F">
            <w:pPr>
              <w:rPr>
                <w:rFonts w:hint="eastAsia" w:ascii="仿宋" w:hAnsi="仿宋" w:eastAsia="仿宋" w:cs="仿宋"/>
                <w:color w:val="auto"/>
                <w:szCs w:val="21"/>
              </w:rPr>
            </w:pPr>
          </w:p>
        </w:tc>
        <w:tc>
          <w:tcPr>
            <w:tcW w:w="1480" w:type="dxa"/>
            <w:noWrap w:val="0"/>
            <w:vAlign w:val="top"/>
          </w:tcPr>
          <w:p w14:paraId="3B5B0792">
            <w:pPr>
              <w:rPr>
                <w:rFonts w:hint="eastAsia" w:ascii="仿宋" w:hAnsi="仿宋" w:eastAsia="仿宋" w:cs="仿宋"/>
                <w:color w:val="auto"/>
                <w:szCs w:val="21"/>
              </w:rPr>
            </w:pPr>
          </w:p>
        </w:tc>
        <w:tc>
          <w:tcPr>
            <w:tcW w:w="1020" w:type="dxa"/>
            <w:noWrap w:val="0"/>
            <w:vAlign w:val="top"/>
          </w:tcPr>
          <w:p w14:paraId="792FB512">
            <w:pPr>
              <w:rPr>
                <w:rFonts w:hint="eastAsia" w:ascii="仿宋" w:hAnsi="仿宋" w:eastAsia="仿宋" w:cs="仿宋"/>
                <w:color w:val="auto"/>
                <w:szCs w:val="21"/>
              </w:rPr>
            </w:pPr>
          </w:p>
        </w:tc>
        <w:tc>
          <w:tcPr>
            <w:tcW w:w="921" w:type="dxa"/>
            <w:noWrap w:val="0"/>
            <w:vAlign w:val="top"/>
          </w:tcPr>
          <w:p w14:paraId="16241B41">
            <w:pPr>
              <w:rPr>
                <w:rFonts w:hint="eastAsia" w:ascii="仿宋" w:hAnsi="仿宋" w:eastAsia="仿宋" w:cs="仿宋"/>
                <w:color w:val="auto"/>
                <w:szCs w:val="21"/>
              </w:rPr>
            </w:pPr>
          </w:p>
        </w:tc>
      </w:tr>
      <w:tr w14:paraId="0E80E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57421C">
            <w:pPr>
              <w:rPr>
                <w:rFonts w:hint="eastAsia" w:ascii="仿宋" w:hAnsi="仿宋" w:eastAsia="仿宋" w:cs="仿宋"/>
                <w:color w:val="auto"/>
                <w:szCs w:val="21"/>
              </w:rPr>
            </w:pPr>
          </w:p>
        </w:tc>
        <w:tc>
          <w:tcPr>
            <w:tcW w:w="1418" w:type="dxa"/>
            <w:noWrap w:val="0"/>
            <w:vAlign w:val="top"/>
          </w:tcPr>
          <w:p w14:paraId="68524F67">
            <w:pPr>
              <w:rPr>
                <w:rFonts w:hint="eastAsia" w:ascii="仿宋" w:hAnsi="仿宋" w:eastAsia="仿宋" w:cs="仿宋"/>
                <w:color w:val="auto"/>
                <w:szCs w:val="21"/>
              </w:rPr>
            </w:pPr>
          </w:p>
        </w:tc>
        <w:tc>
          <w:tcPr>
            <w:tcW w:w="850" w:type="dxa"/>
            <w:noWrap w:val="0"/>
            <w:vAlign w:val="top"/>
          </w:tcPr>
          <w:p w14:paraId="6E0CCA55">
            <w:pPr>
              <w:rPr>
                <w:rFonts w:hint="eastAsia" w:ascii="仿宋" w:hAnsi="仿宋" w:eastAsia="仿宋" w:cs="仿宋"/>
                <w:color w:val="auto"/>
                <w:szCs w:val="21"/>
              </w:rPr>
            </w:pPr>
          </w:p>
        </w:tc>
        <w:tc>
          <w:tcPr>
            <w:tcW w:w="1058" w:type="dxa"/>
            <w:noWrap w:val="0"/>
            <w:vAlign w:val="top"/>
          </w:tcPr>
          <w:p w14:paraId="0772966A">
            <w:pPr>
              <w:rPr>
                <w:rFonts w:hint="eastAsia" w:ascii="仿宋" w:hAnsi="仿宋" w:eastAsia="仿宋" w:cs="仿宋"/>
                <w:color w:val="auto"/>
                <w:szCs w:val="21"/>
              </w:rPr>
            </w:pPr>
          </w:p>
        </w:tc>
        <w:tc>
          <w:tcPr>
            <w:tcW w:w="880" w:type="dxa"/>
            <w:noWrap w:val="0"/>
            <w:vAlign w:val="top"/>
          </w:tcPr>
          <w:p w14:paraId="4744743E">
            <w:pPr>
              <w:rPr>
                <w:rFonts w:hint="eastAsia" w:ascii="仿宋" w:hAnsi="仿宋" w:eastAsia="仿宋" w:cs="仿宋"/>
                <w:color w:val="auto"/>
                <w:szCs w:val="21"/>
              </w:rPr>
            </w:pPr>
          </w:p>
        </w:tc>
        <w:tc>
          <w:tcPr>
            <w:tcW w:w="1020" w:type="dxa"/>
            <w:noWrap w:val="0"/>
            <w:vAlign w:val="top"/>
          </w:tcPr>
          <w:p w14:paraId="40E89C13">
            <w:pPr>
              <w:rPr>
                <w:rFonts w:hint="eastAsia" w:ascii="仿宋" w:hAnsi="仿宋" w:eastAsia="仿宋" w:cs="仿宋"/>
                <w:color w:val="auto"/>
                <w:szCs w:val="21"/>
              </w:rPr>
            </w:pPr>
          </w:p>
        </w:tc>
        <w:tc>
          <w:tcPr>
            <w:tcW w:w="1480" w:type="dxa"/>
            <w:noWrap w:val="0"/>
            <w:vAlign w:val="top"/>
          </w:tcPr>
          <w:p w14:paraId="262F4207">
            <w:pPr>
              <w:rPr>
                <w:rFonts w:hint="eastAsia" w:ascii="仿宋" w:hAnsi="仿宋" w:eastAsia="仿宋" w:cs="仿宋"/>
                <w:color w:val="auto"/>
                <w:szCs w:val="21"/>
              </w:rPr>
            </w:pPr>
          </w:p>
        </w:tc>
        <w:tc>
          <w:tcPr>
            <w:tcW w:w="1020" w:type="dxa"/>
            <w:noWrap w:val="0"/>
            <w:vAlign w:val="top"/>
          </w:tcPr>
          <w:p w14:paraId="1FFCFFB8">
            <w:pPr>
              <w:rPr>
                <w:rFonts w:hint="eastAsia" w:ascii="仿宋" w:hAnsi="仿宋" w:eastAsia="仿宋" w:cs="仿宋"/>
                <w:color w:val="auto"/>
                <w:szCs w:val="21"/>
              </w:rPr>
            </w:pPr>
          </w:p>
        </w:tc>
        <w:tc>
          <w:tcPr>
            <w:tcW w:w="921" w:type="dxa"/>
            <w:noWrap w:val="0"/>
            <w:vAlign w:val="top"/>
          </w:tcPr>
          <w:p w14:paraId="07A4B146">
            <w:pPr>
              <w:rPr>
                <w:rFonts w:hint="eastAsia" w:ascii="仿宋" w:hAnsi="仿宋" w:eastAsia="仿宋" w:cs="仿宋"/>
                <w:color w:val="auto"/>
                <w:szCs w:val="21"/>
              </w:rPr>
            </w:pPr>
          </w:p>
        </w:tc>
      </w:tr>
      <w:tr w14:paraId="62BEE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BF8206E">
            <w:pPr>
              <w:rPr>
                <w:rFonts w:hint="eastAsia" w:ascii="仿宋" w:hAnsi="仿宋" w:eastAsia="仿宋" w:cs="仿宋"/>
                <w:color w:val="auto"/>
                <w:szCs w:val="21"/>
              </w:rPr>
            </w:pPr>
          </w:p>
        </w:tc>
        <w:tc>
          <w:tcPr>
            <w:tcW w:w="1418" w:type="dxa"/>
            <w:noWrap w:val="0"/>
            <w:vAlign w:val="top"/>
          </w:tcPr>
          <w:p w14:paraId="52370EF1">
            <w:pPr>
              <w:rPr>
                <w:rFonts w:hint="eastAsia" w:ascii="仿宋" w:hAnsi="仿宋" w:eastAsia="仿宋" w:cs="仿宋"/>
                <w:color w:val="auto"/>
                <w:szCs w:val="21"/>
              </w:rPr>
            </w:pPr>
          </w:p>
        </w:tc>
        <w:tc>
          <w:tcPr>
            <w:tcW w:w="850" w:type="dxa"/>
            <w:noWrap w:val="0"/>
            <w:vAlign w:val="top"/>
          </w:tcPr>
          <w:p w14:paraId="66F23102">
            <w:pPr>
              <w:rPr>
                <w:rFonts w:hint="eastAsia" w:ascii="仿宋" w:hAnsi="仿宋" w:eastAsia="仿宋" w:cs="仿宋"/>
                <w:color w:val="auto"/>
                <w:szCs w:val="21"/>
              </w:rPr>
            </w:pPr>
          </w:p>
        </w:tc>
        <w:tc>
          <w:tcPr>
            <w:tcW w:w="1058" w:type="dxa"/>
            <w:noWrap w:val="0"/>
            <w:vAlign w:val="top"/>
          </w:tcPr>
          <w:p w14:paraId="79007392">
            <w:pPr>
              <w:rPr>
                <w:rFonts w:hint="eastAsia" w:ascii="仿宋" w:hAnsi="仿宋" w:eastAsia="仿宋" w:cs="仿宋"/>
                <w:color w:val="auto"/>
                <w:szCs w:val="21"/>
              </w:rPr>
            </w:pPr>
          </w:p>
        </w:tc>
        <w:tc>
          <w:tcPr>
            <w:tcW w:w="880" w:type="dxa"/>
            <w:noWrap w:val="0"/>
            <w:vAlign w:val="top"/>
          </w:tcPr>
          <w:p w14:paraId="70BC1A21">
            <w:pPr>
              <w:rPr>
                <w:rFonts w:hint="eastAsia" w:ascii="仿宋" w:hAnsi="仿宋" w:eastAsia="仿宋" w:cs="仿宋"/>
                <w:color w:val="auto"/>
                <w:szCs w:val="21"/>
              </w:rPr>
            </w:pPr>
          </w:p>
        </w:tc>
        <w:tc>
          <w:tcPr>
            <w:tcW w:w="1020" w:type="dxa"/>
            <w:noWrap w:val="0"/>
            <w:vAlign w:val="top"/>
          </w:tcPr>
          <w:p w14:paraId="77C3F2A4">
            <w:pPr>
              <w:rPr>
                <w:rFonts w:hint="eastAsia" w:ascii="仿宋" w:hAnsi="仿宋" w:eastAsia="仿宋" w:cs="仿宋"/>
                <w:color w:val="auto"/>
                <w:szCs w:val="21"/>
              </w:rPr>
            </w:pPr>
          </w:p>
        </w:tc>
        <w:tc>
          <w:tcPr>
            <w:tcW w:w="1480" w:type="dxa"/>
            <w:noWrap w:val="0"/>
            <w:vAlign w:val="top"/>
          </w:tcPr>
          <w:p w14:paraId="2B0BEA6D">
            <w:pPr>
              <w:rPr>
                <w:rFonts w:hint="eastAsia" w:ascii="仿宋" w:hAnsi="仿宋" w:eastAsia="仿宋" w:cs="仿宋"/>
                <w:color w:val="auto"/>
                <w:szCs w:val="21"/>
              </w:rPr>
            </w:pPr>
          </w:p>
        </w:tc>
        <w:tc>
          <w:tcPr>
            <w:tcW w:w="1020" w:type="dxa"/>
            <w:noWrap w:val="0"/>
            <w:vAlign w:val="top"/>
          </w:tcPr>
          <w:p w14:paraId="4FDEA470">
            <w:pPr>
              <w:rPr>
                <w:rFonts w:hint="eastAsia" w:ascii="仿宋" w:hAnsi="仿宋" w:eastAsia="仿宋" w:cs="仿宋"/>
                <w:color w:val="auto"/>
                <w:szCs w:val="21"/>
              </w:rPr>
            </w:pPr>
          </w:p>
        </w:tc>
        <w:tc>
          <w:tcPr>
            <w:tcW w:w="921" w:type="dxa"/>
            <w:noWrap w:val="0"/>
            <w:vAlign w:val="top"/>
          </w:tcPr>
          <w:p w14:paraId="1B8BC9B1">
            <w:pPr>
              <w:rPr>
                <w:rFonts w:hint="eastAsia" w:ascii="仿宋" w:hAnsi="仿宋" w:eastAsia="仿宋" w:cs="仿宋"/>
                <w:color w:val="auto"/>
                <w:szCs w:val="21"/>
              </w:rPr>
            </w:pPr>
          </w:p>
        </w:tc>
      </w:tr>
      <w:tr w14:paraId="3D62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E7FBDD">
            <w:pPr>
              <w:rPr>
                <w:rFonts w:hint="eastAsia" w:ascii="仿宋" w:hAnsi="仿宋" w:eastAsia="仿宋" w:cs="仿宋"/>
                <w:color w:val="auto"/>
                <w:szCs w:val="21"/>
              </w:rPr>
            </w:pPr>
          </w:p>
        </w:tc>
        <w:tc>
          <w:tcPr>
            <w:tcW w:w="1418" w:type="dxa"/>
            <w:noWrap w:val="0"/>
            <w:vAlign w:val="top"/>
          </w:tcPr>
          <w:p w14:paraId="247AF021">
            <w:pPr>
              <w:rPr>
                <w:rFonts w:hint="eastAsia" w:ascii="仿宋" w:hAnsi="仿宋" w:eastAsia="仿宋" w:cs="仿宋"/>
                <w:color w:val="auto"/>
                <w:szCs w:val="21"/>
              </w:rPr>
            </w:pPr>
          </w:p>
        </w:tc>
        <w:tc>
          <w:tcPr>
            <w:tcW w:w="850" w:type="dxa"/>
            <w:noWrap w:val="0"/>
            <w:vAlign w:val="top"/>
          </w:tcPr>
          <w:p w14:paraId="5A881373">
            <w:pPr>
              <w:rPr>
                <w:rFonts w:hint="eastAsia" w:ascii="仿宋" w:hAnsi="仿宋" w:eastAsia="仿宋" w:cs="仿宋"/>
                <w:color w:val="auto"/>
                <w:szCs w:val="21"/>
              </w:rPr>
            </w:pPr>
          </w:p>
        </w:tc>
        <w:tc>
          <w:tcPr>
            <w:tcW w:w="1058" w:type="dxa"/>
            <w:noWrap w:val="0"/>
            <w:vAlign w:val="top"/>
          </w:tcPr>
          <w:p w14:paraId="676ED7C7">
            <w:pPr>
              <w:rPr>
                <w:rFonts w:hint="eastAsia" w:ascii="仿宋" w:hAnsi="仿宋" w:eastAsia="仿宋" w:cs="仿宋"/>
                <w:color w:val="auto"/>
                <w:szCs w:val="21"/>
              </w:rPr>
            </w:pPr>
          </w:p>
        </w:tc>
        <w:tc>
          <w:tcPr>
            <w:tcW w:w="880" w:type="dxa"/>
            <w:noWrap w:val="0"/>
            <w:vAlign w:val="top"/>
          </w:tcPr>
          <w:p w14:paraId="35DA068F">
            <w:pPr>
              <w:rPr>
                <w:rFonts w:hint="eastAsia" w:ascii="仿宋" w:hAnsi="仿宋" w:eastAsia="仿宋" w:cs="仿宋"/>
                <w:color w:val="auto"/>
                <w:szCs w:val="21"/>
              </w:rPr>
            </w:pPr>
          </w:p>
        </w:tc>
        <w:tc>
          <w:tcPr>
            <w:tcW w:w="1020" w:type="dxa"/>
            <w:noWrap w:val="0"/>
            <w:vAlign w:val="top"/>
          </w:tcPr>
          <w:p w14:paraId="6FA5F7B9">
            <w:pPr>
              <w:rPr>
                <w:rFonts w:hint="eastAsia" w:ascii="仿宋" w:hAnsi="仿宋" w:eastAsia="仿宋" w:cs="仿宋"/>
                <w:color w:val="auto"/>
                <w:szCs w:val="21"/>
              </w:rPr>
            </w:pPr>
          </w:p>
        </w:tc>
        <w:tc>
          <w:tcPr>
            <w:tcW w:w="1480" w:type="dxa"/>
            <w:noWrap w:val="0"/>
            <w:vAlign w:val="top"/>
          </w:tcPr>
          <w:p w14:paraId="3D7F4BB6">
            <w:pPr>
              <w:rPr>
                <w:rFonts w:hint="eastAsia" w:ascii="仿宋" w:hAnsi="仿宋" w:eastAsia="仿宋" w:cs="仿宋"/>
                <w:color w:val="auto"/>
                <w:szCs w:val="21"/>
              </w:rPr>
            </w:pPr>
          </w:p>
        </w:tc>
        <w:tc>
          <w:tcPr>
            <w:tcW w:w="1020" w:type="dxa"/>
            <w:noWrap w:val="0"/>
            <w:vAlign w:val="top"/>
          </w:tcPr>
          <w:p w14:paraId="5D83666F">
            <w:pPr>
              <w:rPr>
                <w:rFonts w:hint="eastAsia" w:ascii="仿宋" w:hAnsi="仿宋" w:eastAsia="仿宋" w:cs="仿宋"/>
                <w:color w:val="auto"/>
                <w:szCs w:val="21"/>
              </w:rPr>
            </w:pPr>
          </w:p>
        </w:tc>
        <w:tc>
          <w:tcPr>
            <w:tcW w:w="921" w:type="dxa"/>
            <w:noWrap w:val="0"/>
            <w:vAlign w:val="top"/>
          </w:tcPr>
          <w:p w14:paraId="5AF4C96D">
            <w:pPr>
              <w:rPr>
                <w:rFonts w:hint="eastAsia" w:ascii="仿宋" w:hAnsi="仿宋" w:eastAsia="仿宋" w:cs="仿宋"/>
                <w:color w:val="auto"/>
                <w:szCs w:val="21"/>
              </w:rPr>
            </w:pPr>
          </w:p>
        </w:tc>
      </w:tr>
      <w:tr w14:paraId="7D4DC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DEF6356">
            <w:pPr>
              <w:rPr>
                <w:rFonts w:hint="eastAsia" w:ascii="仿宋" w:hAnsi="仿宋" w:eastAsia="仿宋" w:cs="仿宋"/>
                <w:color w:val="auto"/>
                <w:szCs w:val="21"/>
              </w:rPr>
            </w:pPr>
          </w:p>
        </w:tc>
        <w:tc>
          <w:tcPr>
            <w:tcW w:w="1418" w:type="dxa"/>
            <w:noWrap w:val="0"/>
            <w:vAlign w:val="top"/>
          </w:tcPr>
          <w:p w14:paraId="40B40892">
            <w:pPr>
              <w:rPr>
                <w:rFonts w:hint="eastAsia" w:ascii="仿宋" w:hAnsi="仿宋" w:eastAsia="仿宋" w:cs="仿宋"/>
                <w:color w:val="auto"/>
                <w:szCs w:val="21"/>
              </w:rPr>
            </w:pPr>
          </w:p>
        </w:tc>
        <w:tc>
          <w:tcPr>
            <w:tcW w:w="850" w:type="dxa"/>
            <w:noWrap w:val="0"/>
            <w:vAlign w:val="top"/>
          </w:tcPr>
          <w:p w14:paraId="1C598266">
            <w:pPr>
              <w:rPr>
                <w:rFonts w:hint="eastAsia" w:ascii="仿宋" w:hAnsi="仿宋" w:eastAsia="仿宋" w:cs="仿宋"/>
                <w:color w:val="auto"/>
                <w:szCs w:val="21"/>
              </w:rPr>
            </w:pPr>
          </w:p>
        </w:tc>
        <w:tc>
          <w:tcPr>
            <w:tcW w:w="1058" w:type="dxa"/>
            <w:noWrap w:val="0"/>
            <w:vAlign w:val="top"/>
          </w:tcPr>
          <w:p w14:paraId="6D5F8BA9">
            <w:pPr>
              <w:rPr>
                <w:rFonts w:hint="eastAsia" w:ascii="仿宋" w:hAnsi="仿宋" w:eastAsia="仿宋" w:cs="仿宋"/>
                <w:color w:val="auto"/>
                <w:szCs w:val="21"/>
              </w:rPr>
            </w:pPr>
          </w:p>
        </w:tc>
        <w:tc>
          <w:tcPr>
            <w:tcW w:w="880" w:type="dxa"/>
            <w:noWrap w:val="0"/>
            <w:vAlign w:val="top"/>
          </w:tcPr>
          <w:p w14:paraId="745C230D">
            <w:pPr>
              <w:rPr>
                <w:rFonts w:hint="eastAsia" w:ascii="仿宋" w:hAnsi="仿宋" w:eastAsia="仿宋" w:cs="仿宋"/>
                <w:color w:val="auto"/>
                <w:szCs w:val="21"/>
              </w:rPr>
            </w:pPr>
          </w:p>
        </w:tc>
        <w:tc>
          <w:tcPr>
            <w:tcW w:w="1020" w:type="dxa"/>
            <w:noWrap w:val="0"/>
            <w:vAlign w:val="top"/>
          </w:tcPr>
          <w:p w14:paraId="198F3877">
            <w:pPr>
              <w:rPr>
                <w:rFonts w:hint="eastAsia" w:ascii="仿宋" w:hAnsi="仿宋" w:eastAsia="仿宋" w:cs="仿宋"/>
                <w:color w:val="auto"/>
                <w:szCs w:val="21"/>
              </w:rPr>
            </w:pPr>
          </w:p>
        </w:tc>
        <w:tc>
          <w:tcPr>
            <w:tcW w:w="1480" w:type="dxa"/>
            <w:noWrap w:val="0"/>
            <w:vAlign w:val="top"/>
          </w:tcPr>
          <w:p w14:paraId="5C7F32A8">
            <w:pPr>
              <w:rPr>
                <w:rFonts w:hint="eastAsia" w:ascii="仿宋" w:hAnsi="仿宋" w:eastAsia="仿宋" w:cs="仿宋"/>
                <w:color w:val="auto"/>
                <w:szCs w:val="21"/>
              </w:rPr>
            </w:pPr>
          </w:p>
        </w:tc>
        <w:tc>
          <w:tcPr>
            <w:tcW w:w="1020" w:type="dxa"/>
            <w:noWrap w:val="0"/>
            <w:vAlign w:val="top"/>
          </w:tcPr>
          <w:p w14:paraId="3335A931">
            <w:pPr>
              <w:rPr>
                <w:rFonts w:hint="eastAsia" w:ascii="仿宋" w:hAnsi="仿宋" w:eastAsia="仿宋" w:cs="仿宋"/>
                <w:color w:val="auto"/>
                <w:szCs w:val="21"/>
              </w:rPr>
            </w:pPr>
          </w:p>
        </w:tc>
        <w:tc>
          <w:tcPr>
            <w:tcW w:w="921" w:type="dxa"/>
            <w:noWrap w:val="0"/>
            <w:vAlign w:val="top"/>
          </w:tcPr>
          <w:p w14:paraId="2184D6A1">
            <w:pPr>
              <w:rPr>
                <w:rFonts w:hint="eastAsia" w:ascii="仿宋" w:hAnsi="仿宋" w:eastAsia="仿宋" w:cs="仿宋"/>
                <w:color w:val="auto"/>
                <w:szCs w:val="21"/>
              </w:rPr>
            </w:pPr>
          </w:p>
        </w:tc>
      </w:tr>
      <w:tr w14:paraId="307A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6970D19">
            <w:pPr>
              <w:rPr>
                <w:rFonts w:hint="eastAsia" w:ascii="仿宋" w:hAnsi="仿宋" w:eastAsia="仿宋" w:cs="仿宋"/>
                <w:color w:val="auto"/>
                <w:szCs w:val="21"/>
              </w:rPr>
            </w:pPr>
          </w:p>
        </w:tc>
        <w:tc>
          <w:tcPr>
            <w:tcW w:w="1418" w:type="dxa"/>
            <w:noWrap w:val="0"/>
            <w:vAlign w:val="top"/>
          </w:tcPr>
          <w:p w14:paraId="68C797E3">
            <w:pPr>
              <w:rPr>
                <w:rFonts w:hint="eastAsia" w:ascii="仿宋" w:hAnsi="仿宋" w:eastAsia="仿宋" w:cs="仿宋"/>
                <w:color w:val="auto"/>
                <w:szCs w:val="21"/>
              </w:rPr>
            </w:pPr>
          </w:p>
        </w:tc>
        <w:tc>
          <w:tcPr>
            <w:tcW w:w="850" w:type="dxa"/>
            <w:noWrap w:val="0"/>
            <w:vAlign w:val="top"/>
          </w:tcPr>
          <w:p w14:paraId="7E5B4F52">
            <w:pPr>
              <w:rPr>
                <w:rFonts w:hint="eastAsia" w:ascii="仿宋" w:hAnsi="仿宋" w:eastAsia="仿宋" w:cs="仿宋"/>
                <w:color w:val="auto"/>
                <w:szCs w:val="21"/>
              </w:rPr>
            </w:pPr>
          </w:p>
        </w:tc>
        <w:tc>
          <w:tcPr>
            <w:tcW w:w="1058" w:type="dxa"/>
            <w:noWrap w:val="0"/>
            <w:vAlign w:val="top"/>
          </w:tcPr>
          <w:p w14:paraId="459664EB">
            <w:pPr>
              <w:rPr>
                <w:rFonts w:hint="eastAsia" w:ascii="仿宋" w:hAnsi="仿宋" w:eastAsia="仿宋" w:cs="仿宋"/>
                <w:color w:val="auto"/>
                <w:szCs w:val="21"/>
              </w:rPr>
            </w:pPr>
          </w:p>
        </w:tc>
        <w:tc>
          <w:tcPr>
            <w:tcW w:w="880" w:type="dxa"/>
            <w:noWrap w:val="0"/>
            <w:vAlign w:val="top"/>
          </w:tcPr>
          <w:p w14:paraId="68F83824">
            <w:pPr>
              <w:rPr>
                <w:rFonts w:hint="eastAsia" w:ascii="仿宋" w:hAnsi="仿宋" w:eastAsia="仿宋" w:cs="仿宋"/>
                <w:color w:val="auto"/>
                <w:szCs w:val="21"/>
              </w:rPr>
            </w:pPr>
          </w:p>
        </w:tc>
        <w:tc>
          <w:tcPr>
            <w:tcW w:w="1020" w:type="dxa"/>
            <w:noWrap w:val="0"/>
            <w:vAlign w:val="top"/>
          </w:tcPr>
          <w:p w14:paraId="576A5EFF">
            <w:pPr>
              <w:rPr>
                <w:rFonts w:hint="eastAsia" w:ascii="仿宋" w:hAnsi="仿宋" w:eastAsia="仿宋" w:cs="仿宋"/>
                <w:color w:val="auto"/>
                <w:szCs w:val="21"/>
              </w:rPr>
            </w:pPr>
          </w:p>
        </w:tc>
        <w:tc>
          <w:tcPr>
            <w:tcW w:w="1480" w:type="dxa"/>
            <w:noWrap w:val="0"/>
            <w:vAlign w:val="top"/>
          </w:tcPr>
          <w:p w14:paraId="679F6621">
            <w:pPr>
              <w:rPr>
                <w:rFonts w:hint="eastAsia" w:ascii="仿宋" w:hAnsi="仿宋" w:eastAsia="仿宋" w:cs="仿宋"/>
                <w:color w:val="auto"/>
                <w:szCs w:val="21"/>
              </w:rPr>
            </w:pPr>
          </w:p>
        </w:tc>
        <w:tc>
          <w:tcPr>
            <w:tcW w:w="1020" w:type="dxa"/>
            <w:noWrap w:val="0"/>
            <w:vAlign w:val="top"/>
          </w:tcPr>
          <w:p w14:paraId="58F8807F">
            <w:pPr>
              <w:rPr>
                <w:rFonts w:hint="eastAsia" w:ascii="仿宋" w:hAnsi="仿宋" w:eastAsia="仿宋" w:cs="仿宋"/>
                <w:color w:val="auto"/>
                <w:szCs w:val="21"/>
              </w:rPr>
            </w:pPr>
          </w:p>
        </w:tc>
        <w:tc>
          <w:tcPr>
            <w:tcW w:w="921" w:type="dxa"/>
            <w:noWrap w:val="0"/>
            <w:vAlign w:val="top"/>
          </w:tcPr>
          <w:p w14:paraId="11623CA2">
            <w:pPr>
              <w:rPr>
                <w:rFonts w:hint="eastAsia" w:ascii="仿宋" w:hAnsi="仿宋" w:eastAsia="仿宋" w:cs="仿宋"/>
                <w:color w:val="auto"/>
                <w:szCs w:val="21"/>
              </w:rPr>
            </w:pPr>
          </w:p>
        </w:tc>
      </w:tr>
    </w:tbl>
    <w:p w14:paraId="7863D075">
      <w:pPr>
        <w:rPr>
          <w:rFonts w:hint="eastAsia" w:ascii="仿宋" w:hAnsi="仿宋" w:eastAsia="仿宋" w:cs="仿宋"/>
          <w:color w:val="auto"/>
          <w:szCs w:val="21"/>
        </w:rPr>
      </w:pPr>
      <w:r>
        <w:rPr>
          <w:rFonts w:hint="eastAsia" w:ascii="仿宋" w:hAnsi="仿宋" w:eastAsia="仿宋" w:cs="仿宋"/>
          <w:color w:val="auto"/>
          <w:szCs w:val="21"/>
        </w:rPr>
        <w:br w:type="page"/>
      </w:r>
    </w:p>
    <w:p w14:paraId="67A63946">
      <w:pPr>
        <w:spacing w:line="440" w:lineRule="exact"/>
        <w:rPr>
          <w:rFonts w:hint="eastAsia" w:ascii="仿宋" w:hAnsi="仿宋" w:eastAsia="仿宋" w:cs="仿宋"/>
          <w:color w:val="auto"/>
          <w:szCs w:val="21"/>
        </w:rPr>
      </w:pPr>
      <w:r>
        <w:rPr>
          <w:rFonts w:hint="eastAsia" w:ascii="仿宋" w:hAnsi="仿宋" w:eastAsia="仿宋" w:cs="仿宋"/>
          <w:color w:val="auto"/>
          <w:szCs w:val="21"/>
        </w:rPr>
        <w:t>附件6：</w:t>
      </w:r>
    </w:p>
    <w:p w14:paraId="396AF134">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承包人主要施工管理人员表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3835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17FAA2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    称</w:t>
            </w:r>
          </w:p>
        </w:tc>
        <w:tc>
          <w:tcPr>
            <w:tcW w:w="1418" w:type="dxa"/>
            <w:tcBorders>
              <w:top w:val="single" w:color="auto" w:sz="12" w:space="0"/>
              <w:bottom w:val="double" w:color="auto" w:sz="6" w:space="0"/>
            </w:tcBorders>
            <w:noWrap w:val="0"/>
            <w:vAlign w:val="center"/>
          </w:tcPr>
          <w:p w14:paraId="1F3E03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姓名</w:t>
            </w:r>
          </w:p>
        </w:tc>
        <w:tc>
          <w:tcPr>
            <w:tcW w:w="1134" w:type="dxa"/>
            <w:tcBorders>
              <w:top w:val="single" w:color="auto" w:sz="12" w:space="0"/>
              <w:bottom w:val="double" w:color="auto" w:sz="6" w:space="0"/>
            </w:tcBorders>
            <w:noWrap w:val="0"/>
            <w:vAlign w:val="center"/>
          </w:tcPr>
          <w:p w14:paraId="2DC0B1B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职务</w:t>
            </w:r>
          </w:p>
        </w:tc>
        <w:tc>
          <w:tcPr>
            <w:tcW w:w="1134" w:type="dxa"/>
            <w:tcBorders>
              <w:top w:val="single" w:color="auto" w:sz="12" w:space="0"/>
              <w:bottom w:val="double" w:color="auto" w:sz="6" w:space="0"/>
            </w:tcBorders>
            <w:noWrap w:val="0"/>
            <w:vAlign w:val="center"/>
          </w:tcPr>
          <w:p w14:paraId="7CD7AC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职称</w:t>
            </w:r>
          </w:p>
        </w:tc>
        <w:tc>
          <w:tcPr>
            <w:tcW w:w="4252" w:type="dxa"/>
            <w:tcBorders>
              <w:top w:val="single" w:color="auto" w:sz="12" w:space="0"/>
              <w:bottom w:val="double" w:color="auto" w:sz="6" w:space="0"/>
            </w:tcBorders>
            <w:noWrap w:val="0"/>
            <w:vAlign w:val="center"/>
          </w:tcPr>
          <w:p w14:paraId="10923D8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主要资历、经验及承担过的项目</w:t>
            </w:r>
          </w:p>
        </w:tc>
      </w:tr>
      <w:tr w14:paraId="41C78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76FE6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一、总部人员</w:t>
            </w:r>
          </w:p>
        </w:tc>
      </w:tr>
      <w:tr w14:paraId="09287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75ACC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项目主管</w:t>
            </w:r>
          </w:p>
        </w:tc>
        <w:tc>
          <w:tcPr>
            <w:tcW w:w="1418" w:type="dxa"/>
            <w:tcBorders>
              <w:top w:val="nil"/>
            </w:tcBorders>
            <w:noWrap w:val="0"/>
            <w:vAlign w:val="center"/>
          </w:tcPr>
          <w:p w14:paraId="35A63A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7C63E3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41D757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top w:val="nil"/>
            </w:tcBorders>
            <w:noWrap w:val="0"/>
            <w:vAlign w:val="center"/>
          </w:tcPr>
          <w:p w14:paraId="1915B5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1B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42A4F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464FB7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F670A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B0381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B6DE2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960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10535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0DBB16A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ACE3A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F79AD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8C22D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235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0956D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BA9D5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D7E69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77DCDE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CAFF0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DF3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BBE408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二、现场人员</w:t>
            </w:r>
          </w:p>
        </w:tc>
      </w:tr>
      <w:tr w14:paraId="1E1A7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830A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项目经理</w:t>
            </w:r>
          </w:p>
        </w:tc>
        <w:tc>
          <w:tcPr>
            <w:tcW w:w="1418" w:type="dxa"/>
            <w:noWrap w:val="0"/>
            <w:vAlign w:val="center"/>
          </w:tcPr>
          <w:p w14:paraId="76735D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3F03A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65DBD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ED34B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97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511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项目副经理</w:t>
            </w:r>
          </w:p>
        </w:tc>
        <w:tc>
          <w:tcPr>
            <w:tcW w:w="1418" w:type="dxa"/>
            <w:noWrap w:val="0"/>
            <w:vAlign w:val="center"/>
          </w:tcPr>
          <w:p w14:paraId="1186F5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764A4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BB3B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D2416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EB50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2AA3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1418" w:type="dxa"/>
            <w:noWrap w:val="0"/>
            <w:vAlign w:val="center"/>
          </w:tcPr>
          <w:p w14:paraId="49DC9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E6E26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DCF0E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73A01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629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6C7C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造价管理</w:t>
            </w:r>
          </w:p>
        </w:tc>
        <w:tc>
          <w:tcPr>
            <w:tcW w:w="1418" w:type="dxa"/>
            <w:noWrap w:val="0"/>
            <w:vAlign w:val="center"/>
          </w:tcPr>
          <w:p w14:paraId="7A02B1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97EC0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D92DA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907D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6DF8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2CC73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质量管理</w:t>
            </w:r>
          </w:p>
        </w:tc>
        <w:tc>
          <w:tcPr>
            <w:tcW w:w="1418" w:type="dxa"/>
            <w:noWrap w:val="0"/>
            <w:vAlign w:val="center"/>
          </w:tcPr>
          <w:p w14:paraId="2D6280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AEF3B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0793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CF01A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EE25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27D8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材料管理</w:t>
            </w:r>
          </w:p>
        </w:tc>
        <w:tc>
          <w:tcPr>
            <w:tcW w:w="1418" w:type="dxa"/>
            <w:noWrap w:val="0"/>
            <w:vAlign w:val="center"/>
          </w:tcPr>
          <w:p w14:paraId="0FD140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56844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5EC2E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7C235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38D0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CE20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计划管理</w:t>
            </w:r>
          </w:p>
        </w:tc>
        <w:tc>
          <w:tcPr>
            <w:tcW w:w="1418" w:type="dxa"/>
            <w:noWrap w:val="0"/>
            <w:vAlign w:val="center"/>
          </w:tcPr>
          <w:p w14:paraId="4877A5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BED69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7198B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7A3A2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172B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920E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安全管理</w:t>
            </w:r>
          </w:p>
        </w:tc>
        <w:tc>
          <w:tcPr>
            <w:tcW w:w="1418" w:type="dxa"/>
            <w:noWrap w:val="0"/>
            <w:vAlign w:val="center"/>
          </w:tcPr>
          <w:p w14:paraId="47202C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00837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C7438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F0071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037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C5DC5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063B08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B3F1B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A72E5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33558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72D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F808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nil"/>
            </w:tcBorders>
            <w:noWrap w:val="0"/>
            <w:vAlign w:val="center"/>
          </w:tcPr>
          <w:p w14:paraId="4117F3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5A7399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4E8DC4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nil"/>
            </w:tcBorders>
            <w:noWrap w:val="0"/>
            <w:vAlign w:val="center"/>
          </w:tcPr>
          <w:p w14:paraId="6A2D3D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8EDD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3EE5C5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5BFC75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5F28D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95DF7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35484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01D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F5D41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167A3D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43BFF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91C7A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05AAB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F5C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6E17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83BC6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D5D03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7B48F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DEEAD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2A58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52401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single" w:color="auto" w:sz="12" w:space="0"/>
            </w:tcBorders>
            <w:noWrap w:val="0"/>
            <w:vAlign w:val="center"/>
          </w:tcPr>
          <w:p w14:paraId="62A928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70F439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6CA14C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single" w:color="auto" w:sz="12" w:space="0"/>
            </w:tcBorders>
            <w:noWrap w:val="0"/>
            <w:vAlign w:val="center"/>
          </w:tcPr>
          <w:p w14:paraId="623CF8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7BB5C5EC">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附件7：</w:t>
      </w:r>
    </w:p>
    <w:p w14:paraId="098E5C1C">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分包人主要施工管理人员表</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966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14:paraId="1392300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    称</w:t>
            </w:r>
          </w:p>
        </w:tc>
        <w:tc>
          <w:tcPr>
            <w:tcW w:w="1418" w:type="dxa"/>
            <w:tcBorders>
              <w:top w:val="single" w:color="auto" w:sz="12" w:space="0"/>
              <w:bottom w:val="double" w:color="auto" w:sz="6" w:space="0"/>
            </w:tcBorders>
            <w:noWrap w:val="0"/>
            <w:vAlign w:val="center"/>
          </w:tcPr>
          <w:p w14:paraId="145FAD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姓名</w:t>
            </w:r>
          </w:p>
        </w:tc>
        <w:tc>
          <w:tcPr>
            <w:tcW w:w="1134" w:type="dxa"/>
            <w:tcBorders>
              <w:top w:val="single" w:color="auto" w:sz="12" w:space="0"/>
              <w:bottom w:val="double" w:color="auto" w:sz="6" w:space="0"/>
            </w:tcBorders>
            <w:noWrap w:val="0"/>
            <w:vAlign w:val="center"/>
          </w:tcPr>
          <w:p w14:paraId="12689D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职务</w:t>
            </w:r>
          </w:p>
        </w:tc>
        <w:tc>
          <w:tcPr>
            <w:tcW w:w="1134" w:type="dxa"/>
            <w:tcBorders>
              <w:top w:val="single" w:color="auto" w:sz="12" w:space="0"/>
              <w:bottom w:val="double" w:color="auto" w:sz="6" w:space="0"/>
            </w:tcBorders>
            <w:noWrap w:val="0"/>
            <w:vAlign w:val="center"/>
          </w:tcPr>
          <w:p w14:paraId="4812B64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职称</w:t>
            </w:r>
          </w:p>
        </w:tc>
        <w:tc>
          <w:tcPr>
            <w:tcW w:w="4252" w:type="dxa"/>
            <w:tcBorders>
              <w:top w:val="single" w:color="auto" w:sz="12" w:space="0"/>
              <w:bottom w:val="double" w:color="auto" w:sz="6" w:space="0"/>
            </w:tcBorders>
            <w:noWrap w:val="0"/>
            <w:vAlign w:val="center"/>
          </w:tcPr>
          <w:p w14:paraId="4C1476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主要资历、经验及承担过的项目</w:t>
            </w:r>
          </w:p>
        </w:tc>
      </w:tr>
      <w:tr w14:paraId="6105A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9C554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一、总部人员</w:t>
            </w:r>
          </w:p>
        </w:tc>
      </w:tr>
      <w:tr w14:paraId="6255C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9391EF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项目主管</w:t>
            </w:r>
          </w:p>
        </w:tc>
        <w:tc>
          <w:tcPr>
            <w:tcW w:w="1418" w:type="dxa"/>
            <w:tcBorders>
              <w:top w:val="nil"/>
            </w:tcBorders>
            <w:noWrap w:val="0"/>
            <w:vAlign w:val="center"/>
          </w:tcPr>
          <w:p w14:paraId="3B852A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02C216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top w:val="nil"/>
            </w:tcBorders>
            <w:noWrap w:val="0"/>
            <w:vAlign w:val="center"/>
          </w:tcPr>
          <w:p w14:paraId="7FC6BA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top w:val="nil"/>
            </w:tcBorders>
            <w:noWrap w:val="0"/>
            <w:vAlign w:val="center"/>
          </w:tcPr>
          <w:p w14:paraId="28CE38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A084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66BB2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438A432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52892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6BEA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656A7F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8F5A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C6B8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7399E5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18DFE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C8B2C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CD704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BAF9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C77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74B3F3E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C48B7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D5457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8E55F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9B1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1B246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二、现场人员</w:t>
            </w:r>
          </w:p>
        </w:tc>
      </w:tr>
      <w:tr w14:paraId="0822D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5FD1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项目经理</w:t>
            </w:r>
          </w:p>
        </w:tc>
        <w:tc>
          <w:tcPr>
            <w:tcW w:w="1418" w:type="dxa"/>
            <w:noWrap w:val="0"/>
            <w:vAlign w:val="center"/>
          </w:tcPr>
          <w:p w14:paraId="1912D4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BFED38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7E1B48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5FDF4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8DD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A0539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项目副经理</w:t>
            </w:r>
          </w:p>
        </w:tc>
        <w:tc>
          <w:tcPr>
            <w:tcW w:w="1418" w:type="dxa"/>
            <w:noWrap w:val="0"/>
            <w:vAlign w:val="center"/>
          </w:tcPr>
          <w:p w14:paraId="0E31FA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B292A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47DD7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64EF1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096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3F04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技术负责人</w:t>
            </w:r>
          </w:p>
        </w:tc>
        <w:tc>
          <w:tcPr>
            <w:tcW w:w="1418" w:type="dxa"/>
            <w:noWrap w:val="0"/>
            <w:vAlign w:val="center"/>
          </w:tcPr>
          <w:p w14:paraId="46B7BD8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FD7D6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020E7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8BADA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0BCD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1FFD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造价管理</w:t>
            </w:r>
          </w:p>
        </w:tc>
        <w:tc>
          <w:tcPr>
            <w:tcW w:w="1418" w:type="dxa"/>
            <w:noWrap w:val="0"/>
            <w:vAlign w:val="center"/>
          </w:tcPr>
          <w:p w14:paraId="53EBA6C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B3749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28FBFD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01777A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02D4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3DAB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质量管理</w:t>
            </w:r>
          </w:p>
        </w:tc>
        <w:tc>
          <w:tcPr>
            <w:tcW w:w="1418" w:type="dxa"/>
            <w:noWrap w:val="0"/>
            <w:vAlign w:val="center"/>
          </w:tcPr>
          <w:p w14:paraId="07DECE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76C68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308D9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803C7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870E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F9E2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材料管理</w:t>
            </w:r>
          </w:p>
        </w:tc>
        <w:tc>
          <w:tcPr>
            <w:tcW w:w="1418" w:type="dxa"/>
            <w:noWrap w:val="0"/>
            <w:vAlign w:val="center"/>
          </w:tcPr>
          <w:p w14:paraId="1060B0A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7F1D2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07AEDB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10428D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7BFF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7EBE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计划管理</w:t>
            </w:r>
          </w:p>
        </w:tc>
        <w:tc>
          <w:tcPr>
            <w:tcW w:w="1418" w:type="dxa"/>
            <w:noWrap w:val="0"/>
            <w:vAlign w:val="center"/>
          </w:tcPr>
          <w:p w14:paraId="3D9A42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2D2C2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1B8F14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2FF4DE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709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9B74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安全管理</w:t>
            </w:r>
          </w:p>
        </w:tc>
        <w:tc>
          <w:tcPr>
            <w:tcW w:w="1418" w:type="dxa"/>
            <w:noWrap w:val="0"/>
            <w:vAlign w:val="center"/>
          </w:tcPr>
          <w:p w14:paraId="4E415C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2862ED5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AD0C9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7F92F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D140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715D8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其他人员</w:t>
            </w:r>
          </w:p>
        </w:tc>
        <w:tc>
          <w:tcPr>
            <w:tcW w:w="1418" w:type="dxa"/>
            <w:noWrap w:val="0"/>
            <w:vAlign w:val="center"/>
          </w:tcPr>
          <w:p w14:paraId="1EA95E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E92C3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4E0AC5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4823C5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8C7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9926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nil"/>
            </w:tcBorders>
            <w:noWrap w:val="0"/>
            <w:vAlign w:val="center"/>
          </w:tcPr>
          <w:p w14:paraId="4269E8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3CADC5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nil"/>
            </w:tcBorders>
            <w:noWrap w:val="0"/>
            <w:vAlign w:val="center"/>
          </w:tcPr>
          <w:p w14:paraId="142B948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nil"/>
            </w:tcBorders>
            <w:noWrap w:val="0"/>
            <w:vAlign w:val="center"/>
          </w:tcPr>
          <w:p w14:paraId="2C13A6F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5787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8DC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3784A73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030DC3A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F0030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37FB9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387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5CC093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01939DB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511B46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6B82A6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4E3C961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8CA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0122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center"/>
          </w:tcPr>
          <w:p w14:paraId="6D1069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B8C823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noWrap w:val="0"/>
            <w:vAlign w:val="center"/>
          </w:tcPr>
          <w:p w14:paraId="328CAE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noWrap w:val="0"/>
            <w:vAlign w:val="center"/>
          </w:tcPr>
          <w:p w14:paraId="5F4B91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CA47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56DD9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bottom w:val="single" w:color="auto" w:sz="12" w:space="0"/>
            </w:tcBorders>
            <w:noWrap w:val="0"/>
            <w:vAlign w:val="center"/>
          </w:tcPr>
          <w:p w14:paraId="405E9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3054563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134" w:type="dxa"/>
            <w:tcBorders>
              <w:bottom w:val="single" w:color="auto" w:sz="12" w:space="0"/>
            </w:tcBorders>
            <w:noWrap w:val="0"/>
            <w:vAlign w:val="center"/>
          </w:tcPr>
          <w:p w14:paraId="067075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252" w:type="dxa"/>
            <w:tcBorders>
              <w:bottom w:val="single" w:color="auto" w:sz="12" w:space="0"/>
            </w:tcBorders>
            <w:noWrap w:val="0"/>
            <w:vAlign w:val="center"/>
          </w:tcPr>
          <w:p w14:paraId="4151A01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581DA476">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附件8：</w:t>
      </w:r>
    </w:p>
    <w:p w14:paraId="41260C26">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履约担保</w:t>
      </w:r>
    </w:p>
    <w:p w14:paraId="1911D021">
      <w:pPr>
        <w:spacing w:line="440" w:lineRule="exact"/>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rPr>
        <w:t>（发包人名称）：</w:t>
      </w:r>
    </w:p>
    <w:p w14:paraId="7AE6F166">
      <w:pPr>
        <w:spacing w:line="440" w:lineRule="exact"/>
        <w:rPr>
          <w:rFonts w:hint="eastAsia" w:ascii="仿宋" w:hAnsi="仿宋" w:eastAsia="仿宋" w:cs="仿宋"/>
          <w:color w:val="auto"/>
          <w:szCs w:val="21"/>
        </w:rPr>
      </w:pPr>
    </w:p>
    <w:p w14:paraId="3807392F">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鉴于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（发包人名称，以下简称“发包人”）与</w:t>
      </w:r>
    </w:p>
    <w:p w14:paraId="2D98CCA6">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（承包人名称）（以下称“承包人”）于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日就</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（工程名称）施工及有关事项协商一致共同签订《建设工程施工合同》。我方愿意无条件地、不可撤销地就承包人履行与你方签订的合同，向你方提供连带责任担保。 </w:t>
      </w:r>
    </w:p>
    <w:p w14:paraId="4D74B49E">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 担保金额人民币（大写）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48C13444">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 担保有效期自你方与承包人签订的合同生效之日起至你方签发或应签发工程接收证书之日止。</w:t>
      </w:r>
    </w:p>
    <w:p w14:paraId="4240083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 在本担保有效期内，因承包人违反合同约定的义务给你方造成经济损失时，我方在收到你方以书面形式提出的在担保金额内的赔偿要求后，在7天内无条件支付。</w:t>
      </w:r>
    </w:p>
    <w:p w14:paraId="36A933E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4. 你方和承包人按合同约定变更合同时，我方承担本担保规定的义务不变。</w:t>
      </w:r>
    </w:p>
    <w:p w14:paraId="717625A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5. 因本保函发生的纠纷，可由双方协商解决，协商不成的，任何一方均可提请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仲裁委员会仲裁。</w:t>
      </w:r>
    </w:p>
    <w:p w14:paraId="19464B1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6. 本保函自我方法定代表人（或其授权代理人）签字并加盖公章之日起生效。</w:t>
      </w:r>
    </w:p>
    <w:p w14:paraId="63271F01">
      <w:pPr>
        <w:spacing w:line="360" w:lineRule="auto"/>
        <w:rPr>
          <w:rFonts w:hint="eastAsia" w:ascii="仿宋" w:hAnsi="仿宋" w:eastAsia="仿宋" w:cs="仿宋"/>
          <w:color w:val="auto"/>
          <w:szCs w:val="21"/>
        </w:rPr>
      </w:pPr>
    </w:p>
    <w:p w14:paraId="22A780C6">
      <w:pPr>
        <w:spacing w:line="360" w:lineRule="auto"/>
        <w:rPr>
          <w:rFonts w:hint="eastAsia" w:ascii="仿宋" w:hAnsi="仿宋" w:eastAsia="仿宋" w:cs="仿宋"/>
          <w:color w:val="auto"/>
          <w:szCs w:val="21"/>
        </w:rPr>
      </w:pPr>
      <w:r>
        <w:rPr>
          <w:rFonts w:hint="eastAsia" w:ascii="仿宋" w:hAnsi="仿宋" w:eastAsia="仿宋" w:cs="仿宋"/>
          <w:color w:val="auto"/>
          <w:szCs w:val="21"/>
        </w:rPr>
        <w:t>担 保 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（盖单位章）</w:t>
      </w:r>
    </w:p>
    <w:p w14:paraId="3FADAC4A">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5B3C2DC9">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14:paraId="56459BE9">
      <w:pPr>
        <w:spacing w:line="360" w:lineRule="auto"/>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w:t>
      </w:r>
    </w:p>
    <w:p w14:paraId="479FC22C">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p>
    <w:p w14:paraId="779D9FB9">
      <w:pPr>
        <w:spacing w:line="360" w:lineRule="auto"/>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p>
    <w:p w14:paraId="4DBE91E4">
      <w:pPr>
        <w:spacing w:line="360" w:lineRule="auto"/>
        <w:jc w:val="left"/>
        <w:rPr>
          <w:rFonts w:hint="eastAsia" w:ascii="仿宋" w:hAnsi="仿宋" w:eastAsia="仿宋" w:cs="仿宋"/>
          <w:color w:val="auto"/>
          <w:szCs w:val="21"/>
          <w:u w:val="single"/>
        </w:rPr>
      </w:pPr>
    </w:p>
    <w:p w14:paraId="6C181090">
      <w:pPr>
        <w:spacing w:line="360" w:lineRule="auto"/>
        <w:ind w:left="1329" w:hanging="1329" w:hangingChars="633"/>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3CC4D8A">
      <w:pPr>
        <w:spacing w:line="360" w:lineRule="auto"/>
        <w:ind w:left="1329" w:hanging="1329" w:hangingChars="633"/>
        <w:rPr>
          <w:rFonts w:hint="eastAsia" w:ascii="仿宋" w:hAnsi="仿宋" w:eastAsia="仿宋" w:cs="仿宋"/>
          <w:color w:val="auto"/>
          <w:szCs w:val="21"/>
        </w:rPr>
      </w:pPr>
    </w:p>
    <w:p w14:paraId="58576E7F">
      <w:pPr>
        <w:spacing w:line="360" w:lineRule="auto"/>
        <w:ind w:left="1329" w:hanging="1329" w:hangingChars="633"/>
        <w:rPr>
          <w:rFonts w:hint="eastAsia" w:ascii="仿宋" w:hAnsi="仿宋" w:eastAsia="仿宋" w:cs="仿宋"/>
          <w:color w:val="auto"/>
          <w:szCs w:val="21"/>
        </w:rPr>
      </w:pPr>
      <w:r>
        <w:rPr>
          <w:rFonts w:hint="eastAsia" w:ascii="仿宋" w:hAnsi="仿宋" w:eastAsia="仿宋" w:cs="仿宋"/>
          <w:color w:val="auto"/>
          <w:szCs w:val="21"/>
        </w:rPr>
        <w:br w:type="page"/>
      </w:r>
    </w:p>
    <w:p w14:paraId="159ED48E">
      <w:pPr>
        <w:spacing w:line="360" w:lineRule="auto"/>
        <w:rPr>
          <w:rFonts w:hint="eastAsia" w:ascii="仿宋" w:hAnsi="仿宋" w:eastAsia="仿宋" w:cs="仿宋"/>
          <w:color w:val="auto"/>
          <w:szCs w:val="21"/>
        </w:rPr>
      </w:pPr>
      <w:r>
        <w:rPr>
          <w:rFonts w:hint="eastAsia" w:ascii="仿宋" w:hAnsi="仿宋" w:eastAsia="仿宋" w:cs="仿宋"/>
          <w:color w:val="auto"/>
          <w:szCs w:val="21"/>
        </w:rPr>
        <w:t>附件9 ：</w:t>
      </w:r>
    </w:p>
    <w:p w14:paraId="2A632223">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预付款担保</w:t>
      </w:r>
    </w:p>
    <w:p w14:paraId="764985BE">
      <w:pPr>
        <w:spacing w:line="360" w:lineRule="auto"/>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（发包人名称）：</w:t>
      </w:r>
    </w:p>
    <w:p w14:paraId="619E30A7">
      <w:pPr>
        <w:spacing w:line="360" w:lineRule="auto"/>
        <w:rPr>
          <w:rFonts w:hint="eastAsia" w:ascii="仿宋" w:hAnsi="仿宋" w:eastAsia="仿宋" w:cs="仿宋"/>
          <w:color w:val="auto"/>
          <w:szCs w:val="21"/>
        </w:rPr>
      </w:pPr>
    </w:p>
    <w:p w14:paraId="53B7060A">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根据</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（承包人名称）（以下称“承包人”）与</w:t>
      </w:r>
    </w:p>
    <w:p w14:paraId="0EAC8B33">
      <w:pPr>
        <w:spacing w:line="360" w:lineRule="auto"/>
        <w:outlineLvl w:val="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（发包人名称）（以下简称“发包人”）</w:t>
      </w:r>
    </w:p>
    <w:p w14:paraId="3617A6EC">
      <w:pPr>
        <w:spacing w:line="360" w:lineRule="auto"/>
        <w:rPr>
          <w:rFonts w:hint="eastAsia" w:ascii="仿宋" w:hAnsi="仿宋" w:eastAsia="仿宋" w:cs="仿宋"/>
          <w:color w:val="auto"/>
          <w:szCs w:val="21"/>
        </w:rPr>
      </w:pPr>
      <w:r>
        <w:rPr>
          <w:rFonts w:hint="eastAsia" w:ascii="仿宋" w:hAnsi="仿宋" w:eastAsia="仿宋" w:cs="仿宋"/>
          <w:color w:val="auto"/>
          <w:szCs w:val="21"/>
        </w:rPr>
        <w:t>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日签订的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7F70AE1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 担保金额人民币（大写）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2C49034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 担保有效期自预付款支付给承包人起生效，至你方签发的进度款支付证书说明已完全扣清止。</w:t>
      </w:r>
    </w:p>
    <w:p w14:paraId="6C2FE912">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BCA74A4">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4. 你方和承包人按合同约定变更合同时，我方承担本保函规定的义务不变。</w:t>
      </w:r>
    </w:p>
    <w:p w14:paraId="3954B98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5. 因本保函发生的纠纷，可由双方协商解决，协商不成的，任何一方均可提请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仲裁委员会仲裁。</w:t>
      </w:r>
    </w:p>
    <w:p w14:paraId="14EDE75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6. 本保函自我方法定代表人（或其授权代理人）签字并加盖公章之日起生效。</w:t>
      </w:r>
    </w:p>
    <w:p w14:paraId="467ADDFB">
      <w:pPr>
        <w:spacing w:line="360" w:lineRule="auto"/>
        <w:rPr>
          <w:rFonts w:hint="eastAsia" w:ascii="仿宋" w:hAnsi="仿宋" w:eastAsia="仿宋" w:cs="仿宋"/>
          <w:color w:val="auto"/>
          <w:szCs w:val="21"/>
        </w:rPr>
      </w:pPr>
    </w:p>
    <w:p w14:paraId="360226E0">
      <w:pPr>
        <w:spacing w:line="360" w:lineRule="auto"/>
        <w:rPr>
          <w:rFonts w:hint="eastAsia" w:ascii="仿宋" w:hAnsi="仿宋" w:eastAsia="仿宋" w:cs="仿宋"/>
          <w:color w:val="auto"/>
          <w:szCs w:val="21"/>
        </w:rPr>
      </w:pPr>
    </w:p>
    <w:p w14:paraId="3BB11D76">
      <w:pPr>
        <w:spacing w:line="360" w:lineRule="auto"/>
        <w:rPr>
          <w:rFonts w:hint="eastAsia" w:ascii="仿宋" w:hAnsi="仿宋" w:eastAsia="仿宋" w:cs="仿宋"/>
          <w:color w:val="auto"/>
          <w:szCs w:val="21"/>
        </w:rPr>
      </w:pPr>
      <w:r>
        <w:rPr>
          <w:rFonts w:hint="eastAsia" w:ascii="仿宋" w:hAnsi="仿宋" w:eastAsia="仿宋" w:cs="仿宋"/>
          <w:color w:val="auto"/>
          <w:szCs w:val="21"/>
        </w:rPr>
        <w:t>担保人：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（盖单位章）</w:t>
      </w:r>
    </w:p>
    <w:p w14:paraId="0C9C7D5D">
      <w:pPr>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692F1A35">
      <w:pPr>
        <w:spacing w:line="360" w:lineRule="auto"/>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F993E23">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邮政编码：</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1498343">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电    话：</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7DBF3560">
      <w:pPr>
        <w:spacing w:line="360" w:lineRule="auto"/>
        <w:rPr>
          <w:rFonts w:hint="eastAsia" w:ascii="仿宋" w:hAnsi="仿宋" w:eastAsia="仿宋" w:cs="仿宋"/>
          <w:color w:val="auto"/>
          <w:szCs w:val="21"/>
          <w:u w:val="single"/>
        </w:rPr>
      </w:pPr>
      <w:r>
        <w:rPr>
          <w:rFonts w:hint="eastAsia" w:ascii="仿宋" w:hAnsi="仿宋" w:eastAsia="仿宋" w:cs="仿宋"/>
          <w:color w:val="auto"/>
          <w:szCs w:val="21"/>
        </w:rPr>
        <w:t>传    真：</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r>
        <w:rPr>
          <w:rFonts w:hint="eastAsia" w:ascii="仿宋" w:hAnsi="仿宋" w:eastAsia="仿宋" w:cs="仿宋"/>
          <w:color w:val="auto"/>
          <w:szCs w:val="21"/>
          <w:u w:val="single"/>
        </w:rPr>
        <w:tab/>
      </w:r>
    </w:p>
    <w:p w14:paraId="33F9AC31">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p>
    <w:p w14:paraId="79666EE7">
      <w:pPr>
        <w:spacing w:line="360" w:lineRule="auto"/>
        <w:rPr>
          <w:rFonts w:hint="eastAsia" w:ascii="仿宋" w:hAnsi="仿宋" w:eastAsia="仿宋" w:cs="仿宋"/>
          <w:color w:val="auto"/>
          <w:szCs w:val="21"/>
          <w:u w:val="single"/>
        </w:rPr>
      </w:pPr>
    </w:p>
    <w:p w14:paraId="6D843200">
      <w:pPr>
        <w:spacing w:line="360" w:lineRule="auto"/>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311F623E">
      <w:pPr>
        <w:spacing w:line="440" w:lineRule="exact"/>
        <w:rPr>
          <w:rFonts w:hint="eastAsia" w:ascii="仿宋" w:hAnsi="仿宋" w:eastAsia="仿宋" w:cs="仿宋"/>
          <w:color w:val="auto"/>
          <w:szCs w:val="21"/>
        </w:rPr>
      </w:pPr>
      <w:r>
        <w:rPr>
          <w:rFonts w:hint="eastAsia" w:ascii="仿宋" w:hAnsi="仿宋" w:eastAsia="仿宋" w:cs="仿宋"/>
          <w:b/>
          <w:color w:val="auto"/>
          <w:szCs w:val="21"/>
        </w:rPr>
        <w:br w:type="page"/>
      </w:r>
      <w:r>
        <w:rPr>
          <w:rFonts w:hint="eastAsia" w:ascii="仿宋" w:hAnsi="仿宋" w:eastAsia="仿宋" w:cs="仿宋"/>
          <w:color w:val="auto"/>
          <w:szCs w:val="21"/>
        </w:rPr>
        <w:t xml:space="preserve">附件10:  </w:t>
      </w:r>
    </w:p>
    <w:p w14:paraId="5B0E2A9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支付担保</w:t>
      </w:r>
    </w:p>
    <w:p w14:paraId="298C8A0C">
      <w:pPr>
        <w:spacing w:line="440" w:lineRule="exact"/>
        <w:jc w:val="left"/>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（承包人）：</w:t>
      </w:r>
    </w:p>
    <w:p w14:paraId="111CACB9">
      <w:pPr>
        <w:spacing w:line="440" w:lineRule="exact"/>
        <w:jc w:val="left"/>
        <w:rPr>
          <w:rFonts w:hint="eastAsia" w:ascii="仿宋" w:hAnsi="仿宋" w:eastAsia="仿宋" w:cs="仿宋"/>
          <w:color w:val="auto"/>
          <w:szCs w:val="21"/>
        </w:rPr>
      </w:pPr>
    </w:p>
    <w:p w14:paraId="77B10E67">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鉴于你方作为承包人已经与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（发包人名称）（以下称“发包人”）于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日签订了</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（工程名称）《建设工程施工合同》（以下称“主合同”），应发包人的申请，我方愿就发包人履行主合同约定的工程款支付义务以保证的方式向你方提供如下担保：</w:t>
      </w:r>
    </w:p>
    <w:p w14:paraId="08AD89E3">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一、保证的范围及保证金额</w:t>
      </w:r>
    </w:p>
    <w:p w14:paraId="7E82179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我方的保证范围是主合同约定的工程款。</w:t>
      </w:r>
    </w:p>
    <w:p w14:paraId="19440C8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本保函所称主合同约定的工程款是指主合同约定的除工程质量保证金以外的合同价款。</w:t>
      </w:r>
    </w:p>
    <w:p w14:paraId="71777FA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我方保证的金额是主合同约定的工程款的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%，数额最高不超过人民币元（大写：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6E27DB62">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二、保证的方式及保证期间</w:t>
      </w:r>
    </w:p>
    <w:p w14:paraId="115A7F7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我方保证的方式为：连带责任保证。</w:t>
      </w:r>
    </w:p>
    <w:p w14:paraId="067C156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我方保证的期间为：自本合同生效之日起至主合同约定的工程款支付完毕之日后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日内。</w:t>
      </w:r>
    </w:p>
    <w:p w14:paraId="0C0CCE8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你方与发包人协议变更工程款支付日期的，经我方书面同意后，保证期间按照变更后的支付日期做相应调整。</w:t>
      </w:r>
    </w:p>
    <w:p w14:paraId="1984A724">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三、承担保证责任的形式</w:t>
      </w:r>
    </w:p>
    <w:p w14:paraId="66DBE87C">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我方承担保证责任的形式是代为支付。发包人未按主合同约定向你方支付工程款的，由我方在保证金额内代为支付。</w:t>
      </w:r>
    </w:p>
    <w:p w14:paraId="63D18806">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四、代偿的安排</w:t>
      </w:r>
    </w:p>
    <w:p w14:paraId="155FBB7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你方要求我方承担保证责任的，应向我方发出书面索赔通知及发包人未支付主合同约定工程款的证明材料。索赔通知应写明要求索赔的金额，支付款项应到达的账号。</w:t>
      </w:r>
    </w:p>
    <w:p w14:paraId="09ACA749">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225C853B">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我方收到你方的书面索赔通知及相应的证明材料后７天内无条件支付。</w:t>
      </w:r>
    </w:p>
    <w:p w14:paraId="223438EC">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五、保证责任的解除</w:t>
      </w:r>
    </w:p>
    <w:p w14:paraId="554E16D5">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在本保函承诺的保证期间内，你方未书面向我方主张保证责任的，自保证期间届满次日起，我方保证责任解除。</w:t>
      </w:r>
    </w:p>
    <w:p w14:paraId="3E8D6600">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发包人按主合同约定履行了工程款的全部支付义务的，自本保函承诺的保证期间届满次日起，我方保证责任解除。</w:t>
      </w:r>
    </w:p>
    <w:p w14:paraId="63D197D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我方按照本保函向你方履行保证责任所支付金额达到本保函保证金额时，自我方向你方支付（支付款项从我方账户划出）之日起，保证责任即解除。</w:t>
      </w:r>
    </w:p>
    <w:p w14:paraId="09F0762A">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4. 按照法律法规的规定或出现应解除我方保证责任的其他情形的，我方在本保函项下的保证责任亦解除。</w:t>
      </w:r>
    </w:p>
    <w:p w14:paraId="167E6F1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5. 我方解除保证责任后，你方应自我方保证责任解除之日起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个工作日内，将本保函原件返还我方。</w:t>
      </w:r>
    </w:p>
    <w:p w14:paraId="26689641">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六、免责条款</w:t>
      </w:r>
    </w:p>
    <w:p w14:paraId="6ED92FB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 因你方违约致使发包人不能履行义务的，我方不承担保证责任。</w:t>
      </w:r>
    </w:p>
    <w:p w14:paraId="0F213A6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 依照法律法规的规定或你方与发包人的另行约定，免除发包人部分或全部义务的，我方亦免除其相应的保证责任。</w:t>
      </w:r>
    </w:p>
    <w:p w14:paraId="3E40626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0C1098FF">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4. 因不可抗力造成发包人不能履行义务的，我方不承担保证责任。</w:t>
      </w:r>
    </w:p>
    <w:p w14:paraId="1FE83196">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七、争议解决</w:t>
      </w:r>
    </w:p>
    <w:p w14:paraId="2880889B">
      <w:pPr>
        <w:spacing w:after="12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因本保函或本保函相关事项发生的纠纷，可由双方协商解决，协商不成的，按下列第</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种方式解决：</w:t>
      </w:r>
    </w:p>
    <w:p w14:paraId="2F787244">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（1）向</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仲裁委员会申请仲裁；</w:t>
      </w:r>
    </w:p>
    <w:p w14:paraId="5AFBD346">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（2）向</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人民法院起诉。</w:t>
      </w:r>
    </w:p>
    <w:p w14:paraId="199433FC">
      <w:pPr>
        <w:spacing w:line="360" w:lineRule="auto"/>
        <w:ind w:firstLine="420" w:firstLineChars="200"/>
        <w:jc w:val="left"/>
        <w:outlineLvl w:val="0"/>
        <w:rPr>
          <w:rFonts w:hint="eastAsia" w:ascii="仿宋" w:hAnsi="仿宋" w:eastAsia="仿宋" w:cs="仿宋"/>
          <w:color w:val="auto"/>
          <w:szCs w:val="21"/>
        </w:rPr>
      </w:pPr>
      <w:r>
        <w:rPr>
          <w:rFonts w:hint="eastAsia" w:ascii="仿宋" w:hAnsi="仿宋" w:eastAsia="仿宋" w:cs="仿宋"/>
          <w:color w:val="auto"/>
          <w:szCs w:val="21"/>
        </w:rPr>
        <w:t>八、保函的生效</w:t>
      </w:r>
    </w:p>
    <w:p w14:paraId="47AC8FFC">
      <w:pPr>
        <w:spacing w:line="360" w:lineRule="auto"/>
        <w:ind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本保函自我方法定代表人（或其授权代理人）签字并加盖公章之日起生效。</w:t>
      </w:r>
    </w:p>
    <w:p w14:paraId="3944382B">
      <w:pPr>
        <w:spacing w:line="360" w:lineRule="auto"/>
        <w:ind w:right="600"/>
        <w:jc w:val="left"/>
        <w:rPr>
          <w:rFonts w:hint="eastAsia" w:ascii="仿宋" w:hAnsi="仿宋" w:eastAsia="仿宋" w:cs="仿宋"/>
          <w:color w:val="auto"/>
          <w:szCs w:val="21"/>
        </w:rPr>
      </w:pPr>
    </w:p>
    <w:p w14:paraId="07B3CA85">
      <w:pPr>
        <w:spacing w:line="360" w:lineRule="auto"/>
        <w:ind w:right="600"/>
        <w:jc w:val="left"/>
        <w:rPr>
          <w:rFonts w:hint="eastAsia" w:ascii="仿宋" w:hAnsi="仿宋" w:eastAsia="仿宋" w:cs="仿宋"/>
          <w:color w:val="auto"/>
          <w:szCs w:val="21"/>
        </w:rPr>
      </w:pPr>
      <w:r>
        <w:rPr>
          <w:rFonts w:hint="eastAsia" w:ascii="仿宋" w:hAnsi="仿宋" w:eastAsia="仿宋" w:cs="仿宋"/>
          <w:color w:val="auto"/>
          <w:szCs w:val="21"/>
        </w:rPr>
        <w:t>担保人：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（盖章）</w:t>
      </w:r>
    </w:p>
    <w:p w14:paraId="75A6687F">
      <w:pPr>
        <w:spacing w:line="360" w:lineRule="auto"/>
        <w:ind w:right="1200"/>
        <w:rPr>
          <w:rFonts w:hint="eastAsia" w:ascii="仿宋" w:hAnsi="仿宋" w:eastAsia="仿宋" w:cs="仿宋"/>
          <w:color w:val="auto"/>
          <w:szCs w:val="21"/>
        </w:rPr>
      </w:pPr>
      <w:r>
        <w:rPr>
          <w:rFonts w:hint="eastAsia" w:ascii="仿宋" w:hAnsi="仿宋" w:eastAsia="仿宋" w:cs="仿宋"/>
          <w:color w:val="auto"/>
          <w:szCs w:val="21"/>
        </w:rPr>
        <w:t>法定代表人或委托代理人：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77EE4F36">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14:paraId="6D4E3E96">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邮政编码：</w:t>
      </w:r>
      <w:r>
        <w:rPr>
          <w:rFonts w:hint="eastAsia" w:ascii="仿宋" w:hAnsi="仿宋" w:eastAsia="仿宋" w:cs="仿宋"/>
          <w:color w:val="auto"/>
          <w:szCs w:val="21"/>
          <w:u w:val="single"/>
        </w:rPr>
        <w:t xml:space="preserve">                                        </w:t>
      </w:r>
    </w:p>
    <w:p w14:paraId="2313B602">
      <w:pPr>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p>
    <w:p w14:paraId="5B73A5D5">
      <w:pPr>
        <w:spacing w:line="360" w:lineRule="auto"/>
        <w:ind w:right="150" w:firstLine="420" w:firstLineChars="200"/>
        <w:jc w:val="left"/>
        <w:rPr>
          <w:rFonts w:hint="eastAsia" w:ascii="仿宋" w:hAnsi="仿宋" w:eastAsia="仿宋" w:cs="仿宋"/>
          <w:color w:val="auto"/>
          <w:szCs w:val="21"/>
          <w:u w:val="single"/>
        </w:rPr>
      </w:pPr>
    </w:p>
    <w:p w14:paraId="791E671E">
      <w:pPr>
        <w:spacing w:line="360" w:lineRule="auto"/>
        <w:ind w:right="150" w:firstLine="420" w:firstLineChars="200"/>
        <w:jc w:val="left"/>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6F0D6F7D">
      <w:pPr>
        <w:spacing w:line="440" w:lineRule="exact"/>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附件11：</w:t>
      </w:r>
    </w:p>
    <w:p w14:paraId="61D379E6">
      <w:pPr>
        <w:spacing w:before="120" w:beforeLines="50" w:after="120" w:afterLines="50" w:line="440" w:lineRule="exact"/>
        <w:jc w:val="center"/>
        <w:outlineLvl w:val="0"/>
        <w:rPr>
          <w:rFonts w:hint="eastAsia" w:ascii="仿宋" w:hAnsi="仿宋" w:eastAsia="仿宋" w:cs="仿宋"/>
          <w:color w:val="auto"/>
          <w:szCs w:val="21"/>
        </w:rPr>
      </w:pPr>
      <w:r>
        <w:rPr>
          <w:rFonts w:hint="eastAsia" w:ascii="仿宋" w:hAnsi="仿宋" w:eastAsia="仿宋" w:cs="仿宋"/>
          <w:color w:val="auto"/>
          <w:szCs w:val="21"/>
        </w:rPr>
        <w:t>11-1：材料暂估价表</w:t>
      </w:r>
    </w:p>
    <w:tbl>
      <w:tblPr>
        <w:tblStyle w:val="6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C5D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FC98C4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34BE8C1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名称</w:t>
            </w:r>
          </w:p>
        </w:tc>
        <w:tc>
          <w:tcPr>
            <w:tcW w:w="851" w:type="dxa"/>
            <w:tcBorders>
              <w:top w:val="single" w:color="auto" w:sz="12" w:space="0"/>
              <w:bottom w:val="double" w:color="auto" w:sz="6" w:space="0"/>
            </w:tcBorders>
            <w:noWrap w:val="0"/>
            <w:vAlign w:val="top"/>
          </w:tcPr>
          <w:p w14:paraId="540311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774" w:type="dxa"/>
            <w:tcBorders>
              <w:top w:val="single" w:color="auto" w:sz="12" w:space="0"/>
              <w:bottom w:val="double" w:color="auto" w:sz="6" w:space="0"/>
            </w:tcBorders>
            <w:noWrap w:val="0"/>
            <w:vAlign w:val="top"/>
          </w:tcPr>
          <w:p w14:paraId="19CBB9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352" w:type="dxa"/>
            <w:tcBorders>
              <w:top w:val="single" w:color="auto" w:sz="12" w:space="0"/>
              <w:bottom w:val="double" w:color="auto" w:sz="6" w:space="0"/>
            </w:tcBorders>
            <w:noWrap w:val="0"/>
            <w:vAlign w:val="top"/>
          </w:tcPr>
          <w:p w14:paraId="651FE8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1418" w:type="dxa"/>
            <w:tcBorders>
              <w:top w:val="single" w:color="auto" w:sz="12" w:space="0"/>
              <w:bottom w:val="double" w:color="auto" w:sz="6" w:space="0"/>
            </w:tcBorders>
            <w:noWrap w:val="0"/>
            <w:vAlign w:val="top"/>
          </w:tcPr>
          <w:p w14:paraId="04CB95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合价（元）</w:t>
            </w:r>
          </w:p>
        </w:tc>
        <w:tc>
          <w:tcPr>
            <w:tcW w:w="1701" w:type="dxa"/>
            <w:tcBorders>
              <w:top w:val="single" w:color="auto" w:sz="12" w:space="0"/>
              <w:bottom w:val="double" w:color="auto" w:sz="6" w:space="0"/>
            </w:tcBorders>
            <w:noWrap w:val="0"/>
            <w:vAlign w:val="top"/>
          </w:tcPr>
          <w:p w14:paraId="34799D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7FB04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F1BDA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0A69680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top"/>
          </w:tcPr>
          <w:p w14:paraId="773197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double" w:color="auto" w:sz="6" w:space="0"/>
              <w:bottom w:val="single" w:color="auto" w:sz="6" w:space="0"/>
            </w:tcBorders>
            <w:noWrap w:val="0"/>
            <w:vAlign w:val="top"/>
          </w:tcPr>
          <w:p w14:paraId="2C280B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double" w:color="auto" w:sz="6" w:space="0"/>
              <w:bottom w:val="single" w:color="auto" w:sz="6" w:space="0"/>
            </w:tcBorders>
            <w:noWrap w:val="0"/>
            <w:vAlign w:val="top"/>
          </w:tcPr>
          <w:p w14:paraId="3F1DF0B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top"/>
          </w:tcPr>
          <w:p w14:paraId="65513D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double" w:color="auto" w:sz="6" w:space="0"/>
              <w:bottom w:val="single" w:color="auto" w:sz="6" w:space="0"/>
            </w:tcBorders>
            <w:noWrap w:val="0"/>
            <w:vAlign w:val="top"/>
          </w:tcPr>
          <w:p w14:paraId="5BEFA3C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E949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287FE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7FC6E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top"/>
          </w:tcPr>
          <w:p w14:paraId="34EBDF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nil"/>
            </w:tcBorders>
            <w:noWrap w:val="0"/>
            <w:vAlign w:val="top"/>
          </w:tcPr>
          <w:p w14:paraId="256F64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nil"/>
            </w:tcBorders>
            <w:noWrap w:val="0"/>
            <w:vAlign w:val="top"/>
          </w:tcPr>
          <w:p w14:paraId="5821631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top"/>
          </w:tcPr>
          <w:p w14:paraId="1C49D0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nil"/>
            </w:tcBorders>
            <w:noWrap w:val="0"/>
            <w:vAlign w:val="top"/>
          </w:tcPr>
          <w:p w14:paraId="65FCF7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735F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1558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3F08F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A0438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95331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366078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15A7D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C76F0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436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232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90D84A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61EA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90A6F7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ED964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893F9C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CA3B8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192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A603A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E6EA9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87428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D4C38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2A0F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C246B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08A69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F09F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1D8A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08B33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A3C5D8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160CE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15289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1C09E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207DA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40C0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BCB2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083F05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555993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F4789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39C36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DCA9D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62FE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7C1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FC09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9EB5E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BB207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AAFA9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B104C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C85D80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F776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AB26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6753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21891B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08915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029A96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FFCE9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369843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1ABA7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3EED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954F5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D5EA4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8C07A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77313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7E693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676F4F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87AA7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CDF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7374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CB590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E6CD8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6A13D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87E0B9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5F45D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08317B3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0C3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4E3A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BBE36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08FE0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56393F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7D682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0AF948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F45812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E854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F174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9C8AD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E16A0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76D69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E157E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2C84F6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84A8C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1D3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001D7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47AAB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58DF3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16943C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E2763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4A9E2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FECFE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FAF8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D300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01284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F2B8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B6E924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F976A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15A9F9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6287A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97AA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350B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BF383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843C4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64EB9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179E3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77DB7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A39759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F53A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113DF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3E9831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6AA93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4F6DA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E3AA3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5BE35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9055B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40BE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E77A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8A952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BA02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11A962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F02D7B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40CB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E6E74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40A1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C12A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3B338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E8443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3E387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D8DC7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A5642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C44CEC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CCDF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45D3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D27F2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8552B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90408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06D5DF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BEC5B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17831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3876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94579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899C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17800D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714FE6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7A92F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41AFD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3D811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3E7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596FE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8C556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62FDD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7FBF4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E2B72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A82977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7A53EE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0A542F26">
      <w:pPr>
        <w:rPr>
          <w:rFonts w:hint="eastAsia" w:ascii="仿宋" w:hAnsi="仿宋" w:eastAsia="仿宋" w:cs="仿宋"/>
          <w:color w:val="auto"/>
          <w:szCs w:val="21"/>
        </w:rPr>
      </w:pPr>
      <w:r>
        <w:rPr>
          <w:rFonts w:hint="eastAsia" w:ascii="仿宋" w:hAnsi="仿宋" w:eastAsia="仿宋" w:cs="仿宋"/>
          <w:color w:val="auto"/>
          <w:szCs w:val="21"/>
        </w:rPr>
        <w:br w:type="page"/>
      </w:r>
    </w:p>
    <w:p w14:paraId="08591BB9">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t>11-2：工程设备暂估价表</w:t>
      </w:r>
    </w:p>
    <w:tbl>
      <w:tblPr>
        <w:tblStyle w:val="6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4BFC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11481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23A016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名称</w:t>
            </w:r>
          </w:p>
        </w:tc>
        <w:tc>
          <w:tcPr>
            <w:tcW w:w="851" w:type="dxa"/>
            <w:tcBorders>
              <w:top w:val="single" w:color="auto" w:sz="12" w:space="0"/>
              <w:bottom w:val="double" w:color="auto" w:sz="6" w:space="0"/>
            </w:tcBorders>
            <w:noWrap w:val="0"/>
            <w:vAlign w:val="top"/>
          </w:tcPr>
          <w:p w14:paraId="789AC2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单位</w:t>
            </w:r>
          </w:p>
        </w:tc>
        <w:tc>
          <w:tcPr>
            <w:tcW w:w="774" w:type="dxa"/>
            <w:tcBorders>
              <w:top w:val="single" w:color="auto" w:sz="12" w:space="0"/>
              <w:bottom w:val="double" w:color="auto" w:sz="6" w:space="0"/>
            </w:tcBorders>
            <w:noWrap w:val="0"/>
            <w:vAlign w:val="top"/>
          </w:tcPr>
          <w:p w14:paraId="6A026D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数量</w:t>
            </w:r>
          </w:p>
        </w:tc>
        <w:tc>
          <w:tcPr>
            <w:tcW w:w="1352" w:type="dxa"/>
            <w:tcBorders>
              <w:top w:val="single" w:color="auto" w:sz="12" w:space="0"/>
              <w:bottom w:val="double" w:color="auto" w:sz="6" w:space="0"/>
            </w:tcBorders>
            <w:noWrap w:val="0"/>
            <w:vAlign w:val="top"/>
          </w:tcPr>
          <w:p w14:paraId="1B00ABF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单价（元）</w:t>
            </w:r>
          </w:p>
        </w:tc>
        <w:tc>
          <w:tcPr>
            <w:tcW w:w="1418" w:type="dxa"/>
            <w:tcBorders>
              <w:top w:val="single" w:color="auto" w:sz="12" w:space="0"/>
              <w:bottom w:val="double" w:color="auto" w:sz="6" w:space="0"/>
            </w:tcBorders>
            <w:noWrap w:val="0"/>
            <w:vAlign w:val="top"/>
          </w:tcPr>
          <w:p w14:paraId="6F6AA2C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合价（元）</w:t>
            </w:r>
          </w:p>
        </w:tc>
        <w:tc>
          <w:tcPr>
            <w:tcW w:w="1701" w:type="dxa"/>
            <w:tcBorders>
              <w:top w:val="single" w:color="auto" w:sz="12" w:space="0"/>
              <w:bottom w:val="double" w:color="auto" w:sz="6" w:space="0"/>
            </w:tcBorders>
            <w:noWrap w:val="0"/>
            <w:vAlign w:val="top"/>
          </w:tcPr>
          <w:p w14:paraId="63E690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备注</w:t>
            </w:r>
          </w:p>
        </w:tc>
      </w:tr>
      <w:tr w14:paraId="682D1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0E8065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0B8ECF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double" w:color="auto" w:sz="6" w:space="0"/>
              <w:bottom w:val="single" w:color="auto" w:sz="6" w:space="0"/>
            </w:tcBorders>
            <w:noWrap w:val="0"/>
            <w:vAlign w:val="top"/>
          </w:tcPr>
          <w:p w14:paraId="18DD4D8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double" w:color="auto" w:sz="6" w:space="0"/>
              <w:bottom w:val="single" w:color="auto" w:sz="6" w:space="0"/>
            </w:tcBorders>
            <w:noWrap w:val="0"/>
            <w:vAlign w:val="top"/>
          </w:tcPr>
          <w:p w14:paraId="6D1AD8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double" w:color="auto" w:sz="6" w:space="0"/>
              <w:bottom w:val="single" w:color="auto" w:sz="6" w:space="0"/>
            </w:tcBorders>
            <w:noWrap w:val="0"/>
            <w:vAlign w:val="top"/>
          </w:tcPr>
          <w:p w14:paraId="2A2303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double" w:color="auto" w:sz="6" w:space="0"/>
              <w:bottom w:val="single" w:color="auto" w:sz="6" w:space="0"/>
            </w:tcBorders>
            <w:noWrap w:val="0"/>
            <w:vAlign w:val="top"/>
          </w:tcPr>
          <w:p w14:paraId="5A83C1D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double" w:color="auto" w:sz="6" w:space="0"/>
              <w:bottom w:val="single" w:color="auto" w:sz="6" w:space="0"/>
            </w:tcBorders>
            <w:noWrap w:val="0"/>
            <w:vAlign w:val="top"/>
          </w:tcPr>
          <w:p w14:paraId="3F8095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3C25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3F58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501AD8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tcBorders>
              <w:top w:val="nil"/>
            </w:tcBorders>
            <w:noWrap w:val="0"/>
            <w:vAlign w:val="top"/>
          </w:tcPr>
          <w:p w14:paraId="2F08BB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tcBorders>
              <w:top w:val="nil"/>
            </w:tcBorders>
            <w:noWrap w:val="0"/>
            <w:vAlign w:val="top"/>
          </w:tcPr>
          <w:p w14:paraId="696435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tcBorders>
              <w:top w:val="nil"/>
            </w:tcBorders>
            <w:noWrap w:val="0"/>
            <w:vAlign w:val="top"/>
          </w:tcPr>
          <w:p w14:paraId="160A891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tcBorders>
              <w:top w:val="nil"/>
            </w:tcBorders>
            <w:noWrap w:val="0"/>
            <w:vAlign w:val="top"/>
          </w:tcPr>
          <w:p w14:paraId="58100A3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tcBorders>
              <w:top w:val="nil"/>
            </w:tcBorders>
            <w:noWrap w:val="0"/>
            <w:vAlign w:val="top"/>
          </w:tcPr>
          <w:p w14:paraId="40A2D7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3B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FE95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E4AB12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ADA2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E0D040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8A80D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3E676E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F158E2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8291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99555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0F0DF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566D76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FD972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83D17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4B238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B6BFDD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5FEA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54B51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280B2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49D96E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872D8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E6F3F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43F38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62404C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663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B73B4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7FA55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A5A9D2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EA7577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9B93CE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FBFE3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E0DAD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729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A873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994B5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35271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2E1B80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11567B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CD81E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BB7480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6517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AA55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27DFD6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1864CD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148EFC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61BF6E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51DD733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235BF1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6A08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B982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564C45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DD4CD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F8CE59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5FAB1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F624B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9885A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BFEB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DD1E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47356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CE4908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AF232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2A541D8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0CEA1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2C8D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4E2A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9469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3C5E3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5E66AA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6869EE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E25BC8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06FA11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4484D4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80C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301E9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3C6DF1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5076D8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30645BD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302A06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A3FEA7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7B84ED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0394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E7A3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9DBED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0073F0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71F6F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2BB70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E991BD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0956E9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53D3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2649A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E1618F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0EC368E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199CDD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FFC4FE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AD525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667A6A3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B01E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9B7C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43E430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21EFB4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72FFF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D59F96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C030E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C03A44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F2FC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F3B7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0CC60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1DB08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028BF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57EE2A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F544E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B6A954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7869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59AC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0EAB0D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7ED48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DFE6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633F687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A6A5CB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28BB039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9927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B0CE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68EC4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34EBB7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1AA5BB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3F0C92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7DC3AA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23777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9EA2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7BC2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E75B8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6991A75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EAF143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55BEA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1406FA7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0C3CBC3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0DED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EE119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A7F035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77B1D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579E96F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CA391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0AB7CC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3D5E610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C21D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1F3B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3CAE45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2C386D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79C73BA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ABAD6C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25D93FD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4A3347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F5DF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46CA0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CC3566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4B3BB04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4E24E78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4B2E88F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4E3DB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1B36A01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5A27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F2D5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ED9442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5F98DF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F889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11B16D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59F83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3AAEFA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4EAD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D21C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71E097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5D1B0F7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01CF49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7B8B6F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65CD25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F8A16E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AB7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927FB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692B7E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851" w:type="dxa"/>
            <w:noWrap w:val="0"/>
            <w:vAlign w:val="top"/>
          </w:tcPr>
          <w:p w14:paraId="7B7C61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774" w:type="dxa"/>
            <w:noWrap w:val="0"/>
            <w:vAlign w:val="top"/>
          </w:tcPr>
          <w:p w14:paraId="228F13B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352" w:type="dxa"/>
            <w:noWrap w:val="0"/>
            <w:vAlign w:val="top"/>
          </w:tcPr>
          <w:p w14:paraId="0063B4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418" w:type="dxa"/>
            <w:noWrap w:val="0"/>
            <w:vAlign w:val="top"/>
          </w:tcPr>
          <w:p w14:paraId="48896F7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701" w:type="dxa"/>
            <w:noWrap w:val="0"/>
            <w:vAlign w:val="top"/>
          </w:tcPr>
          <w:p w14:paraId="58139EA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bl>
    <w:p w14:paraId="4D8F5137">
      <w:pPr>
        <w:spacing w:line="440" w:lineRule="exact"/>
        <w:rPr>
          <w:rFonts w:hint="eastAsia" w:ascii="仿宋" w:hAnsi="仿宋" w:eastAsia="仿宋" w:cs="仿宋"/>
          <w:color w:val="auto"/>
          <w:szCs w:val="21"/>
        </w:rPr>
      </w:pPr>
    </w:p>
    <w:p w14:paraId="57A60AB5">
      <w:pPr>
        <w:spacing w:before="120" w:beforeLines="50" w:after="120" w:afterLines="50" w:line="440" w:lineRule="exact"/>
        <w:jc w:val="center"/>
        <w:rPr>
          <w:rFonts w:hint="eastAsia" w:ascii="仿宋" w:hAnsi="仿宋" w:eastAsia="仿宋" w:cs="仿宋"/>
          <w:color w:val="auto"/>
          <w:szCs w:val="21"/>
        </w:rPr>
      </w:pPr>
      <w:r>
        <w:rPr>
          <w:rFonts w:hint="eastAsia" w:ascii="仿宋" w:hAnsi="仿宋" w:eastAsia="仿宋" w:cs="仿宋"/>
          <w:color w:val="auto"/>
          <w:szCs w:val="21"/>
        </w:rPr>
        <w:br w:type="page"/>
      </w:r>
      <w:r>
        <w:rPr>
          <w:rFonts w:hint="eastAsia" w:ascii="仿宋" w:hAnsi="仿宋" w:eastAsia="仿宋" w:cs="仿宋"/>
          <w:color w:val="auto"/>
          <w:szCs w:val="21"/>
        </w:rPr>
        <w:t>11-3：专业工程暂估价表</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77E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12" w:space="0"/>
              <w:bottom w:val="double" w:color="auto" w:sz="6" w:space="0"/>
            </w:tcBorders>
            <w:noWrap w:val="0"/>
            <w:vAlign w:val="top"/>
          </w:tcPr>
          <w:p w14:paraId="27A007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序号</w:t>
            </w:r>
          </w:p>
        </w:tc>
        <w:tc>
          <w:tcPr>
            <w:tcW w:w="1984" w:type="dxa"/>
            <w:tcBorders>
              <w:top w:val="single" w:color="auto" w:sz="12" w:space="0"/>
              <w:bottom w:val="double" w:color="auto" w:sz="6" w:space="0"/>
            </w:tcBorders>
            <w:noWrap w:val="0"/>
            <w:vAlign w:val="top"/>
          </w:tcPr>
          <w:p w14:paraId="413FFE0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专业工程名称</w:t>
            </w:r>
          </w:p>
        </w:tc>
        <w:tc>
          <w:tcPr>
            <w:tcW w:w="4678" w:type="dxa"/>
            <w:tcBorders>
              <w:top w:val="single" w:color="auto" w:sz="12" w:space="0"/>
              <w:bottom w:val="double" w:color="auto" w:sz="6" w:space="0"/>
            </w:tcBorders>
            <w:noWrap w:val="0"/>
            <w:vAlign w:val="top"/>
          </w:tcPr>
          <w:p w14:paraId="64B2018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工程内容</w:t>
            </w:r>
          </w:p>
        </w:tc>
        <w:tc>
          <w:tcPr>
            <w:tcW w:w="1276" w:type="dxa"/>
            <w:tcBorders>
              <w:top w:val="single" w:color="auto" w:sz="12" w:space="0"/>
              <w:bottom w:val="double" w:color="auto" w:sz="6" w:space="0"/>
            </w:tcBorders>
            <w:noWrap w:val="0"/>
            <w:vAlign w:val="top"/>
          </w:tcPr>
          <w:p w14:paraId="3ABF4B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金额</w:t>
            </w:r>
          </w:p>
        </w:tc>
      </w:tr>
      <w:tr w14:paraId="3D2F2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13576A2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double" w:color="auto" w:sz="6" w:space="0"/>
              <w:bottom w:val="single" w:color="auto" w:sz="6" w:space="0"/>
            </w:tcBorders>
            <w:noWrap w:val="0"/>
            <w:vAlign w:val="top"/>
          </w:tcPr>
          <w:p w14:paraId="25E5261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double" w:color="auto" w:sz="6" w:space="0"/>
              <w:bottom w:val="single" w:color="auto" w:sz="6" w:space="0"/>
            </w:tcBorders>
            <w:noWrap w:val="0"/>
            <w:vAlign w:val="top"/>
          </w:tcPr>
          <w:p w14:paraId="1CDCAE1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double" w:color="auto" w:sz="6" w:space="0"/>
              <w:bottom w:val="single" w:color="auto" w:sz="6" w:space="0"/>
            </w:tcBorders>
            <w:noWrap w:val="0"/>
            <w:vAlign w:val="top"/>
          </w:tcPr>
          <w:p w14:paraId="15B8300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B077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A8C9B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62844B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nil"/>
            </w:tcBorders>
            <w:noWrap w:val="0"/>
            <w:vAlign w:val="top"/>
          </w:tcPr>
          <w:p w14:paraId="7B54195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top"/>
          </w:tcPr>
          <w:p w14:paraId="7B4346D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3041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C877CB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tcBorders>
              <w:top w:val="nil"/>
            </w:tcBorders>
            <w:noWrap w:val="0"/>
            <w:vAlign w:val="top"/>
          </w:tcPr>
          <w:p w14:paraId="380603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tcBorders>
              <w:top w:val="nil"/>
            </w:tcBorders>
            <w:noWrap w:val="0"/>
            <w:vAlign w:val="top"/>
          </w:tcPr>
          <w:p w14:paraId="2D59C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tcBorders>
              <w:top w:val="nil"/>
            </w:tcBorders>
            <w:noWrap w:val="0"/>
            <w:vAlign w:val="top"/>
          </w:tcPr>
          <w:p w14:paraId="1953B4A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77D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4D81A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52C38B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50781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73A0F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E922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1932D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3E5E125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07ADA14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1ECDDC2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B785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FBF12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39836F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61D71A3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1626B4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EE62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A11AB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6FB33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87DD62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48CC34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E6B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63D3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5E143A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029E296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FF8DEA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ECB5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2D86C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46A28ED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52D6896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137F7A0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3F0FA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D9307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4E9472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FB4D17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59CD32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01C35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BAA05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D281DD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B0444C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5A09BC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9ACA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9D17BF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488226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304258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553B43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4E1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B89614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3D2389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8E3158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0A7C400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601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26D836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7828101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5005E0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CF6936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E88C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A230DB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21CE7D24">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3A8BD85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23E915E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245D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3B63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67EEEFD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1BFD64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0E3A172">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BFBE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E4241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6AE30A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0A92BD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67BCEC69">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63C9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FE0D7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298A9EF">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2CA3F09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55A201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7D7D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397B2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0CBF70DB">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72E54A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7F37D0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8FF7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F71579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B17C85D">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6A0FBA1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7CF733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72F9C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0198C1">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763B15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1E9CE29A">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74E4AAD8">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1ADD0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AB47E13">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1C321BE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10BE2E5">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427920EE">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2BFA0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FFADB7">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984" w:type="dxa"/>
            <w:noWrap w:val="0"/>
            <w:vAlign w:val="top"/>
          </w:tcPr>
          <w:p w14:paraId="52C44C4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4678" w:type="dxa"/>
            <w:noWrap w:val="0"/>
            <w:vAlign w:val="top"/>
          </w:tcPr>
          <w:p w14:paraId="4F1E4AF6">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c>
          <w:tcPr>
            <w:tcW w:w="1276" w:type="dxa"/>
            <w:noWrap w:val="0"/>
            <w:vAlign w:val="top"/>
          </w:tcPr>
          <w:p w14:paraId="3DB4768C">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p>
        </w:tc>
      </w:tr>
      <w:tr w14:paraId="4C442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C065B00">
            <w:pPr>
              <w:keepNext/>
              <w:adjustRightInd w:val="0"/>
              <w:spacing w:line="440" w:lineRule="exact"/>
              <w:ind w:left="63" w:leftChars="30" w:right="63" w:rightChars="3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小计：</w:t>
            </w:r>
          </w:p>
        </w:tc>
      </w:tr>
    </w:tbl>
    <w:p w14:paraId="180FE86F">
      <w:pPr>
        <w:rPr>
          <w:rFonts w:hint="eastAsia" w:ascii="仿宋" w:hAnsi="仿宋" w:eastAsia="仿宋" w:cs="仿宋"/>
          <w:color w:val="auto"/>
          <w:kern w:val="1"/>
          <w:szCs w:val="21"/>
        </w:rPr>
      </w:pPr>
      <w:r>
        <w:rPr>
          <w:rFonts w:hint="eastAsia" w:ascii="仿宋" w:hAnsi="仿宋" w:eastAsia="仿宋" w:cs="仿宋"/>
          <w:color w:val="auto"/>
          <w:kern w:val="1"/>
          <w:szCs w:val="21"/>
        </w:rPr>
        <w:br w:type="page"/>
      </w:r>
    </w:p>
    <w:bookmarkEnd w:id="71"/>
    <w:p w14:paraId="2E46272E">
      <w:pPr>
        <w:pStyle w:val="756"/>
        <w:jc w:val="center"/>
        <w:rPr>
          <w:rFonts w:ascii="仿宋" w:hAnsi="仿宋" w:eastAsia="仿宋"/>
          <w:b/>
          <w:sz w:val="32"/>
          <w:szCs w:val="32"/>
        </w:rPr>
      </w:pPr>
      <w:bookmarkStart w:id="620" w:name="_Toc303334015"/>
      <w:bookmarkEnd w:id="620"/>
      <w:bookmarkStart w:id="621" w:name="_Toc303360440"/>
      <w:bookmarkEnd w:id="621"/>
      <w:bookmarkStart w:id="622" w:name="_Toc151060225"/>
      <w:r>
        <w:rPr>
          <w:rFonts w:hint="eastAsia" w:ascii="仿宋" w:hAnsi="仿宋" w:eastAsia="仿宋"/>
          <w:b/>
          <w:sz w:val="32"/>
          <w:szCs w:val="32"/>
        </w:rPr>
        <w:t>第七部分  响应文件格式</w:t>
      </w:r>
      <w:bookmarkEnd w:id="622"/>
    </w:p>
    <w:p w14:paraId="74EFF544">
      <w:pPr>
        <w:pStyle w:val="330"/>
        <w:spacing w:line="360" w:lineRule="auto"/>
        <w:jc w:val="center"/>
        <w:rPr>
          <w:rFonts w:ascii="仿宋" w:hAnsi="仿宋" w:eastAsia="仿宋"/>
          <w:b/>
          <w:szCs w:val="24"/>
        </w:rPr>
      </w:pPr>
    </w:p>
    <w:p w14:paraId="1F71CFA6">
      <w:pPr>
        <w:keepNext/>
        <w:keepLines/>
        <w:adjustRightInd w:val="0"/>
        <w:spacing w:before="200" w:after="200"/>
        <w:jc w:val="center"/>
        <w:textAlignment w:val="baseline"/>
        <w:outlineLvl w:val="1"/>
        <w:rPr>
          <w:rFonts w:ascii="仿宋" w:hAnsi="仿宋" w:eastAsia="仿宋" w:cs="宋体"/>
          <w:b/>
          <w:bCs/>
          <w:kern w:val="0"/>
          <w:sz w:val="28"/>
          <w:szCs w:val="28"/>
        </w:rPr>
      </w:pPr>
      <w:r>
        <w:rPr>
          <w:rFonts w:hint="eastAsia" w:ascii="仿宋" w:hAnsi="仿宋" w:eastAsia="仿宋" w:cs="宋体"/>
          <w:b/>
          <w:bCs/>
          <w:kern w:val="0"/>
          <w:sz w:val="28"/>
          <w:szCs w:val="28"/>
        </w:rPr>
        <w:t>供应商提交文件须知</w:t>
      </w:r>
    </w:p>
    <w:p w14:paraId="4EF31241">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1.为保证评标工作的顺利进行，各供应商需参照如下的格式，认真进行响应文件的编写工作。需建立详细的目录。</w:t>
      </w:r>
    </w:p>
    <w:p w14:paraId="3A2BDCFE">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2.各供应商提交文件中涉及商业机密的，应明确标明，采购人及最终用户将给予保密处理，否则视为公开资料。</w:t>
      </w:r>
    </w:p>
    <w:p w14:paraId="20A7B122">
      <w:pPr>
        <w:pStyle w:val="59"/>
        <w:spacing w:line="500" w:lineRule="exact"/>
        <w:ind w:firstLine="240"/>
        <w:rPr>
          <w:rFonts w:hint="eastAsia" w:ascii="仿宋" w:hAnsi="仿宋" w:eastAsia="仿宋" w:cs="Times New Roman"/>
          <w:b w:val="0"/>
          <w:bCs w:val="0"/>
          <w:snapToGrid w:val="0"/>
          <w:color w:val="000000" w:themeColor="text1"/>
          <w:kern w:val="0"/>
          <w:sz w:val="24"/>
          <w:szCs w:val="22"/>
          <w:lang w:val="en-US" w:eastAsia="zh-TW" w:bidi="ar-SA"/>
        </w:rPr>
      </w:pPr>
      <w:r>
        <w:rPr>
          <w:rFonts w:hint="eastAsia" w:ascii="仿宋" w:hAnsi="仿宋" w:eastAsia="仿宋" w:cs="Times New Roman"/>
          <w:b w:val="0"/>
          <w:bCs w:val="0"/>
          <w:snapToGrid w:val="0"/>
          <w:color w:val="000000" w:themeColor="text1"/>
          <w:kern w:val="0"/>
          <w:sz w:val="24"/>
          <w:szCs w:val="22"/>
          <w:lang w:val="en-US" w:eastAsia="zh-TW" w:bidi="ar-SA"/>
        </w:rPr>
        <w:t>全部声明和问题的回答及所附材料必须是真实的、准确的和完整的。</w:t>
      </w:r>
    </w:p>
    <w:p w14:paraId="20115340">
      <w:pPr>
        <w:rPr>
          <w:rFonts w:ascii="仿宋" w:hAnsi="仿宋" w:eastAsia="仿宋"/>
          <w:kern w:val="0"/>
          <w:sz w:val="24"/>
        </w:rPr>
      </w:pPr>
      <w:r>
        <w:rPr>
          <w:rFonts w:ascii="仿宋" w:hAnsi="仿宋" w:eastAsia="仿宋"/>
          <w:kern w:val="0"/>
          <w:sz w:val="24"/>
        </w:rPr>
        <w:br w:type="page"/>
      </w:r>
    </w:p>
    <w:p w14:paraId="25F213EE">
      <w:pPr>
        <w:spacing w:line="700" w:lineRule="exact"/>
        <w:rPr>
          <w:rFonts w:ascii="仿宋" w:hAnsi="仿宋" w:eastAsia="仿宋" w:cs="仿宋"/>
          <w:b/>
          <w:bCs/>
          <w:color w:val="auto"/>
          <w:spacing w:val="20"/>
          <w:sz w:val="32"/>
          <w:szCs w:val="32"/>
        </w:rPr>
      </w:pPr>
    </w:p>
    <w:p w14:paraId="3B555126">
      <w:pPr>
        <w:pStyle w:val="7"/>
        <w:jc w:val="center"/>
        <w:rPr>
          <w:rFonts w:hint="eastAsia" w:ascii="仿宋" w:hAnsi="仿宋" w:eastAsia="仿宋" w:cs="仿宋"/>
          <w:color w:val="auto"/>
          <w:sz w:val="44"/>
          <w:szCs w:val="44"/>
        </w:rPr>
      </w:pPr>
    </w:p>
    <w:p w14:paraId="1874D1D8">
      <w:pPr>
        <w:pStyle w:val="7"/>
        <w:jc w:val="center"/>
        <w:rPr>
          <w:rFonts w:hint="eastAsia" w:ascii="仿宋" w:hAnsi="仿宋" w:eastAsia="仿宋" w:cs="仿宋"/>
          <w:color w:val="auto"/>
          <w:sz w:val="44"/>
          <w:szCs w:val="44"/>
        </w:rPr>
      </w:pPr>
    </w:p>
    <w:p w14:paraId="0F53D0CF">
      <w:pPr>
        <w:pStyle w:val="7"/>
        <w:jc w:val="center"/>
        <w:rPr>
          <w:rFonts w:ascii="仿宋" w:hAnsi="仿宋" w:eastAsia="仿宋" w:cs="仿宋"/>
          <w:color w:val="auto"/>
          <w:sz w:val="44"/>
          <w:szCs w:val="44"/>
        </w:rPr>
      </w:pPr>
      <w:r>
        <w:rPr>
          <w:rFonts w:hint="eastAsia" w:ascii="仿宋" w:hAnsi="仿宋" w:eastAsia="仿宋" w:cs="仿宋"/>
          <w:color w:val="auto"/>
          <w:sz w:val="44"/>
          <w:szCs w:val="44"/>
        </w:rPr>
        <w:t>响 应 文 件</w:t>
      </w:r>
    </w:p>
    <w:p w14:paraId="3B553E14">
      <w:pPr>
        <w:pStyle w:val="7"/>
        <w:ind w:left="0" w:leftChars="0"/>
        <w:rPr>
          <w:rFonts w:ascii="仿宋" w:hAnsi="仿宋" w:eastAsia="仿宋" w:cs="仿宋"/>
          <w:color w:val="auto"/>
          <w:szCs w:val="24"/>
        </w:rPr>
      </w:pPr>
    </w:p>
    <w:p w14:paraId="25E9440E">
      <w:pPr>
        <w:rPr>
          <w:rFonts w:ascii="仿宋" w:hAnsi="仿宋" w:eastAsia="仿宋" w:cs="仿宋"/>
          <w:color w:val="auto"/>
          <w:sz w:val="24"/>
        </w:rPr>
      </w:pPr>
    </w:p>
    <w:p w14:paraId="6BE36CF8">
      <w:pPr>
        <w:widowControl/>
        <w:ind w:firstLine="622"/>
        <w:jc w:val="left"/>
        <w:rPr>
          <w:rFonts w:ascii="仿宋" w:hAnsi="仿宋" w:eastAsia="仿宋" w:cs="仿宋"/>
          <w:b/>
          <w:bCs/>
          <w:color w:val="000000"/>
          <w:kern w:val="0"/>
          <w:sz w:val="31"/>
          <w:szCs w:val="31"/>
          <w:lang w:bidi="ar"/>
        </w:rPr>
      </w:pPr>
    </w:p>
    <w:p w14:paraId="35569DC0">
      <w:pPr>
        <w:widowControl/>
        <w:jc w:val="center"/>
        <w:rPr>
          <w:rFonts w:ascii="仿宋" w:hAnsi="仿宋" w:eastAsia="仿宋" w:cs="仿宋"/>
        </w:rPr>
      </w:pPr>
      <w:r>
        <w:rPr>
          <w:rFonts w:hint="eastAsia" w:ascii="仿宋" w:hAnsi="仿宋" w:eastAsia="仿宋" w:cs="仿宋"/>
          <w:b/>
          <w:bCs/>
          <w:color w:val="000000"/>
          <w:kern w:val="0"/>
          <w:sz w:val="31"/>
          <w:szCs w:val="31"/>
          <w:lang w:bidi="ar"/>
        </w:rPr>
        <w:t>项目名称:</w:t>
      </w:r>
    </w:p>
    <w:p w14:paraId="59986319">
      <w:pPr>
        <w:spacing w:line="480" w:lineRule="auto"/>
        <w:jc w:val="center"/>
        <w:rPr>
          <w:rFonts w:hint="eastAsia" w:ascii="仿宋" w:hAnsi="仿宋" w:eastAsia="仿宋" w:cs="仿宋"/>
          <w:b/>
          <w:bCs/>
          <w:color w:val="000000"/>
          <w:kern w:val="0"/>
          <w:sz w:val="31"/>
          <w:szCs w:val="31"/>
          <w:lang w:eastAsia="zh-CN" w:bidi="ar"/>
        </w:rPr>
      </w:pPr>
      <w:r>
        <w:rPr>
          <w:rFonts w:hint="eastAsia" w:ascii="仿宋" w:hAnsi="仿宋" w:eastAsia="仿宋" w:cs="仿宋"/>
          <w:b/>
          <w:bCs/>
          <w:color w:val="000000"/>
          <w:kern w:val="0"/>
          <w:sz w:val="31"/>
          <w:szCs w:val="31"/>
          <w:lang w:bidi="ar"/>
        </w:rPr>
        <w:t>项目编号</w:t>
      </w:r>
      <w:r>
        <w:rPr>
          <w:rFonts w:hint="eastAsia" w:ascii="仿宋" w:hAnsi="仿宋" w:eastAsia="仿宋" w:cs="仿宋"/>
          <w:b/>
          <w:bCs/>
          <w:color w:val="000000"/>
          <w:kern w:val="0"/>
          <w:sz w:val="31"/>
          <w:szCs w:val="31"/>
          <w:lang w:eastAsia="zh-CN" w:bidi="ar"/>
        </w:rPr>
        <w:t>：</w:t>
      </w:r>
    </w:p>
    <w:p w14:paraId="18795F97">
      <w:pPr>
        <w:spacing w:line="480" w:lineRule="auto"/>
        <w:jc w:val="left"/>
        <w:rPr>
          <w:rFonts w:hint="eastAsia" w:ascii="仿宋" w:hAnsi="仿宋" w:eastAsia="仿宋" w:cs="仿宋"/>
          <w:b/>
          <w:bCs/>
          <w:color w:val="auto"/>
          <w:sz w:val="28"/>
          <w:szCs w:val="28"/>
        </w:rPr>
      </w:pPr>
    </w:p>
    <w:p w14:paraId="6F14694C">
      <w:pPr>
        <w:spacing w:line="480" w:lineRule="auto"/>
        <w:jc w:val="left"/>
        <w:rPr>
          <w:rFonts w:hint="eastAsia" w:ascii="仿宋" w:hAnsi="仿宋" w:eastAsia="仿宋" w:cs="仿宋"/>
          <w:b/>
          <w:bCs/>
          <w:color w:val="auto"/>
          <w:sz w:val="28"/>
          <w:szCs w:val="28"/>
        </w:rPr>
      </w:pPr>
    </w:p>
    <w:p w14:paraId="302EE97F">
      <w:pPr>
        <w:spacing w:line="480" w:lineRule="auto"/>
        <w:jc w:val="left"/>
        <w:rPr>
          <w:rFonts w:hint="eastAsia" w:ascii="仿宋" w:hAnsi="仿宋" w:eastAsia="仿宋" w:cs="仿宋"/>
          <w:b/>
          <w:bCs/>
          <w:color w:val="auto"/>
          <w:sz w:val="28"/>
          <w:szCs w:val="28"/>
        </w:rPr>
      </w:pPr>
    </w:p>
    <w:p w14:paraId="0F87B8BC">
      <w:pPr>
        <w:spacing w:line="480" w:lineRule="auto"/>
        <w:jc w:val="left"/>
        <w:rPr>
          <w:rFonts w:hint="eastAsia" w:ascii="仿宋" w:hAnsi="仿宋" w:eastAsia="仿宋" w:cs="仿宋"/>
          <w:b/>
          <w:bCs/>
          <w:color w:val="auto"/>
          <w:sz w:val="28"/>
          <w:szCs w:val="28"/>
        </w:rPr>
      </w:pPr>
    </w:p>
    <w:p w14:paraId="78A263EC">
      <w:pPr>
        <w:spacing w:line="480" w:lineRule="auto"/>
        <w:jc w:val="left"/>
        <w:rPr>
          <w:rFonts w:hint="eastAsia" w:ascii="仿宋" w:hAnsi="仿宋" w:eastAsia="仿宋" w:cs="仿宋"/>
          <w:b/>
          <w:bCs/>
          <w:color w:val="auto"/>
          <w:sz w:val="28"/>
          <w:szCs w:val="28"/>
        </w:rPr>
      </w:pPr>
    </w:p>
    <w:p w14:paraId="33DA8D3F">
      <w:pPr>
        <w:spacing w:line="480" w:lineRule="auto"/>
        <w:ind w:firstLine="1687" w:firstLineChars="600"/>
        <w:jc w:val="left"/>
        <w:rPr>
          <w:rFonts w:ascii="仿宋" w:hAnsi="仿宋" w:eastAsia="仿宋" w:cs="仿宋"/>
          <w:b/>
          <w:bCs/>
          <w:color w:val="auto"/>
          <w:sz w:val="28"/>
          <w:szCs w:val="28"/>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val="en-US" w:eastAsia="zh-CN"/>
        </w:rPr>
        <w:t>名称</w:t>
      </w:r>
      <w:r>
        <w:rPr>
          <w:rFonts w:hint="eastAsia" w:ascii="仿宋" w:hAnsi="仿宋" w:eastAsia="仿宋" w:cs="仿宋"/>
          <w:b/>
          <w:bCs/>
          <w:color w:val="auto"/>
          <w:sz w:val="28"/>
          <w:szCs w:val="28"/>
        </w:rPr>
        <w:t>（盖</w:t>
      </w:r>
      <w:r>
        <w:rPr>
          <w:rFonts w:hint="eastAsia" w:ascii="仿宋" w:hAnsi="仿宋" w:eastAsia="仿宋" w:cs="仿宋"/>
          <w:b/>
          <w:bCs/>
          <w:color w:val="auto"/>
          <w:sz w:val="28"/>
          <w:szCs w:val="28"/>
          <w:lang w:eastAsia="zh-CN"/>
        </w:rPr>
        <w:t>公</w:t>
      </w:r>
      <w:r>
        <w:rPr>
          <w:rFonts w:hint="eastAsia" w:ascii="仿宋" w:hAnsi="仿宋" w:eastAsia="仿宋" w:cs="仿宋"/>
          <w:b/>
          <w:bCs/>
          <w:color w:val="auto"/>
          <w:sz w:val="28"/>
          <w:szCs w:val="28"/>
        </w:rPr>
        <w:t xml:space="preserve">章）： </w:t>
      </w:r>
    </w:p>
    <w:p w14:paraId="6CC6AFAA">
      <w:pPr>
        <w:spacing w:line="480" w:lineRule="auto"/>
        <w:ind w:firstLine="1687" w:firstLineChars="600"/>
        <w:jc w:val="left"/>
        <w:rPr>
          <w:rFonts w:ascii="仿宋" w:hAnsi="仿宋" w:eastAsia="仿宋" w:cs="仿宋"/>
          <w:color w:val="auto"/>
          <w:sz w:val="28"/>
          <w:szCs w:val="28"/>
        </w:rPr>
      </w:pPr>
      <w:r>
        <w:rPr>
          <w:rFonts w:hint="eastAsia" w:ascii="仿宋" w:hAnsi="仿宋" w:eastAsia="仿宋" w:cs="仿宋"/>
          <w:b/>
          <w:bCs/>
          <w:color w:val="auto"/>
          <w:sz w:val="28"/>
          <w:szCs w:val="28"/>
        </w:rPr>
        <w:t>法定代表人或委托代理人（签字或盖章）：</w:t>
      </w:r>
    </w:p>
    <w:p w14:paraId="7482EB76">
      <w:pPr>
        <w:spacing w:line="480" w:lineRule="auto"/>
        <w:ind w:firstLine="2108" w:firstLineChars="75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日期：</w:t>
      </w:r>
      <w:r>
        <w:rPr>
          <w:rFonts w:hint="eastAsia" w:ascii="仿宋" w:hAnsi="仿宋" w:eastAsia="仿宋" w:cs="仿宋"/>
          <w:b/>
          <w:bCs/>
          <w:color w:val="auto"/>
          <w:sz w:val="28"/>
          <w:szCs w:val="28"/>
          <w:lang w:val="en-US" w:eastAsia="zh-CN"/>
        </w:rPr>
        <w:t xml:space="preserve"> 年  月 日</w:t>
      </w:r>
    </w:p>
    <w:p w14:paraId="625A2A92">
      <w:pPr>
        <w:pStyle w:val="29"/>
        <w:tabs>
          <w:tab w:val="left" w:pos="0"/>
          <w:tab w:val="left" w:pos="3239"/>
          <w:tab w:val="center" w:pos="4144"/>
        </w:tabs>
        <w:spacing w:before="157" w:after="157" w:line="240" w:lineRule="auto"/>
        <w:ind w:left="0" w:leftChars="0" w:right="1470"/>
        <w:jc w:val="left"/>
        <w:outlineLvl w:val="1"/>
        <w:rPr>
          <w:rFonts w:ascii="仿宋" w:hAnsi="仿宋" w:eastAsia="仿宋" w:cs="仿宋"/>
          <w:b/>
          <w:color w:val="auto"/>
          <w:sz w:val="28"/>
          <w:szCs w:val="28"/>
        </w:rPr>
      </w:pPr>
    </w:p>
    <w:p w14:paraId="2CAF9A56">
      <w:pPr>
        <w:tabs>
          <w:tab w:val="left" w:pos="709"/>
          <w:tab w:val="left" w:pos="1200"/>
        </w:tabs>
        <w:adjustRightInd w:val="0"/>
        <w:spacing w:line="520" w:lineRule="exact"/>
        <w:ind w:firstLine="480" w:firstLineChars="200"/>
        <w:jc w:val="left"/>
        <w:textAlignment w:val="baseline"/>
        <w:rPr>
          <w:rFonts w:ascii="仿宋" w:hAnsi="仿宋" w:eastAsia="仿宋"/>
          <w:kern w:val="0"/>
          <w:sz w:val="24"/>
        </w:rPr>
      </w:pPr>
    </w:p>
    <w:p w14:paraId="622DADC6">
      <w:pPr>
        <w:pStyle w:val="609"/>
        <w:widowControl/>
        <w:numPr>
          <w:ilvl w:val="0"/>
          <w:numId w:val="0"/>
        </w:numPr>
        <w:adjustRightInd w:val="0"/>
        <w:snapToGrid w:val="0"/>
        <w:ind w:leftChars="0"/>
        <w:jc w:val="center"/>
        <w:rPr>
          <w:rFonts w:hint="eastAsia" w:ascii="仿宋" w:hAnsi="仿宋" w:eastAsia="仿宋"/>
          <w:b/>
          <w:color w:val="auto"/>
          <w:u w:val="none"/>
        </w:rPr>
      </w:pPr>
      <w:r>
        <w:rPr>
          <w:rFonts w:ascii="仿宋" w:hAnsi="仿宋" w:eastAsia="仿宋"/>
          <w:b/>
          <w:color w:val="auto"/>
          <w:sz w:val="28"/>
          <w:szCs w:val="28"/>
        </w:rPr>
        <w:br w:type="page"/>
      </w:r>
    </w:p>
    <w:p w14:paraId="6F4BB727">
      <w:pPr>
        <w:pStyle w:val="609"/>
        <w:widowControl/>
        <w:numPr>
          <w:ilvl w:val="0"/>
          <w:numId w:val="0"/>
        </w:numPr>
        <w:adjustRightInd w:val="0"/>
        <w:snapToGrid w:val="0"/>
        <w:ind w:leftChars="0"/>
        <w:jc w:val="center"/>
        <w:rPr>
          <w:rFonts w:hint="eastAsia" w:ascii="仿宋" w:hAnsi="仿宋" w:eastAsia="仿宋"/>
          <w:b/>
          <w:color w:val="auto"/>
          <w:u w:val="none"/>
        </w:rPr>
      </w:pPr>
    </w:p>
    <w:p w14:paraId="63DF5F72">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70D91587">
      <w:pPr>
        <w:bidi w:val="0"/>
        <w:jc w:val="center"/>
        <w:rPr>
          <w:rFonts w:hint="eastAsia" w:ascii="宋体" w:hAnsi="宋体" w:eastAsia="宋体" w:cs="宋体"/>
          <w:b/>
          <w:bCs/>
          <w:color w:val="auto"/>
          <w:sz w:val="24"/>
          <w:szCs w:val="24"/>
          <w:highlight w:val="none"/>
        </w:rPr>
      </w:pPr>
    </w:p>
    <w:p w14:paraId="7F587899">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6A7A865E">
      <w:pPr>
        <w:rPr>
          <w:rFonts w:hint="eastAsia" w:ascii="仿宋" w:hAnsi="仿宋" w:eastAsia="仿宋" w:cs="Times New Roman"/>
          <w:b/>
          <w:snapToGrid w:val="0"/>
          <w:kern w:val="0"/>
          <w:sz w:val="24"/>
          <w:szCs w:val="24"/>
          <w:lang w:val="en-US" w:eastAsia="zh-CN" w:bidi="ar-SA"/>
        </w:rPr>
      </w:pPr>
      <w:r>
        <w:rPr>
          <w:rFonts w:hint="eastAsia" w:ascii="仿宋" w:hAnsi="仿宋" w:eastAsia="仿宋" w:cs="Times New Roman"/>
          <w:b/>
          <w:snapToGrid w:val="0"/>
          <w:kern w:val="0"/>
          <w:sz w:val="24"/>
          <w:szCs w:val="24"/>
          <w:lang w:val="en-US" w:eastAsia="zh-CN" w:bidi="ar-SA"/>
        </w:rPr>
        <w:br w:type="page"/>
      </w:r>
    </w:p>
    <w:p w14:paraId="3B8052CF">
      <w:pPr>
        <w:pStyle w:val="747"/>
        <w:jc w:val="center"/>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34232842">
      <w:pPr>
        <w:pStyle w:val="747"/>
        <w:jc w:val="center"/>
        <w:outlineLvl w:val="2"/>
        <w:rPr>
          <w:rFonts w:hint="eastAsia" w:ascii="仿宋" w:hAnsi="仿宋" w:eastAsia="仿宋"/>
          <w:snapToGrid w:val="0"/>
          <w:sz w:val="24"/>
          <w:szCs w:val="24"/>
        </w:rPr>
      </w:pPr>
    </w:p>
    <w:p w14:paraId="52CCB868">
      <w:pPr>
        <w:rPr>
          <w:rFonts w:ascii="仿宋" w:hAnsi="仿宋" w:eastAsia="仿宋"/>
          <w:bCs/>
          <w:sz w:val="24"/>
        </w:rPr>
      </w:pPr>
      <w:r>
        <w:rPr>
          <w:rFonts w:ascii="仿宋" w:hAnsi="仿宋" w:eastAsia="仿宋"/>
          <w:bCs/>
          <w:sz w:val="24"/>
        </w:rPr>
        <w:br w:type="page"/>
      </w:r>
    </w:p>
    <w:p w14:paraId="7C950169">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68F918D8">
      <w:pPr>
        <w:widowControl/>
        <w:spacing w:line="440" w:lineRule="exact"/>
        <w:jc w:val="left"/>
        <w:rPr>
          <w:rFonts w:ascii="仿宋" w:hAnsi="仿宋" w:eastAsia="仿宋" w:cs="仿宋"/>
          <w:b/>
          <w:color w:val="auto"/>
          <w:kern w:val="0"/>
          <w:sz w:val="24"/>
          <w:szCs w:val="22"/>
        </w:rPr>
      </w:pPr>
    </w:p>
    <w:p w14:paraId="4B1D12C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846FAC4">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7E1C40E">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2AFFFA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297BB0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D360579">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A9C30D1">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5E3166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C86B1A3">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C4815D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165D43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0E0ADD2">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9227DA4">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0469CA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DB06009">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A15FEC0">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F3A5B6F">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E24A01B">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D9EA1D0">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F70C3A6">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DFB207D">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EFD9AA8">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7255BA1B">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29FF796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32101716">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5EE1B88A">
      <w:pPr>
        <w:pStyle w:val="7"/>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02413425">
      <w:pPr>
        <w:shd w:val="clear" w:color="auto" w:fill="FFFFFF"/>
        <w:spacing w:line="440" w:lineRule="exact"/>
        <w:rPr>
          <w:rFonts w:hint="eastAsia" w:ascii="仿宋" w:hAnsi="仿宋" w:eastAsia="仿宋" w:cs="仿宋"/>
          <w:snapToGrid w:val="0"/>
          <w:color w:val="auto"/>
          <w:kern w:val="0"/>
          <w:sz w:val="24"/>
        </w:rPr>
      </w:pPr>
    </w:p>
    <w:p w14:paraId="05D53405">
      <w:pPr>
        <w:rPr>
          <w:rFonts w:ascii="仿宋" w:hAnsi="仿宋" w:eastAsia="仿宋" w:cs="仿宋"/>
          <w:bCs/>
          <w:color w:val="auto"/>
          <w:sz w:val="24"/>
        </w:rPr>
      </w:pPr>
      <w:r>
        <w:rPr>
          <w:rFonts w:ascii="仿宋" w:hAnsi="仿宋" w:eastAsia="仿宋" w:cs="仿宋"/>
          <w:bCs/>
          <w:color w:val="auto"/>
          <w:sz w:val="24"/>
        </w:rPr>
        <w:br w:type="page"/>
      </w:r>
    </w:p>
    <w:p w14:paraId="52D19AC4">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056A1BAE">
      <w:pPr>
        <w:shd w:val="clear" w:color="auto" w:fill="FFFFFF"/>
        <w:spacing w:line="440" w:lineRule="exact"/>
        <w:rPr>
          <w:rFonts w:ascii="仿宋" w:hAnsi="仿宋" w:eastAsia="仿宋" w:cs="仿宋"/>
          <w:bCs/>
          <w:snapToGrid w:val="0"/>
          <w:color w:val="auto"/>
          <w:kern w:val="0"/>
          <w:sz w:val="24"/>
        </w:rPr>
      </w:pPr>
    </w:p>
    <w:p w14:paraId="2B293021">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35BC7772">
      <w:pPr>
        <w:shd w:val="clear" w:color="auto" w:fill="FFFFFF"/>
        <w:spacing w:line="440" w:lineRule="exact"/>
        <w:rPr>
          <w:rFonts w:ascii="仿宋" w:hAnsi="仿宋" w:eastAsia="仿宋" w:cs="仿宋"/>
          <w:bCs/>
          <w:snapToGrid w:val="0"/>
          <w:color w:val="auto"/>
          <w:kern w:val="0"/>
          <w:sz w:val="24"/>
        </w:rPr>
      </w:pPr>
    </w:p>
    <w:p w14:paraId="780E903A">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07F9E61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668F45B8">
      <w:pPr>
        <w:shd w:val="clear" w:color="auto" w:fill="FFFFFF"/>
        <w:tabs>
          <w:tab w:val="left" w:pos="996"/>
        </w:tabs>
        <w:spacing w:line="440" w:lineRule="exact"/>
        <w:rPr>
          <w:rFonts w:ascii="仿宋" w:hAnsi="仿宋" w:eastAsia="仿宋" w:cs="仿宋"/>
          <w:snapToGrid w:val="0"/>
          <w:color w:val="auto"/>
          <w:kern w:val="0"/>
          <w:sz w:val="24"/>
        </w:rPr>
      </w:pPr>
    </w:p>
    <w:p w14:paraId="501D7C5A">
      <w:pPr>
        <w:shd w:val="clear" w:color="auto" w:fill="FFFFFF"/>
        <w:tabs>
          <w:tab w:val="left" w:pos="996"/>
        </w:tabs>
        <w:spacing w:line="440" w:lineRule="exact"/>
        <w:rPr>
          <w:rFonts w:ascii="仿宋" w:hAnsi="仿宋" w:eastAsia="仿宋" w:cs="仿宋"/>
          <w:snapToGrid w:val="0"/>
          <w:color w:val="auto"/>
          <w:kern w:val="0"/>
          <w:sz w:val="24"/>
        </w:rPr>
      </w:pPr>
    </w:p>
    <w:p w14:paraId="123E42FC">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4756DD2">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7B976C1B">
      <w:pPr>
        <w:pStyle w:val="609"/>
        <w:widowControl/>
        <w:numPr>
          <w:ilvl w:val="0"/>
          <w:numId w:val="0"/>
        </w:numPr>
        <w:adjustRightInd w:val="0"/>
        <w:snapToGrid w:val="0"/>
        <w:ind w:leftChars="0"/>
        <w:rPr>
          <w:rFonts w:hint="eastAsia" w:ascii="仿宋" w:hAnsi="仿宋" w:eastAsia="仿宋" w:cs="仿宋"/>
          <w:color w:val="auto"/>
          <w:sz w:val="24"/>
          <w:u w:val="none"/>
        </w:rPr>
      </w:pPr>
    </w:p>
    <w:p w14:paraId="5D2EBE44">
      <w:pPr>
        <w:pStyle w:val="609"/>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17B980FB">
      <w:pPr>
        <w:pStyle w:val="609"/>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2C80B211">
      <w:pPr>
        <w:pStyle w:val="609"/>
        <w:widowControl/>
        <w:numPr>
          <w:ilvl w:val="0"/>
          <w:numId w:val="0"/>
        </w:numPr>
        <w:adjustRightInd w:val="0"/>
        <w:snapToGrid w:val="0"/>
        <w:ind w:leftChars="0"/>
        <w:jc w:val="center"/>
        <w:rPr>
          <w:rFonts w:hint="eastAsia" w:ascii="仿宋" w:hAnsi="仿宋" w:eastAsia="仿宋" w:cs="Times New Roman"/>
          <w:b/>
          <w:snapToGrid w:val="0"/>
          <w:kern w:val="0"/>
          <w:sz w:val="28"/>
          <w:szCs w:val="28"/>
          <w:u w:val="none"/>
          <w:lang w:val="en-US" w:eastAsia="zh-CN" w:bidi="ar-SA"/>
        </w:rPr>
      </w:pPr>
      <w:r>
        <w:rPr>
          <w:rFonts w:hint="eastAsia" w:ascii="仿宋" w:hAnsi="仿宋" w:eastAsia="仿宋" w:cs="Times New Roman"/>
          <w:b/>
          <w:snapToGrid w:val="0"/>
          <w:kern w:val="0"/>
          <w:sz w:val="28"/>
          <w:szCs w:val="28"/>
          <w:u w:val="none"/>
          <w:lang w:val="zh-CN" w:eastAsia="zh-CN" w:bidi="ar-SA"/>
        </w:rPr>
        <w:t>参加政府采购活动前三年内，在经营活动中没有重大违法记录</w:t>
      </w:r>
    </w:p>
    <w:p w14:paraId="528358F4">
      <w:pPr>
        <w:shd w:val="clear" w:color="auto" w:fill="FFFFFF"/>
        <w:tabs>
          <w:tab w:val="left" w:pos="996"/>
        </w:tabs>
        <w:spacing w:line="440" w:lineRule="exact"/>
        <w:rPr>
          <w:rFonts w:ascii="仿宋" w:hAnsi="仿宋" w:eastAsia="仿宋"/>
          <w:sz w:val="24"/>
        </w:rPr>
      </w:pPr>
    </w:p>
    <w:p w14:paraId="04EC5DB2">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08052178">
      <w:pPr>
        <w:shd w:val="clear" w:color="auto" w:fill="FFFFFF"/>
        <w:tabs>
          <w:tab w:val="left" w:pos="996"/>
        </w:tabs>
        <w:spacing w:line="440" w:lineRule="exact"/>
        <w:rPr>
          <w:rFonts w:ascii="仿宋" w:hAnsi="仿宋" w:eastAsia="仿宋"/>
          <w:sz w:val="24"/>
        </w:rPr>
      </w:pPr>
    </w:p>
    <w:p w14:paraId="703EE7CB">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39CC85D9">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41BCE449">
      <w:pPr>
        <w:shd w:val="clear" w:color="auto" w:fill="FFFFFF"/>
        <w:tabs>
          <w:tab w:val="left" w:pos="996"/>
        </w:tabs>
        <w:spacing w:line="440" w:lineRule="exact"/>
        <w:rPr>
          <w:rFonts w:ascii="仿宋" w:hAnsi="仿宋" w:eastAsia="仿宋"/>
          <w:sz w:val="24"/>
        </w:rPr>
      </w:pPr>
    </w:p>
    <w:p w14:paraId="6A233C4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79096FE3">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3E548DFC">
      <w:pPr>
        <w:shd w:val="clear" w:color="auto" w:fill="FFFFFF"/>
        <w:tabs>
          <w:tab w:val="left" w:pos="996"/>
        </w:tabs>
        <w:spacing w:line="440" w:lineRule="exact"/>
        <w:rPr>
          <w:rFonts w:ascii="仿宋" w:hAnsi="仿宋" w:eastAsia="仿宋"/>
          <w:sz w:val="24"/>
        </w:rPr>
      </w:pPr>
    </w:p>
    <w:p w14:paraId="7C61FFAC">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7EB78C91">
      <w:pPr>
        <w:shd w:val="clear" w:color="auto" w:fill="FFFFFF"/>
        <w:tabs>
          <w:tab w:val="left" w:pos="996"/>
        </w:tabs>
        <w:spacing w:line="440" w:lineRule="exact"/>
        <w:rPr>
          <w:rFonts w:ascii="仿宋" w:hAnsi="仿宋" w:eastAsia="仿宋"/>
          <w:sz w:val="24"/>
        </w:rPr>
      </w:pPr>
    </w:p>
    <w:p w14:paraId="5FF5E0D1">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5F88B17B">
      <w:pPr>
        <w:shd w:val="clear" w:color="auto" w:fill="FFFFFF"/>
        <w:spacing w:line="440" w:lineRule="exact"/>
        <w:jc w:val="left"/>
        <w:rPr>
          <w:rFonts w:ascii="仿宋" w:hAnsi="仿宋" w:eastAsia="仿宋"/>
          <w:kern w:val="0"/>
          <w:sz w:val="24"/>
        </w:rPr>
      </w:pPr>
      <w:r>
        <w:rPr>
          <w:rFonts w:ascii="仿宋" w:hAnsi="仿宋" w:eastAsia="仿宋"/>
          <w:kern w:val="0"/>
          <w:sz w:val="24"/>
        </w:rPr>
        <w:br w:type="page"/>
      </w:r>
    </w:p>
    <w:p w14:paraId="43D90970">
      <w:pPr>
        <w:shd w:val="clear" w:color="auto" w:fill="FFFFFF"/>
        <w:spacing w:line="440" w:lineRule="exact"/>
        <w:jc w:val="center"/>
        <w:rPr>
          <w:rFonts w:hint="eastAsia" w:ascii="仿宋" w:hAnsi="仿宋" w:eastAsia="仿宋" w:cs="仿宋"/>
          <w:b/>
          <w:bCs/>
          <w:color w:val="auto"/>
          <w:sz w:val="28"/>
          <w:szCs w:val="28"/>
        </w:rPr>
      </w:pPr>
    </w:p>
    <w:p w14:paraId="6D4CD323">
      <w:pPr>
        <w:shd w:val="clear" w:color="auto" w:fill="FFFFFF"/>
        <w:spacing w:line="440" w:lineRule="exact"/>
        <w:jc w:val="center"/>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中小企业声明函</w:t>
      </w:r>
      <w:r>
        <w:rPr>
          <w:rFonts w:hint="eastAsia" w:ascii="仿宋" w:hAnsi="仿宋" w:eastAsia="仿宋" w:cs="仿宋"/>
          <w:b/>
          <w:bCs/>
          <w:color w:val="auto"/>
          <w:sz w:val="28"/>
          <w:szCs w:val="28"/>
          <w:lang w:eastAsia="zh-CN"/>
        </w:rPr>
        <w:t>（工程）</w:t>
      </w:r>
    </w:p>
    <w:p w14:paraId="5F0851AD">
      <w:pPr>
        <w:widowControl/>
        <w:jc w:val="left"/>
        <w:rPr>
          <w:rFonts w:ascii="仿宋" w:hAnsi="仿宋" w:eastAsia="仿宋" w:cs="仿宋"/>
          <w:color w:val="auto"/>
          <w:sz w:val="24"/>
        </w:rPr>
      </w:pPr>
    </w:p>
    <w:p w14:paraId="4216AB98">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本公司（联合体）郑重声明，根据《政府采购促进中小企业发展管理办法》（财库[2020]46号）的规定，本公司（联合体）参加</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（单位名称）的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项目</w:t>
      </w:r>
      <w:r>
        <w:rPr>
          <w:rFonts w:hint="eastAsia" w:ascii="仿宋" w:hAnsi="仿宋" w:eastAsia="仿宋" w:cs="仿宋"/>
          <w:color w:val="auto"/>
          <w:sz w:val="24"/>
        </w:rPr>
        <w:t>名称）采购活动，服务全部由符合政策要求的中小企业承接。相关企业（含联合体中的中小企业、签订分包意向协议的中小企业）的具体情况如下：</w:t>
      </w:r>
    </w:p>
    <w:p w14:paraId="6861991D">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i w:val="0"/>
          <w:iCs/>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lang w:val="en-US" w:eastAsia="zh-CN"/>
        </w:rPr>
        <w:t>建筑业</w:t>
      </w:r>
      <w:r>
        <w:rPr>
          <w:rFonts w:hint="eastAsia" w:ascii="仿宋" w:hAnsi="仿宋" w:eastAsia="仿宋" w:cs="仿宋"/>
          <w:i w:val="0"/>
          <w:iCs/>
          <w:color w:val="auto"/>
          <w:sz w:val="24"/>
          <w:u w:val="single"/>
        </w:rPr>
        <w:t>（</w:t>
      </w:r>
      <w:r>
        <w:rPr>
          <w:rFonts w:hint="eastAsia" w:ascii="仿宋" w:hAnsi="仿宋" w:eastAsia="仿宋" w:cs="仿宋"/>
          <w:i/>
          <w:color w:val="auto"/>
          <w:sz w:val="24"/>
          <w:u w:val="single"/>
        </w:rPr>
        <w:t>采购文件中明确的所属行业</w:t>
      </w:r>
      <w:r>
        <w:rPr>
          <w:rFonts w:hint="eastAsia" w:ascii="仿宋" w:hAnsi="仿宋" w:eastAsia="仿宋" w:cs="仿宋"/>
          <w:i w:val="0"/>
          <w:iCs/>
          <w:color w:val="auto"/>
          <w:sz w:val="24"/>
          <w:u w:val="single"/>
        </w:rPr>
        <w:t>）</w:t>
      </w:r>
      <w:r>
        <w:rPr>
          <w:rFonts w:hint="eastAsia" w:ascii="仿宋" w:hAnsi="仿宋" w:eastAsia="仿宋" w:cs="仿宋"/>
          <w:color w:val="auto"/>
          <w:sz w:val="24"/>
        </w:rPr>
        <w:t>；承建（承接）企业为</w:t>
      </w:r>
      <w:r>
        <w:rPr>
          <w:rFonts w:hint="eastAsia" w:ascii="仿宋" w:hAnsi="仿宋" w:eastAsia="仿宋" w:cs="仿宋"/>
          <w:i w:val="0"/>
          <w:iCs/>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万元 ，属于</w:t>
      </w:r>
      <w:r>
        <w:rPr>
          <w:rFonts w:hint="eastAsia" w:ascii="仿宋" w:hAnsi="仿宋" w:eastAsia="仿宋" w:cs="仿宋"/>
          <w:color w:val="auto"/>
          <w:sz w:val="24"/>
          <w:u w:val="single"/>
          <w:lang w:val="en-US" w:eastAsia="zh-CN"/>
        </w:rPr>
        <w:t xml:space="preserve"> </w:t>
      </w:r>
      <w:r>
        <w:rPr>
          <w:rFonts w:hint="eastAsia" w:ascii="仿宋" w:hAnsi="仿宋" w:eastAsia="仿宋" w:cs="仿宋"/>
          <w:i/>
          <w:color w:val="auto"/>
          <w:sz w:val="24"/>
          <w:u w:val="single"/>
        </w:rPr>
        <w:t>（中型企业、小型企业、微型企业）</w:t>
      </w:r>
      <w:r>
        <w:rPr>
          <w:rFonts w:hint="eastAsia" w:ascii="仿宋" w:hAnsi="仿宋" w:eastAsia="仿宋" w:cs="仿宋"/>
          <w:color w:val="auto"/>
          <w:sz w:val="24"/>
        </w:rPr>
        <w:t>；</w:t>
      </w:r>
    </w:p>
    <w:p w14:paraId="566E2122">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i/>
          <w:color w:val="auto"/>
          <w:sz w:val="24"/>
          <w:u w:val="single"/>
        </w:rPr>
        <w:t>（标的名称）</w:t>
      </w:r>
      <w:r>
        <w:rPr>
          <w:rFonts w:hint="eastAsia" w:ascii="仿宋" w:hAnsi="仿宋" w:eastAsia="仿宋" w:cs="仿宋"/>
          <w:color w:val="auto"/>
          <w:sz w:val="24"/>
        </w:rPr>
        <w:t>，属于</w:t>
      </w:r>
      <w:r>
        <w:rPr>
          <w:rFonts w:hint="eastAsia" w:ascii="仿宋" w:hAnsi="仿宋" w:eastAsia="仿宋" w:cs="仿宋"/>
          <w:i/>
          <w:color w:val="auto"/>
          <w:sz w:val="24"/>
          <w:u w:val="single"/>
        </w:rPr>
        <w:t>（采购文件中明确的所属行业）</w:t>
      </w:r>
      <w:r>
        <w:rPr>
          <w:rFonts w:hint="eastAsia" w:ascii="仿宋" w:hAnsi="仿宋" w:eastAsia="仿宋" w:cs="仿宋"/>
          <w:color w:val="auto"/>
          <w:sz w:val="24"/>
        </w:rPr>
        <w:t>；承建（承接）企业为</w:t>
      </w:r>
      <w:r>
        <w:rPr>
          <w:rFonts w:hint="eastAsia" w:ascii="仿宋" w:hAnsi="仿宋" w:eastAsia="仿宋" w:cs="仿宋"/>
          <w:i/>
          <w:color w:val="auto"/>
          <w:sz w:val="24"/>
          <w:u w:val="single"/>
        </w:rPr>
        <w:t>（企业名称）</w:t>
      </w:r>
      <w:r>
        <w:rPr>
          <w:rFonts w:hint="eastAsia" w:ascii="仿宋" w:hAnsi="仿宋" w:eastAsia="仿宋" w:cs="仿宋"/>
          <w:color w:val="auto"/>
          <w:sz w:val="24"/>
        </w:rPr>
        <w:t>，从业人员人，营业收入为万元，资产总额为万元，属于</w:t>
      </w:r>
      <w:r>
        <w:rPr>
          <w:rFonts w:hint="eastAsia" w:ascii="仿宋" w:hAnsi="仿宋" w:eastAsia="仿宋" w:cs="仿宋"/>
          <w:i/>
          <w:color w:val="auto"/>
          <w:sz w:val="24"/>
          <w:u w:val="single"/>
        </w:rPr>
        <w:t>（中型企业、小型企业、微型企业）</w:t>
      </w:r>
      <w:r>
        <w:rPr>
          <w:rFonts w:hint="eastAsia" w:ascii="仿宋" w:hAnsi="仿宋" w:eastAsia="仿宋" w:cs="仿宋"/>
          <w:color w:val="auto"/>
          <w:sz w:val="24"/>
        </w:rPr>
        <w:t>；</w:t>
      </w:r>
    </w:p>
    <w:p w14:paraId="6634C84A">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w:t>
      </w:r>
    </w:p>
    <w:p w14:paraId="05F422E2">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14:paraId="7C7C43D7">
      <w:pPr>
        <w:widowControl/>
        <w:spacing w:line="44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14:paraId="6547B2B2">
      <w:pPr>
        <w:widowControl/>
        <w:spacing w:line="360" w:lineRule="exact"/>
        <w:jc w:val="left"/>
        <w:rPr>
          <w:rFonts w:ascii="仿宋" w:hAnsi="仿宋" w:eastAsia="仿宋" w:cs="仿宋"/>
          <w:color w:val="auto"/>
          <w:sz w:val="24"/>
        </w:rPr>
      </w:pPr>
    </w:p>
    <w:p w14:paraId="06EA8855">
      <w:pPr>
        <w:widowControl/>
        <w:spacing w:line="360" w:lineRule="exact"/>
        <w:jc w:val="left"/>
        <w:rPr>
          <w:rFonts w:ascii="仿宋" w:hAnsi="仿宋" w:eastAsia="仿宋" w:cs="仿宋"/>
          <w:color w:val="auto"/>
          <w:sz w:val="24"/>
        </w:rPr>
      </w:pPr>
    </w:p>
    <w:p w14:paraId="48977C12">
      <w:pPr>
        <w:widowControl/>
        <w:spacing w:line="360" w:lineRule="exact"/>
        <w:jc w:val="left"/>
        <w:rPr>
          <w:rFonts w:ascii="仿宋" w:hAnsi="仿宋" w:eastAsia="仿宋" w:cs="仿宋"/>
          <w:color w:val="auto"/>
          <w:sz w:val="24"/>
        </w:rPr>
      </w:pPr>
    </w:p>
    <w:p w14:paraId="01383DE5">
      <w:pPr>
        <w:widowControl/>
        <w:spacing w:line="360" w:lineRule="exact"/>
        <w:jc w:val="left"/>
        <w:rPr>
          <w:rFonts w:ascii="仿宋" w:hAnsi="仿宋" w:eastAsia="仿宋" w:cs="仿宋"/>
          <w:color w:val="auto"/>
          <w:sz w:val="24"/>
        </w:rPr>
      </w:pPr>
    </w:p>
    <w:p w14:paraId="25A57AFA">
      <w:pPr>
        <w:widowControl/>
        <w:spacing w:line="440" w:lineRule="exact"/>
        <w:ind w:right="480"/>
        <w:jc w:val="center"/>
        <w:rPr>
          <w:rFonts w:ascii="仿宋" w:hAnsi="仿宋" w:eastAsia="仿宋" w:cs="仿宋"/>
          <w:color w:val="auto"/>
          <w:sz w:val="24"/>
        </w:rPr>
      </w:pPr>
      <w:r>
        <w:rPr>
          <w:rFonts w:hint="eastAsia" w:ascii="仿宋" w:hAnsi="仿宋" w:eastAsia="仿宋" w:cs="仿宋"/>
          <w:color w:val="auto"/>
          <w:kern w:val="1"/>
          <w:sz w:val="24"/>
        </w:rPr>
        <w:t xml:space="preserve">                                               投标供应商</w:t>
      </w:r>
      <w:r>
        <w:rPr>
          <w:rFonts w:hint="eastAsia" w:ascii="仿宋" w:hAnsi="仿宋" w:eastAsia="仿宋" w:cs="仿宋"/>
          <w:color w:val="auto"/>
          <w:sz w:val="24"/>
        </w:rPr>
        <w:t xml:space="preserve">（盖公章）：  </w:t>
      </w:r>
    </w:p>
    <w:p w14:paraId="6F35FCDC">
      <w:pPr>
        <w:widowControl/>
        <w:spacing w:line="440" w:lineRule="exact"/>
        <w:ind w:right="360"/>
        <w:jc w:val="center"/>
        <w:rPr>
          <w:rFonts w:ascii="仿宋" w:hAnsi="仿宋" w:eastAsia="仿宋" w:cs="仿宋"/>
          <w:color w:val="auto"/>
          <w:sz w:val="24"/>
        </w:rPr>
      </w:pPr>
      <w:r>
        <w:rPr>
          <w:rFonts w:hint="eastAsia" w:ascii="仿宋" w:hAnsi="仿宋" w:eastAsia="仿宋" w:cs="仿宋"/>
          <w:color w:val="auto"/>
          <w:sz w:val="24"/>
        </w:rPr>
        <w:t xml:space="preserve">                                          日期：  年  月  日</w:t>
      </w:r>
    </w:p>
    <w:p w14:paraId="46899E3A">
      <w:pPr>
        <w:widowControl/>
        <w:spacing w:line="360" w:lineRule="exact"/>
        <w:jc w:val="left"/>
        <w:rPr>
          <w:rFonts w:ascii="仿宋" w:hAnsi="仿宋" w:eastAsia="仿宋" w:cs="仿宋"/>
          <w:color w:val="auto"/>
          <w:sz w:val="24"/>
        </w:rPr>
      </w:pPr>
    </w:p>
    <w:p w14:paraId="36B9F256">
      <w:pPr>
        <w:widowControl/>
        <w:spacing w:line="360" w:lineRule="exact"/>
        <w:jc w:val="left"/>
        <w:rPr>
          <w:rFonts w:ascii="仿宋" w:hAnsi="仿宋" w:eastAsia="仿宋" w:cs="仿宋"/>
          <w:color w:val="auto"/>
          <w:sz w:val="24"/>
        </w:rPr>
      </w:pPr>
    </w:p>
    <w:p w14:paraId="6BA20314">
      <w:pPr>
        <w:widowControl/>
        <w:spacing w:line="360" w:lineRule="exact"/>
        <w:jc w:val="left"/>
        <w:rPr>
          <w:rFonts w:ascii="仿宋" w:hAnsi="仿宋" w:eastAsia="仿宋" w:cs="仿宋"/>
          <w:b/>
          <w:color w:val="auto"/>
          <w:sz w:val="24"/>
        </w:rPr>
      </w:pPr>
      <w:r>
        <w:rPr>
          <w:rFonts w:hint="eastAsia" w:ascii="仿宋" w:hAnsi="仿宋" w:eastAsia="仿宋" w:cs="仿宋"/>
          <w:b/>
          <w:color w:val="auto"/>
          <w:sz w:val="24"/>
        </w:rPr>
        <w:t>注：1.从业人员、营业收入、资产总额填报上一年度数据，无上一年度数据的新成立企业可不填报。</w:t>
      </w:r>
    </w:p>
    <w:p w14:paraId="3D551043">
      <w:pPr>
        <w:spacing w:line="460" w:lineRule="exact"/>
        <w:ind w:firstLine="1320" w:firstLineChars="550"/>
        <w:rPr>
          <w:rFonts w:hint="eastAsia" w:ascii="仿宋" w:hAnsi="仿宋" w:eastAsia="仿宋"/>
          <w:kern w:val="0"/>
          <w:sz w:val="24"/>
        </w:rPr>
      </w:pPr>
    </w:p>
    <w:p w14:paraId="358E7E3E">
      <w:pPr>
        <w:spacing w:line="460" w:lineRule="exact"/>
        <w:ind w:firstLine="1320" w:firstLineChars="550"/>
        <w:rPr>
          <w:rFonts w:hint="eastAsia" w:ascii="仿宋" w:hAnsi="仿宋" w:eastAsia="仿宋"/>
          <w:kern w:val="0"/>
          <w:sz w:val="24"/>
        </w:rPr>
      </w:pPr>
    </w:p>
    <w:p w14:paraId="4BA0F760">
      <w:pPr>
        <w:pStyle w:val="59"/>
        <w:ind w:firstLine="241"/>
        <w:rPr>
          <w:rFonts w:ascii="仿宋" w:hAnsi="仿宋" w:eastAsia="仿宋"/>
          <w:b/>
          <w:bCs/>
          <w:color w:val="auto"/>
          <w:kern w:val="0"/>
          <w:sz w:val="24"/>
        </w:rPr>
      </w:pPr>
    </w:p>
    <w:p w14:paraId="5A53122F">
      <w:pPr>
        <w:widowControl/>
        <w:jc w:val="left"/>
        <w:rPr>
          <w:rFonts w:ascii="仿宋" w:hAnsi="仿宋" w:eastAsia="仿宋" w:cs="仿宋"/>
          <w:b/>
          <w:bCs/>
          <w:color w:val="auto"/>
          <w:kern w:val="0"/>
          <w:sz w:val="24"/>
          <w:szCs w:val="24"/>
        </w:rPr>
      </w:pPr>
      <w:r>
        <w:rPr>
          <w:rFonts w:ascii="仿宋" w:hAnsi="仿宋" w:eastAsia="仿宋" w:cstheme="minorBidi"/>
          <w:b/>
          <w:bCs w:val="0"/>
          <w:color w:val="auto"/>
          <w:szCs w:val="32"/>
        </w:rPr>
        <w:br w:type="page"/>
      </w:r>
    </w:p>
    <w:p w14:paraId="6809A620">
      <w:pPr>
        <w:pStyle w:val="609"/>
        <w:widowControl/>
        <w:numPr>
          <w:ilvl w:val="0"/>
          <w:numId w:val="0"/>
        </w:numPr>
        <w:adjustRightInd w:val="0"/>
        <w:snapToGrid w:val="0"/>
        <w:ind w:leftChars="0"/>
        <w:jc w:val="center"/>
        <w:rPr>
          <w:rFonts w:hint="eastAsia" w:ascii="仿宋" w:hAnsi="仿宋" w:eastAsia="仿宋" w:cs="仿宋"/>
          <w:b/>
          <w:bCs/>
          <w:color w:val="auto"/>
          <w:kern w:val="2"/>
          <w:sz w:val="28"/>
          <w:szCs w:val="28"/>
          <w:u w:val="none"/>
          <w:lang w:val="zh-CN" w:eastAsia="zh-CN" w:bidi="ar-SA"/>
        </w:rPr>
      </w:pPr>
      <w:r>
        <w:rPr>
          <w:rFonts w:hint="eastAsia" w:ascii="仿宋" w:hAnsi="仿宋" w:eastAsia="仿宋" w:cs="仿宋"/>
          <w:b/>
          <w:bCs/>
          <w:color w:val="auto"/>
          <w:kern w:val="2"/>
          <w:sz w:val="28"/>
          <w:szCs w:val="28"/>
          <w:u w:val="none"/>
          <w:lang w:val="zh-CN" w:eastAsia="zh-CN" w:bidi="ar-SA"/>
        </w:rPr>
        <w:t>本项目的</w:t>
      </w:r>
      <w:r>
        <w:rPr>
          <w:rFonts w:hint="eastAsia" w:ascii="仿宋" w:hAnsi="仿宋" w:eastAsia="仿宋" w:cs="仿宋"/>
          <w:b/>
          <w:bCs/>
          <w:color w:val="auto"/>
          <w:kern w:val="2"/>
          <w:sz w:val="28"/>
          <w:szCs w:val="28"/>
          <w:u w:val="none"/>
          <w:lang w:val="en-US" w:eastAsia="zh-CN" w:bidi="ar-SA"/>
        </w:rPr>
        <w:t>特定</w:t>
      </w:r>
      <w:r>
        <w:rPr>
          <w:rFonts w:hint="eastAsia" w:ascii="仿宋" w:hAnsi="仿宋" w:eastAsia="仿宋" w:cs="仿宋"/>
          <w:b/>
          <w:bCs/>
          <w:color w:val="auto"/>
          <w:kern w:val="2"/>
          <w:sz w:val="28"/>
          <w:szCs w:val="28"/>
          <w:u w:val="none"/>
          <w:lang w:val="zh-CN" w:eastAsia="zh-CN" w:bidi="ar-SA"/>
        </w:rPr>
        <w:t>资格要求</w:t>
      </w:r>
    </w:p>
    <w:p w14:paraId="676FF58F">
      <w:pPr>
        <w:pStyle w:val="609"/>
        <w:widowControl/>
        <w:numPr>
          <w:ilvl w:val="0"/>
          <w:numId w:val="0"/>
        </w:numPr>
        <w:adjustRightInd w:val="0"/>
        <w:snapToGrid w:val="0"/>
        <w:ind w:leftChars="0"/>
        <w:jc w:val="center"/>
        <w:rPr>
          <w:rFonts w:hint="eastAsia" w:ascii="仿宋" w:hAnsi="仿宋" w:eastAsia="仿宋" w:cs="仿宋"/>
          <w:b/>
          <w:bCs/>
          <w:color w:val="auto"/>
          <w:kern w:val="2"/>
          <w:sz w:val="28"/>
          <w:szCs w:val="28"/>
          <w:u w:val="none"/>
          <w:lang w:val="en-US" w:eastAsia="zh-CN" w:bidi="ar-SA"/>
        </w:rPr>
      </w:pPr>
    </w:p>
    <w:p w14:paraId="35160C43">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sz w:val="24"/>
          <w:szCs w:val="24"/>
          <w:lang w:val="en-US" w:eastAsia="zh-CN"/>
        </w:rPr>
        <w:t>提供有效的建筑工程施工总承包三级及以上资质；</w:t>
      </w:r>
    </w:p>
    <w:p w14:paraId="64771B01">
      <w:pPr>
        <w:pageBreakBefore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2.提供有效的安全生产许可证；</w:t>
      </w:r>
    </w:p>
    <w:p w14:paraId="71F4038C">
      <w:pPr>
        <w:widowControl/>
        <w:jc w:val="left"/>
        <w:rPr>
          <w:rFonts w:ascii="仿宋" w:hAnsi="仿宋" w:eastAsia="仿宋" w:cstheme="minorBidi"/>
          <w:b/>
          <w:bCs/>
          <w:kern w:val="0"/>
          <w:sz w:val="24"/>
          <w:szCs w:val="32"/>
          <w:u w:val="none"/>
        </w:rPr>
      </w:pPr>
    </w:p>
    <w:p w14:paraId="4E669BD4">
      <w:pPr>
        <w:pStyle w:val="609"/>
        <w:widowControl/>
        <w:numPr>
          <w:ilvl w:val="0"/>
          <w:numId w:val="0"/>
        </w:numPr>
        <w:adjustRightInd w:val="0"/>
        <w:snapToGrid w:val="0"/>
        <w:ind w:leftChars="0"/>
        <w:rPr>
          <w:rFonts w:ascii="仿宋" w:hAnsi="仿宋" w:eastAsia="仿宋"/>
          <w:b/>
          <w:color w:val="auto"/>
          <w:u w:val="none"/>
        </w:rPr>
      </w:pPr>
    </w:p>
    <w:p w14:paraId="0ABD31EB">
      <w:pPr>
        <w:shd w:val="clear" w:color="auto" w:fill="FFFFFF"/>
        <w:spacing w:line="440" w:lineRule="exact"/>
        <w:jc w:val="center"/>
        <w:rPr>
          <w:rFonts w:hint="eastAsia" w:ascii="仿宋" w:hAnsi="仿宋" w:eastAsia="仿宋"/>
          <w:b/>
          <w:bCs/>
          <w:sz w:val="28"/>
          <w:szCs w:val="28"/>
        </w:rPr>
      </w:pPr>
    </w:p>
    <w:p w14:paraId="032DC69F">
      <w:pPr>
        <w:shd w:val="clear" w:color="auto" w:fill="FFFFFF"/>
        <w:spacing w:line="440" w:lineRule="exact"/>
        <w:jc w:val="center"/>
        <w:rPr>
          <w:rFonts w:hint="eastAsia" w:ascii="仿宋" w:hAnsi="仿宋" w:eastAsia="仿宋"/>
          <w:b/>
          <w:bCs/>
          <w:sz w:val="28"/>
          <w:szCs w:val="28"/>
        </w:rPr>
      </w:pPr>
    </w:p>
    <w:p w14:paraId="71C4717C">
      <w:pPr>
        <w:shd w:val="clear" w:color="auto" w:fill="FFFFFF"/>
        <w:spacing w:line="440" w:lineRule="exact"/>
        <w:jc w:val="center"/>
        <w:rPr>
          <w:rFonts w:hint="eastAsia" w:ascii="仿宋" w:hAnsi="仿宋" w:eastAsia="仿宋"/>
          <w:b/>
          <w:bCs/>
          <w:sz w:val="28"/>
          <w:szCs w:val="28"/>
        </w:rPr>
      </w:pPr>
    </w:p>
    <w:p w14:paraId="32CE5577">
      <w:pPr>
        <w:shd w:val="clear" w:color="auto" w:fill="FFFFFF"/>
        <w:spacing w:line="440" w:lineRule="exact"/>
        <w:jc w:val="center"/>
        <w:rPr>
          <w:rFonts w:hint="eastAsia" w:ascii="仿宋" w:hAnsi="仿宋" w:eastAsia="仿宋"/>
          <w:b/>
          <w:bCs/>
          <w:sz w:val="28"/>
          <w:szCs w:val="28"/>
        </w:rPr>
      </w:pPr>
    </w:p>
    <w:p w14:paraId="48AA4B1D">
      <w:pPr>
        <w:shd w:val="clear" w:color="auto" w:fill="FFFFFF"/>
        <w:spacing w:line="440" w:lineRule="exact"/>
        <w:jc w:val="center"/>
        <w:rPr>
          <w:rFonts w:hint="eastAsia" w:ascii="仿宋" w:hAnsi="仿宋" w:eastAsia="仿宋"/>
          <w:b/>
          <w:bCs/>
          <w:sz w:val="28"/>
          <w:szCs w:val="28"/>
        </w:rPr>
      </w:pPr>
    </w:p>
    <w:p w14:paraId="48512A73">
      <w:pPr>
        <w:shd w:val="clear" w:color="auto" w:fill="FFFFFF"/>
        <w:spacing w:line="440" w:lineRule="exact"/>
        <w:jc w:val="center"/>
        <w:rPr>
          <w:rFonts w:hint="eastAsia" w:ascii="仿宋" w:hAnsi="仿宋" w:eastAsia="仿宋"/>
          <w:b/>
          <w:bCs/>
          <w:sz w:val="28"/>
          <w:szCs w:val="28"/>
        </w:rPr>
      </w:pPr>
    </w:p>
    <w:p w14:paraId="78A40EA6">
      <w:pPr>
        <w:shd w:val="clear" w:color="auto" w:fill="FFFFFF"/>
        <w:spacing w:line="440" w:lineRule="exact"/>
        <w:jc w:val="center"/>
        <w:rPr>
          <w:rFonts w:hint="eastAsia" w:ascii="仿宋" w:hAnsi="仿宋" w:eastAsia="仿宋"/>
          <w:b/>
          <w:bCs/>
          <w:sz w:val="28"/>
          <w:szCs w:val="28"/>
        </w:rPr>
      </w:pPr>
    </w:p>
    <w:p w14:paraId="712C523E">
      <w:pPr>
        <w:shd w:val="clear" w:color="auto" w:fill="FFFFFF"/>
        <w:spacing w:line="440" w:lineRule="exact"/>
        <w:jc w:val="center"/>
        <w:rPr>
          <w:rFonts w:hint="eastAsia" w:ascii="仿宋" w:hAnsi="仿宋" w:eastAsia="仿宋"/>
          <w:b/>
          <w:bCs/>
          <w:sz w:val="28"/>
          <w:szCs w:val="28"/>
        </w:rPr>
      </w:pPr>
    </w:p>
    <w:p w14:paraId="43FE172D">
      <w:pPr>
        <w:shd w:val="clear" w:color="auto" w:fill="FFFFFF"/>
        <w:spacing w:line="440" w:lineRule="exact"/>
        <w:jc w:val="center"/>
        <w:rPr>
          <w:rFonts w:hint="eastAsia" w:ascii="仿宋" w:hAnsi="仿宋" w:eastAsia="仿宋"/>
          <w:b/>
          <w:bCs/>
          <w:sz w:val="28"/>
          <w:szCs w:val="28"/>
        </w:rPr>
      </w:pPr>
    </w:p>
    <w:p w14:paraId="76040B9A">
      <w:pPr>
        <w:shd w:val="clear" w:color="auto" w:fill="FFFFFF"/>
        <w:spacing w:line="440" w:lineRule="exact"/>
        <w:jc w:val="center"/>
        <w:rPr>
          <w:rFonts w:hint="eastAsia" w:ascii="仿宋" w:hAnsi="仿宋" w:eastAsia="仿宋"/>
          <w:b/>
          <w:bCs/>
          <w:sz w:val="28"/>
          <w:szCs w:val="28"/>
        </w:rPr>
      </w:pPr>
    </w:p>
    <w:p w14:paraId="16CF3ACA">
      <w:pPr>
        <w:shd w:val="clear" w:color="auto" w:fill="FFFFFF"/>
        <w:spacing w:line="440" w:lineRule="exact"/>
        <w:jc w:val="center"/>
        <w:rPr>
          <w:rFonts w:hint="eastAsia" w:ascii="仿宋" w:hAnsi="仿宋" w:eastAsia="仿宋"/>
          <w:b/>
          <w:bCs/>
          <w:sz w:val="28"/>
          <w:szCs w:val="28"/>
        </w:rPr>
      </w:pPr>
    </w:p>
    <w:p w14:paraId="165FF153">
      <w:pPr>
        <w:shd w:val="clear" w:color="auto" w:fill="FFFFFF"/>
        <w:spacing w:line="440" w:lineRule="exact"/>
        <w:jc w:val="center"/>
        <w:rPr>
          <w:rFonts w:hint="eastAsia" w:ascii="仿宋" w:hAnsi="仿宋" w:eastAsia="仿宋"/>
          <w:b/>
          <w:bCs/>
          <w:sz w:val="28"/>
          <w:szCs w:val="28"/>
        </w:rPr>
      </w:pPr>
    </w:p>
    <w:p w14:paraId="0A66E032">
      <w:pPr>
        <w:shd w:val="clear" w:color="auto" w:fill="FFFFFF"/>
        <w:spacing w:line="440" w:lineRule="exact"/>
        <w:jc w:val="center"/>
        <w:rPr>
          <w:rFonts w:hint="eastAsia" w:ascii="仿宋" w:hAnsi="仿宋" w:eastAsia="仿宋"/>
          <w:b/>
          <w:bCs/>
          <w:sz w:val="28"/>
          <w:szCs w:val="28"/>
        </w:rPr>
      </w:pPr>
    </w:p>
    <w:p w14:paraId="7C2AAF75">
      <w:pPr>
        <w:shd w:val="clear" w:color="auto" w:fill="FFFFFF"/>
        <w:spacing w:line="440" w:lineRule="exact"/>
        <w:jc w:val="center"/>
        <w:rPr>
          <w:rFonts w:hint="eastAsia" w:ascii="仿宋" w:hAnsi="仿宋" w:eastAsia="仿宋"/>
          <w:b/>
          <w:bCs/>
          <w:sz w:val="28"/>
          <w:szCs w:val="28"/>
        </w:rPr>
      </w:pPr>
    </w:p>
    <w:p w14:paraId="6E8094E1">
      <w:pPr>
        <w:shd w:val="clear" w:color="auto" w:fill="FFFFFF"/>
        <w:spacing w:line="440" w:lineRule="exact"/>
        <w:jc w:val="center"/>
        <w:rPr>
          <w:rFonts w:hint="eastAsia" w:ascii="仿宋" w:hAnsi="仿宋" w:eastAsia="仿宋"/>
          <w:b/>
          <w:bCs/>
          <w:sz w:val="28"/>
          <w:szCs w:val="28"/>
        </w:rPr>
      </w:pPr>
    </w:p>
    <w:p w14:paraId="49FD1916">
      <w:pPr>
        <w:shd w:val="clear" w:color="auto" w:fill="FFFFFF"/>
        <w:spacing w:line="440" w:lineRule="exact"/>
        <w:jc w:val="center"/>
        <w:rPr>
          <w:rFonts w:hint="eastAsia" w:ascii="仿宋" w:hAnsi="仿宋" w:eastAsia="仿宋"/>
          <w:b/>
          <w:bCs/>
          <w:sz w:val="28"/>
          <w:szCs w:val="28"/>
        </w:rPr>
      </w:pPr>
    </w:p>
    <w:p w14:paraId="3483122C">
      <w:pPr>
        <w:shd w:val="clear" w:color="auto" w:fill="FFFFFF"/>
        <w:spacing w:line="440" w:lineRule="exact"/>
        <w:jc w:val="center"/>
        <w:rPr>
          <w:rFonts w:hint="eastAsia" w:ascii="仿宋" w:hAnsi="仿宋" w:eastAsia="仿宋"/>
          <w:b/>
          <w:bCs/>
          <w:sz w:val="28"/>
          <w:szCs w:val="28"/>
        </w:rPr>
      </w:pPr>
    </w:p>
    <w:p w14:paraId="2E3217BE">
      <w:pPr>
        <w:shd w:val="clear" w:color="auto" w:fill="FFFFFF"/>
        <w:spacing w:line="440" w:lineRule="exact"/>
        <w:jc w:val="center"/>
        <w:rPr>
          <w:rFonts w:hint="eastAsia" w:ascii="仿宋" w:hAnsi="仿宋" w:eastAsia="仿宋"/>
          <w:b/>
          <w:bCs/>
          <w:sz w:val="28"/>
          <w:szCs w:val="28"/>
        </w:rPr>
      </w:pPr>
    </w:p>
    <w:p w14:paraId="6911C9DF">
      <w:pPr>
        <w:shd w:val="clear" w:color="auto" w:fill="FFFFFF"/>
        <w:spacing w:line="440" w:lineRule="exact"/>
        <w:jc w:val="center"/>
        <w:rPr>
          <w:rFonts w:hint="eastAsia" w:ascii="仿宋" w:hAnsi="仿宋" w:eastAsia="仿宋"/>
          <w:b/>
          <w:bCs/>
          <w:sz w:val="28"/>
          <w:szCs w:val="28"/>
        </w:rPr>
      </w:pPr>
    </w:p>
    <w:p w14:paraId="72C8AB5C">
      <w:pPr>
        <w:shd w:val="clear" w:color="auto" w:fill="FFFFFF"/>
        <w:spacing w:line="440" w:lineRule="exact"/>
        <w:jc w:val="center"/>
        <w:rPr>
          <w:rFonts w:hint="eastAsia" w:ascii="仿宋" w:hAnsi="仿宋" w:eastAsia="仿宋"/>
          <w:b/>
          <w:bCs/>
          <w:sz w:val="28"/>
          <w:szCs w:val="28"/>
        </w:rPr>
      </w:pPr>
    </w:p>
    <w:p w14:paraId="263C331B">
      <w:pPr>
        <w:shd w:val="clear" w:color="auto" w:fill="FFFFFF"/>
        <w:spacing w:line="440" w:lineRule="exact"/>
        <w:jc w:val="center"/>
        <w:rPr>
          <w:rFonts w:hint="eastAsia" w:ascii="仿宋" w:hAnsi="仿宋" w:eastAsia="仿宋"/>
          <w:b/>
          <w:bCs/>
          <w:sz w:val="28"/>
          <w:szCs w:val="28"/>
        </w:rPr>
      </w:pPr>
    </w:p>
    <w:p w14:paraId="2971D6A5">
      <w:pPr>
        <w:shd w:val="clear" w:color="auto" w:fill="FFFFFF"/>
        <w:spacing w:line="440" w:lineRule="exact"/>
        <w:jc w:val="center"/>
        <w:rPr>
          <w:rFonts w:hint="eastAsia" w:ascii="仿宋" w:hAnsi="仿宋" w:eastAsia="仿宋"/>
          <w:b/>
          <w:bCs/>
          <w:sz w:val="28"/>
          <w:szCs w:val="28"/>
        </w:rPr>
      </w:pPr>
    </w:p>
    <w:p w14:paraId="7513DD94">
      <w:pPr>
        <w:shd w:val="clear" w:color="auto" w:fill="FFFFFF"/>
        <w:spacing w:line="440" w:lineRule="exact"/>
        <w:jc w:val="center"/>
        <w:rPr>
          <w:rFonts w:hint="eastAsia" w:ascii="仿宋" w:hAnsi="仿宋" w:eastAsia="仿宋"/>
          <w:b/>
          <w:bCs/>
          <w:sz w:val="28"/>
          <w:szCs w:val="28"/>
        </w:rPr>
      </w:pPr>
    </w:p>
    <w:p w14:paraId="4502517D">
      <w:pPr>
        <w:shd w:val="clear" w:color="auto" w:fill="FFFFFF"/>
        <w:spacing w:line="440" w:lineRule="exact"/>
        <w:jc w:val="center"/>
        <w:rPr>
          <w:rFonts w:hint="eastAsia" w:ascii="仿宋" w:hAnsi="仿宋" w:eastAsia="仿宋"/>
          <w:b/>
          <w:bCs/>
          <w:sz w:val="28"/>
          <w:szCs w:val="28"/>
        </w:rPr>
      </w:pPr>
    </w:p>
    <w:p w14:paraId="3B1F6C05">
      <w:pPr>
        <w:shd w:val="clear" w:color="auto" w:fill="FFFFFF"/>
        <w:spacing w:line="440" w:lineRule="exact"/>
        <w:jc w:val="center"/>
        <w:rPr>
          <w:rFonts w:hint="eastAsia" w:ascii="仿宋" w:hAnsi="仿宋" w:eastAsia="仿宋"/>
          <w:b/>
          <w:bCs/>
          <w:sz w:val="28"/>
          <w:szCs w:val="28"/>
        </w:rPr>
      </w:pPr>
    </w:p>
    <w:p w14:paraId="2916DE14">
      <w:pPr>
        <w:shd w:val="clear" w:color="auto" w:fill="FFFFFF"/>
        <w:spacing w:line="440" w:lineRule="exact"/>
        <w:jc w:val="center"/>
        <w:rPr>
          <w:rFonts w:hint="eastAsia" w:ascii="仿宋" w:hAnsi="仿宋" w:eastAsia="仿宋"/>
          <w:b/>
          <w:bCs/>
          <w:sz w:val="28"/>
          <w:szCs w:val="28"/>
        </w:rPr>
      </w:pPr>
    </w:p>
    <w:p w14:paraId="7E559294">
      <w:pPr>
        <w:shd w:val="clear" w:color="auto" w:fill="FFFFFF"/>
        <w:spacing w:line="440" w:lineRule="exact"/>
        <w:jc w:val="center"/>
        <w:rPr>
          <w:rFonts w:hint="eastAsia" w:ascii="仿宋" w:hAnsi="仿宋" w:eastAsia="仿宋"/>
          <w:b/>
          <w:bCs/>
          <w:sz w:val="28"/>
          <w:szCs w:val="28"/>
        </w:rPr>
      </w:pPr>
    </w:p>
    <w:p w14:paraId="431D0867">
      <w:pPr>
        <w:shd w:val="clear" w:color="auto" w:fill="FFFFFF"/>
        <w:spacing w:line="440" w:lineRule="exact"/>
        <w:jc w:val="center"/>
        <w:rPr>
          <w:rFonts w:hint="eastAsia" w:ascii="仿宋" w:hAnsi="仿宋" w:eastAsia="仿宋"/>
          <w:b/>
          <w:bCs/>
          <w:sz w:val="28"/>
          <w:szCs w:val="28"/>
        </w:rPr>
      </w:pPr>
    </w:p>
    <w:p w14:paraId="36FB2527">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磋商承诺书</w:t>
      </w:r>
    </w:p>
    <w:p w14:paraId="7C86DFAA">
      <w:pPr>
        <w:shd w:val="clear" w:color="auto" w:fill="FFFFFF"/>
        <w:spacing w:line="440" w:lineRule="exact"/>
        <w:jc w:val="left"/>
        <w:rPr>
          <w:rFonts w:ascii="仿宋" w:hAnsi="仿宋" w:eastAsia="仿宋"/>
          <w:sz w:val="24"/>
          <w:u w:val="single"/>
        </w:rPr>
      </w:pPr>
      <w:r>
        <w:rPr>
          <w:rFonts w:hint="eastAsia" w:ascii="仿宋" w:hAnsi="仿宋" w:eastAsia="仿宋"/>
          <w:sz w:val="24"/>
          <w:u w:val="single"/>
        </w:rPr>
        <w:t>（采购人）</w:t>
      </w:r>
      <w:r>
        <w:rPr>
          <w:rFonts w:hint="eastAsia" w:ascii="仿宋" w:hAnsi="仿宋" w:eastAsia="仿宋"/>
          <w:sz w:val="24"/>
        </w:rPr>
        <w:t>：</w:t>
      </w:r>
    </w:p>
    <w:p w14:paraId="1DD30AB8">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我方收到并研究了贵方</w:t>
      </w:r>
      <w:r>
        <w:rPr>
          <w:rFonts w:hint="eastAsia" w:ascii="仿宋" w:hAnsi="仿宋" w:eastAsia="仿宋"/>
          <w:sz w:val="24"/>
          <w:u w:val="single"/>
        </w:rPr>
        <w:t>（项目名称、项目编号）</w:t>
      </w:r>
      <w:r>
        <w:rPr>
          <w:rFonts w:hint="eastAsia" w:ascii="仿宋" w:hAnsi="仿宋" w:eastAsia="仿宋"/>
          <w:sz w:val="24"/>
        </w:rPr>
        <w:t>项目的磋商文件，愿意按照磋商文件规定的内容承担该项目的投标任务，严格执行我方所承诺的责任和义务。为此，我方郑重声明以下诸点，并负法律责任。</w:t>
      </w:r>
    </w:p>
    <w:p w14:paraId="2185B918">
      <w:pPr>
        <w:shd w:val="clear" w:color="auto" w:fill="FFFFFF"/>
        <w:spacing w:line="440" w:lineRule="exact"/>
        <w:ind w:firstLine="489" w:firstLineChars="204"/>
        <w:rPr>
          <w:rFonts w:ascii="仿宋" w:hAnsi="仿宋" w:eastAsia="仿宋"/>
          <w:sz w:val="24"/>
        </w:rPr>
      </w:pPr>
      <w:r>
        <w:rPr>
          <w:rFonts w:hint="eastAsia" w:ascii="仿宋" w:hAnsi="仿宋" w:eastAsia="仿宋"/>
          <w:sz w:val="24"/>
        </w:rPr>
        <w:t>1、我方提交响应文件：加密的电子响应文件1份，并在磋商时间前上传至磋商文件规定的指定地点。我方愿按《中华人民共和国政府采购法》及其他有关法律、法规的规定及磋商文件的规定，自觉履行自己的全部责任。</w:t>
      </w:r>
    </w:p>
    <w:p w14:paraId="5E8EB288">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2、我方同意在磋商有效期内遵守本响应文件，在此期限期满前的任何时间，本响应文件一直对我们具有约束力；</w:t>
      </w:r>
    </w:p>
    <w:p w14:paraId="0ACEA84F">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3、如果我方响应文件被接受，我方将按照磋商文件及响应文件（被采纳或接受的部分）中的承诺，按期、按质、按量交付使用方；如不满足任一项，贵方有权终止我方中标并选择其它成交人。</w:t>
      </w:r>
    </w:p>
    <w:p w14:paraId="2D58D607">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rPr>
        <w:t>4、如果我方中标，我方将在磋商文件规定的时间内签订委托合同并按磋商文件要求提供履约保证金。如果我方违约，除磋商保证金不予退还外，贵方有权终止我方中标并选择其它成交人。</w:t>
      </w:r>
    </w:p>
    <w:p w14:paraId="637258FE">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5</w:t>
      </w:r>
      <w:r>
        <w:rPr>
          <w:rFonts w:hint="eastAsia" w:ascii="仿宋" w:hAnsi="仿宋" w:eastAsia="仿宋"/>
          <w:kern w:val="0"/>
          <w:sz w:val="24"/>
        </w:rPr>
        <w:t>、一旦我方中标，我方愿意按磋商文件要求承担成交服务费。</w:t>
      </w:r>
    </w:p>
    <w:p w14:paraId="3443C633">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6</w:t>
      </w:r>
      <w:r>
        <w:rPr>
          <w:rFonts w:hint="eastAsia" w:ascii="仿宋" w:hAnsi="仿宋" w:eastAsia="仿宋"/>
          <w:kern w:val="0"/>
          <w:sz w:val="24"/>
        </w:rPr>
        <w:t>、贵方的成交通知书和本磋商文件将构成约束双方的合同。</w:t>
      </w:r>
    </w:p>
    <w:p w14:paraId="7E104C71">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7</w:t>
      </w:r>
      <w:r>
        <w:rPr>
          <w:rFonts w:hint="eastAsia" w:ascii="仿宋" w:hAnsi="仿宋" w:eastAsia="仿宋"/>
          <w:kern w:val="0"/>
          <w:sz w:val="24"/>
        </w:rPr>
        <w:t>、如果我方未中标，贵方无义务对我方做出任何解释和说明，我方将充分尊重和理解贵方的选择。</w:t>
      </w:r>
    </w:p>
    <w:p w14:paraId="5F8D99B4">
      <w:pPr>
        <w:shd w:val="clear" w:color="auto" w:fill="FFFFFF"/>
        <w:adjustRightInd w:val="0"/>
        <w:spacing w:line="440" w:lineRule="exact"/>
        <w:ind w:firstLine="480" w:firstLineChars="200"/>
        <w:jc w:val="left"/>
        <w:textAlignment w:val="baseline"/>
        <w:rPr>
          <w:rFonts w:ascii="仿宋" w:hAnsi="仿宋" w:eastAsia="仿宋"/>
          <w:kern w:val="0"/>
          <w:sz w:val="24"/>
        </w:rPr>
      </w:pPr>
      <w:r>
        <w:rPr>
          <w:rFonts w:hint="eastAsia" w:ascii="仿宋" w:hAnsi="仿宋" w:eastAsia="仿宋"/>
          <w:kern w:val="0"/>
          <w:sz w:val="24"/>
          <w:lang w:val="en-US" w:eastAsia="zh-CN"/>
        </w:rPr>
        <w:t>8</w:t>
      </w:r>
      <w:r>
        <w:rPr>
          <w:rFonts w:hint="eastAsia" w:ascii="仿宋" w:hAnsi="仿宋" w:eastAsia="仿宋"/>
          <w:kern w:val="0"/>
          <w:sz w:val="24"/>
        </w:rPr>
        <w:t>、我方的响应文件自提交响应文件截止之日起有效期为</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90</w:t>
      </w:r>
      <w:r>
        <w:rPr>
          <w:rFonts w:hint="eastAsia" w:ascii="仿宋" w:hAnsi="仿宋" w:eastAsia="仿宋"/>
          <w:kern w:val="0"/>
          <w:sz w:val="24"/>
        </w:rPr>
        <w:t>天。</w:t>
      </w:r>
    </w:p>
    <w:p w14:paraId="2183F1FE">
      <w:pPr>
        <w:pStyle w:val="307"/>
        <w:shd w:val="clear" w:color="auto" w:fill="FFFFFF"/>
        <w:snapToGrid w:val="0"/>
        <w:spacing w:line="440" w:lineRule="exact"/>
        <w:rPr>
          <w:rFonts w:ascii="仿宋" w:hAnsi="仿宋" w:eastAsia="仿宋"/>
          <w:color w:val="auto"/>
          <w:sz w:val="24"/>
        </w:rPr>
      </w:pPr>
    </w:p>
    <w:p w14:paraId="229CC484">
      <w:pPr>
        <w:pStyle w:val="736"/>
        <w:spacing w:line="420" w:lineRule="exact"/>
        <w:ind w:firstLine="480" w:firstLineChars="200"/>
        <w:rPr>
          <w:rFonts w:ascii="仿宋" w:hAnsi="仿宋" w:eastAsia="仿宋" w:cs="仿宋"/>
          <w:snapToGrid w:val="0"/>
          <w:kern w:val="0"/>
          <w:sz w:val="24"/>
        </w:rPr>
      </w:pPr>
      <w:r>
        <w:rPr>
          <w:rFonts w:hint="eastAsia" w:ascii="仿宋" w:hAnsi="仿宋" w:eastAsia="仿宋"/>
          <w:b w:val="0"/>
          <w:bCs/>
          <w:snapToGrid w:val="0"/>
          <w:kern w:val="0"/>
          <w:sz w:val="24"/>
        </w:rPr>
        <w:t xml:space="preserve"> </w:t>
      </w:r>
      <w:r>
        <w:rPr>
          <w:rFonts w:hint="eastAsia" w:ascii="仿宋" w:hAnsi="仿宋" w:eastAsia="仿宋"/>
          <w:b w:val="0"/>
          <w:bCs/>
          <w:snapToGrid w:val="0"/>
          <w:kern w:val="0"/>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6D0C3CCD">
      <w:pPr>
        <w:pStyle w:val="772"/>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55639D62">
      <w:pPr>
        <w:pStyle w:val="772"/>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1D127A8">
      <w:pPr>
        <w:widowControl/>
        <w:spacing w:line="400" w:lineRule="exact"/>
        <w:jc w:val="left"/>
        <w:rPr>
          <w:rFonts w:ascii="仿宋" w:hAnsi="仿宋" w:eastAsia="仿宋"/>
          <w:b/>
          <w:bCs/>
          <w:kern w:val="0"/>
          <w:sz w:val="24"/>
        </w:rPr>
      </w:pPr>
      <w:r>
        <w:rPr>
          <w:rFonts w:hint="eastAsia" w:ascii="仿宋" w:hAnsi="仿宋" w:eastAsia="仿宋"/>
          <w:sz w:val="18"/>
          <w:szCs w:val="18"/>
        </w:rPr>
        <w:br w:type="page"/>
      </w:r>
    </w:p>
    <w:p w14:paraId="1FE0263E">
      <w:pPr>
        <w:pStyle w:val="609"/>
        <w:widowControl/>
        <w:numPr>
          <w:ilvl w:val="0"/>
          <w:numId w:val="0"/>
        </w:numPr>
        <w:adjustRightInd w:val="0"/>
        <w:snapToGrid w:val="0"/>
        <w:ind w:leftChars="0"/>
        <w:rPr>
          <w:rFonts w:ascii="仿宋" w:hAnsi="仿宋" w:eastAsia="仿宋"/>
          <w:b/>
          <w:color w:val="auto"/>
          <w:u w:val="none"/>
        </w:rPr>
      </w:pPr>
    </w:p>
    <w:p w14:paraId="45951B6A">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3A8CBAB0">
      <w:pPr>
        <w:shd w:val="clear" w:color="auto" w:fill="FFFFFF"/>
        <w:spacing w:line="440" w:lineRule="exact"/>
        <w:rPr>
          <w:rFonts w:ascii="仿宋" w:hAnsi="仿宋" w:eastAsia="仿宋"/>
          <w:snapToGrid w:val="0"/>
          <w:kern w:val="0"/>
          <w:sz w:val="24"/>
        </w:rPr>
      </w:pPr>
    </w:p>
    <w:p w14:paraId="2D26CEC0">
      <w:pPr>
        <w:pStyle w:val="735"/>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42DA63A5">
      <w:pPr>
        <w:pStyle w:val="735"/>
        <w:adjustRightInd w:val="0"/>
        <w:snapToGrid w:val="0"/>
        <w:spacing w:line="500" w:lineRule="exact"/>
        <w:ind w:firstLine="480" w:firstLineChars="200"/>
        <w:rPr>
          <w:rFonts w:hint="eastAsia" w:ascii="仿宋" w:hAnsi="仿宋" w:eastAsia="仿宋"/>
          <w:snapToGrid w:val="0"/>
          <w:kern w:val="0"/>
          <w:sz w:val="24"/>
        </w:rPr>
      </w:pPr>
    </w:p>
    <w:p w14:paraId="2A9E3FAF">
      <w:pPr>
        <w:pStyle w:val="735"/>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62FC72D1">
      <w:pPr>
        <w:pStyle w:val="735"/>
        <w:adjustRightInd w:val="0"/>
        <w:snapToGrid w:val="0"/>
        <w:spacing w:line="500" w:lineRule="exact"/>
        <w:ind w:firstLine="480" w:firstLineChars="200"/>
        <w:rPr>
          <w:rFonts w:hint="eastAsia" w:ascii="仿宋" w:hAnsi="仿宋" w:eastAsia="仿宋"/>
          <w:snapToGrid w:val="0"/>
          <w:kern w:val="0"/>
          <w:sz w:val="24"/>
        </w:rPr>
      </w:pPr>
    </w:p>
    <w:p w14:paraId="15DCA52D">
      <w:pPr>
        <w:pStyle w:val="735"/>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53AE2F4E">
      <w:pPr>
        <w:pStyle w:val="735"/>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537FB2F8">
      <w:pPr>
        <w:shd w:val="clear" w:color="auto" w:fill="FFFFFF"/>
        <w:spacing w:line="440" w:lineRule="exact"/>
        <w:rPr>
          <w:rFonts w:ascii="仿宋" w:hAnsi="仿宋" w:eastAsia="仿宋"/>
          <w:snapToGrid w:val="0"/>
          <w:kern w:val="0"/>
          <w:szCs w:val="21"/>
        </w:rPr>
      </w:pPr>
      <w:bookmarkStart w:id="623" w:name="EB55c3a5730922453d8b444069d03ee88f"/>
      <w:bookmarkEnd w:id="623"/>
      <w:bookmarkStart w:id="624" w:name="EB617804c349ed43c6a2f03a96b2b0122d"/>
      <w:bookmarkEnd w:id="624"/>
      <w:r>
        <w:rPr>
          <w:rFonts w:ascii="仿宋" w:hAnsi="仿宋" w:eastAsia="仿宋"/>
          <w:snapToGrid w:val="0"/>
          <w:kern w:val="0"/>
          <w:szCs w:val="21"/>
        </w:rPr>
        <w:pict>
          <v:shape id="文本框 4" o:spid="_x0000_s1039" o:spt="202" type="#_x0000_t202" style="position:absolute;left:0pt;margin-left:-19.6pt;margin-top:12.8pt;height:151.1pt;width:252.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v:textbox>
          </v:shape>
        </w:pict>
      </w:r>
      <w:r>
        <w:rPr>
          <w:rFonts w:ascii="仿宋" w:hAnsi="仿宋" w:eastAsia="仿宋"/>
          <w:snapToGrid w:val="0"/>
          <w:kern w:val="0"/>
          <w:szCs w:val="21"/>
        </w:rPr>
        <w:pict>
          <v:shape id="文本框 3" o:spid="_x0000_s1040" o:spt="202" type="#_x0000_t202" style="position:absolute;left:0pt;margin-left:249pt;margin-top:12.8pt;height:151.1pt;width:25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v:textbox>
          </v:shape>
        </w:pict>
      </w:r>
    </w:p>
    <w:p w14:paraId="0A88BD41">
      <w:pPr>
        <w:shd w:val="clear" w:color="auto" w:fill="FFFFFF"/>
        <w:spacing w:line="440" w:lineRule="exact"/>
        <w:rPr>
          <w:rFonts w:ascii="仿宋" w:hAnsi="仿宋" w:eastAsia="仿宋"/>
          <w:snapToGrid w:val="0"/>
          <w:kern w:val="0"/>
          <w:szCs w:val="21"/>
        </w:rPr>
      </w:pPr>
    </w:p>
    <w:p w14:paraId="1E666C1E">
      <w:pPr>
        <w:shd w:val="clear" w:color="auto" w:fill="FFFFFF"/>
        <w:spacing w:line="440" w:lineRule="exact"/>
        <w:rPr>
          <w:rFonts w:ascii="仿宋" w:hAnsi="仿宋" w:eastAsia="仿宋"/>
          <w:snapToGrid w:val="0"/>
          <w:kern w:val="0"/>
          <w:szCs w:val="21"/>
        </w:rPr>
      </w:pPr>
    </w:p>
    <w:p w14:paraId="3B590EC3">
      <w:pPr>
        <w:shd w:val="clear" w:color="auto" w:fill="FFFFFF"/>
        <w:spacing w:line="440" w:lineRule="exact"/>
        <w:rPr>
          <w:rFonts w:ascii="仿宋" w:hAnsi="仿宋" w:eastAsia="仿宋"/>
          <w:snapToGrid w:val="0"/>
          <w:kern w:val="0"/>
          <w:szCs w:val="21"/>
        </w:rPr>
      </w:pPr>
    </w:p>
    <w:p w14:paraId="1985E98F">
      <w:pPr>
        <w:shd w:val="clear" w:color="auto" w:fill="FFFFFF"/>
        <w:spacing w:line="440" w:lineRule="exact"/>
        <w:rPr>
          <w:rFonts w:ascii="仿宋" w:hAnsi="仿宋" w:eastAsia="仿宋"/>
          <w:snapToGrid w:val="0"/>
          <w:kern w:val="0"/>
          <w:szCs w:val="21"/>
        </w:rPr>
      </w:pPr>
    </w:p>
    <w:p w14:paraId="145D3E3E">
      <w:pPr>
        <w:shd w:val="clear" w:color="auto" w:fill="FFFFFF"/>
        <w:spacing w:line="440" w:lineRule="exact"/>
        <w:rPr>
          <w:rFonts w:ascii="仿宋" w:hAnsi="仿宋" w:eastAsia="仿宋"/>
          <w:snapToGrid w:val="0"/>
          <w:kern w:val="0"/>
          <w:szCs w:val="21"/>
        </w:rPr>
      </w:pPr>
    </w:p>
    <w:p w14:paraId="4D9C6700">
      <w:pPr>
        <w:shd w:val="clear" w:color="auto" w:fill="FFFFFF"/>
        <w:spacing w:line="440" w:lineRule="exact"/>
        <w:rPr>
          <w:rFonts w:ascii="仿宋" w:hAnsi="仿宋" w:eastAsia="仿宋"/>
          <w:snapToGrid w:val="0"/>
          <w:kern w:val="0"/>
          <w:szCs w:val="21"/>
        </w:rPr>
      </w:pPr>
    </w:p>
    <w:p w14:paraId="53736576">
      <w:pPr>
        <w:shd w:val="clear" w:color="auto" w:fill="FFFFFF"/>
        <w:spacing w:line="440" w:lineRule="exact"/>
        <w:rPr>
          <w:rFonts w:ascii="仿宋" w:hAnsi="仿宋" w:eastAsia="仿宋"/>
          <w:snapToGrid w:val="0"/>
          <w:kern w:val="0"/>
          <w:szCs w:val="21"/>
        </w:rPr>
      </w:pPr>
    </w:p>
    <w:p w14:paraId="2AF6F4D2">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54726D4A">
      <w:pPr>
        <w:shd w:val="clear" w:color="auto" w:fill="FFFFFF"/>
        <w:spacing w:line="440" w:lineRule="exact"/>
        <w:rPr>
          <w:rFonts w:ascii="仿宋" w:hAnsi="仿宋" w:eastAsia="仿宋"/>
          <w:snapToGrid w:val="0"/>
          <w:kern w:val="0"/>
          <w:sz w:val="24"/>
        </w:rPr>
      </w:pPr>
    </w:p>
    <w:p w14:paraId="3A55030A">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0171ECE4">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6F16F4E8">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8501CCF">
      <w:pPr>
        <w:pStyle w:val="771"/>
      </w:pPr>
    </w:p>
    <w:p w14:paraId="76F4C24F">
      <w:pPr>
        <w:pStyle w:val="771"/>
      </w:pPr>
      <w:bookmarkStart w:id="625" w:name="_Toc480371722"/>
      <w:bookmarkStart w:id="626" w:name="_Toc480368654"/>
      <w:bookmarkStart w:id="627" w:name="_Toc480368425"/>
      <w:bookmarkStart w:id="628" w:name="_Toc480368596"/>
    </w:p>
    <w:p w14:paraId="10C7DA1F">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625"/>
      <w:bookmarkEnd w:id="626"/>
      <w:bookmarkEnd w:id="627"/>
      <w:bookmarkEnd w:id="628"/>
    </w:p>
    <w:p w14:paraId="5C4F398E">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37C3BCC8">
      <w:pPr>
        <w:shd w:val="clear" w:color="auto"/>
        <w:spacing w:line="440" w:lineRule="exact"/>
        <w:jc w:val="center"/>
        <w:rPr>
          <w:rFonts w:ascii="仿宋" w:hAnsi="仿宋" w:eastAsia="仿宋"/>
          <w:b/>
          <w:bCs/>
          <w:sz w:val="24"/>
          <w:szCs w:val="24"/>
        </w:rPr>
      </w:pPr>
    </w:p>
    <w:p w14:paraId="5372972C">
      <w:pPr>
        <w:pStyle w:val="709"/>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招标项目的投标活动。代理人在参加整个招标投标活动所签署的一切文件和处理与之相关的一切事物，我均予承认。</w:t>
      </w:r>
    </w:p>
    <w:p w14:paraId="5D873A44">
      <w:pPr>
        <w:pStyle w:val="709"/>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7428B95D">
      <w:pPr>
        <w:shd w:val="clear" w:color="auto"/>
        <w:snapToGrid w:val="0"/>
        <w:spacing w:line="312" w:lineRule="auto"/>
        <w:ind w:firstLine="453" w:firstLineChars="189"/>
        <w:rPr>
          <w:rFonts w:ascii="仿宋" w:hAnsi="仿宋" w:eastAsia="仿宋"/>
          <w:bCs/>
          <w:sz w:val="24"/>
          <w:szCs w:val="24"/>
          <w:u w:val="single"/>
        </w:rPr>
      </w:pPr>
    </w:p>
    <w:tbl>
      <w:tblPr>
        <w:tblStyle w:val="60"/>
        <w:tblW w:w="9514" w:type="dxa"/>
        <w:jc w:val="center"/>
        <w:tblLayout w:type="fixed"/>
        <w:tblCellMar>
          <w:top w:w="0" w:type="dxa"/>
          <w:left w:w="108" w:type="dxa"/>
          <w:bottom w:w="0" w:type="dxa"/>
          <w:right w:w="108" w:type="dxa"/>
        </w:tblCellMar>
      </w:tblPr>
      <w:tblGrid>
        <w:gridCol w:w="4616"/>
        <w:gridCol w:w="281"/>
        <w:gridCol w:w="4617"/>
      </w:tblGrid>
      <w:tr w14:paraId="31276987">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D7BA94C">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5EAA5FE4">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000054C3">
            <w:pPr>
              <w:pStyle w:val="5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0F3F205B">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4A07A9BD">
            <w:pPr>
              <w:shd w:val="clear"/>
              <w:jc w:val="center"/>
              <w:rPr>
                <w:rFonts w:ascii="仿宋" w:hAnsi="仿宋" w:eastAsia="仿宋"/>
                <w:sz w:val="24"/>
                <w:szCs w:val="24"/>
              </w:rPr>
            </w:pPr>
            <w:r>
              <w:rPr>
                <w:rFonts w:hint="eastAsia" w:ascii="仿宋" w:hAnsi="仿宋" w:eastAsia="仿宋"/>
                <w:sz w:val="24"/>
                <w:szCs w:val="24"/>
              </w:rPr>
              <w:t>（国徽面）</w:t>
            </w:r>
          </w:p>
        </w:tc>
      </w:tr>
    </w:tbl>
    <w:p w14:paraId="4C6C4540">
      <w:pPr>
        <w:pStyle w:val="59"/>
        <w:ind w:left="0" w:leftChars="0" w:firstLine="0" w:firstLineChars="0"/>
        <w:rPr>
          <w:sz w:val="24"/>
          <w:szCs w:val="24"/>
        </w:rPr>
      </w:pPr>
    </w:p>
    <w:tbl>
      <w:tblPr>
        <w:tblStyle w:val="60"/>
        <w:tblW w:w="9514" w:type="dxa"/>
        <w:jc w:val="center"/>
        <w:tblLayout w:type="fixed"/>
        <w:tblCellMar>
          <w:top w:w="0" w:type="dxa"/>
          <w:left w:w="108" w:type="dxa"/>
          <w:bottom w:w="0" w:type="dxa"/>
          <w:right w:w="108" w:type="dxa"/>
        </w:tblCellMar>
      </w:tblPr>
      <w:tblGrid>
        <w:gridCol w:w="4616"/>
        <w:gridCol w:w="281"/>
        <w:gridCol w:w="4617"/>
      </w:tblGrid>
      <w:tr w14:paraId="09657B7D">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A1DFB8A">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8C1D97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19A5F7CB">
            <w:pPr>
              <w:pStyle w:val="5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723CB855">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D8F3225">
            <w:pPr>
              <w:shd w:val="clear"/>
              <w:jc w:val="center"/>
              <w:rPr>
                <w:rFonts w:ascii="仿宋" w:hAnsi="仿宋" w:eastAsia="仿宋"/>
                <w:sz w:val="24"/>
                <w:szCs w:val="24"/>
              </w:rPr>
            </w:pPr>
            <w:r>
              <w:rPr>
                <w:rFonts w:hint="eastAsia" w:ascii="仿宋" w:hAnsi="仿宋" w:eastAsia="仿宋"/>
                <w:sz w:val="24"/>
                <w:szCs w:val="24"/>
              </w:rPr>
              <w:t>（国徽面）</w:t>
            </w:r>
          </w:p>
        </w:tc>
      </w:tr>
    </w:tbl>
    <w:p w14:paraId="45A20D0D">
      <w:pPr>
        <w:pStyle w:val="736"/>
        <w:spacing w:line="420" w:lineRule="exact"/>
        <w:ind w:firstLine="480" w:firstLineChars="200"/>
        <w:rPr>
          <w:rFonts w:hint="eastAsia" w:ascii="仿宋" w:hAnsi="仿宋" w:eastAsia="仿宋" w:cs="仿宋"/>
          <w:snapToGrid w:val="0"/>
          <w:kern w:val="0"/>
          <w:sz w:val="24"/>
        </w:rPr>
      </w:pPr>
    </w:p>
    <w:p w14:paraId="13738F7D">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3B47B8A8">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693D3AF">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1A72DD6">
      <w:pPr>
        <w:pStyle w:val="73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33647CEE">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06F445E8">
      <w:pPr>
        <w:shd w:val="clear" w:color="auto" w:fill="FFFFFF"/>
        <w:spacing w:line="440" w:lineRule="exact"/>
        <w:rPr>
          <w:rFonts w:ascii="仿宋" w:hAnsi="仿宋" w:eastAsia="仿宋"/>
          <w:b/>
          <w:bCs/>
          <w:kern w:val="0"/>
          <w:sz w:val="24"/>
        </w:rPr>
      </w:pPr>
      <w:r>
        <w:rPr>
          <w:rFonts w:ascii="仿宋" w:hAnsi="仿宋" w:eastAsia="仿宋"/>
          <w:b/>
          <w:bCs/>
          <w:kern w:val="0"/>
          <w:sz w:val="24"/>
        </w:rPr>
        <w:br w:type="page"/>
      </w:r>
    </w:p>
    <w:p w14:paraId="6E5D9278">
      <w:pPr>
        <w:shd w:val="clear" w:color="auto" w:fill="FFFFFF"/>
        <w:spacing w:line="440" w:lineRule="exact"/>
        <w:jc w:val="center"/>
        <w:rPr>
          <w:rFonts w:ascii="仿宋" w:hAnsi="仿宋" w:eastAsia="仿宋"/>
          <w:b/>
          <w:bCs/>
          <w:sz w:val="28"/>
          <w:szCs w:val="28"/>
        </w:rPr>
      </w:pPr>
    </w:p>
    <w:p w14:paraId="6A4E625A">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磋商一览表</w:t>
      </w:r>
    </w:p>
    <w:p w14:paraId="5FD9B610">
      <w:pPr>
        <w:tabs>
          <w:tab w:val="center" w:pos="7115"/>
          <w:tab w:val="right" w:pos="14230"/>
        </w:tabs>
        <w:ind w:firstLine="723"/>
        <w:jc w:val="center"/>
        <w:rPr>
          <w:rFonts w:ascii="仿宋" w:hAnsi="仿宋" w:eastAsia="仿宋"/>
          <w:sz w:val="24"/>
        </w:rPr>
      </w:pPr>
    </w:p>
    <w:p w14:paraId="0B467791">
      <w:pPr>
        <w:tabs>
          <w:tab w:val="center" w:pos="7115"/>
          <w:tab w:val="right" w:pos="14230"/>
        </w:tabs>
        <w:ind w:firstLine="120" w:firstLineChars="50"/>
        <w:rPr>
          <w:rFonts w:ascii="仿宋" w:hAnsi="仿宋" w:eastAsia="仿宋"/>
          <w:sz w:val="24"/>
        </w:rPr>
      </w:pPr>
      <w:r>
        <w:rPr>
          <w:rFonts w:hint="eastAsia" w:ascii="仿宋" w:hAnsi="仿宋" w:eastAsia="仿宋"/>
          <w:sz w:val="24"/>
        </w:rPr>
        <w:t>供应商名称：                                                       单位：元</w:t>
      </w:r>
    </w:p>
    <w:p w14:paraId="0FE40775">
      <w:pPr>
        <w:spacing w:line="360" w:lineRule="exact"/>
        <w:ind w:firstLine="120" w:firstLineChars="50"/>
        <w:rPr>
          <w:rFonts w:ascii="仿宋" w:hAnsi="仿宋" w:eastAsia="仿宋" w:cs="宋体"/>
          <w:spacing w:val="-10"/>
          <w:kern w:val="0"/>
          <w:sz w:val="24"/>
        </w:rPr>
      </w:pPr>
      <w:r>
        <w:rPr>
          <w:rFonts w:hint="eastAsia" w:ascii="仿宋" w:hAnsi="仿宋" w:eastAsia="仿宋"/>
          <w:sz w:val="24"/>
        </w:rPr>
        <w:t>项目名称：</w:t>
      </w:r>
    </w:p>
    <w:p w14:paraId="09FB22B9">
      <w:pPr>
        <w:spacing w:line="360" w:lineRule="exact"/>
        <w:ind w:firstLine="110" w:firstLineChars="50"/>
        <w:rPr>
          <w:rFonts w:hint="eastAsia" w:ascii="仿宋" w:hAnsi="仿宋" w:eastAsia="仿宋" w:cs="宋体"/>
          <w:spacing w:val="-10"/>
          <w:kern w:val="0"/>
          <w:sz w:val="24"/>
          <w:lang w:val="en-US" w:eastAsia="zh-CN"/>
        </w:rPr>
      </w:pPr>
      <w:r>
        <w:rPr>
          <w:rFonts w:hint="eastAsia" w:ascii="仿宋" w:hAnsi="仿宋" w:eastAsia="仿宋" w:cs="宋体"/>
          <w:spacing w:val="-10"/>
          <w:kern w:val="0"/>
          <w:sz w:val="24"/>
        </w:rPr>
        <w:t>项目</w:t>
      </w:r>
      <w:r>
        <w:rPr>
          <w:rFonts w:hint="eastAsia" w:ascii="仿宋" w:hAnsi="仿宋" w:eastAsia="仿宋"/>
          <w:sz w:val="24"/>
        </w:rPr>
        <w:t>编号：</w:t>
      </w:r>
      <w:r>
        <w:rPr>
          <w:rFonts w:hint="eastAsia" w:ascii="仿宋" w:hAnsi="仿宋" w:eastAsia="仿宋"/>
          <w:sz w:val="24"/>
          <w:lang w:val="en-US" w:eastAsia="zh-CN"/>
        </w:rPr>
        <w:t xml:space="preserve"> </w:t>
      </w:r>
    </w:p>
    <w:tbl>
      <w:tblPr>
        <w:tblStyle w:val="60"/>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84"/>
        <w:gridCol w:w="1903"/>
        <w:gridCol w:w="2539"/>
        <w:gridCol w:w="1731"/>
        <w:gridCol w:w="1068"/>
      </w:tblGrid>
      <w:tr w14:paraId="0F2B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exact"/>
          <w:jc w:val="center"/>
        </w:trPr>
        <w:tc>
          <w:tcPr>
            <w:tcW w:w="1277" w:type="pct"/>
            <w:tcBorders>
              <w:bottom w:val="single" w:color="auto" w:sz="4" w:space="0"/>
            </w:tcBorders>
            <w:vAlign w:val="center"/>
          </w:tcPr>
          <w:p w14:paraId="2F4F314B">
            <w:pPr>
              <w:jc w:val="center"/>
              <w:rPr>
                <w:rFonts w:ascii="仿宋" w:hAnsi="仿宋" w:eastAsia="仿宋"/>
                <w:sz w:val="24"/>
              </w:rPr>
            </w:pPr>
            <w:r>
              <w:rPr>
                <w:rFonts w:hint="eastAsia" w:ascii="仿宋" w:hAnsi="仿宋" w:eastAsia="仿宋"/>
                <w:sz w:val="24"/>
              </w:rPr>
              <w:t>项目名称</w:t>
            </w:r>
          </w:p>
        </w:tc>
        <w:tc>
          <w:tcPr>
            <w:tcW w:w="978" w:type="pct"/>
            <w:tcBorders>
              <w:bottom w:val="single" w:color="auto" w:sz="4" w:space="0"/>
            </w:tcBorders>
            <w:vAlign w:val="center"/>
          </w:tcPr>
          <w:p w14:paraId="144A2FB8">
            <w:pPr>
              <w:jc w:val="center"/>
              <w:rPr>
                <w:rFonts w:hint="default" w:ascii="仿宋" w:hAnsi="仿宋" w:eastAsia="仿宋"/>
                <w:sz w:val="24"/>
                <w:lang w:val="en-US" w:eastAsia="zh-CN"/>
              </w:rPr>
            </w:pPr>
            <w:r>
              <w:rPr>
                <w:rFonts w:hint="eastAsia" w:ascii="仿宋" w:hAnsi="仿宋" w:eastAsia="仿宋"/>
                <w:sz w:val="24"/>
                <w:lang w:val="en-US" w:eastAsia="zh-CN"/>
              </w:rPr>
              <w:t>项目负责人</w:t>
            </w:r>
          </w:p>
        </w:tc>
        <w:tc>
          <w:tcPr>
            <w:tcW w:w="1305" w:type="pct"/>
            <w:tcBorders>
              <w:bottom w:val="single" w:color="auto" w:sz="4" w:space="0"/>
            </w:tcBorders>
            <w:vAlign w:val="center"/>
          </w:tcPr>
          <w:p w14:paraId="7DF7A13F">
            <w:pPr>
              <w:jc w:val="center"/>
              <w:rPr>
                <w:rFonts w:hint="eastAsia" w:ascii="仿宋" w:hAnsi="仿宋" w:eastAsia="仿宋"/>
                <w:sz w:val="24"/>
                <w:lang w:val="en-US" w:eastAsia="zh-CN"/>
              </w:rPr>
            </w:pPr>
            <w:r>
              <w:rPr>
                <w:rFonts w:hint="eastAsia" w:ascii="仿宋" w:hAnsi="仿宋" w:eastAsia="仿宋"/>
                <w:sz w:val="24"/>
                <w:lang w:val="en-US" w:eastAsia="zh-CN"/>
              </w:rPr>
              <w:t>项目负责人证书编号</w:t>
            </w:r>
          </w:p>
        </w:tc>
        <w:tc>
          <w:tcPr>
            <w:tcW w:w="890" w:type="pct"/>
            <w:tcBorders>
              <w:bottom w:val="single" w:color="auto" w:sz="4" w:space="0"/>
            </w:tcBorders>
            <w:vAlign w:val="center"/>
          </w:tcPr>
          <w:p w14:paraId="72C7AA9B">
            <w:pPr>
              <w:jc w:val="center"/>
              <w:rPr>
                <w:rFonts w:ascii="仿宋" w:hAnsi="仿宋" w:eastAsia="仿宋"/>
                <w:sz w:val="24"/>
              </w:rPr>
            </w:pPr>
            <w:r>
              <w:rPr>
                <w:rFonts w:hint="eastAsia" w:ascii="仿宋" w:hAnsi="仿宋" w:eastAsia="仿宋"/>
                <w:sz w:val="24"/>
                <w:lang w:val="en-US" w:eastAsia="zh-CN"/>
              </w:rPr>
              <w:t>合同履约期限</w:t>
            </w:r>
          </w:p>
        </w:tc>
        <w:tc>
          <w:tcPr>
            <w:tcW w:w="548" w:type="pct"/>
            <w:tcBorders>
              <w:bottom w:val="single" w:color="auto" w:sz="4" w:space="0"/>
            </w:tcBorders>
            <w:vAlign w:val="center"/>
          </w:tcPr>
          <w:p w14:paraId="707C3AD8">
            <w:pPr>
              <w:jc w:val="center"/>
              <w:rPr>
                <w:rFonts w:ascii="仿宋" w:hAnsi="仿宋" w:eastAsia="仿宋"/>
                <w:sz w:val="24"/>
              </w:rPr>
            </w:pPr>
            <w:r>
              <w:rPr>
                <w:rFonts w:hint="eastAsia" w:ascii="仿宋" w:hAnsi="仿宋" w:eastAsia="仿宋"/>
                <w:sz w:val="24"/>
              </w:rPr>
              <w:t>备注</w:t>
            </w:r>
          </w:p>
        </w:tc>
      </w:tr>
      <w:tr w14:paraId="649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6" w:hRule="exact"/>
          <w:jc w:val="center"/>
        </w:trPr>
        <w:tc>
          <w:tcPr>
            <w:tcW w:w="1277" w:type="pct"/>
            <w:tcBorders>
              <w:bottom w:val="single" w:color="auto" w:sz="4" w:space="0"/>
            </w:tcBorders>
            <w:vAlign w:val="center"/>
          </w:tcPr>
          <w:p w14:paraId="3FB3BE44">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978" w:type="pct"/>
            <w:tcBorders>
              <w:bottom w:val="single" w:color="auto" w:sz="4" w:space="0"/>
            </w:tcBorders>
            <w:vAlign w:val="center"/>
          </w:tcPr>
          <w:p w14:paraId="065A70F4">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305" w:type="pct"/>
            <w:tcBorders>
              <w:bottom w:val="single" w:color="auto" w:sz="4" w:space="0"/>
            </w:tcBorders>
            <w:vAlign w:val="center"/>
          </w:tcPr>
          <w:p w14:paraId="09012DB8">
            <w:pPr>
              <w:jc w:val="center"/>
              <w:rPr>
                <w:rFonts w:hint="eastAsia" w:ascii="仿宋" w:hAnsi="仿宋" w:eastAsia="仿宋"/>
                <w:sz w:val="24"/>
                <w:lang w:val="en-US" w:eastAsia="zh-CN"/>
              </w:rPr>
            </w:pPr>
          </w:p>
        </w:tc>
        <w:tc>
          <w:tcPr>
            <w:tcW w:w="890" w:type="pct"/>
            <w:tcBorders>
              <w:bottom w:val="single" w:color="auto" w:sz="4" w:space="0"/>
            </w:tcBorders>
            <w:vAlign w:val="center"/>
          </w:tcPr>
          <w:p w14:paraId="1DC75AD4">
            <w:pPr>
              <w:jc w:val="center"/>
              <w:rPr>
                <w:rFonts w:ascii="仿宋" w:hAnsi="仿宋" w:eastAsia="仿宋"/>
                <w:sz w:val="24"/>
              </w:rPr>
            </w:pPr>
          </w:p>
        </w:tc>
        <w:tc>
          <w:tcPr>
            <w:tcW w:w="548" w:type="pct"/>
            <w:tcBorders>
              <w:bottom w:val="single" w:color="auto" w:sz="4" w:space="0"/>
            </w:tcBorders>
            <w:vAlign w:val="center"/>
          </w:tcPr>
          <w:p w14:paraId="7F2B23CF">
            <w:pPr>
              <w:jc w:val="center"/>
              <w:rPr>
                <w:rFonts w:ascii="仿宋" w:hAnsi="仿宋" w:eastAsia="仿宋"/>
                <w:sz w:val="24"/>
              </w:rPr>
            </w:pPr>
          </w:p>
        </w:tc>
      </w:tr>
      <w:tr w14:paraId="586F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7" w:hRule="exact"/>
          <w:jc w:val="center"/>
        </w:trPr>
        <w:tc>
          <w:tcPr>
            <w:tcW w:w="1277" w:type="pct"/>
            <w:tcBorders>
              <w:bottom w:val="single" w:color="auto" w:sz="4" w:space="0"/>
            </w:tcBorders>
            <w:vAlign w:val="center"/>
          </w:tcPr>
          <w:p w14:paraId="242751DB">
            <w:pPr>
              <w:jc w:val="center"/>
              <w:rPr>
                <w:rFonts w:ascii="仿宋" w:hAnsi="仿宋" w:eastAsia="仿宋"/>
                <w:sz w:val="24"/>
              </w:rPr>
            </w:pPr>
            <w:r>
              <w:rPr>
                <w:rFonts w:hint="eastAsia" w:ascii="仿宋" w:hAnsi="仿宋" w:eastAsia="仿宋"/>
                <w:sz w:val="24"/>
              </w:rPr>
              <w:t>磋商报价(元)：</w:t>
            </w:r>
          </w:p>
        </w:tc>
        <w:tc>
          <w:tcPr>
            <w:tcW w:w="3722" w:type="pct"/>
            <w:gridSpan w:val="4"/>
            <w:tcBorders>
              <w:bottom w:val="single" w:color="auto" w:sz="4" w:space="0"/>
            </w:tcBorders>
            <w:vAlign w:val="center"/>
          </w:tcPr>
          <w:p w14:paraId="47951732">
            <w:pPr>
              <w:jc w:val="both"/>
              <w:rPr>
                <w:rFonts w:hint="eastAsia" w:ascii="仿宋" w:hAnsi="仿宋" w:eastAsia="仿宋"/>
                <w:sz w:val="24"/>
                <w:lang w:val="en-US" w:eastAsia="zh-CN"/>
              </w:rPr>
            </w:pPr>
            <w:r>
              <w:rPr>
                <w:rFonts w:hint="eastAsia" w:ascii="仿宋" w:hAnsi="仿宋" w:eastAsia="仿宋"/>
                <w:sz w:val="24"/>
                <w:lang w:val="en-US" w:eastAsia="zh-CN"/>
              </w:rPr>
              <w:t>小写：</w:t>
            </w:r>
          </w:p>
          <w:p w14:paraId="6E0EED14">
            <w:pPr>
              <w:pStyle w:val="59"/>
              <w:ind w:left="0" w:leftChars="0" w:firstLine="0" w:firstLineChars="0"/>
              <w:rPr>
                <w:rFonts w:hint="default"/>
                <w:lang w:val="en-US" w:eastAsia="zh-CN"/>
              </w:rPr>
            </w:pPr>
            <w:r>
              <w:rPr>
                <w:rFonts w:hint="eastAsia" w:ascii="仿宋" w:hAnsi="仿宋" w:eastAsia="仿宋"/>
                <w:sz w:val="24"/>
                <w:lang w:val="en-US" w:eastAsia="zh-CN"/>
              </w:rPr>
              <w:t>大写：</w:t>
            </w:r>
          </w:p>
        </w:tc>
      </w:tr>
    </w:tbl>
    <w:p w14:paraId="570C8F67">
      <w:pPr>
        <w:adjustRightInd w:val="0"/>
        <w:snapToGrid w:val="0"/>
        <w:rPr>
          <w:rFonts w:ascii="仿宋" w:hAnsi="仿宋" w:eastAsia="仿宋" w:cs="宋体"/>
          <w:color w:val="auto"/>
          <w:sz w:val="24"/>
        </w:rPr>
      </w:pPr>
      <w:r>
        <w:rPr>
          <w:rFonts w:ascii="仿宋" w:hAnsi="仿宋" w:eastAsia="仿宋" w:cs="宋体"/>
          <w:color w:val="auto"/>
          <w:spacing w:val="4"/>
          <w:sz w:val="24"/>
        </w:rPr>
        <w:t>注：</w:t>
      </w:r>
    </w:p>
    <w:p w14:paraId="0720EF9B">
      <w:pPr>
        <w:numPr>
          <w:ilvl w:val="0"/>
          <w:numId w:val="16"/>
        </w:numPr>
        <w:adjustRightInd w:val="0"/>
        <w:snapToGrid w:val="0"/>
        <w:rPr>
          <w:rFonts w:hint="eastAsia" w:ascii="仿宋" w:hAnsi="仿宋" w:eastAsia="仿宋" w:cs="宋体"/>
          <w:color w:val="auto"/>
          <w:spacing w:val="9"/>
          <w:sz w:val="21"/>
          <w:szCs w:val="21"/>
        </w:rPr>
      </w:pPr>
      <w:r>
        <w:rPr>
          <w:rFonts w:hint="eastAsia" w:ascii="仿宋" w:hAnsi="仿宋" w:eastAsia="仿宋" w:cs="宋体"/>
          <w:color w:val="auto"/>
          <w:spacing w:val="9"/>
          <w:sz w:val="21"/>
          <w:szCs w:val="21"/>
        </w:rPr>
        <w:t>供应商必须按照磋商文件中提供的格式，完整、正确填写磋商一览表。</w:t>
      </w:r>
    </w:p>
    <w:p w14:paraId="51DC3A4E">
      <w:pPr>
        <w:numPr>
          <w:ilvl w:val="0"/>
          <w:numId w:val="16"/>
        </w:numPr>
        <w:adjustRightInd w:val="0"/>
        <w:snapToGrid w:val="0"/>
        <w:rPr>
          <w:rFonts w:hint="eastAsia" w:ascii="仿宋" w:hAnsi="仿宋" w:eastAsia="仿宋" w:cs="宋体"/>
          <w:color w:val="auto"/>
          <w:spacing w:val="9"/>
          <w:sz w:val="21"/>
          <w:szCs w:val="21"/>
        </w:rPr>
      </w:pPr>
      <w:r>
        <w:rPr>
          <w:rFonts w:hint="eastAsia" w:ascii="仿宋" w:hAnsi="仿宋" w:eastAsia="仿宋" w:cs="宋体"/>
          <w:color w:val="auto"/>
          <w:spacing w:val="9"/>
          <w:sz w:val="21"/>
          <w:szCs w:val="21"/>
        </w:rPr>
        <w:t>此表中，报价应和《分项报价表》中的总价相一致。</w:t>
      </w:r>
    </w:p>
    <w:p w14:paraId="63E0836D">
      <w:pPr>
        <w:numPr>
          <w:ilvl w:val="0"/>
          <w:numId w:val="0"/>
        </w:numPr>
        <w:adjustRightInd w:val="0"/>
        <w:snapToGrid w:val="0"/>
        <w:rPr>
          <w:rFonts w:ascii="仿宋" w:hAnsi="仿宋" w:eastAsia="仿宋" w:cs="宋体"/>
          <w:color w:val="auto"/>
          <w:sz w:val="21"/>
          <w:szCs w:val="21"/>
        </w:rPr>
      </w:pPr>
      <w:r>
        <w:rPr>
          <w:rFonts w:hint="eastAsia" w:ascii="仿宋" w:hAnsi="仿宋" w:eastAsia="仿宋"/>
          <w:bCs/>
          <w:color w:val="auto"/>
          <w:spacing w:val="8"/>
          <w:sz w:val="21"/>
          <w:szCs w:val="21"/>
          <w:lang w:val="en-US" w:eastAsia="zh-CN"/>
        </w:rPr>
        <w:t>3</w:t>
      </w:r>
      <w:r>
        <w:rPr>
          <w:rFonts w:hint="eastAsia" w:ascii="仿宋" w:hAnsi="仿宋" w:eastAsia="仿宋"/>
          <w:bCs/>
          <w:color w:val="auto"/>
          <w:spacing w:val="8"/>
          <w:sz w:val="21"/>
          <w:szCs w:val="21"/>
        </w:rPr>
        <w:t>.</w:t>
      </w:r>
      <w:r>
        <w:rPr>
          <w:rFonts w:hint="eastAsia" w:ascii="仿宋" w:hAnsi="仿宋" w:eastAsia="仿宋" w:cs="宋体"/>
          <w:b/>
          <w:color w:val="auto"/>
          <w:spacing w:val="7"/>
          <w:sz w:val="21"/>
          <w:szCs w:val="21"/>
        </w:rPr>
        <w:t>本项目的磋商报价实行两次报价：供应商提交的响应文件中《磋商一览表》中载明的报价即为供应商对本项目第一次报价，供应商在磋商小组规定的时间内提交的第二次报价，为本项目的磋商最终报价。</w:t>
      </w:r>
    </w:p>
    <w:p w14:paraId="35AE34CA">
      <w:pPr>
        <w:adjustRightInd w:val="0"/>
        <w:snapToGrid w:val="0"/>
        <w:rPr>
          <w:rFonts w:ascii="仿宋" w:hAnsi="仿宋" w:eastAsia="仿宋" w:cs="仿宋"/>
          <w:b/>
          <w:color w:val="auto"/>
          <w:sz w:val="21"/>
          <w:szCs w:val="21"/>
        </w:rPr>
      </w:pPr>
      <w:r>
        <w:rPr>
          <w:rFonts w:hint="eastAsia" w:ascii="仿宋" w:hAnsi="仿宋" w:eastAsia="仿宋"/>
          <w:color w:val="auto"/>
          <w:spacing w:val="12"/>
          <w:sz w:val="21"/>
          <w:szCs w:val="21"/>
          <w:lang w:val="en-US" w:eastAsia="zh-CN"/>
        </w:rPr>
        <w:t>4</w:t>
      </w:r>
      <w:r>
        <w:rPr>
          <w:rFonts w:hint="eastAsia" w:ascii="仿宋" w:hAnsi="仿宋" w:eastAsia="仿宋"/>
          <w:color w:val="auto"/>
          <w:spacing w:val="12"/>
          <w:sz w:val="21"/>
          <w:szCs w:val="21"/>
        </w:rPr>
        <w:t>.备注栏里</w:t>
      </w:r>
      <w:r>
        <w:rPr>
          <w:rFonts w:hint="eastAsia" w:ascii="仿宋" w:hAnsi="仿宋" w:eastAsia="仿宋" w:cs="宋体"/>
          <w:color w:val="auto"/>
          <w:spacing w:val="12"/>
          <w:sz w:val="21"/>
          <w:szCs w:val="21"/>
        </w:rPr>
        <w:t>填写</w:t>
      </w:r>
      <w:r>
        <w:rPr>
          <w:rFonts w:ascii="仿宋" w:hAnsi="仿宋" w:eastAsia="仿宋" w:cs="宋体"/>
          <w:color w:val="auto"/>
          <w:spacing w:val="12"/>
          <w:sz w:val="21"/>
          <w:szCs w:val="21"/>
        </w:rPr>
        <w:t>供应商</w:t>
      </w:r>
      <w:r>
        <w:rPr>
          <w:rFonts w:ascii="仿宋" w:hAnsi="仿宋" w:eastAsia="仿宋" w:cs="宋体"/>
          <w:color w:val="auto"/>
          <w:spacing w:val="6"/>
          <w:sz w:val="21"/>
          <w:szCs w:val="21"/>
        </w:rPr>
        <w:t>针对开标一览表需声明的内容。若没有声明内容，备注栏请填写</w:t>
      </w:r>
      <w:r>
        <w:rPr>
          <w:rFonts w:ascii="仿宋" w:hAnsi="仿宋" w:eastAsia="仿宋"/>
          <w:bCs/>
          <w:color w:val="auto"/>
          <w:spacing w:val="6"/>
          <w:sz w:val="21"/>
          <w:szCs w:val="21"/>
        </w:rPr>
        <w:t>“</w:t>
      </w:r>
      <w:r>
        <w:rPr>
          <w:rFonts w:ascii="仿宋" w:hAnsi="仿宋" w:eastAsia="仿宋" w:cs="宋体"/>
          <w:color w:val="auto"/>
          <w:spacing w:val="6"/>
          <w:sz w:val="21"/>
          <w:szCs w:val="21"/>
        </w:rPr>
        <w:t>无</w:t>
      </w:r>
      <w:r>
        <w:rPr>
          <w:rFonts w:ascii="仿宋" w:hAnsi="仿宋" w:eastAsia="仿宋"/>
          <w:bCs/>
          <w:color w:val="auto"/>
          <w:spacing w:val="6"/>
          <w:sz w:val="21"/>
          <w:szCs w:val="21"/>
        </w:rPr>
        <w:t>”</w:t>
      </w:r>
      <w:r>
        <w:rPr>
          <w:rFonts w:ascii="仿宋" w:hAnsi="仿宋" w:eastAsia="仿宋" w:cs="宋体"/>
          <w:color w:val="auto"/>
          <w:spacing w:val="6"/>
          <w:sz w:val="21"/>
          <w:szCs w:val="21"/>
        </w:rPr>
        <w:t>。</w:t>
      </w:r>
    </w:p>
    <w:p w14:paraId="74C25F55">
      <w:pPr>
        <w:rPr>
          <w:rFonts w:ascii="仿宋" w:hAnsi="仿宋" w:eastAsia="仿宋"/>
          <w:sz w:val="24"/>
        </w:rPr>
      </w:pPr>
    </w:p>
    <w:p w14:paraId="631217CE">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b w:val="0"/>
          <w:bCs/>
          <w:snapToGrid w:val="0"/>
          <w:kern w:val="0"/>
          <w:sz w:val="24"/>
        </w:rPr>
        <w:t xml:space="preserve"> </w:t>
      </w:r>
      <w:r>
        <w:rPr>
          <w:rFonts w:hint="eastAsia" w:ascii="仿宋" w:hAnsi="仿宋" w:eastAsia="仿宋"/>
          <w:b w:val="0"/>
          <w:bCs/>
          <w:snapToGrid w:val="0"/>
          <w:kern w:val="0"/>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78CD17D">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1AE9D202">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63DA1D71">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6028360E">
      <w:pPr>
        <w:pStyle w:val="609"/>
        <w:widowControl/>
        <w:numPr>
          <w:ilvl w:val="0"/>
          <w:numId w:val="0"/>
        </w:numPr>
        <w:adjustRightInd w:val="0"/>
        <w:snapToGrid w:val="0"/>
        <w:ind w:leftChars="0"/>
        <w:rPr>
          <w:rFonts w:ascii="仿宋" w:hAnsi="仿宋" w:eastAsia="仿宋"/>
          <w:b/>
          <w:color w:val="auto"/>
          <w:u w:val="none"/>
        </w:rPr>
      </w:pPr>
    </w:p>
    <w:p w14:paraId="1AB778FE">
      <w:pPr>
        <w:pStyle w:val="30"/>
        <w:ind w:left="0" w:leftChars="0" w:firstLine="0" w:firstLineChars="0"/>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分项报价表（标价的工程量清单）</w:t>
      </w:r>
    </w:p>
    <w:p w14:paraId="07F2665E">
      <w:pPr>
        <w:pStyle w:val="28"/>
        <w:tabs>
          <w:tab w:val="left" w:pos="3600"/>
          <w:tab w:val="left" w:pos="6001"/>
        </w:tabs>
        <w:spacing w:before="161"/>
        <w:ind w:left="360"/>
        <w:jc w:val="center"/>
        <w:rPr>
          <w:rFonts w:hint="eastAsia" w:ascii="仿宋" w:hAnsi="仿宋" w:eastAsia="仿宋" w:cs="Times New Roman"/>
          <w:color w:val="auto"/>
          <w:kern w:val="2"/>
          <w:sz w:val="24"/>
          <w:szCs w:val="24"/>
          <w:u w:val="single"/>
          <w:lang w:val="en-US" w:eastAsia="zh-CN" w:bidi="ar-SA"/>
        </w:rPr>
      </w:pPr>
      <w:r>
        <w:rPr>
          <w:rFonts w:hint="eastAsia" w:ascii="仿宋" w:hAnsi="仿宋" w:eastAsia="仿宋" w:cs="Times New Roman"/>
          <w:color w:val="auto"/>
          <w:kern w:val="2"/>
          <w:sz w:val="24"/>
          <w:szCs w:val="24"/>
          <w:u w:val="single"/>
          <w:lang w:val="en-US" w:eastAsia="zh-CN" w:bidi="ar-SA"/>
        </w:rPr>
        <w:t>按本项目工程量清单规定的格式填写</w:t>
      </w:r>
    </w:p>
    <w:p w14:paraId="76661DD8">
      <w:pPr>
        <w:shd w:val="clear" w:color="auto" w:fill="FFFFFF"/>
        <w:spacing w:line="440" w:lineRule="exact"/>
        <w:rPr>
          <w:rFonts w:hint="eastAsia" w:ascii="仿宋" w:hAnsi="仿宋" w:eastAsia="仿宋"/>
          <w:b/>
          <w:sz w:val="24"/>
        </w:rPr>
      </w:pPr>
    </w:p>
    <w:p w14:paraId="34CEEC39">
      <w:pPr>
        <w:pStyle w:val="30"/>
        <w:ind w:left="0" w:leftChars="0" w:firstLine="0" w:firstLineChars="0"/>
        <w:rPr>
          <w:rFonts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报价单位：人民币元</w:t>
      </w:r>
    </w:p>
    <w:p w14:paraId="05ECEA68">
      <w:pPr>
        <w:spacing w:line="360" w:lineRule="auto"/>
        <w:rPr>
          <w:rFonts w:ascii="仿宋" w:hAnsi="仿宋" w:eastAsia="仿宋" w:cs="仿宋"/>
          <w:sz w:val="21"/>
          <w:lang w:bidi="zh-CN"/>
        </w:rPr>
      </w:pPr>
    </w:p>
    <w:p w14:paraId="7062E7AD">
      <w:pPr>
        <w:spacing w:line="360" w:lineRule="auto"/>
        <w:rPr>
          <w:rFonts w:ascii="仿宋" w:hAnsi="仿宋" w:eastAsia="仿宋" w:cs="仿宋"/>
        </w:rPr>
      </w:pPr>
    </w:p>
    <w:p w14:paraId="565D2A57">
      <w:pPr>
        <w:spacing w:line="360" w:lineRule="auto"/>
        <w:rPr>
          <w:rFonts w:hint="eastAsia" w:ascii="仿宋" w:hAnsi="仿宋" w:eastAsia="仿宋" w:cs="Times New Roman"/>
          <w:color w:val="auto"/>
          <w:kern w:val="0"/>
          <w:sz w:val="24"/>
          <w:szCs w:val="24"/>
          <w:lang w:val="en-US" w:eastAsia="zh-CN" w:bidi="ar-SA"/>
        </w:rPr>
      </w:pPr>
    </w:p>
    <w:p w14:paraId="36076242">
      <w:pPr>
        <w:spacing w:line="360" w:lineRule="auto"/>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 xml:space="preserve">供应商名称（盖公章）：              </w:t>
      </w:r>
    </w:p>
    <w:p w14:paraId="21FDC27D">
      <w:pPr>
        <w:spacing w:line="360" w:lineRule="auto"/>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日期：     年     月    日</w:t>
      </w:r>
    </w:p>
    <w:p w14:paraId="621B4942">
      <w:pPr>
        <w:pStyle w:val="72"/>
        <w:rPr>
          <w:rFonts w:hint="eastAsia" w:ascii="仿宋" w:hAnsi="仿宋" w:eastAsia="仿宋"/>
          <w:b/>
          <w:sz w:val="24"/>
        </w:rPr>
      </w:pPr>
    </w:p>
    <w:p w14:paraId="1175D2D4">
      <w:pPr>
        <w:widowControl/>
        <w:jc w:val="left"/>
        <w:rPr>
          <w:rFonts w:ascii="仿宋" w:hAnsi="仿宋" w:eastAsia="仿宋"/>
          <w:sz w:val="24"/>
        </w:rPr>
      </w:pPr>
      <w:r>
        <w:rPr>
          <w:rFonts w:ascii="仿宋" w:hAnsi="仿宋" w:eastAsia="仿宋"/>
          <w:sz w:val="24"/>
        </w:rPr>
        <w:br w:type="page"/>
      </w:r>
    </w:p>
    <w:p w14:paraId="53298838">
      <w:pPr>
        <w:pStyle w:val="609"/>
        <w:widowControl/>
        <w:numPr>
          <w:ilvl w:val="0"/>
          <w:numId w:val="0"/>
        </w:numPr>
        <w:adjustRightInd w:val="0"/>
        <w:snapToGrid w:val="0"/>
        <w:ind w:leftChars="0"/>
        <w:rPr>
          <w:rFonts w:ascii="仿宋" w:hAnsi="仿宋" w:eastAsia="仿宋"/>
          <w:b/>
          <w:color w:val="auto"/>
          <w:u w:val="none"/>
        </w:rPr>
      </w:pPr>
    </w:p>
    <w:p w14:paraId="1ECDDA3E">
      <w:pPr>
        <w:shd w:val="clear" w:color="auto" w:fill="FFFFFF"/>
        <w:spacing w:line="440" w:lineRule="exact"/>
        <w:jc w:val="center"/>
        <w:rPr>
          <w:rFonts w:ascii="仿宋" w:hAnsi="仿宋" w:eastAsia="仿宋"/>
          <w:sz w:val="28"/>
          <w:szCs w:val="28"/>
        </w:rPr>
      </w:pPr>
      <w:r>
        <w:rPr>
          <w:rFonts w:hint="eastAsia" w:ascii="仿宋" w:hAnsi="仿宋" w:eastAsia="仿宋"/>
          <w:b/>
          <w:bCs/>
          <w:sz w:val="28"/>
          <w:szCs w:val="28"/>
        </w:rPr>
        <w:t>商务条款偏离表</w:t>
      </w:r>
    </w:p>
    <w:p w14:paraId="1A3C1F9C">
      <w:pPr>
        <w:shd w:val="clear" w:color="auto" w:fill="FFFFFF"/>
        <w:spacing w:beforeLines="50" w:line="440" w:lineRule="exact"/>
        <w:ind w:firstLine="480" w:firstLineChars="200"/>
        <w:rPr>
          <w:rFonts w:ascii="仿宋" w:hAnsi="仿宋" w:eastAsia="仿宋"/>
          <w:sz w:val="24"/>
        </w:rPr>
      </w:pPr>
      <w:r>
        <w:rPr>
          <w:rFonts w:hint="eastAsia" w:ascii="仿宋" w:hAnsi="仿宋" w:eastAsia="仿宋"/>
          <w:sz w:val="24"/>
        </w:rPr>
        <w:t>项目名称：                                                  项目编号:</w:t>
      </w:r>
    </w:p>
    <w:tbl>
      <w:tblPr>
        <w:tblStyle w:val="60"/>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14:paraId="5C13E6D4">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4A50DA2">
            <w:pPr>
              <w:shd w:val="clear" w:color="auto" w:fill="FFFFFF"/>
              <w:spacing w:line="440" w:lineRule="exact"/>
              <w:rPr>
                <w:rFonts w:ascii="仿宋" w:hAnsi="仿宋" w:eastAsia="仿宋"/>
                <w:szCs w:val="21"/>
              </w:rPr>
            </w:pPr>
            <w:r>
              <w:rPr>
                <w:rFonts w:hint="eastAsia" w:ascii="仿宋" w:hAnsi="仿宋" w:eastAsia="仿宋"/>
                <w:szCs w:val="21"/>
              </w:rPr>
              <w:t>序号</w:t>
            </w:r>
          </w:p>
        </w:tc>
        <w:tc>
          <w:tcPr>
            <w:tcW w:w="1725" w:type="dxa"/>
            <w:tcBorders>
              <w:top w:val="single" w:color="auto" w:sz="6" w:space="0"/>
              <w:left w:val="single" w:color="auto" w:sz="6" w:space="0"/>
              <w:bottom w:val="single" w:color="auto" w:sz="6" w:space="0"/>
              <w:right w:val="single" w:color="auto" w:sz="6" w:space="0"/>
            </w:tcBorders>
          </w:tcPr>
          <w:p w14:paraId="5130EACD">
            <w:pPr>
              <w:shd w:val="clear" w:color="auto" w:fill="FFFFFF"/>
              <w:spacing w:line="440" w:lineRule="exact"/>
              <w:jc w:val="center"/>
              <w:rPr>
                <w:rFonts w:ascii="仿宋" w:hAnsi="仿宋" w:eastAsia="仿宋"/>
                <w:szCs w:val="21"/>
              </w:rPr>
            </w:pPr>
            <w:r>
              <w:rPr>
                <w:rFonts w:hint="eastAsia" w:ascii="仿宋" w:hAnsi="仿宋" w:eastAsia="仿宋"/>
                <w:szCs w:val="21"/>
              </w:rPr>
              <w:t>条款序号</w:t>
            </w:r>
          </w:p>
        </w:tc>
        <w:tc>
          <w:tcPr>
            <w:tcW w:w="1941" w:type="dxa"/>
            <w:tcBorders>
              <w:top w:val="single" w:color="auto" w:sz="6" w:space="0"/>
              <w:left w:val="single" w:color="auto" w:sz="6" w:space="0"/>
              <w:bottom w:val="single" w:color="auto" w:sz="6" w:space="0"/>
              <w:right w:val="single" w:color="auto" w:sz="6" w:space="0"/>
            </w:tcBorders>
          </w:tcPr>
          <w:p w14:paraId="200119E6">
            <w:pPr>
              <w:shd w:val="clear" w:color="auto" w:fill="FFFFFF"/>
              <w:spacing w:line="440" w:lineRule="exact"/>
              <w:jc w:val="center"/>
              <w:rPr>
                <w:rFonts w:ascii="仿宋" w:hAnsi="仿宋" w:eastAsia="仿宋"/>
                <w:szCs w:val="21"/>
              </w:rPr>
            </w:pPr>
            <w:r>
              <w:rPr>
                <w:rFonts w:hint="eastAsia" w:ascii="仿宋" w:hAnsi="仿宋" w:eastAsia="仿宋"/>
                <w:szCs w:val="21"/>
              </w:rPr>
              <w:t>磋商条款</w:t>
            </w:r>
          </w:p>
        </w:tc>
        <w:tc>
          <w:tcPr>
            <w:tcW w:w="2050" w:type="dxa"/>
            <w:tcBorders>
              <w:top w:val="single" w:color="auto" w:sz="6" w:space="0"/>
              <w:left w:val="single" w:color="auto" w:sz="6" w:space="0"/>
              <w:bottom w:val="single" w:color="auto" w:sz="6" w:space="0"/>
              <w:right w:val="single" w:color="auto" w:sz="6" w:space="0"/>
            </w:tcBorders>
          </w:tcPr>
          <w:p w14:paraId="42EC8D3F">
            <w:pPr>
              <w:shd w:val="clear" w:color="auto" w:fill="FFFFFF"/>
              <w:spacing w:line="440" w:lineRule="exact"/>
              <w:jc w:val="center"/>
              <w:rPr>
                <w:rFonts w:ascii="仿宋" w:hAnsi="仿宋" w:eastAsia="仿宋"/>
                <w:szCs w:val="21"/>
              </w:rPr>
            </w:pPr>
            <w:r>
              <w:rPr>
                <w:rFonts w:hint="eastAsia" w:ascii="仿宋" w:hAnsi="仿宋" w:eastAsia="仿宋"/>
                <w:szCs w:val="21"/>
              </w:rPr>
              <w:t>响应条款</w:t>
            </w:r>
          </w:p>
        </w:tc>
        <w:tc>
          <w:tcPr>
            <w:tcW w:w="2338" w:type="dxa"/>
            <w:tcBorders>
              <w:top w:val="single" w:color="auto" w:sz="6" w:space="0"/>
              <w:left w:val="single" w:color="auto" w:sz="6" w:space="0"/>
              <w:bottom w:val="single" w:color="auto" w:sz="6" w:space="0"/>
              <w:right w:val="single" w:color="auto" w:sz="6" w:space="0"/>
            </w:tcBorders>
          </w:tcPr>
          <w:p w14:paraId="502118F3">
            <w:pPr>
              <w:shd w:val="clear" w:color="auto" w:fill="FFFFFF"/>
              <w:spacing w:line="440" w:lineRule="exact"/>
              <w:jc w:val="center"/>
              <w:rPr>
                <w:rFonts w:ascii="仿宋" w:hAnsi="仿宋" w:eastAsia="仿宋"/>
                <w:szCs w:val="21"/>
              </w:rPr>
            </w:pPr>
            <w:r>
              <w:rPr>
                <w:rFonts w:hint="eastAsia" w:ascii="仿宋" w:hAnsi="仿宋" w:eastAsia="仿宋"/>
                <w:szCs w:val="21"/>
              </w:rPr>
              <w:t>响应/偏离</w:t>
            </w:r>
          </w:p>
        </w:tc>
      </w:tr>
      <w:tr w14:paraId="28BBE5FF">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83FA98C">
            <w:pPr>
              <w:shd w:val="clear" w:color="auto" w:fill="FFFFFF"/>
              <w:spacing w:line="440" w:lineRule="exact"/>
              <w:ind w:firstLine="99"/>
              <w:rPr>
                <w:rFonts w:hint="eastAsia" w:ascii="仿宋" w:hAnsi="仿宋" w:eastAsia="仿宋"/>
                <w:szCs w:val="21"/>
                <w:lang w:eastAsia="zh-CN"/>
              </w:rPr>
            </w:pPr>
            <w:r>
              <w:rPr>
                <w:rFonts w:hint="eastAsia" w:ascii="仿宋" w:hAnsi="仿宋" w:eastAsia="仿宋"/>
                <w:szCs w:val="21"/>
                <w:lang w:val="en-US" w:eastAsia="zh-CN"/>
              </w:rPr>
              <w:t xml:space="preserve"> </w:t>
            </w:r>
          </w:p>
        </w:tc>
        <w:tc>
          <w:tcPr>
            <w:tcW w:w="1725" w:type="dxa"/>
            <w:tcBorders>
              <w:top w:val="single" w:color="auto" w:sz="6" w:space="0"/>
              <w:left w:val="single" w:color="auto" w:sz="6" w:space="0"/>
              <w:bottom w:val="single" w:color="auto" w:sz="6" w:space="0"/>
              <w:right w:val="single" w:color="auto" w:sz="6" w:space="0"/>
            </w:tcBorders>
          </w:tcPr>
          <w:p w14:paraId="15B6C834">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172F43A9">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1C303EB6">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5B6AE0CD">
            <w:pPr>
              <w:shd w:val="clear" w:color="auto" w:fill="FFFFFF"/>
              <w:spacing w:line="440" w:lineRule="exact"/>
              <w:ind w:firstLine="99"/>
              <w:rPr>
                <w:rFonts w:ascii="仿宋" w:hAnsi="仿宋" w:eastAsia="仿宋"/>
                <w:szCs w:val="21"/>
              </w:rPr>
            </w:pPr>
          </w:p>
        </w:tc>
      </w:tr>
      <w:tr w14:paraId="7CD2BDE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22D3FC23">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2ED2D7EB">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3C5FF25A">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75E73FF8">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0073798F">
            <w:pPr>
              <w:shd w:val="clear" w:color="auto" w:fill="FFFFFF"/>
              <w:spacing w:line="440" w:lineRule="exact"/>
              <w:ind w:firstLine="99"/>
              <w:rPr>
                <w:rFonts w:ascii="仿宋" w:hAnsi="仿宋" w:eastAsia="仿宋"/>
                <w:szCs w:val="21"/>
              </w:rPr>
            </w:pPr>
          </w:p>
        </w:tc>
      </w:tr>
      <w:tr w14:paraId="258F6E00">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106EE24">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0585982E">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0FBC39DA">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357ACB2C">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440657D">
            <w:pPr>
              <w:shd w:val="clear" w:color="auto" w:fill="FFFFFF"/>
              <w:spacing w:line="440" w:lineRule="exact"/>
              <w:ind w:firstLine="99"/>
              <w:rPr>
                <w:rFonts w:ascii="仿宋" w:hAnsi="仿宋" w:eastAsia="仿宋"/>
                <w:szCs w:val="21"/>
              </w:rPr>
            </w:pPr>
          </w:p>
        </w:tc>
      </w:tr>
      <w:tr w14:paraId="27523F7F">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37A584BD">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77A7A65E">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5E5A5D3">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6B4F801D">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050C669E">
            <w:pPr>
              <w:shd w:val="clear" w:color="auto" w:fill="FFFFFF"/>
              <w:spacing w:line="440" w:lineRule="exact"/>
              <w:ind w:firstLine="99"/>
              <w:rPr>
                <w:rFonts w:ascii="仿宋" w:hAnsi="仿宋" w:eastAsia="仿宋"/>
                <w:szCs w:val="21"/>
              </w:rPr>
            </w:pPr>
          </w:p>
        </w:tc>
      </w:tr>
      <w:tr w14:paraId="3C6C50D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597E0CFB">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09F4813D">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2B635415">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2E49CD1B">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3D70008">
            <w:pPr>
              <w:shd w:val="clear" w:color="auto" w:fill="FFFFFF"/>
              <w:spacing w:line="440" w:lineRule="exact"/>
              <w:ind w:firstLine="99"/>
              <w:rPr>
                <w:rFonts w:ascii="仿宋" w:hAnsi="仿宋" w:eastAsia="仿宋"/>
                <w:szCs w:val="21"/>
              </w:rPr>
            </w:pPr>
          </w:p>
        </w:tc>
      </w:tr>
      <w:tr w14:paraId="38946FDE">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4F7BDD0E">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6168AE6F">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09B8963">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56BCC8C4">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41D75B78">
            <w:pPr>
              <w:shd w:val="clear" w:color="auto" w:fill="FFFFFF"/>
              <w:spacing w:line="440" w:lineRule="exact"/>
              <w:ind w:firstLine="99"/>
              <w:rPr>
                <w:rFonts w:ascii="仿宋" w:hAnsi="仿宋" w:eastAsia="仿宋"/>
                <w:szCs w:val="21"/>
              </w:rPr>
            </w:pPr>
          </w:p>
        </w:tc>
      </w:tr>
      <w:tr w14:paraId="2D935B06">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14:paraId="7A631973">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4E080078">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1B039E15">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4D9533BF">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1E50C744">
            <w:pPr>
              <w:shd w:val="clear" w:color="auto" w:fill="FFFFFF"/>
              <w:spacing w:line="440" w:lineRule="exact"/>
              <w:ind w:firstLine="99"/>
              <w:rPr>
                <w:rFonts w:ascii="仿宋" w:hAnsi="仿宋" w:eastAsia="仿宋"/>
                <w:szCs w:val="21"/>
              </w:rPr>
            </w:pPr>
          </w:p>
        </w:tc>
      </w:tr>
      <w:tr w14:paraId="0FA85DF1">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14:paraId="51CC6442">
            <w:pPr>
              <w:shd w:val="clear" w:color="auto" w:fill="FFFFFF"/>
              <w:spacing w:line="440" w:lineRule="exact"/>
              <w:ind w:firstLine="99"/>
              <w:rPr>
                <w:rFonts w:ascii="仿宋" w:hAnsi="仿宋" w:eastAsia="仿宋"/>
                <w:szCs w:val="21"/>
              </w:rPr>
            </w:pPr>
          </w:p>
        </w:tc>
        <w:tc>
          <w:tcPr>
            <w:tcW w:w="1725" w:type="dxa"/>
            <w:tcBorders>
              <w:top w:val="single" w:color="auto" w:sz="6" w:space="0"/>
              <w:left w:val="single" w:color="auto" w:sz="6" w:space="0"/>
              <w:bottom w:val="single" w:color="auto" w:sz="6" w:space="0"/>
              <w:right w:val="single" w:color="auto" w:sz="6" w:space="0"/>
            </w:tcBorders>
          </w:tcPr>
          <w:p w14:paraId="715F2CCC">
            <w:pPr>
              <w:shd w:val="clear" w:color="auto" w:fill="FFFFFF"/>
              <w:spacing w:line="440" w:lineRule="exact"/>
              <w:ind w:firstLine="99"/>
              <w:rPr>
                <w:rFonts w:ascii="仿宋" w:hAnsi="仿宋" w:eastAsia="仿宋"/>
                <w:szCs w:val="21"/>
              </w:rPr>
            </w:pPr>
          </w:p>
        </w:tc>
        <w:tc>
          <w:tcPr>
            <w:tcW w:w="1941" w:type="dxa"/>
            <w:tcBorders>
              <w:top w:val="single" w:color="auto" w:sz="6" w:space="0"/>
              <w:left w:val="single" w:color="auto" w:sz="6" w:space="0"/>
              <w:bottom w:val="single" w:color="auto" w:sz="6" w:space="0"/>
              <w:right w:val="single" w:color="auto" w:sz="6" w:space="0"/>
            </w:tcBorders>
          </w:tcPr>
          <w:p w14:paraId="5835CE3E">
            <w:pPr>
              <w:shd w:val="clear" w:color="auto" w:fill="FFFFFF"/>
              <w:spacing w:line="440" w:lineRule="exact"/>
              <w:ind w:firstLine="99"/>
              <w:rPr>
                <w:rFonts w:ascii="仿宋" w:hAnsi="仿宋" w:eastAsia="仿宋"/>
                <w:szCs w:val="21"/>
              </w:rPr>
            </w:pPr>
          </w:p>
        </w:tc>
        <w:tc>
          <w:tcPr>
            <w:tcW w:w="2050" w:type="dxa"/>
            <w:tcBorders>
              <w:top w:val="single" w:color="auto" w:sz="6" w:space="0"/>
              <w:left w:val="single" w:color="auto" w:sz="6" w:space="0"/>
              <w:bottom w:val="single" w:color="auto" w:sz="6" w:space="0"/>
              <w:right w:val="single" w:color="auto" w:sz="6" w:space="0"/>
            </w:tcBorders>
          </w:tcPr>
          <w:p w14:paraId="500305F4">
            <w:pPr>
              <w:shd w:val="clear" w:color="auto" w:fill="FFFFFF"/>
              <w:spacing w:line="440" w:lineRule="exact"/>
              <w:ind w:firstLine="99"/>
              <w:rPr>
                <w:rFonts w:ascii="仿宋" w:hAnsi="仿宋" w:eastAsia="仿宋"/>
                <w:szCs w:val="21"/>
              </w:rPr>
            </w:pPr>
          </w:p>
        </w:tc>
        <w:tc>
          <w:tcPr>
            <w:tcW w:w="2338" w:type="dxa"/>
            <w:tcBorders>
              <w:top w:val="single" w:color="auto" w:sz="6" w:space="0"/>
              <w:left w:val="single" w:color="auto" w:sz="6" w:space="0"/>
              <w:bottom w:val="single" w:color="auto" w:sz="6" w:space="0"/>
              <w:right w:val="single" w:color="auto" w:sz="6" w:space="0"/>
            </w:tcBorders>
          </w:tcPr>
          <w:p w14:paraId="5F60A6FA">
            <w:pPr>
              <w:shd w:val="clear" w:color="auto" w:fill="FFFFFF"/>
              <w:spacing w:line="440" w:lineRule="exact"/>
              <w:ind w:firstLine="99"/>
              <w:rPr>
                <w:rFonts w:ascii="仿宋" w:hAnsi="仿宋" w:eastAsia="仿宋"/>
                <w:szCs w:val="21"/>
              </w:rPr>
            </w:pPr>
          </w:p>
        </w:tc>
      </w:tr>
    </w:tbl>
    <w:p w14:paraId="7BA6E194">
      <w:pPr>
        <w:pStyle w:val="307"/>
        <w:shd w:val="clear" w:color="auto" w:fill="FFFFFF"/>
        <w:snapToGrid w:val="0"/>
        <w:spacing w:line="440" w:lineRule="exact"/>
        <w:rPr>
          <w:rFonts w:ascii="仿宋" w:hAnsi="仿宋" w:eastAsia="仿宋"/>
          <w:color w:val="auto"/>
          <w:sz w:val="24"/>
        </w:rPr>
      </w:pPr>
    </w:p>
    <w:p w14:paraId="4B53108B">
      <w:pPr>
        <w:numPr>
          <w:ilvl w:val="0"/>
          <w:numId w:val="0"/>
        </w:numPr>
        <w:adjustRightInd w:val="0"/>
        <w:snapToGrid w:val="0"/>
        <w:ind w:firstLine="225" w:firstLineChars="10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说明：</w:t>
      </w:r>
      <w:bookmarkStart w:id="629" w:name="_Toc214291270"/>
      <w:bookmarkStart w:id="630" w:name="_Toc214291430"/>
      <w:r>
        <w:rPr>
          <w:rFonts w:hint="eastAsia" w:ascii="仿宋" w:hAnsi="仿宋" w:eastAsia="仿宋" w:cs="宋体"/>
          <w:b/>
          <w:color w:val="auto"/>
          <w:spacing w:val="7"/>
          <w:sz w:val="21"/>
          <w:szCs w:val="21"/>
        </w:rPr>
        <w:t>填写“正偏离”或“</w:t>
      </w:r>
      <w:r>
        <w:rPr>
          <w:rFonts w:hint="eastAsia" w:ascii="仿宋" w:hAnsi="仿宋" w:eastAsia="仿宋" w:cs="宋体"/>
          <w:b/>
          <w:color w:val="auto"/>
          <w:spacing w:val="7"/>
          <w:sz w:val="21"/>
          <w:szCs w:val="21"/>
          <w:lang w:val="en-US" w:eastAsia="zh-CN"/>
        </w:rPr>
        <w:t>无</w:t>
      </w:r>
      <w:r>
        <w:rPr>
          <w:rFonts w:hint="eastAsia" w:ascii="仿宋" w:hAnsi="仿宋" w:eastAsia="仿宋" w:cs="宋体"/>
          <w:b/>
          <w:color w:val="auto"/>
          <w:spacing w:val="7"/>
          <w:sz w:val="21"/>
          <w:szCs w:val="21"/>
        </w:rPr>
        <w:t>偏离”</w:t>
      </w:r>
      <w:r>
        <w:rPr>
          <w:rFonts w:hint="eastAsia" w:ascii="仿宋" w:hAnsi="仿宋" w:eastAsia="仿宋" w:cs="宋体"/>
          <w:b/>
          <w:color w:val="auto"/>
          <w:spacing w:val="7"/>
          <w:sz w:val="21"/>
          <w:szCs w:val="21"/>
          <w:lang w:val="en-US" w:eastAsia="zh-CN"/>
        </w:rPr>
        <w:t>或</w:t>
      </w:r>
      <w:r>
        <w:rPr>
          <w:rFonts w:hint="eastAsia" w:ascii="仿宋" w:hAnsi="仿宋" w:eastAsia="仿宋" w:cs="宋体"/>
          <w:b/>
          <w:color w:val="auto"/>
          <w:spacing w:val="7"/>
          <w:sz w:val="21"/>
          <w:szCs w:val="21"/>
        </w:rPr>
        <w:t>“</w:t>
      </w:r>
      <w:r>
        <w:rPr>
          <w:rFonts w:hint="eastAsia" w:ascii="仿宋" w:hAnsi="仿宋" w:eastAsia="仿宋" w:cs="宋体"/>
          <w:b/>
          <w:color w:val="auto"/>
          <w:spacing w:val="7"/>
          <w:sz w:val="21"/>
          <w:szCs w:val="21"/>
          <w:lang w:val="en-US" w:eastAsia="zh-CN"/>
        </w:rPr>
        <w:t>响应</w:t>
      </w:r>
      <w:r>
        <w:rPr>
          <w:rFonts w:hint="eastAsia" w:ascii="仿宋" w:hAnsi="仿宋" w:eastAsia="仿宋" w:cs="宋体"/>
          <w:b/>
          <w:color w:val="auto"/>
          <w:spacing w:val="7"/>
          <w:sz w:val="21"/>
          <w:szCs w:val="21"/>
        </w:rPr>
        <w:t>”。</w:t>
      </w:r>
      <w:bookmarkEnd w:id="629"/>
      <w:bookmarkEnd w:id="630"/>
    </w:p>
    <w:p w14:paraId="05C8A913">
      <w:pPr>
        <w:shd w:val="clear" w:color="auto" w:fill="FFFFFF"/>
        <w:spacing w:line="420" w:lineRule="exact"/>
        <w:ind w:firstLine="482" w:firstLineChars="200"/>
        <w:rPr>
          <w:rFonts w:ascii="仿宋" w:hAnsi="仿宋" w:eastAsia="仿宋"/>
          <w:b/>
          <w:bCs/>
          <w:sz w:val="24"/>
        </w:rPr>
      </w:pPr>
    </w:p>
    <w:p w14:paraId="334B110F">
      <w:pPr>
        <w:pStyle w:val="307"/>
        <w:shd w:val="clear" w:color="auto" w:fill="FFFFFF"/>
        <w:snapToGrid w:val="0"/>
        <w:spacing w:line="440" w:lineRule="exact"/>
        <w:rPr>
          <w:rFonts w:ascii="仿宋" w:hAnsi="仿宋" w:eastAsia="仿宋"/>
          <w:color w:val="auto"/>
          <w:sz w:val="24"/>
        </w:rPr>
      </w:pPr>
    </w:p>
    <w:p w14:paraId="1DE6B3A2">
      <w:pPr>
        <w:pStyle w:val="307"/>
        <w:shd w:val="clear" w:color="auto" w:fill="FFFFFF"/>
        <w:snapToGrid w:val="0"/>
        <w:spacing w:line="440" w:lineRule="exact"/>
        <w:rPr>
          <w:rFonts w:ascii="仿宋" w:hAnsi="仿宋" w:eastAsia="仿宋"/>
          <w:color w:val="auto"/>
          <w:sz w:val="24"/>
        </w:rPr>
      </w:pPr>
    </w:p>
    <w:p w14:paraId="3611CC6F">
      <w:pPr>
        <w:pStyle w:val="307"/>
        <w:shd w:val="clear" w:color="auto" w:fill="FFFFFF"/>
        <w:snapToGrid w:val="0"/>
        <w:spacing w:line="440" w:lineRule="exact"/>
        <w:rPr>
          <w:rFonts w:ascii="仿宋" w:hAnsi="仿宋" w:eastAsia="仿宋"/>
          <w:color w:val="auto"/>
          <w:sz w:val="24"/>
        </w:rPr>
      </w:pPr>
    </w:p>
    <w:p w14:paraId="1FAD108A">
      <w:pPr>
        <w:pStyle w:val="736"/>
        <w:spacing w:line="420" w:lineRule="exact"/>
        <w:ind w:firstLine="1440" w:firstLineChars="6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53476CC">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3D5EBB68">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6449F11">
      <w:pPr>
        <w:widowControl/>
        <w:jc w:val="left"/>
        <w:rPr>
          <w:rFonts w:ascii="仿宋" w:hAnsi="仿宋" w:eastAsia="仿宋"/>
          <w:b/>
          <w:bCs/>
          <w:sz w:val="24"/>
        </w:rPr>
      </w:pPr>
      <w:r>
        <w:rPr>
          <w:rFonts w:ascii="仿宋" w:hAnsi="仿宋" w:eastAsia="仿宋"/>
          <w:b/>
          <w:bCs/>
          <w:sz w:val="24"/>
        </w:rPr>
        <w:br w:type="page"/>
      </w:r>
    </w:p>
    <w:p w14:paraId="516C01C3">
      <w:pPr>
        <w:widowControl/>
        <w:jc w:val="left"/>
        <w:rPr>
          <w:rFonts w:ascii="仿宋" w:hAnsi="仿宋" w:eastAsia="仿宋"/>
          <w:b/>
          <w:bCs/>
          <w:sz w:val="24"/>
        </w:rPr>
      </w:pPr>
    </w:p>
    <w:p w14:paraId="73D94554">
      <w:pPr>
        <w:shd w:val="clear" w:color="auto" w:fill="FFFFFF"/>
        <w:spacing w:line="440" w:lineRule="exact"/>
        <w:jc w:val="center"/>
        <w:rPr>
          <w:rFonts w:hint="eastAsia" w:ascii="仿宋" w:hAnsi="仿宋" w:eastAsia="仿宋" w:cs="Times New Roman"/>
          <w:b/>
          <w:bCs/>
          <w:sz w:val="28"/>
          <w:szCs w:val="28"/>
        </w:rPr>
      </w:pPr>
      <w:r>
        <w:rPr>
          <w:rFonts w:hint="eastAsia" w:ascii="仿宋" w:hAnsi="仿宋" w:eastAsia="仿宋" w:cs="Times New Roman"/>
          <w:b/>
          <w:bCs/>
          <w:sz w:val="28"/>
          <w:szCs w:val="28"/>
        </w:rPr>
        <w:t>投标人基本情况表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14:paraId="5A3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9C6A628">
            <w:pPr>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020" w:type="dxa"/>
            <w:gridSpan w:val="9"/>
            <w:noWrap w:val="0"/>
            <w:vAlign w:val="center"/>
          </w:tcPr>
          <w:p w14:paraId="0B6B5746">
            <w:pPr>
              <w:jc w:val="center"/>
              <w:rPr>
                <w:rFonts w:hint="eastAsia" w:ascii="仿宋" w:hAnsi="仿宋" w:eastAsia="仿宋" w:cs="仿宋"/>
                <w:sz w:val="24"/>
                <w:szCs w:val="24"/>
              </w:rPr>
            </w:pPr>
          </w:p>
        </w:tc>
      </w:tr>
      <w:tr w14:paraId="3703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EB669B9">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389" w:type="dxa"/>
            <w:gridSpan w:val="5"/>
            <w:noWrap w:val="0"/>
            <w:vAlign w:val="center"/>
          </w:tcPr>
          <w:p w14:paraId="7F659E93">
            <w:pPr>
              <w:jc w:val="center"/>
              <w:rPr>
                <w:rFonts w:hint="eastAsia" w:ascii="仿宋" w:hAnsi="仿宋" w:eastAsia="仿宋" w:cs="仿宋"/>
                <w:sz w:val="24"/>
                <w:szCs w:val="24"/>
              </w:rPr>
            </w:pPr>
          </w:p>
        </w:tc>
        <w:tc>
          <w:tcPr>
            <w:tcW w:w="1246" w:type="dxa"/>
            <w:noWrap w:val="0"/>
            <w:vAlign w:val="center"/>
          </w:tcPr>
          <w:p w14:paraId="48771CC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85" w:type="dxa"/>
            <w:gridSpan w:val="3"/>
            <w:noWrap w:val="0"/>
            <w:vAlign w:val="center"/>
          </w:tcPr>
          <w:p w14:paraId="1E8FEB79">
            <w:pPr>
              <w:jc w:val="center"/>
              <w:rPr>
                <w:rFonts w:hint="eastAsia" w:ascii="仿宋" w:hAnsi="仿宋" w:eastAsia="仿宋" w:cs="仿宋"/>
                <w:sz w:val="24"/>
                <w:szCs w:val="24"/>
              </w:rPr>
            </w:pPr>
          </w:p>
        </w:tc>
      </w:tr>
      <w:tr w14:paraId="162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64FEC780">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148" w:type="dxa"/>
            <w:gridSpan w:val="2"/>
            <w:noWrap w:val="0"/>
            <w:vAlign w:val="center"/>
          </w:tcPr>
          <w:p w14:paraId="3F9D586D">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241" w:type="dxa"/>
            <w:gridSpan w:val="3"/>
            <w:noWrap w:val="0"/>
            <w:vAlign w:val="center"/>
          </w:tcPr>
          <w:p w14:paraId="1C796DC0">
            <w:pPr>
              <w:jc w:val="center"/>
              <w:rPr>
                <w:rFonts w:hint="eastAsia" w:ascii="仿宋" w:hAnsi="仿宋" w:eastAsia="仿宋" w:cs="仿宋"/>
                <w:sz w:val="24"/>
                <w:szCs w:val="24"/>
              </w:rPr>
            </w:pPr>
          </w:p>
        </w:tc>
        <w:tc>
          <w:tcPr>
            <w:tcW w:w="1246" w:type="dxa"/>
            <w:noWrap w:val="0"/>
            <w:vAlign w:val="center"/>
          </w:tcPr>
          <w:p w14:paraId="1A686099">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385" w:type="dxa"/>
            <w:gridSpan w:val="3"/>
            <w:noWrap w:val="0"/>
            <w:vAlign w:val="center"/>
          </w:tcPr>
          <w:p w14:paraId="1D369A5B">
            <w:pPr>
              <w:jc w:val="center"/>
              <w:rPr>
                <w:rFonts w:hint="eastAsia" w:ascii="仿宋" w:hAnsi="仿宋" w:eastAsia="仿宋" w:cs="仿宋"/>
                <w:sz w:val="24"/>
                <w:szCs w:val="24"/>
              </w:rPr>
            </w:pPr>
          </w:p>
        </w:tc>
      </w:tr>
      <w:tr w14:paraId="404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1888E814">
            <w:pPr>
              <w:jc w:val="center"/>
              <w:rPr>
                <w:rFonts w:hint="eastAsia" w:ascii="仿宋" w:hAnsi="仿宋" w:eastAsia="仿宋" w:cs="仿宋"/>
                <w:sz w:val="24"/>
                <w:szCs w:val="24"/>
              </w:rPr>
            </w:pPr>
          </w:p>
        </w:tc>
        <w:tc>
          <w:tcPr>
            <w:tcW w:w="1148" w:type="dxa"/>
            <w:gridSpan w:val="2"/>
            <w:noWrap w:val="0"/>
            <w:vAlign w:val="center"/>
          </w:tcPr>
          <w:p w14:paraId="683DF384">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241" w:type="dxa"/>
            <w:gridSpan w:val="3"/>
            <w:noWrap w:val="0"/>
            <w:vAlign w:val="center"/>
          </w:tcPr>
          <w:p w14:paraId="264CFBCA">
            <w:pPr>
              <w:jc w:val="center"/>
              <w:rPr>
                <w:rFonts w:hint="eastAsia" w:ascii="仿宋" w:hAnsi="仿宋" w:eastAsia="仿宋" w:cs="仿宋"/>
                <w:sz w:val="24"/>
                <w:szCs w:val="24"/>
              </w:rPr>
            </w:pPr>
          </w:p>
        </w:tc>
        <w:tc>
          <w:tcPr>
            <w:tcW w:w="1246" w:type="dxa"/>
            <w:noWrap w:val="0"/>
            <w:vAlign w:val="center"/>
          </w:tcPr>
          <w:p w14:paraId="52A39E52">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385" w:type="dxa"/>
            <w:gridSpan w:val="3"/>
            <w:noWrap w:val="0"/>
            <w:vAlign w:val="center"/>
          </w:tcPr>
          <w:p w14:paraId="64CC324F">
            <w:pPr>
              <w:jc w:val="center"/>
              <w:rPr>
                <w:rFonts w:hint="eastAsia" w:ascii="仿宋" w:hAnsi="仿宋" w:eastAsia="仿宋" w:cs="仿宋"/>
                <w:sz w:val="24"/>
                <w:szCs w:val="24"/>
              </w:rPr>
            </w:pPr>
          </w:p>
        </w:tc>
      </w:tr>
      <w:tr w14:paraId="296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87A763A">
            <w:pPr>
              <w:jc w:val="center"/>
              <w:rPr>
                <w:rFonts w:hint="eastAsia" w:ascii="仿宋" w:hAnsi="仿宋" w:eastAsia="仿宋" w:cs="仿宋"/>
                <w:sz w:val="24"/>
                <w:szCs w:val="24"/>
              </w:rPr>
            </w:pPr>
            <w:r>
              <w:rPr>
                <w:rFonts w:hint="eastAsia" w:ascii="仿宋" w:hAnsi="仿宋" w:eastAsia="仿宋" w:cs="仿宋"/>
                <w:sz w:val="24"/>
                <w:szCs w:val="24"/>
              </w:rPr>
              <w:t>组织结构</w:t>
            </w:r>
          </w:p>
        </w:tc>
        <w:tc>
          <w:tcPr>
            <w:tcW w:w="7020" w:type="dxa"/>
            <w:gridSpan w:val="9"/>
            <w:noWrap w:val="0"/>
            <w:vAlign w:val="center"/>
          </w:tcPr>
          <w:p w14:paraId="53E2F824">
            <w:pPr>
              <w:jc w:val="center"/>
              <w:rPr>
                <w:rFonts w:hint="eastAsia" w:ascii="仿宋" w:hAnsi="仿宋" w:eastAsia="仿宋" w:cs="仿宋"/>
                <w:sz w:val="24"/>
                <w:szCs w:val="24"/>
              </w:rPr>
            </w:pPr>
          </w:p>
        </w:tc>
      </w:tr>
      <w:tr w14:paraId="090B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FEEE94F">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897" w:type="dxa"/>
            <w:noWrap w:val="0"/>
            <w:vAlign w:val="center"/>
          </w:tcPr>
          <w:p w14:paraId="51C319B8">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09" w:type="dxa"/>
            <w:gridSpan w:val="2"/>
            <w:noWrap w:val="0"/>
            <w:vAlign w:val="center"/>
          </w:tcPr>
          <w:p w14:paraId="4F48495C">
            <w:pPr>
              <w:jc w:val="center"/>
              <w:rPr>
                <w:rFonts w:hint="eastAsia" w:ascii="仿宋" w:hAnsi="仿宋" w:eastAsia="仿宋" w:cs="仿宋"/>
                <w:sz w:val="24"/>
                <w:szCs w:val="24"/>
              </w:rPr>
            </w:pPr>
          </w:p>
        </w:tc>
        <w:tc>
          <w:tcPr>
            <w:tcW w:w="1283" w:type="dxa"/>
            <w:gridSpan w:val="2"/>
            <w:noWrap w:val="0"/>
            <w:vAlign w:val="center"/>
          </w:tcPr>
          <w:p w14:paraId="65E1E797">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506" w:type="dxa"/>
            <w:gridSpan w:val="2"/>
            <w:noWrap w:val="0"/>
            <w:vAlign w:val="center"/>
          </w:tcPr>
          <w:p w14:paraId="202CFAD3">
            <w:pPr>
              <w:jc w:val="center"/>
              <w:rPr>
                <w:rFonts w:hint="eastAsia" w:ascii="仿宋" w:hAnsi="仿宋" w:eastAsia="仿宋" w:cs="仿宋"/>
                <w:sz w:val="24"/>
                <w:szCs w:val="24"/>
              </w:rPr>
            </w:pPr>
          </w:p>
        </w:tc>
        <w:tc>
          <w:tcPr>
            <w:tcW w:w="709" w:type="dxa"/>
            <w:noWrap w:val="0"/>
            <w:vAlign w:val="center"/>
          </w:tcPr>
          <w:p w14:paraId="02FDC8E1">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16" w:type="dxa"/>
            <w:noWrap w:val="0"/>
            <w:vAlign w:val="center"/>
          </w:tcPr>
          <w:p w14:paraId="13450F20">
            <w:pPr>
              <w:jc w:val="center"/>
              <w:rPr>
                <w:rFonts w:hint="eastAsia" w:ascii="仿宋" w:hAnsi="仿宋" w:eastAsia="仿宋" w:cs="仿宋"/>
                <w:sz w:val="24"/>
                <w:szCs w:val="24"/>
              </w:rPr>
            </w:pPr>
          </w:p>
        </w:tc>
      </w:tr>
      <w:tr w14:paraId="749A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F338338">
            <w:pPr>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897" w:type="dxa"/>
            <w:noWrap w:val="0"/>
            <w:vAlign w:val="center"/>
          </w:tcPr>
          <w:p w14:paraId="06A7E6CE">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09" w:type="dxa"/>
            <w:gridSpan w:val="2"/>
            <w:noWrap w:val="0"/>
            <w:vAlign w:val="center"/>
          </w:tcPr>
          <w:p w14:paraId="4E69AB70">
            <w:pPr>
              <w:jc w:val="center"/>
              <w:rPr>
                <w:rFonts w:hint="eastAsia" w:ascii="仿宋" w:hAnsi="仿宋" w:eastAsia="仿宋" w:cs="仿宋"/>
                <w:sz w:val="24"/>
                <w:szCs w:val="24"/>
              </w:rPr>
            </w:pPr>
          </w:p>
        </w:tc>
        <w:tc>
          <w:tcPr>
            <w:tcW w:w="1283" w:type="dxa"/>
            <w:gridSpan w:val="2"/>
            <w:noWrap w:val="0"/>
            <w:vAlign w:val="center"/>
          </w:tcPr>
          <w:p w14:paraId="01CAB5A7">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506" w:type="dxa"/>
            <w:gridSpan w:val="2"/>
            <w:noWrap w:val="0"/>
            <w:vAlign w:val="center"/>
          </w:tcPr>
          <w:p w14:paraId="38CCC55C">
            <w:pPr>
              <w:jc w:val="center"/>
              <w:rPr>
                <w:rFonts w:hint="eastAsia" w:ascii="仿宋" w:hAnsi="仿宋" w:eastAsia="仿宋" w:cs="仿宋"/>
                <w:sz w:val="24"/>
                <w:szCs w:val="24"/>
              </w:rPr>
            </w:pPr>
          </w:p>
        </w:tc>
        <w:tc>
          <w:tcPr>
            <w:tcW w:w="709" w:type="dxa"/>
            <w:noWrap w:val="0"/>
            <w:vAlign w:val="center"/>
          </w:tcPr>
          <w:p w14:paraId="0C1393E0">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16" w:type="dxa"/>
            <w:noWrap w:val="0"/>
            <w:vAlign w:val="center"/>
          </w:tcPr>
          <w:p w14:paraId="15B28657">
            <w:pPr>
              <w:jc w:val="center"/>
              <w:rPr>
                <w:rFonts w:hint="eastAsia" w:ascii="仿宋" w:hAnsi="仿宋" w:eastAsia="仿宋" w:cs="仿宋"/>
                <w:sz w:val="24"/>
                <w:szCs w:val="24"/>
              </w:rPr>
            </w:pPr>
          </w:p>
        </w:tc>
      </w:tr>
      <w:tr w14:paraId="07C6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9BEBFEC">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2106" w:type="dxa"/>
            <w:gridSpan w:val="3"/>
            <w:noWrap w:val="0"/>
            <w:vAlign w:val="center"/>
          </w:tcPr>
          <w:p w14:paraId="562422DF">
            <w:pPr>
              <w:jc w:val="center"/>
              <w:rPr>
                <w:rFonts w:hint="eastAsia" w:ascii="仿宋" w:hAnsi="仿宋" w:eastAsia="仿宋" w:cs="仿宋"/>
                <w:sz w:val="24"/>
                <w:szCs w:val="24"/>
              </w:rPr>
            </w:pPr>
          </w:p>
        </w:tc>
        <w:tc>
          <w:tcPr>
            <w:tcW w:w="4914" w:type="dxa"/>
            <w:gridSpan w:val="6"/>
            <w:noWrap w:val="0"/>
            <w:vAlign w:val="center"/>
          </w:tcPr>
          <w:p w14:paraId="1EA85C16">
            <w:pPr>
              <w:jc w:val="center"/>
              <w:rPr>
                <w:rFonts w:hint="eastAsia" w:ascii="仿宋" w:hAnsi="仿宋" w:eastAsia="仿宋" w:cs="仿宋"/>
                <w:sz w:val="24"/>
                <w:szCs w:val="24"/>
              </w:rPr>
            </w:pPr>
            <w:r>
              <w:rPr>
                <w:rFonts w:hint="eastAsia" w:ascii="仿宋" w:hAnsi="仿宋" w:eastAsia="仿宋" w:cs="仿宋"/>
                <w:sz w:val="24"/>
                <w:szCs w:val="24"/>
              </w:rPr>
              <w:t>员工总人数：</w:t>
            </w:r>
          </w:p>
        </w:tc>
      </w:tr>
      <w:tr w14:paraId="1CA9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9AE1871">
            <w:pPr>
              <w:jc w:val="center"/>
              <w:rPr>
                <w:rFonts w:hint="eastAsia" w:ascii="仿宋" w:hAnsi="仿宋" w:eastAsia="仿宋" w:cs="仿宋"/>
                <w:sz w:val="24"/>
                <w:szCs w:val="24"/>
              </w:rPr>
            </w:pPr>
            <w:r>
              <w:rPr>
                <w:rFonts w:hint="eastAsia" w:ascii="仿宋" w:hAnsi="仿宋" w:eastAsia="仿宋" w:cs="仿宋"/>
                <w:sz w:val="24"/>
                <w:szCs w:val="24"/>
              </w:rPr>
              <w:t>企业资质等级</w:t>
            </w:r>
          </w:p>
        </w:tc>
        <w:tc>
          <w:tcPr>
            <w:tcW w:w="897" w:type="dxa"/>
            <w:noWrap w:val="0"/>
            <w:vAlign w:val="center"/>
          </w:tcPr>
          <w:p w14:paraId="6F331F0B">
            <w:pPr>
              <w:jc w:val="center"/>
              <w:rPr>
                <w:rFonts w:hint="eastAsia" w:ascii="仿宋" w:hAnsi="仿宋" w:eastAsia="仿宋" w:cs="仿宋"/>
                <w:sz w:val="24"/>
                <w:szCs w:val="24"/>
              </w:rPr>
            </w:pPr>
          </w:p>
        </w:tc>
        <w:tc>
          <w:tcPr>
            <w:tcW w:w="1209" w:type="dxa"/>
            <w:gridSpan w:val="2"/>
            <w:noWrap w:val="0"/>
            <w:vAlign w:val="center"/>
          </w:tcPr>
          <w:p w14:paraId="2B6594E6">
            <w:pPr>
              <w:jc w:val="center"/>
              <w:rPr>
                <w:rFonts w:hint="eastAsia" w:ascii="仿宋" w:hAnsi="仿宋" w:eastAsia="仿宋" w:cs="仿宋"/>
                <w:sz w:val="24"/>
                <w:szCs w:val="24"/>
              </w:rPr>
            </w:pPr>
          </w:p>
        </w:tc>
        <w:tc>
          <w:tcPr>
            <w:tcW w:w="805" w:type="dxa"/>
            <w:vMerge w:val="restart"/>
            <w:noWrap w:val="0"/>
            <w:vAlign w:val="center"/>
          </w:tcPr>
          <w:p w14:paraId="53F236D8">
            <w:pPr>
              <w:jc w:val="center"/>
              <w:rPr>
                <w:rFonts w:hint="eastAsia" w:ascii="仿宋" w:hAnsi="仿宋" w:eastAsia="仿宋" w:cs="仿宋"/>
                <w:sz w:val="24"/>
                <w:szCs w:val="24"/>
              </w:rPr>
            </w:pPr>
            <w:r>
              <w:rPr>
                <w:rFonts w:hint="eastAsia" w:ascii="仿宋" w:hAnsi="仿宋" w:eastAsia="仿宋" w:cs="仿宋"/>
                <w:sz w:val="24"/>
                <w:szCs w:val="24"/>
              </w:rPr>
              <w:t>其中</w:t>
            </w:r>
          </w:p>
        </w:tc>
        <w:tc>
          <w:tcPr>
            <w:tcW w:w="1984" w:type="dxa"/>
            <w:gridSpan w:val="3"/>
            <w:noWrap w:val="0"/>
            <w:vAlign w:val="center"/>
          </w:tcPr>
          <w:p w14:paraId="25F5B78F">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2125" w:type="dxa"/>
            <w:gridSpan w:val="2"/>
            <w:noWrap w:val="0"/>
            <w:vAlign w:val="center"/>
          </w:tcPr>
          <w:p w14:paraId="2F8F8067">
            <w:pPr>
              <w:jc w:val="center"/>
              <w:rPr>
                <w:rFonts w:hint="eastAsia" w:ascii="仿宋" w:hAnsi="仿宋" w:eastAsia="仿宋" w:cs="仿宋"/>
                <w:sz w:val="24"/>
                <w:szCs w:val="24"/>
              </w:rPr>
            </w:pPr>
          </w:p>
        </w:tc>
      </w:tr>
      <w:tr w14:paraId="45A9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EF5B349">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897" w:type="dxa"/>
            <w:noWrap w:val="0"/>
            <w:vAlign w:val="center"/>
          </w:tcPr>
          <w:p w14:paraId="5C3FA9E9">
            <w:pPr>
              <w:jc w:val="center"/>
              <w:rPr>
                <w:rFonts w:hint="eastAsia" w:ascii="仿宋" w:hAnsi="仿宋" w:eastAsia="仿宋" w:cs="仿宋"/>
                <w:sz w:val="24"/>
                <w:szCs w:val="24"/>
              </w:rPr>
            </w:pPr>
          </w:p>
        </w:tc>
        <w:tc>
          <w:tcPr>
            <w:tcW w:w="1209" w:type="dxa"/>
            <w:gridSpan w:val="2"/>
            <w:noWrap w:val="0"/>
            <w:vAlign w:val="center"/>
          </w:tcPr>
          <w:p w14:paraId="381E2E83">
            <w:pPr>
              <w:jc w:val="center"/>
              <w:rPr>
                <w:rFonts w:hint="eastAsia" w:ascii="仿宋" w:hAnsi="仿宋" w:eastAsia="仿宋" w:cs="仿宋"/>
                <w:sz w:val="24"/>
                <w:szCs w:val="24"/>
              </w:rPr>
            </w:pPr>
          </w:p>
        </w:tc>
        <w:tc>
          <w:tcPr>
            <w:tcW w:w="805" w:type="dxa"/>
            <w:vMerge w:val="continue"/>
            <w:noWrap w:val="0"/>
            <w:vAlign w:val="center"/>
          </w:tcPr>
          <w:p w14:paraId="52303235">
            <w:pPr>
              <w:jc w:val="center"/>
              <w:rPr>
                <w:rFonts w:hint="eastAsia" w:ascii="仿宋" w:hAnsi="仿宋" w:eastAsia="仿宋" w:cs="仿宋"/>
                <w:sz w:val="24"/>
                <w:szCs w:val="24"/>
              </w:rPr>
            </w:pPr>
          </w:p>
        </w:tc>
        <w:tc>
          <w:tcPr>
            <w:tcW w:w="1984" w:type="dxa"/>
            <w:gridSpan w:val="3"/>
            <w:noWrap w:val="0"/>
            <w:vAlign w:val="center"/>
          </w:tcPr>
          <w:p w14:paraId="224F4CB4">
            <w:pPr>
              <w:jc w:val="center"/>
              <w:rPr>
                <w:rFonts w:hint="eastAsia" w:ascii="仿宋" w:hAnsi="仿宋" w:eastAsia="仿宋" w:cs="仿宋"/>
                <w:sz w:val="24"/>
                <w:szCs w:val="24"/>
              </w:rPr>
            </w:pPr>
            <w:r>
              <w:rPr>
                <w:rFonts w:hint="eastAsia" w:ascii="仿宋" w:hAnsi="仿宋" w:eastAsia="仿宋" w:cs="仿宋"/>
                <w:sz w:val="24"/>
                <w:szCs w:val="24"/>
              </w:rPr>
              <w:t>高级职称人员</w:t>
            </w:r>
          </w:p>
        </w:tc>
        <w:tc>
          <w:tcPr>
            <w:tcW w:w="2125" w:type="dxa"/>
            <w:gridSpan w:val="2"/>
            <w:noWrap w:val="0"/>
            <w:vAlign w:val="center"/>
          </w:tcPr>
          <w:p w14:paraId="69477536">
            <w:pPr>
              <w:jc w:val="center"/>
              <w:rPr>
                <w:rFonts w:hint="eastAsia" w:ascii="仿宋" w:hAnsi="仿宋" w:eastAsia="仿宋" w:cs="仿宋"/>
                <w:sz w:val="24"/>
                <w:szCs w:val="24"/>
              </w:rPr>
            </w:pPr>
          </w:p>
        </w:tc>
      </w:tr>
      <w:tr w14:paraId="0EBE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9320A3">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897" w:type="dxa"/>
            <w:noWrap w:val="0"/>
            <w:vAlign w:val="center"/>
          </w:tcPr>
          <w:p w14:paraId="39C92230">
            <w:pPr>
              <w:jc w:val="center"/>
              <w:rPr>
                <w:rFonts w:hint="eastAsia" w:ascii="仿宋" w:hAnsi="仿宋" w:eastAsia="仿宋" w:cs="仿宋"/>
                <w:sz w:val="24"/>
                <w:szCs w:val="24"/>
              </w:rPr>
            </w:pPr>
          </w:p>
        </w:tc>
        <w:tc>
          <w:tcPr>
            <w:tcW w:w="1209" w:type="dxa"/>
            <w:gridSpan w:val="2"/>
            <w:noWrap w:val="0"/>
            <w:vAlign w:val="center"/>
          </w:tcPr>
          <w:p w14:paraId="3581BF4E">
            <w:pPr>
              <w:jc w:val="center"/>
              <w:rPr>
                <w:rFonts w:hint="eastAsia" w:ascii="仿宋" w:hAnsi="仿宋" w:eastAsia="仿宋" w:cs="仿宋"/>
                <w:sz w:val="24"/>
                <w:szCs w:val="24"/>
              </w:rPr>
            </w:pPr>
          </w:p>
        </w:tc>
        <w:tc>
          <w:tcPr>
            <w:tcW w:w="805" w:type="dxa"/>
            <w:vMerge w:val="continue"/>
            <w:noWrap w:val="0"/>
            <w:vAlign w:val="center"/>
          </w:tcPr>
          <w:p w14:paraId="77FB7B96">
            <w:pPr>
              <w:jc w:val="center"/>
              <w:rPr>
                <w:rFonts w:hint="eastAsia" w:ascii="仿宋" w:hAnsi="仿宋" w:eastAsia="仿宋" w:cs="仿宋"/>
                <w:sz w:val="24"/>
                <w:szCs w:val="24"/>
              </w:rPr>
            </w:pPr>
          </w:p>
        </w:tc>
        <w:tc>
          <w:tcPr>
            <w:tcW w:w="1984" w:type="dxa"/>
            <w:gridSpan w:val="3"/>
            <w:noWrap w:val="0"/>
            <w:vAlign w:val="center"/>
          </w:tcPr>
          <w:p w14:paraId="184D7473">
            <w:pPr>
              <w:jc w:val="center"/>
              <w:rPr>
                <w:rFonts w:hint="eastAsia" w:ascii="仿宋" w:hAnsi="仿宋" w:eastAsia="仿宋" w:cs="仿宋"/>
                <w:sz w:val="24"/>
                <w:szCs w:val="24"/>
              </w:rPr>
            </w:pPr>
            <w:r>
              <w:rPr>
                <w:rFonts w:hint="eastAsia" w:ascii="仿宋" w:hAnsi="仿宋" w:eastAsia="仿宋" w:cs="仿宋"/>
                <w:sz w:val="24"/>
                <w:szCs w:val="24"/>
              </w:rPr>
              <w:t>中级职称人员</w:t>
            </w:r>
          </w:p>
        </w:tc>
        <w:tc>
          <w:tcPr>
            <w:tcW w:w="2125" w:type="dxa"/>
            <w:gridSpan w:val="2"/>
            <w:noWrap w:val="0"/>
            <w:vAlign w:val="center"/>
          </w:tcPr>
          <w:p w14:paraId="70087CEF">
            <w:pPr>
              <w:jc w:val="center"/>
              <w:rPr>
                <w:rFonts w:hint="eastAsia" w:ascii="仿宋" w:hAnsi="仿宋" w:eastAsia="仿宋" w:cs="仿宋"/>
                <w:sz w:val="24"/>
                <w:szCs w:val="24"/>
              </w:rPr>
            </w:pPr>
          </w:p>
        </w:tc>
      </w:tr>
      <w:tr w14:paraId="585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5CD2F3A">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897" w:type="dxa"/>
            <w:noWrap w:val="0"/>
            <w:vAlign w:val="center"/>
          </w:tcPr>
          <w:p w14:paraId="288F87DB">
            <w:pPr>
              <w:jc w:val="center"/>
              <w:rPr>
                <w:rFonts w:hint="eastAsia" w:ascii="仿宋" w:hAnsi="仿宋" w:eastAsia="仿宋" w:cs="仿宋"/>
                <w:sz w:val="24"/>
                <w:szCs w:val="24"/>
              </w:rPr>
            </w:pPr>
          </w:p>
        </w:tc>
        <w:tc>
          <w:tcPr>
            <w:tcW w:w="1209" w:type="dxa"/>
            <w:gridSpan w:val="2"/>
            <w:noWrap w:val="0"/>
            <w:vAlign w:val="center"/>
          </w:tcPr>
          <w:p w14:paraId="3A45A465">
            <w:pPr>
              <w:jc w:val="center"/>
              <w:rPr>
                <w:rFonts w:hint="eastAsia" w:ascii="仿宋" w:hAnsi="仿宋" w:eastAsia="仿宋" w:cs="仿宋"/>
                <w:sz w:val="24"/>
                <w:szCs w:val="24"/>
              </w:rPr>
            </w:pPr>
          </w:p>
        </w:tc>
        <w:tc>
          <w:tcPr>
            <w:tcW w:w="805" w:type="dxa"/>
            <w:vMerge w:val="continue"/>
            <w:noWrap w:val="0"/>
            <w:vAlign w:val="center"/>
          </w:tcPr>
          <w:p w14:paraId="209238FB">
            <w:pPr>
              <w:jc w:val="center"/>
              <w:rPr>
                <w:rFonts w:hint="eastAsia" w:ascii="仿宋" w:hAnsi="仿宋" w:eastAsia="仿宋" w:cs="仿宋"/>
                <w:sz w:val="24"/>
                <w:szCs w:val="24"/>
              </w:rPr>
            </w:pPr>
          </w:p>
        </w:tc>
        <w:tc>
          <w:tcPr>
            <w:tcW w:w="1984" w:type="dxa"/>
            <w:gridSpan w:val="3"/>
            <w:noWrap w:val="0"/>
            <w:vAlign w:val="center"/>
          </w:tcPr>
          <w:p w14:paraId="2DD7B19A">
            <w:pPr>
              <w:jc w:val="center"/>
              <w:rPr>
                <w:rFonts w:hint="eastAsia" w:ascii="仿宋" w:hAnsi="仿宋" w:eastAsia="仿宋" w:cs="仿宋"/>
                <w:sz w:val="24"/>
                <w:szCs w:val="24"/>
              </w:rPr>
            </w:pPr>
            <w:r>
              <w:rPr>
                <w:rFonts w:hint="eastAsia" w:ascii="仿宋" w:hAnsi="仿宋" w:eastAsia="仿宋" w:cs="仿宋"/>
                <w:sz w:val="24"/>
                <w:szCs w:val="24"/>
              </w:rPr>
              <w:t>初级职称人员</w:t>
            </w:r>
          </w:p>
        </w:tc>
        <w:tc>
          <w:tcPr>
            <w:tcW w:w="2125" w:type="dxa"/>
            <w:gridSpan w:val="2"/>
            <w:noWrap w:val="0"/>
            <w:vAlign w:val="center"/>
          </w:tcPr>
          <w:p w14:paraId="29570ABE">
            <w:pPr>
              <w:jc w:val="center"/>
              <w:rPr>
                <w:rFonts w:hint="eastAsia" w:ascii="仿宋" w:hAnsi="仿宋" w:eastAsia="仿宋" w:cs="仿宋"/>
                <w:sz w:val="24"/>
                <w:szCs w:val="24"/>
              </w:rPr>
            </w:pPr>
          </w:p>
        </w:tc>
      </w:tr>
      <w:tr w14:paraId="7860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FC86C47">
            <w:pPr>
              <w:jc w:val="center"/>
              <w:rPr>
                <w:rFonts w:hint="eastAsia" w:ascii="仿宋" w:hAnsi="仿宋" w:eastAsia="仿宋" w:cs="仿宋"/>
                <w:sz w:val="24"/>
                <w:szCs w:val="24"/>
              </w:rPr>
            </w:pPr>
            <w:r>
              <w:rPr>
                <w:rFonts w:hint="eastAsia" w:ascii="仿宋" w:hAnsi="仿宋" w:eastAsia="仿宋" w:cs="仿宋"/>
                <w:sz w:val="24"/>
                <w:szCs w:val="24"/>
              </w:rPr>
              <w:t>账号</w:t>
            </w:r>
          </w:p>
        </w:tc>
        <w:tc>
          <w:tcPr>
            <w:tcW w:w="897" w:type="dxa"/>
            <w:noWrap w:val="0"/>
            <w:vAlign w:val="center"/>
          </w:tcPr>
          <w:p w14:paraId="0F78F901">
            <w:pPr>
              <w:jc w:val="center"/>
              <w:rPr>
                <w:rFonts w:hint="eastAsia" w:ascii="仿宋" w:hAnsi="仿宋" w:eastAsia="仿宋" w:cs="仿宋"/>
                <w:sz w:val="24"/>
                <w:szCs w:val="24"/>
              </w:rPr>
            </w:pPr>
          </w:p>
        </w:tc>
        <w:tc>
          <w:tcPr>
            <w:tcW w:w="1209" w:type="dxa"/>
            <w:gridSpan w:val="2"/>
            <w:noWrap w:val="0"/>
            <w:vAlign w:val="center"/>
          </w:tcPr>
          <w:p w14:paraId="4E1474CC">
            <w:pPr>
              <w:jc w:val="center"/>
              <w:rPr>
                <w:rFonts w:hint="eastAsia" w:ascii="仿宋" w:hAnsi="仿宋" w:eastAsia="仿宋" w:cs="仿宋"/>
                <w:sz w:val="24"/>
                <w:szCs w:val="24"/>
              </w:rPr>
            </w:pPr>
          </w:p>
        </w:tc>
        <w:tc>
          <w:tcPr>
            <w:tcW w:w="805" w:type="dxa"/>
            <w:vMerge w:val="continue"/>
            <w:noWrap w:val="0"/>
            <w:vAlign w:val="center"/>
          </w:tcPr>
          <w:p w14:paraId="71508526">
            <w:pPr>
              <w:jc w:val="center"/>
              <w:rPr>
                <w:rFonts w:hint="eastAsia" w:ascii="仿宋" w:hAnsi="仿宋" w:eastAsia="仿宋" w:cs="仿宋"/>
                <w:sz w:val="24"/>
                <w:szCs w:val="24"/>
              </w:rPr>
            </w:pPr>
          </w:p>
        </w:tc>
        <w:tc>
          <w:tcPr>
            <w:tcW w:w="1984" w:type="dxa"/>
            <w:gridSpan w:val="3"/>
            <w:noWrap w:val="0"/>
            <w:vAlign w:val="center"/>
          </w:tcPr>
          <w:p w14:paraId="270FE4E2">
            <w:pPr>
              <w:jc w:val="center"/>
              <w:rPr>
                <w:rFonts w:hint="eastAsia" w:ascii="仿宋" w:hAnsi="仿宋" w:eastAsia="仿宋" w:cs="仿宋"/>
                <w:sz w:val="24"/>
                <w:szCs w:val="24"/>
              </w:rPr>
            </w:pPr>
            <w:r>
              <w:rPr>
                <w:rFonts w:hint="eastAsia" w:ascii="仿宋" w:hAnsi="仿宋" w:eastAsia="仿宋" w:cs="仿宋"/>
                <w:sz w:val="24"/>
                <w:szCs w:val="24"/>
              </w:rPr>
              <w:t>技  工</w:t>
            </w:r>
          </w:p>
        </w:tc>
        <w:tc>
          <w:tcPr>
            <w:tcW w:w="2125" w:type="dxa"/>
            <w:gridSpan w:val="2"/>
            <w:noWrap w:val="0"/>
            <w:vAlign w:val="center"/>
          </w:tcPr>
          <w:p w14:paraId="29C4E429">
            <w:pPr>
              <w:jc w:val="center"/>
              <w:rPr>
                <w:rFonts w:hint="eastAsia" w:ascii="仿宋" w:hAnsi="仿宋" w:eastAsia="仿宋" w:cs="仿宋"/>
                <w:sz w:val="24"/>
                <w:szCs w:val="24"/>
              </w:rPr>
            </w:pPr>
          </w:p>
        </w:tc>
      </w:tr>
      <w:tr w14:paraId="57C2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noWrap w:val="0"/>
            <w:vAlign w:val="center"/>
          </w:tcPr>
          <w:p w14:paraId="6537E1B1">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020" w:type="dxa"/>
            <w:gridSpan w:val="9"/>
            <w:noWrap w:val="0"/>
            <w:vAlign w:val="center"/>
          </w:tcPr>
          <w:p w14:paraId="3E9A80DD">
            <w:pPr>
              <w:jc w:val="center"/>
              <w:rPr>
                <w:rFonts w:hint="eastAsia" w:ascii="仿宋" w:hAnsi="仿宋" w:eastAsia="仿宋" w:cs="仿宋"/>
                <w:sz w:val="24"/>
                <w:szCs w:val="24"/>
              </w:rPr>
            </w:pPr>
          </w:p>
        </w:tc>
      </w:tr>
      <w:tr w14:paraId="205E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52B951C">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7020" w:type="dxa"/>
            <w:gridSpan w:val="9"/>
            <w:noWrap w:val="0"/>
            <w:vAlign w:val="center"/>
          </w:tcPr>
          <w:p w14:paraId="70BD4000">
            <w:pPr>
              <w:jc w:val="center"/>
              <w:rPr>
                <w:rFonts w:hint="eastAsia" w:ascii="仿宋" w:hAnsi="仿宋" w:eastAsia="仿宋" w:cs="仿宋"/>
                <w:sz w:val="24"/>
                <w:szCs w:val="24"/>
              </w:rPr>
            </w:pPr>
          </w:p>
        </w:tc>
      </w:tr>
    </w:tbl>
    <w:p w14:paraId="72132242">
      <w:pPr>
        <w:rPr>
          <w:rFonts w:hint="eastAsia" w:ascii="仿宋" w:hAnsi="仿宋" w:eastAsia="仿宋" w:cs="Times New Roman"/>
          <w:b/>
          <w:bCs/>
          <w:sz w:val="28"/>
          <w:szCs w:val="28"/>
        </w:rPr>
      </w:pPr>
      <w:r>
        <w:rPr>
          <w:rFonts w:hint="eastAsia" w:ascii="仿宋" w:hAnsi="仿宋" w:eastAsia="仿宋" w:cs="Times New Roman"/>
          <w:b/>
          <w:bCs/>
          <w:sz w:val="28"/>
          <w:szCs w:val="28"/>
        </w:rPr>
        <w:br w:type="page"/>
      </w:r>
    </w:p>
    <w:p w14:paraId="4A3D98A2">
      <w:pPr>
        <w:shd w:val="clear" w:color="auto" w:fill="FFFFFF"/>
        <w:spacing w:line="440" w:lineRule="exact"/>
        <w:jc w:val="center"/>
        <w:rPr>
          <w:rFonts w:hint="eastAsia" w:ascii="仿宋" w:hAnsi="仿宋" w:eastAsia="仿宋" w:cs="Times New Roman"/>
          <w:b/>
          <w:bCs/>
          <w:sz w:val="28"/>
          <w:szCs w:val="28"/>
        </w:rPr>
      </w:pPr>
      <w:r>
        <w:rPr>
          <w:rFonts w:hint="eastAsia" w:ascii="仿宋" w:hAnsi="仿宋" w:eastAsia="仿宋" w:cs="Times New Roman"/>
          <w:b/>
          <w:bCs/>
          <w:sz w:val="28"/>
          <w:szCs w:val="28"/>
        </w:rPr>
        <w:t>项目负责人简历表</w:t>
      </w:r>
    </w:p>
    <w:p w14:paraId="33750D15">
      <w:pPr>
        <w:spacing w:line="420" w:lineRule="exact"/>
        <w:jc w:val="center"/>
        <w:rPr>
          <w:rFonts w:hint="eastAsia" w:ascii="仿宋" w:hAnsi="仿宋" w:eastAsia="仿宋" w:cs="仿宋"/>
          <w:sz w:val="24"/>
          <w:szCs w:val="24"/>
        </w:rPr>
      </w:pPr>
    </w:p>
    <w:p w14:paraId="65065B8B">
      <w:pPr>
        <w:ind w:firstLine="480" w:firstLineChars="200"/>
        <w:jc w:val="both"/>
        <w:rPr>
          <w:rFonts w:hint="eastAsia" w:ascii="仿宋" w:hAnsi="仿宋" w:eastAsia="仿宋" w:cs="仿宋"/>
          <w:sz w:val="24"/>
          <w:szCs w:val="24"/>
        </w:rPr>
      </w:pPr>
      <w:r>
        <w:rPr>
          <w:rFonts w:hint="eastAsia" w:ascii="仿宋" w:hAnsi="仿宋" w:eastAsia="仿宋" w:cs="仿宋"/>
          <w:sz w:val="24"/>
          <w:szCs w:val="24"/>
        </w:rPr>
        <w:t>项目负责人应附建造师执业资格证书、注册证书、安全生产考核合格证书、身份证、职称证、学历证、养老保险复印件及</w:t>
      </w:r>
      <w:r>
        <w:rPr>
          <w:rFonts w:hint="eastAsia" w:ascii="仿宋" w:hAnsi="仿宋" w:eastAsia="仿宋" w:cs="仿宋"/>
          <w:b/>
          <w:bCs/>
          <w:sz w:val="24"/>
          <w:szCs w:val="24"/>
        </w:rPr>
        <w:t>未担任其他在施建设工程项目项目负责人的承诺书</w:t>
      </w:r>
      <w:r>
        <w:rPr>
          <w:rFonts w:hint="eastAsia" w:ascii="仿宋" w:hAnsi="仿宋" w:eastAsia="仿宋" w:cs="仿宋"/>
          <w:sz w:val="24"/>
          <w:szCs w:val="24"/>
        </w:rPr>
        <w:t>。类似项目限于以项目负责人身份参与的项目。</w:t>
      </w:r>
    </w:p>
    <w:p w14:paraId="1767DAD1">
      <w:pPr>
        <w:spacing w:line="420" w:lineRule="exact"/>
        <w:ind w:firstLine="960" w:firstLineChars="400"/>
        <w:rPr>
          <w:rFonts w:hint="eastAsia" w:ascii="仿宋" w:hAnsi="仿宋" w:eastAsia="仿宋" w:cs="仿宋"/>
          <w:sz w:val="24"/>
          <w:szCs w:val="24"/>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14:paraId="56A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7EBF71C1">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35" w:type="dxa"/>
            <w:gridSpan w:val="2"/>
            <w:noWrap w:val="0"/>
            <w:vAlign w:val="center"/>
          </w:tcPr>
          <w:p w14:paraId="41155F73">
            <w:pPr>
              <w:jc w:val="center"/>
              <w:rPr>
                <w:rFonts w:hint="eastAsia" w:ascii="仿宋" w:hAnsi="仿宋" w:eastAsia="仿宋" w:cs="仿宋"/>
                <w:sz w:val="24"/>
                <w:szCs w:val="24"/>
              </w:rPr>
            </w:pPr>
          </w:p>
        </w:tc>
        <w:tc>
          <w:tcPr>
            <w:tcW w:w="1134" w:type="dxa"/>
            <w:gridSpan w:val="2"/>
            <w:noWrap w:val="0"/>
            <w:vAlign w:val="center"/>
          </w:tcPr>
          <w:p w14:paraId="03BC7A48">
            <w:pPr>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275" w:type="dxa"/>
            <w:gridSpan w:val="2"/>
            <w:noWrap w:val="0"/>
            <w:vAlign w:val="center"/>
          </w:tcPr>
          <w:p w14:paraId="58EAB1C0">
            <w:pPr>
              <w:jc w:val="center"/>
              <w:rPr>
                <w:rFonts w:hint="eastAsia" w:ascii="仿宋" w:hAnsi="仿宋" w:eastAsia="仿宋" w:cs="仿宋"/>
                <w:sz w:val="24"/>
                <w:szCs w:val="24"/>
              </w:rPr>
            </w:pPr>
          </w:p>
        </w:tc>
        <w:tc>
          <w:tcPr>
            <w:tcW w:w="1843" w:type="dxa"/>
            <w:gridSpan w:val="2"/>
            <w:noWrap w:val="0"/>
            <w:vAlign w:val="center"/>
          </w:tcPr>
          <w:p w14:paraId="6A01A0E7">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26" w:type="dxa"/>
            <w:noWrap w:val="0"/>
            <w:vAlign w:val="center"/>
          </w:tcPr>
          <w:p w14:paraId="34E864C2">
            <w:pPr>
              <w:jc w:val="center"/>
              <w:rPr>
                <w:rFonts w:hint="eastAsia" w:ascii="仿宋" w:hAnsi="仿宋" w:eastAsia="仿宋" w:cs="仿宋"/>
                <w:sz w:val="24"/>
                <w:szCs w:val="24"/>
              </w:rPr>
            </w:pPr>
          </w:p>
        </w:tc>
      </w:tr>
      <w:tr w14:paraId="723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17D4EEF8">
            <w:pPr>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35" w:type="dxa"/>
            <w:gridSpan w:val="2"/>
            <w:noWrap w:val="0"/>
            <w:vAlign w:val="center"/>
          </w:tcPr>
          <w:p w14:paraId="32F5A1C8">
            <w:pPr>
              <w:jc w:val="center"/>
              <w:rPr>
                <w:rFonts w:hint="eastAsia" w:ascii="仿宋" w:hAnsi="仿宋" w:eastAsia="仿宋" w:cs="仿宋"/>
                <w:sz w:val="24"/>
                <w:szCs w:val="24"/>
              </w:rPr>
            </w:pPr>
          </w:p>
        </w:tc>
        <w:tc>
          <w:tcPr>
            <w:tcW w:w="1134" w:type="dxa"/>
            <w:gridSpan w:val="2"/>
            <w:noWrap w:val="0"/>
            <w:vAlign w:val="center"/>
          </w:tcPr>
          <w:p w14:paraId="7667C4AE">
            <w:pPr>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275" w:type="dxa"/>
            <w:gridSpan w:val="2"/>
            <w:noWrap w:val="0"/>
            <w:vAlign w:val="center"/>
          </w:tcPr>
          <w:p w14:paraId="28283EB6">
            <w:pPr>
              <w:jc w:val="center"/>
              <w:rPr>
                <w:rFonts w:hint="eastAsia" w:ascii="仿宋" w:hAnsi="仿宋" w:eastAsia="仿宋" w:cs="仿宋"/>
                <w:sz w:val="24"/>
                <w:szCs w:val="24"/>
              </w:rPr>
            </w:pPr>
          </w:p>
        </w:tc>
        <w:tc>
          <w:tcPr>
            <w:tcW w:w="1843" w:type="dxa"/>
            <w:gridSpan w:val="2"/>
            <w:noWrap w:val="0"/>
            <w:vAlign w:val="center"/>
          </w:tcPr>
          <w:p w14:paraId="3898166B">
            <w:pPr>
              <w:jc w:val="center"/>
              <w:rPr>
                <w:rFonts w:hint="eastAsia" w:ascii="仿宋" w:hAnsi="仿宋" w:eastAsia="仿宋" w:cs="仿宋"/>
                <w:sz w:val="24"/>
                <w:szCs w:val="24"/>
              </w:rPr>
            </w:pPr>
            <w:r>
              <w:rPr>
                <w:rFonts w:hint="eastAsia" w:ascii="仿宋" w:hAnsi="仿宋" w:eastAsia="仿宋" w:cs="仿宋"/>
                <w:sz w:val="24"/>
                <w:szCs w:val="24"/>
              </w:rPr>
              <w:t>拟在本工程任职</w:t>
            </w:r>
          </w:p>
        </w:tc>
        <w:tc>
          <w:tcPr>
            <w:tcW w:w="2126" w:type="dxa"/>
            <w:noWrap w:val="0"/>
            <w:vAlign w:val="center"/>
          </w:tcPr>
          <w:p w14:paraId="6E5BD9A7">
            <w:pPr>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0788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0F3C2EF0">
            <w:pPr>
              <w:jc w:val="center"/>
              <w:rPr>
                <w:rFonts w:hint="eastAsia" w:ascii="仿宋" w:hAnsi="仿宋" w:eastAsia="仿宋" w:cs="仿宋"/>
                <w:sz w:val="24"/>
                <w:szCs w:val="24"/>
              </w:rPr>
            </w:pPr>
            <w:r>
              <w:rPr>
                <w:rFonts w:hint="eastAsia" w:ascii="仿宋" w:hAnsi="仿宋" w:eastAsia="仿宋" w:cs="仿宋"/>
                <w:sz w:val="24"/>
                <w:szCs w:val="24"/>
              </w:rPr>
              <w:t>注册建造师执业资格等级</w:t>
            </w:r>
          </w:p>
        </w:tc>
        <w:tc>
          <w:tcPr>
            <w:tcW w:w="1275" w:type="dxa"/>
            <w:gridSpan w:val="2"/>
            <w:noWrap w:val="0"/>
            <w:vAlign w:val="center"/>
          </w:tcPr>
          <w:p w14:paraId="4902A2AC">
            <w:pPr>
              <w:jc w:val="center"/>
              <w:rPr>
                <w:rFonts w:hint="eastAsia" w:ascii="仿宋" w:hAnsi="仿宋" w:eastAsia="仿宋" w:cs="仿宋"/>
                <w:sz w:val="24"/>
                <w:szCs w:val="24"/>
              </w:rPr>
            </w:pPr>
            <w:r>
              <w:rPr>
                <w:rFonts w:hint="eastAsia" w:ascii="仿宋" w:hAnsi="仿宋" w:eastAsia="仿宋" w:cs="仿宋"/>
                <w:sz w:val="24"/>
                <w:szCs w:val="24"/>
              </w:rPr>
              <w:t>级</w:t>
            </w:r>
          </w:p>
        </w:tc>
        <w:tc>
          <w:tcPr>
            <w:tcW w:w="1843" w:type="dxa"/>
            <w:gridSpan w:val="2"/>
            <w:noWrap w:val="0"/>
            <w:vAlign w:val="center"/>
          </w:tcPr>
          <w:p w14:paraId="66FBECE0">
            <w:pPr>
              <w:jc w:val="center"/>
              <w:rPr>
                <w:rFonts w:hint="eastAsia" w:ascii="仿宋" w:hAnsi="仿宋" w:eastAsia="仿宋" w:cs="仿宋"/>
                <w:sz w:val="24"/>
                <w:szCs w:val="24"/>
              </w:rPr>
            </w:pPr>
            <w:r>
              <w:rPr>
                <w:rFonts w:hint="eastAsia" w:ascii="仿宋" w:hAnsi="仿宋" w:eastAsia="仿宋" w:cs="仿宋"/>
                <w:sz w:val="24"/>
                <w:szCs w:val="24"/>
              </w:rPr>
              <w:t>建造师专业</w:t>
            </w:r>
          </w:p>
        </w:tc>
        <w:tc>
          <w:tcPr>
            <w:tcW w:w="2633" w:type="dxa"/>
            <w:gridSpan w:val="2"/>
            <w:noWrap w:val="0"/>
            <w:vAlign w:val="center"/>
          </w:tcPr>
          <w:p w14:paraId="0B44EF5C">
            <w:pPr>
              <w:jc w:val="center"/>
              <w:rPr>
                <w:rFonts w:hint="eastAsia" w:ascii="仿宋" w:hAnsi="仿宋" w:eastAsia="仿宋" w:cs="仿宋"/>
                <w:sz w:val="24"/>
                <w:szCs w:val="24"/>
              </w:rPr>
            </w:pPr>
          </w:p>
        </w:tc>
      </w:tr>
      <w:tr w14:paraId="6B0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315F66BF">
            <w:pPr>
              <w:jc w:val="center"/>
              <w:rPr>
                <w:rFonts w:hint="eastAsia" w:ascii="仿宋" w:hAnsi="仿宋" w:eastAsia="仿宋" w:cs="仿宋"/>
                <w:sz w:val="24"/>
                <w:szCs w:val="24"/>
              </w:rPr>
            </w:pPr>
            <w:r>
              <w:rPr>
                <w:rFonts w:hint="eastAsia" w:ascii="仿宋" w:hAnsi="仿宋" w:eastAsia="仿宋" w:cs="仿宋"/>
                <w:sz w:val="24"/>
                <w:szCs w:val="24"/>
              </w:rPr>
              <w:t>安全生产考核合格证书</w:t>
            </w:r>
          </w:p>
        </w:tc>
        <w:tc>
          <w:tcPr>
            <w:tcW w:w="5751" w:type="dxa"/>
            <w:gridSpan w:val="6"/>
            <w:noWrap w:val="0"/>
            <w:vAlign w:val="center"/>
          </w:tcPr>
          <w:p w14:paraId="35F35EDF">
            <w:pPr>
              <w:jc w:val="center"/>
              <w:rPr>
                <w:rFonts w:hint="eastAsia" w:ascii="仿宋" w:hAnsi="仿宋" w:eastAsia="仿宋" w:cs="仿宋"/>
                <w:sz w:val="24"/>
                <w:szCs w:val="24"/>
              </w:rPr>
            </w:pPr>
          </w:p>
        </w:tc>
      </w:tr>
      <w:tr w14:paraId="2E8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0A23E063">
            <w:pPr>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7920" w:type="dxa"/>
            <w:gridSpan w:val="10"/>
            <w:noWrap w:val="0"/>
            <w:vAlign w:val="center"/>
          </w:tcPr>
          <w:p w14:paraId="4918BD9E">
            <w:pPr>
              <w:jc w:val="center"/>
              <w:rPr>
                <w:rFonts w:hint="eastAsia" w:ascii="仿宋" w:hAnsi="仿宋" w:eastAsia="仿宋" w:cs="仿宋"/>
                <w:sz w:val="24"/>
                <w:szCs w:val="24"/>
              </w:rPr>
            </w:pPr>
            <w:r>
              <w:rPr>
                <w:rFonts w:hint="eastAsia" w:ascii="仿宋" w:hAnsi="仿宋" w:eastAsia="仿宋" w:cs="仿宋"/>
                <w:sz w:val="24"/>
                <w:szCs w:val="24"/>
              </w:rPr>
              <w:t>年毕业于                  学校            专业</w:t>
            </w:r>
          </w:p>
        </w:tc>
      </w:tr>
      <w:tr w14:paraId="5BB5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14:paraId="5591B1EB">
            <w:pPr>
              <w:jc w:val="center"/>
              <w:rPr>
                <w:rFonts w:hint="eastAsia" w:ascii="仿宋" w:hAnsi="仿宋" w:eastAsia="仿宋" w:cs="仿宋"/>
                <w:sz w:val="24"/>
                <w:szCs w:val="24"/>
              </w:rPr>
            </w:pPr>
            <w:r>
              <w:rPr>
                <w:rFonts w:hint="eastAsia" w:ascii="仿宋" w:hAnsi="仿宋" w:eastAsia="仿宋" w:cs="仿宋"/>
                <w:sz w:val="24"/>
                <w:szCs w:val="24"/>
              </w:rPr>
              <w:t>主要工作经历</w:t>
            </w:r>
          </w:p>
        </w:tc>
      </w:tr>
      <w:tr w14:paraId="196C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251BC5E">
            <w:pPr>
              <w:jc w:val="center"/>
              <w:rPr>
                <w:rFonts w:hint="eastAsia" w:ascii="仿宋" w:hAnsi="仿宋" w:eastAsia="仿宋" w:cs="仿宋"/>
                <w:sz w:val="24"/>
                <w:szCs w:val="24"/>
              </w:rPr>
            </w:pPr>
            <w:r>
              <w:rPr>
                <w:rFonts w:hint="eastAsia" w:ascii="仿宋" w:hAnsi="仿宋" w:eastAsia="仿宋" w:cs="仿宋"/>
                <w:sz w:val="24"/>
                <w:szCs w:val="24"/>
              </w:rPr>
              <w:t>时  间</w:t>
            </w:r>
          </w:p>
        </w:tc>
        <w:tc>
          <w:tcPr>
            <w:tcW w:w="3444" w:type="dxa"/>
            <w:gridSpan w:val="6"/>
            <w:noWrap w:val="0"/>
            <w:vAlign w:val="center"/>
          </w:tcPr>
          <w:p w14:paraId="76CB2A8D">
            <w:pPr>
              <w:jc w:val="center"/>
              <w:rPr>
                <w:rFonts w:hint="eastAsia" w:ascii="仿宋" w:hAnsi="仿宋" w:eastAsia="仿宋" w:cs="仿宋"/>
                <w:sz w:val="24"/>
                <w:szCs w:val="24"/>
              </w:rPr>
            </w:pPr>
            <w:r>
              <w:rPr>
                <w:rFonts w:hint="eastAsia" w:ascii="仿宋" w:hAnsi="仿宋" w:eastAsia="仿宋" w:cs="仿宋"/>
                <w:sz w:val="24"/>
                <w:szCs w:val="24"/>
              </w:rPr>
              <w:t>参加过的类似项目名称</w:t>
            </w:r>
          </w:p>
        </w:tc>
        <w:tc>
          <w:tcPr>
            <w:tcW w:w="1843" w:type="dxa"/>
            <w:gridSpan w:val="2"/>
            <w:noWrap w:val="0"/>
            <w:vAlign w:val="center"/>
          </w:tcPr>
          <w:p w14:paraId="2E27057E">
            <w:pPr>
              <w:jc w:val="center"/>
              <w:rPr>
                <w:rFonts w:hint="eastAsia" w:ascii="仿宋" w:hAnsi="仿宋" w:eastAsia="仿宋" w:cs="仿宋"/>
                <w:sz w:val="24"/>
                <w:szCs w:val="24"/>
              </w:rPr>
            </w:pPr>
            <w:r>
              <w:rPr>
                <w:rFonts w:hint="eastAsia" w:ascii="仿宋" w:hAnsi="仿宋" w:eastAsia="仿宋" w:cs="仿宋"/>
                <w:sz w:val="24"/>
                <w:szCs w:val="24"/>
              </w:rPr>
              <w:t>工程概况说明</w:t>
            </w:r>
          </w:p>
        </w:tc>
        <w:tc>
          <w:tcPr>
            <w:tcW w:w="2633" w:type="dxa"/>
            <w:gridSpan w:val="2"/>
            <w:noWrap w:val="0"/>
            <w:vAlign w:val="center"/>
          </w:tcPr>
          <w:p w14:paraId="4232A87D">
            <w:pPr>
              <w:jc w:val="center"/>
              <w:rPr>
                <w:rFonts w:hint="eastAsia" w:ascii="仿宋" w:hAnsi="仿宋" w:eastAsia="仿宋" w:cs="仿宋"/>
                <w:sz w:val="24"/>
                <w:szCs w:val="24"/>
              </w:rPr>
            </w:pPr>
            <w:r>
              <w:rPr>
                <w:rFonts w:hint="eastAsia" w:ascii="仿宋" w:hAnsi="仿宋" w:eastAsia="仿宋" w:cs="仿宋"/>
                <w:sz w:val="24"/>
                <w:szCs w:val="24"/>
              </w:rPr>
              <w:t>发包人及联系电话</w:t>
            </w:r>
          </w:p>
        </w:tc>
      </w:tr>
      <w:tr w14:paraId="1D2C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630BB8E">
            <w:pPr>
              <w:jc w:val="center"/>
              <w:rPr>
                <w:rFonts w:hint="eastAsia" w:ascii="仿宋" w:hAnsi="仿宋" w:eastAsia="仿宋" w:cs="仿宋"/>
                <w:sz w:val="24"/>
                <w:szCs w:val="24"/>
              </w:rPr>
            </w:pPr>
          </w:p>
        </w:tc>
        <w:tc>
          <w:tcPr>
            <w:tcW w:w="1035" w:type="dxa"/>
            <w:gridSpan w:val="2"/>
            <w:noWrap w:val="0"/>
            <w:vAlign w:val="center"/>
          </w:tcPr>
          <w:p w14:paraId="1FB59CBF">
            <w:pPr>
              <w:jc w:val="center"/>
              <w:rPr>
                <w:rFonts w:hint="eastAsia" w:ascii="仿宋" w:hAnsi="仿宋" w:eastAsia="仿宋" w:cs="仿宋"/>
                <w:sz w:val="24"/>
                <w:szCs w:val="24"/>
              </w:rPr>
            </w:pPr>
          </w:p>
        </w:tc>
        <w:tc>
          <w:tcPr>
            <w:tcW w:w="1134" w:type="dxa"/>
            <w:gridSpan w:val="2"/>
            <w:noWrap w:val="0"/>
            <w:vAlign w:val="center"/>
          </w:tcPr>
          <w:p w14:paraId="67FD4117">
            <w:pPr>
              <w:jc w:val="center"/>
              <w:rPr>
                <w:rFonts w:hint="eastAsia" w:ascii="仿宋" w:hAnsi="仿宋" w:eastAsia="仿宋" w:cs="仿宋"/>
                <w:sz w:val="24"/>
                <w:szCs w:val="24"/>
              </w:rPr>
            </w:pPr>
          </w:p>
        </w:tc>
        <w:tc>
          <w:tcPr>
            <w:tcW w:w="1275" w:type="dxa"/>
            <w:gridSpan w:val="2"/>
            <w:noWrap w:val="0"/>
            <w:vAlign w:val="center"/>
          </w:tcPr>
          <w:p w14:paraId="0A616308">
            <w:pPr>
              <w:jc w:val="center"/>
              <w:rPr>
                <w:rFonts w:hint="eastAsia" w:ascii="仿宋" w:hAnsi="仿宋" w:eastAsia="仿宋" w:cs="仿宋"/>
                <w:sz w:val="24"/>
                <w:szCs w:val="24"/>
              </w:rPr>
            </w:pPr>
          </w:p>
        </w:tc>
        <w:tc>
          <w:tcPr>
            <w:tcW w:w="1843" w:type="dxa"/>
            <w:gridSpan w:val="2"/>
            <w:noWrap w:val="0"/>
            <w:vAlign w:val="center"/>
          </w:tcPr>
          <w:p w14:paraId="7C35D353">
            <w:pPr>
              <w:jc w:val="center"/>
              <w:rPr>
                <w:rFonts w:hint="eastAsia" w:ascii="仿宋" w:hAnsi="仿宋" w:eastAsia="仿宋" w:cs="仿宋"/>
                <w:sz w:val="24"/>
                <w:szCs w:val="24"/>
              </w:rPr>
            </w:pPr>
          </w:p>
        </w:tc>
        <w:tc>
          <w:tcPr>
            <w:tcW w:w="2633" w:type="dxa"/>
            <w:gridSpan w:val="2"/>
            <w:noWrap w:val="0"/>
            <w:vAlign w:val="center"/>
          </w:tcPr>
          <w:p w14:paraId="5214450A">
            <w:pPr>
              <w:jc w:val="center"/>
              <w:rPr>
                <w:rFonts w:hint="eastAsia" w:ascii="仿宋" w:hAnsi="仿宋" w:eastAsia="仿宋" w:cs="仿宋"/>
                <w:sz w:val="24"/>
                <w:szCs w:val="24"/>
              </w:rPr>
            </w:pPr>
          </w:p>
        </w:tc>
      </w:tr>
      <w:tr w14:paraId="5469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EE9F305">
            <w:pPr>
              <w:jc w:val="center"/>
              <w:rPr>
                <w:rFonts w:hint="eastAsia" w:ascii="仿宋" w:hAnsi="仿宋" w:eastAsia="仿宋" w:cs="仿宋"/>
                <w:sz w:val="24"/>
                <w:szCs w:val="24"/>
              </w:rPr>
            </w:pPr>
          </w:p>
        </w:tc>
        <w:tc>
          <w:tcPr>
            <w:tcW w:w="1035" w:type="dxa"/>
            <w:gridSpan w:val="2"/>
            <w:noWrap w:val="0"/>
            <w:vAlign w:val="center"/>
          </w:tcPr>
          <w:p w14:paraId="1E9A67FD">
            <w:pPr>
              <w:jc w:val="center"/>
              <w:rPr>
                <w:rFonts w:hint="eastAsia" w:ascii="仿宋" w:hAnsi="仿宋" w:eastAsia="仿宋" w:cs="仿宋"/>
                <w:sz w:val="24"/>
                <w:szCs w:val="24"/>
              </w:rPr>
            </w:pPr>
          </w:p>
        </w:tc>
        <w:tc>
          <w:tcPr>
            <w:tcW w:w="1134" w:type="dxa"/>
            <w:gridSpan w:val="2"/>
            <w:noWrap w:val="0"/>
            <w:vAlign w:val="center"/>
          </w:tcPr>
          <w:p w14:paraId="5A235FEB">
            <w:pPr>
              <w:jc w:val="center"/>
              <w:rPr>
                <w:rFonts w:hint="eastAsia" w:ascii="仿宋" w:hAnsi="仿宋" w:eastAsia="仿宋" w:cs="仿宋"/>
                <w:sz w:val="24"/>
                <w:szCs w:val="24"/>
              </w:rPr>
            </w:pPr>
          </w:p>
        </w:tc>
        <w:tc>
          <w:tcPr>
            <w:tcW w:w="1275" w:type="dxa"/>
            <w:gridSpan w:val="2"/>
            <w:noWrap w:val="0"/>
            <w:vAlign w:val="center"/>
          </w:tcPr>
          <w:p w14:paraId="6FBCE887">
            <w:pPr>
              <w:jc w:val="center"/>
              <w:rPr>
                <w:rFonts w:hint="eastAsia" w:ascii="仿宋" w:hAnsi="仿宋" w:eastAsia="仿宋" w:cs="仿宋"/>
                <w:sz w:val="24"/>
                <w:szCs w:val="24"/>
              </w:rPr>
            </w:pPr>
          </w:p>
        </w:tc>
        <w:tc>
          <w:tcPr>
            <w:tcW w:w="1843" w:type="dxa"/>
            <w:gridSpan w:val="2"/>
            <w:noWrap w:val="0"/>
            <w:vAlign w:val="center"/>
          </w:tcPr>
          <w:p w14:paraId="690F81D2">
            <w:pPr>
              <w:jc w:val="center"/>
              <w:rPr>
                <w:rFonts w:hint="eastAsia" w:ascii="仿宋" w:hAnsi="仿宋" w:eastAsia="仿宋" w:cs="仿宋"/>
                <w:sz w:val="24"/>
                <w:szCs w:val="24"/>
              </w:rPr>
            </w:pPr>
          </w:p>
        </w:tc>
        <w:tc>
          <w:tcPr>
            <w:tcW w:w="2633" w:type="dxa"/>
            <w:gridSpan w:val="2"/>
            <w:noWrap w:val="0"/>
            <w:vAlign w:val="center"/>
          </w:tcPr>
          <w:p w14:paraId="2392532A">
            <w:pPr>
              <w:jc w:val="center"/>
              <w:rPr>
                <w:rFonts w:hint="eastAsia" w:ascii="仿宋" w:hAnsi="仿宋" w:eastAsia="仿宋" w:cs="仿宋"/>
                <w:sz w:val="24"/>
                <w:szCs w:val="24"/>
              </w:rPr>
            </w:pPr>
          </w:p>
        </w:tc>
      </w:tr>
      <w:tr w14:paraId="748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081BD2C">
            <w:pPr>
              <w:jc w:val="center"/>
              <w:rPr>
                <w:rFonts w:hint="eastAsia" w:ascii="仿宋" w:hAnsi="仿宋" w:eastAsia="仿宋" w:cs="仿宋"/>
                <w:sz w:val="24"/>
                <w:szCs w:val="24"/>
              </w:rPr>
            </w:pPr>
          </w:p>
        </w:tc>
        <w:tc>
          <w:tcPr>
            <w:tcW w:w="1035" w:type="dxa"/>
            <w:gridSpan w:val="2"/>
            <w:noWrap w:val="0"/>
            <w:vAlign w:val="center"/>
          </w:tcPr>
          <w:p w14:paraId="1371E576">
            <w:pPr>
              <w:jc w:val="center"/>
              <w:rPr>
                <w:rFonts w:hint="eastAsia" w:ascii="仿宋" w:hAnsi="仿宋" w:eastAsia="仿宋" w:cs="仿宋"/>
                <w:sz w:val="24"/>
                <w:szCs w:val="24"/>
              </w:rPr>
            </w:pPr>
          </w:p>
        </w:tc>
        <w:tc>
          <w:tcPr>
            <w:tcW w:w="1134" w:type="dxa"/>
            <w:gridSpan w:val="2"/>
            <w:noWrap w:val="0"/>
            <w:vAlign w:val="center"/>
          </w:tcPr>
          <w:p w14:paraId="3DFA96AD">
            <w:pPr>
              <w:jc w:val="center"/>
              <w:rPr>
                <w:rFonts w:hint="eastAsia" w:ascii="仿宋" w:hAnsi="仿宋" w:eastAsia="仿宋" w:cs="仿宋"/>
                <w:sz w:val="24"/>
                <w:szCs w:val="24"/>
              </w:rPr>
            </w:pPr>
          </w:p>
        </w:tc>
        <w:tc>
          <w:tcPr>
            <w:tcW w:w="1275" w:type="dxa"/>
            <w:gridSpan w:val="2"/>
            <w:noWrap w:val="0"/>
            <w:vAlign w:val="center"/>
          </w:tcPr>
          <w:p w14:paraId="71CAD249">
            <w:pPr>
              <w:jc w:val="center"/>
              <w:rPr>
                <w:rFonts w:hint="eastAsia" w:ascii="仿宋" w:hAnsi="仿宋" w:eastAsia="仿宋" w:cs="仿宋"/>
                <w:sz w:val="24"/>
                <w:szCs w:val="24"/>
              </w:rPr>
            </w:pPr>
          </w:p>
        </w:tc>
        <w:tc>
          <w:tcPr>
            <w:tcW w:w="1843" w:type="dxa"/>
            <w:gridSpan w:val="2"/>
            <w:noWrap w:val="0"/>
            <w:vAlign w:val="center"/>
          </w:tcPr>
          <w:p w14:paraId="756926D4">
            <w:pPr>
              <w:jc w:val="center"/>
              <w:rPr>
                <w:rFonts w:hint="eastAsia" w:ascii="仿宋" w:hAnsi="仿宋" w:eastAsia="仿宋" w:cs="仿宋"/>
                <w:sz w:val="24"/>
                <w:szCs w:val="24"/>
              </w:rPr>
            </w:pPr>
          </w:p>
        </w:tc>
        <w:tc>
          <w:tcPr>
            <w:tcW w:w="2633" w:type="dxa"/>
            <w:gridSpan w:val="2"/>
            <w:noWrap w:val="0"/>
            <w:vAlign w:val="center"/>
          </w:tcPr>
          <w:p w14:paraId="30315928">
            <w:pPr>
              <w:jc w:val="center"/>
              <w:rPr>
                <w:rFonts w:hint="eastAsia" w:ascii="仿宋" w:hAnsi="仿宋" w:eastAsia="仿宋" w:cs="仿宋"/>
                <w:sz w:val="24"/>
                <w:szCs w:val="24"/>
              </w:rPr>
            </w:pPr>
          </w:p>
        </w:tc>
      </w:tr>
      <w:tr w14:paraId="5B5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3A9668B">
            <w:pPr>
              <w:jc w:val="center"/>
              <w:rPr>
                <w:rFonts w:hint="eastAsia" w:ascii="仿宋" w:hAnsi="仿宋" w:eastAsia="仿宋" w:cs="仿宋"/>
                <w:sz w:val="24"/>
                <w:szCs w:val="24"/>
              </w:rPr>
            </w:pPr>
          </w:p>
        </w:tc>
        <w:tc>
          <w:tcPr>
            <w:tcW w:w="1035" w:type="dxa"/>
            <w:gridSpan w:val="2"/>
            <w:noWrap w:val="0"/>
            <w:vAlign w:val="center"/>
          </w:tcPr>
          <w:p w14:paraId="7A3CD4FB">
            <w:pPr>
              <w:jc w:val="center"/>
              <w:rPr>
                <w:rFonts w:hint="eastAsia" w:ascii="仿宋" w:hAnsi="仿宋" w:eastAsia="仿宋" w:cs="仿宋"/>
                <w:sz w:val="24"/>
                <w:szCs w:val="24"/>
              </w:rPr>
            </w:pPr>
          </w:p>
        </w:tc>
        <w:tc>
          <w:tcPr>
            <w:tcW w:w="1134" w:type="dxa"/>
            <w:gridSpan w:val="2"/>
            <w:noWrap w:val="0"/>
            <w:vAlign w:val="center"/>
          </w:tcPr>
          <w:p w14:paraId="30D35DA9">
            <w:pPr>
              <w:jc w:val="center"/>
              <w:rPr>
                <w:rFonts w:hint="eastAsia" w:ascii="仿宋" w:hAnsi="仿宋" w:eastAsia="仿宋" w:cs="仿宋"/>
                <w:sz w:val="24"/>
                <w:szCs w:val="24"/>
              </w:rPr>
            </w:pPr>
          </w:p>
        </w:tc>
        <w:tc>
          <w:tcPr>
            <w:tcW w:w="1275" w:type="dxa"/>
            <w:gridSpan w:val="2"/>
            <w:noWrap w:val="0"/>
            <w:vAlign w:val="center"/>
          </w:tcPr>
          <w:p w14:paraId="6DA6C004">
            <w:pPr>
              <w:jc w:val="center"/>
              <w:rPr>
                <w:rFonts w:hint="eastAsia" w:ascii="仿宋" w:hAnsi="仿宋" w:eastAsia="仿宋" w:cs="仿宋"/>
                <w:sz w:val="24"/>
                <w:szCs w:val="24"/>
              </w:rPr>
            </w:pPr>
          </w:p>
        </w:tc>
        <w:tc>
          <w:tcPr>
            <w:tcW w:w="1843" w:type="dxa"/>
            <w:gridSpan w:val="2"/>
            <w:noWrap w:val="0"/>
            <w:vAlign w:val="center"/>
          </w:tcPr>
          <w:p w14:paraId="38700E10">
            <w:pPr>
              <w:jc w:val="center"/>
              <w:rPr>
                <w:rFonts w:hint="eastAsia" w:ascii="仿宋" w:hAnsi="仿宋" w:eastAsia="仿宋" w:cs="仿宋"/>
                <w:sz w:val="24"/>
                <w:szCs w:val="24"/>
              </w:rPr>
            </w:pPr>
          </w:p>
        </w:tc>
        <w:tc>
          <w:tcPr>
            <w:tcW w:w="2633" w:type="dxa"/>
            <w:gridSpan w:val="2"/>
            <w:noWrap w:val="0"/>
            <w:vAlign w:val="center"/>
          </w:tcPr>
          <w:p w14:paraId="6310A224">
            <w:pPr>
              <w:jc w:val="center"/>
              <w:rPr>
                <w:rFonts w:hint="eastAsia" w:ascii="仿宋" w:hAnsi="仿宋" w:eastAsia="仿宋" w:cs="仿宋"/>
                <w:sz w:val="24"/>
                <w:szCs w:val="24"/>
              </w:rPr>
            </w:pPr>
          </w:p>
        </w:tc>
      </w:tr>
    </w:tbl>
    <w:p w14:paraId="6ED5C353">
      <w:pPr>
        <w:spacing w:line="440" w:lineRule="exact"/>
        <w:ind w:firstLine="241" w:firstLineChars="100"/>
        <w:rPr>
          <w:rFonts w:hint="eastAsia" w:ascii="仿宋" w:hAnsi="仿宋" w:eastAsia="仿宋" w:cs="仿宋"/>
          <w:iCs/>
          <w:sz w:val="24"/>
          <w:szCs w:val="24"/>
        </w:rPr>
      </w:pPr>
      <w:r>
        <w:rPr>
          <w:rFonts w:hint="eastAsia" w:ascii="仿宋" w:hAnsi="仿宋" w:eastAsia="仿宋" w:cs="仿宋"/>
          <w:b/>
          <w:bCs/>
          <w:iCs/>
          <w:sz w:val="24"/>
          <w:szCs w:val="24"/>
        </w:rPr>
        <w:t xml:space="preserve">  </w:t>
      </w:r>
      <w:r>
        <w:rPr>
          <w:rFonts w:hint="eastAsia" w:ascii="仿宋" w:hAnsi="仿宋" w:eastAsia="仿宋" w:cs="仿宋"/>
          <w:iCs/>
          <w:sz w:val="24"/>
          <w:szCs w:val="24"/>
        </w:rPr>
        <w:t xml:space="preserve">                </w:t>
      </w:r>
    </w:p>
    <w:p w14:paraId="0CC28F21">
      <w:pPr>
        <w:pStyle w:val="307"/>
        <w:shd w:val="clear" w:color="auto" w:fill="FFFFFF"/>
        <w:snapToGrid w:val="0"/>
        <w:spacing w:line="440" w:lineRule="exact"/>
        <w:rPr>
          <w:rFonts w:hint="eastAsia" w:ascii="仿宋" w:hAnsi="仿宋" w:eastAsia="仿宋"/>
          <w:color w:val="auto"/>
          <w:sz w:val="24"/>
        </w:rPr>
      </w:pPr>
    </w:p>
    <w:p w14:paraId="6599408A">
      <w:pPr>
        <w:pStyle w:val="736"/>
        <w:spacing w:line="420" w:lineRule="exact"/>
        <w:ind w:firstLine="1440" w:firstLineChars="6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0DBC4A4B">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FA80273">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409049A5">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47EF1045">
      <w:pPr>
        <w:spacing w:line="360" w:lineRule="auto"/>
        <w:jc w:val="both"/>
        <w:rPr>
          <w:rFonts w:hint="eastAsia" w:ascii="仿宋" w:hAnsi="仿宋" w:eastAsia="仿宋" w:cs="仿宋"/>
          <w:b/>
          <w:color w:val="auto"/>
          <w:kern w:val="1"/>
          <w:sz w:val="24"/>
          <w:szCs w:val="24"/>
        </w:rPr>
      </w:pPr>
    </w:p>
    <w:p w14:paraId="656C6980">
      <w:pPr>
        <w:spacing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项目管理机构组成表</w:t>
      </w:r>
    </w:p>
    <w:p w14:paraId="4C0EB71B">
      <w:pPr>
        <w:pStyle w:val="59"/>
        <w:rPr>
          <w:rFonts w:hint="eastAsia"/>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758"/>
        <w:gridCol w:w="929"/>
        <w:gridCol w:w="1373"/>
        <w:gridCol w:w="840"/>
        <w:gridCol w:w="855"/>
        <w:gridCol w:w="795"/>
        <w:gridCol w:w="1381"/>
        <w:gridCol w:w="742"/>
      </w:tblGrid>
      <w:tr w14:paraId="768A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63" w:type="dxa"/>
            <w:vMerge w:val="restart"/>
            <w:noWrap w:val="0"/>
            <w:vAlign w:val="center"/>
          </w:tcPr>
          <w:p w14:paraId="786DF7E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58" w:type="dxa"/>
            <w:vMerge w:val="restart"/>
            <w:noWrap w:val="0"/>
            <w:vAlign w:val="center"/>
          </w:tcPr>
          <w:p w14:paraId="2B60FB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929" w:type="dxa"/>
            <w:vMerge w:val="restart"/>
            <w:noWrap w:val="0"/>
            <w:vAlign w:val="center"/>
          </w:tcPr>
          <w:p w14:paraId="19F7841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244" w:type="dxa"/>
            <w:gridSpan w:val="5"/>
            <w:noWrap w:val="0"/>
            <w:vAlign w:val="center"/>
          </w:tcPr>
          <w:p w14:paraId="632E72B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742" w:type="dxa"/>
            <w:noWrap w:val="0"/>
            <w:vAlign w:val="center"/>
          </w:tcPr>
          <w:p w14:paraId="3634707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0063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63" w:type="dxa"/>
            <w:vMerge w:val="continue"/>
            <w:noWrap w:val="0"/>
            <w:vAlign w:val="center"/>
          </w:tcPr>
          <w:p w14:paraId="63660ED0">
            <w:pPr>
              <w:spacing w:line="440" w:lineRule="exact"/>
              <w:jc w:val="center"/>
              <w:rPr>
                <w:rFonts w:hint="eastAsia" w:ascii="仿宋" w:hAnsi="仿宋" w:eastAsia="仿宋" w:cs="仿宋"/>
                <w:sz w:val="24"/>
                <w:szCs w:val="24"/>
              </w:rPr>
            </w:pPr>
          </w:p>
        </w:tc>
        <w:tc>
          <w:tcPr>
            <w:tcW w:w="758" w:type="dxa"/>
            <w:vMerge w:val="continue"/>
            <w:noWrap w:val="0"/>
            <w:vAlign w:val="center"/>
          </w:tcPr>
          <w:p w14:paraId="43C11D7B">
            <w:pPr>
              <w:spacing w:line="440" w:lineRule="exact"/>
              <w:jc w:val="center"/>
              <w:rPr>
                <w:rFonts w:hint="eastAsia" w:ascii="仿宋" w:hAnsi="仿宋" w:eastAsia="仿宋" w:cs="仿宋"/>
                <w:sz w:val="24"/>
                <w:szCs w:val="24"/>
              </w:rPr>
            </w:pPr>
          </w:p>
        </w:tc>
        <w:tc>
          <w:tcPr>
            <w:tcW w:w="929" w:type="dxa"/>
            <w:vMerge w:val="continue"/>
            <w:noWrap w:val="0"/>
            <w:vAlign w:val="center"/>
          </w:tcPr>
          <w:p w14:paraId="621017EE">
            <w:pPr>
              <w:spacing w:line="440" w:lineRule="exact"/>
              <w:jc w:val="center"/>
              <w:rPr>
                <w:rFonts w:hint="eastAsia" w:ascii="仿宋" w:hAnsi="仿宋" w:eastAsia="仿宋" w:cs="仿宋"/>
                <w:sz w:val="24"/>
                <w:szCs w:val="24"/>
              </w:rPr>
            </w:pPr>
          </w:p>
        </w:tc>
        <w:tc>
          <w:tcPr>
            <w:tcW w:w="1373" w:type="dxa"/>
            <w:noWrap w:val="0"/>
            <w:vAlign w:val="center"/>
          </w:tcPr>
          <w:p w14:paraId="61939283">
            <w:pPr>
              <w:spacing w:line="440" w:lineRule="exact"/>
              <w:jc w:val="both"/>
              <w:rPr>
                <w:rFonts w:hint="eastAsia" w:ascii="仿宋" w:hAnsi="仿宋" w:eastAsia="仿宋" w:cs="仿宋"/>
                <w:sz w:val="24"/>
                <w:szCs w:val="24"/>
              </w:rPr>
            </w:pPr>
            <w:r>
              <w:rPr>
                <w:rFonts w:hint="eastAsia" w:ascii="仿宋" w:hAnsi="仿宋" w:eastAsia="仿宋" w:cs="仿宋"/>
                <w:sz w:val="24"/>
                <w:szCs w:val="24"/>
              </w:rPr>
              <w:t>证书名称</w:t>
            </w:r>
          </w:p>
        </w:tc>
        <w:tc>
          <w:tcPr>
            <w:tcW w:w="840" w:type="dxa"/>
            <w:noWrap w:val="0"/>
            <w:vAlign w:val="center"/>
          </w:tcPr>
          <w:p w14:paraId="76A4FE7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855" w:type="dxa"/>
            <w:noWrap w:val="0"/>
            <w:vAlign w:val="center"/>
          </w:tcPr>
          <w:p w14:paraId="1B2BD8A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95" w:type="dxa"/>
            <w:noWrap w:val="0"/>
            <w:vAlign w:val="center"/>
          </w:tcPr>
          <w:p w14:paraId="3FF5B65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1381" w:type="dxa"/>
            <w:noWrap w:val="0"/>
            <w:vAlign w:val="center"/>
          </w:tcPr>
          <w:p w14:paraId="7CB93793">
            <w:pPr>
              <w:spacing w:line="440" w:lineRule="exact"/>
              <w:ind w:right="109" w:rightChars="52"/>
              <w:jc w:val="center"/>
              <w:rPr>
                <w:rFonts w:hint="eastAsia" w:ascii="仿宋" w:hAnsi="仿宋" w:eastAsia="仿宋" w:cs="仿宋"/>
                <w:sz w:val="24"/>
                <w:szCs w:val="24"/>
              </w:rPr>
            </w:pPr>
            <w:r>
              <w:rPr>
                <w:rFonts w:hint="eastAsia" w:ascii="仿宋" w:hAnsi="仿宋" w:eastAsia="仿宋" w:cs="仿宋"/>
                <w:sz w:val="24"/>
                <w:szCs w:val="24"/>
              </w:rPr>
              <w:t>养老保险</w:t>
            </w:r>
          </w:p>
        </w:tc>
        <w:tc>
          <w:tcPr>
            <w:tcW w:w="742" w:type="dxa"/>
            <w:noWrap w:val="0"/>
            <w:vAlign w:val="center"/>
          </w:tcPr>
          <w:p w14:paraId="6D1A5237">
            <w:pPr>
              <w:spacing w:line="440" w:lineRule="exact"/>
              <w:jc w:val="center"/>
              <w:rPr>
                <w:rFonts w:hint="eastAsia" w:ascii="仿宋" w:hAnsi="仿宋" w:eastAsia="仿宋" w:cs="仿宋"/>
                <w:sz w:val="24"/>
                <w:szCs w:val="24"/>
              </w:rPr>
            </w:pPr>
          </w:p>
        </w:tc>
      </w:tr>
      <w:tr w14:paraId="7003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63" w:type="dxa"/>
            <w:noWrap w:val="0"/>
            <w:vAlign w:val="center"/>
          </w:tcPr>
          <w:p w14:paraId="5FDF64A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758" w:type="dxa"/>
            <w:noWrap w:val="0"/>
            <w:vAlign w:val="center"/>
          </w:tcPr>
          <w:p w14:paraId="6675B655">
            <w:pPr>
              <w:spacing w:line="440" w:lineRule="exact"/>
              <w:jc w:val="center"/>
              <w:rPr>
                <w:rFonts w:hint="eastAsia" w:ascii="仿宋" w:hAnsi="仿宋" w:eastAsia="仿宋" w:cs="仿宋"/>
                <w:sz w:val="24"/>
                <w:szCs w:val="24"/>
              </w:rPr>
            </w:pPr>
          </w:p>
        </w:tc>
        <w:tc>
          <w:tcPr>
            <w:tcW w:w="929" w:type="dxa"/>
            <w:noWrap w:val="0"/>
            <w:vAlign w:val="center"/>
          </w:tcPr>
          <w:p w14:paraId="7A98A489">
            <w:pPr>
              <w:spacing w:line="440" w:lineRule="exact"/>
              <w:jc w:val="center"/>
              <w:rPr>
                <w:rFonts w:hint="eastAsia" w:ascii="仿宋" w:hAnsi="仿宋" w:eastAsia="仿宋" w:cs="仿宋"/>
                <w:sz w:val="24"/>
                <w:szCs w:val="24"/>
              </w:rPr>
            </w:pPr>
          </w:p>
        </w:tc>
        <w:tc>
          <w:tcPr>
            <w:tcW w:w="1373" w:type="dxa"/>
            <w:noWrap w:val="0"/>
            <w:vAlign w:val="center"/>
          </w:tcPr>
          <w:p w14:paraId="7E3E913E">
            <w:pPr>
              <w:spacing w:line="440" w:lineRule="exact"/>
              <w:jc w:val="center"/>
              <w:rPr>
                <w:rFonts w:hint="eastAsia" w:ascii="仿宋" w:hAnsi="仿宋" w:eastAsia="仿宋" w:cs="仿宋"/>
                <w:sz w:val="24"/>
                <w:szCs w:val="24"/>
              </w:rPr>
            </w:pPr>
          </w:p>
        </w:tc>
        <w:tc>
          <w:tcPr>
            <w:tcW w:w="840" w:type="dxa"/>
            <w:noWrap w:val="0"/>
            <w:vAlign w:val="center"/>
          </w:tcPr>
          <w:p w14:paraId="7C0EB5F8">
            <w:pPr>
              <w:spacing w:line="440" w:lineRule="exact"/>
              <w:jc w:val="center"/>
              <w:rPr>
                <w:rFonts w:hint="eastAsia" w:ascii="仿宋" w:hAnsi="仿宋" w:eastAsia="仿宋" w:cs="仿宋"/>
                <w:sz w:val="24"/>
                <w:szCs w:val="24"/>
              </w:rPr>
            </w:pPr>
          </w:p>
        </w:tc>
        <w:tc>
          <w:tcPr>
            <w:tcW w:w="855" w:type="dxa"/>
            <w:noWrap w:val="0"/>
            <w:vAlign w:val="center"/>
          </w:tcPr>
          <w:p w14:paraId="1AB7771C">
            <w:pPr>
              <w:spacing w:line="440" w:lineRule="exact"/>
              <w:jc w:val="center"/>
              <w:rPr>
                <w:rFonts w:hint="eastAsia" w:ascii="仿宋" w:hAnsi="仿宋" w:eastAsia="仿宋" w:cs="仿宋"/>
                <w:sz w:val="24"/>
                <w:szCs w:val="24"/>
              </w:rPr>
            </w:pPr>
          </w:p>
        </w:tc>
        <w:tc>
          <w:tcPr>
            <w:tcW w:w="795" w:type="dxa"/>
            <w:noWrap w:val="0"/>
            <w:vAlign w:val="center"/>
          </w:tcPr>
          <w:p w14:paraId="0B9729A1">
            <w:pPr>
              <w:spacing w:line="440" w:lineRule="exact"/>
              <w:jc w:val="center"/>
              <w:rPr>
                <w:rFonts w:hint="eastAsia" w:ascii="仿宋" w:hAnsi="仿宋" w:eastAsia="仿宋" w:cs="仿宋"/>
                <w:sz w:val="24"/>
                <w:szCs w:val="24"/>
              </w:rPr>
            </w:pPr>
          </w:p>
        </w:tc>
        <w:tc>
          <w:tcPr>
            <w:tcW w:w="1381" w:type="dxa"/>
            <w:noWrap w:val="0"/>
            <w:vAlign w:val="center"/>
          </w:tcPr>
          <w:p w14:paraId="5CE37032">
            <w:pPr>
              <w:spacing w:line="440" w:lineRule="exact"/>
              <w:jc w:val="center"/>
              <w:rPr>
                <w:rFonts w:hint="eastAsia" w:ascii="仿宋" w:hAnsi="仿宋" w:eastAsia="仿宋" w:cs="仿宋"/>
                <w:sz w:val="24"/>
                <w:szCs w:val="24"/>
              </w:rPr>
            </w:pPr>
          </w:p>
        </w:tc>
        <w:tc>
          <w:tcPr>
            <w:tcW w:w="742" w:type="dxa"/>
            <w:noWrap w:val="0"/>
            <w:vAlign w:val="center"/>
          </w:tcPr>
          <w:p w14:paraId="09978B06">
            <w:pPr>
              <w:spacing w:line="440" w:lineRule="exact"/>
              <w:jc w:val="center"/>
              <w:rPr>
                <w:rFonts w:hint="eastAsia" w:ascii="仿宋" w:hAnsi="仿宋" w:eastAsia="仿宋" w:cs="仿宋"/>
                <w:sz w:val="24"/>
                <w:szCs w:val="24"/>
              </w:rPr>
            </w:pPr>
          </w:p>
        </w:tc>
      </w:tr>
      <w:tr w14:paraId="09BF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noWrap w:val="0"/>
            <w:vAlign w:val="center"/>
          </w:tcPr>
          <w:p w14:paraId="74768DAC">
            <w:pPr>
              <w:jc w:val="center"/>
              <w:rPr>
                <w:rFonts w:hint="eastAsia" w:ascii="仿宋" w:hAnsi="仿宋" w:eastAsia="仿宋" w:cs="仿宋"/>
                <w:bCs/>
                <w:sz w:val="24"/>
                <w:szCs w:val="24"/>
              </w:rPr>
            </w:pPr>
            <w:r>
              <w:rPr>
                <w:rFonts w:hint="eastAsia" w:ascii="仿宋" w:hAnsi="仿宋" w:eastAsia="仿宋" w:cs="仿宋"/>
                <w:bCs/>
                <w:sz w:val="24"/>
                <w:szCs w:val="24"/>
              </w:rPr>
              <w:t>项目技术负责人</w:t>
            </w:r>
            <w:r>
              <w:rPr>
                <w:rFonts w:hint="eastAsia" w:ascii="仿宋" w:hAnsi="仿宋" w:eastAsia="仿宋" w:cs="仿宋"/>
                <w:sz w:val="24"/>
                <w:szCs w:val="24"/>
              </w:rPr>
              <w:t>（1人）</w:t>
            </w:r>
          </w:p>
        </w:tc>
        <w:tc>
          <w:tcPr>
            <w:tcW w:w="758" w:type="dxa"/>
            <w:noWrap w:val="0"/>
            <w:vAlign w:val="center"/>
          </w:tcPr>
          <w:p w14:paraId="633D0EF1">
            <w:pPr>
              <w:spacing w:line="440" w:lineRule="exact"/>
              <w:jc w:val="center"/>
              <w:rPr>
                <w:rFonts w:hint="eastAsia" w:ascii="仿宋" w:hAnsi="仿宋" w:eastAsia="仿宋" w:cs="仿宋"/>
                <w:sz w:val="24"/>
                <w:szCs w:val="24"/>
              </w:rPr>
            </w:pPr>
          </w:p>
        </w:tc>
        <w:tc>
          <w:tcPr>
            <w:tcW w:w="929" w:type="dxa"/>
            <w:noWrap w:val="0"/>
            <w:vAlign w:val="center"/>
          </w:tcPr>
          <w:p w14:paraId="2CB1BA71">
            <w:pPr>
              <w:spacing w:line="440" w:lineRule="exact"/>
              <w:jc w:val="center"/>
              <w:rPr>
                <w:rFonts w:hint="eastAsia" w:ascii="仿宋" w:hAnsi="仿宋" w:eastAsia="仿宋" w:cs="仿宋"/>
                <w:sz w:val="24"/>
                <w:szCs w:val="24"/>
              </w:rPr>
            </w:pPr>
          </w:p>
        </w:tc>
        <w:tc>
          <w:tcPr>
            <w:tcW w:w="1373" w:type="dxa"/>
            <w:noWrap w:val="0"/>
            <w:vAlign w:val="center"/>
          </w:tcPr>
          <w:p w14:paraId="09F97ADC">
            <w:pPr>
              <w:spacing w:line="440" w:lineRule="exact"/>
              <w:jc w:val="center"/>
              <w:rPr>
                <w:rFonts w:hint="eastAsia" w:ascii="仿宋" w:hAnsi="仿宋" w:eastAsia="仿宋" w:cs="仿宋"/>
                <w:sz w:val="24"/>
                <w:szCs w:val="24"/>
              </w:rPr>
            </w:pPr>
          </w:p>
        </w:tc>
        <w:tc>
          <w:tcPr>
            <w:tcW w:w="840" w:type="dxa"/>
            <w:noWrap w:val="0"/>
            <w:vAlign w:val="center"/>
          </w:tcPr>
          <w:p w14:paraId="27A4068D">
            <w:pPr>
              <w:spacing w:line="440" w:lineRule="exact"/>
              <w:jc w:val="center"/>
              <w:rPr>
                <w:rFonts w:hint="eastAsia" w:ascii="仿宋" w:hAnsi="仿宋" w:eastAsia="仿宋" w:cs="仿宋"/>
                <w:sz w:val="24"/>
                <w:szCs w:val="24"/>
              </w:rPr>
            </w:pPr>
          </w:p>
        </w:tc>
        <w:tc>
          <w:tcPr>
            <w:tcW w:w="855" w:type="dxa"/>
            <w:noWrap w:val="0"/>
            <w:vAlign w:val="center"/>
          </w:tcPr>
          <w:p w14:paraId="0CB56B2B">
            <w:pPr>
              <w:spacing w:line="440" w:lineRule="exact"/>
              <w:jc w:val="center"/>
              <w:rPr>
                <w:rFonts w:hint="eastAsia" w:ascii="仿宋" w:hAnsi="仿宋" w:eastAsia="仿宋" w:cs="仿宋"/>
                <w:sz w:val="24"/>
                <w:szCs w:val="24"/>
              </w:rPr>
            </w:pPr>
          </w:p>
        </w:tc>
        <w:tc>
          <w:tcPr>
            <w:tcW w:w="795" w:type="dxa"/>
            <w:noWrap w:val="0"/>
            <w:vAlign w:val="center"/>
          </w:tcPr>
          <w:p w14:paraId="5B2284E8">
            <w:pPr>
              <w:spacing w:line="440" w:lineRule="exact"/>
              <w:jc w:val="center"/>
              <w:rPr>
                <w:rFonts w:hint="eastAsia" w:ascii="仿宋" w:hAnsi="仿宋" w:eastAsia="仿宋" w:cs="仿宋"/>
                <w:sz w:val="24"/>
                <w:szCs w:val="24"/>
              </w:rPr>
            </w:pPr>
          </w:p>
        </w:tc>
        <w:tc>
          <w:tcPr>
            <w:tcW w:w="1381" w:type="dxa"/>
            <w:noWrap w:val="0"/>
            <w:vAlign w:val="center"/>
          </w:tcPr>
          <w:p w14:paraId="3EF99411">
            <w:pPr>
              <w:spacing w:line="440" w:lineRule="exact"/>
              <w:jc w:val="center"/>
              <w:rPr>
                <w:rFonts w:hint="eastAsia" w:ascii="仿宋" w:hAnsi="仿宋" w:eastAsia="仿宋" w:cs="仿宋"/>
                <w:sz w:val="24"/>
                <w:szCs w:val="24"/>
              </w:rPr>
            </w:pPr>
          </w:p>
        </w:tc>
        <w:tc>
          <w:tcPr>
            <w:tcW w:w="742" w:type="dxa"/>
            <w:noWrap w:val="0"/>
            <w:vAlign w:val="center"/>
          </w:tcPr>
          <w:p w14:paraId="1FC85CDE">
            <w:pPr>
              <w:spacing w:line="440" w:lineRule="exact"/>
              <w:jc w:val="center"/>
              <w:rPr>
                <w:rFonts w:hint="eastAsia" w:ascii="仿宋" w:hAnsi="仿宋" w:eastAsia="仿宋" w:cs="仿宋"/>
                <w:sz w:val="24"/>
                <w:szCs w:val="24"/>
              </w:rPr>
            </w:pPr>
          </w:p>
        </w:tc>
      </w:tr>
      <w:tr w14:paraId="2E4F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3" w:type="dxa"/>
            <w:noWrap w:val="0"/>
            <w:vAlign w:val="center"/>
          </w:tcPr>
          <w:p w14:paraId="0F50E6C7">
            <w:pPr>
              <w:jc w:val="center"/>
              <w:rPr>
                <w:rFonts w:hint="eastAsia" w:ascii="仿宋" w:hAnsi="仿宋" w:eastAsia="仿宋" w:cs="仿宋"/>
                <w:bCs/>
                <w:sz w:val="24"/>
                <w:szCs w:val="24"/>
              </w:rPr>
            </w:pPr>
            <w:r>
              <w:rPr>
                <w:rFonts w:hint="eastAsia" w:ascii="仿宋" w:hAnsi="仿宋" w:eastAsia="仿宋" w:cs="仿宋"/>
                <w:bCs/>
                <w:sz w:val="24"/>
                <w:szCs w:val="24"/>
              </w:rPr>
              <w:t>施工员</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人）</w:t>
            </w:r>
          </w:p>
        </w:tc>
        <w:tc>
          <w:tcPr>
            <w:tcW w:w="758" w:type="dxa"/>
            <w:noWrap w:val="0"/>
            <w:vAlign w:val="top"/>
          </w:tcPr>
          <w:p w14:paraId="6A2E0D17">
            <w:pPr>
              <w:spacing w:line="440" w:lineRule="exact"/>
              <w:jc w:val="center"/>
              <w:rPr>
                <w:rFonts w:hint="eastAsia" w:ascii="仿宋" w:hAnsi="仿宋" w:eastAsia="仿宋" w:cs="仿宋"/>
                <w:sz w:val="24"/>
                <w:szCs w:val="24"/>
              </w:rPr>
            </w:pPr>
          </w:p>
        </w:tc>
        <w:tc>
          <w:tcPr>
            <w:tcW w:w="929" w:type="dxa"/>
            <w:noWrap w:val="0"/>
            <w:vAlign w:val="top"/>
          </w:tcPr>
          <w:p w14:paraId="3A4AC78F">
            <w:pPr>
              <w:spacing w:line="440" w:lineRule="exact"/>
              <w:jc w:val="center"/>
              <w:rPr>
                <w:rFonts w:hint="eastAsia" w:ascii="仿宋" w:hAnsi="仿宋" w:eastAsia="仿宋" w:cs="仿宋"/>
                <w:sz w:val="24"/>
                <w:szCs w:val="24"/>
              </w:rPr>
            </w:pPr>
          </w:p>
        </w:tc>
        <w:tc>
          <w:tcPr>
            <w:tcW w:w="1373" w:type="dxa"/>
            <w:noWrap w:val="0"/>
            <w:vAlign w:val="top"/>
          </w:tcPr>
          <w:p w14:paraId="4EF5E493">
            <w:pPr>
              <w:spacing w:line="440" w:lineRule="exact"/>
              <w:jc w:val="center"/>
              <w:rPr>
                <w:rFonts w:hint="eastAsia" w:ascii="仿宋" w:hAnsi="仿宋" w:eastAsia="仿宋" w:cs="仿宋"/>
                <w:sz w:val="24"/>
                <w:szCs w:val="24"/>
              </w:rPr>
            </w:pPr>
          </w:p>
        </w:tc>
        <w:tc>
          <w:tcPr>
            <w:tcW w:w="840" w:type="dxa"/>
            <w:noWrap w:val="0"/>
            <w:vAlign w:val="top"/>
          </w:tcPr>
          <w:p w14:paraId="24011F4D">
            <w:pPr>
              <w:spacing w:line="440" w:lineRule="exact"/>
              <w:jc w:val="center"/>
              <w:rPr>
                <w:rFonts w:hint="eastAsia" w:ascii="仿宋" w:hAnsi="仿宋" w:eastAsia="仿宋" w:cs="仿宋"/>
                <w:sz w:val="24"/>
                <w:szCs w:val="24"/>
              </w:rPr>
            </w:pPr>
          </w:p>
        </w:tc>
        <w:tc>
          <w:tcPr>
            <w:tcW w:w="855" w:type="dxa"/>
            <w:noWrap w:val="0"/>
            <w:vAlign w:val="top"/>
          </w:tcPr>
          <w:p w14:paraId="339DDCA7">
            <w:pPr>
              <w:spacing w:line="440" w:lineRule="exact"/>
              <w:jc w:val="center"/>
              <w:rPr>
                <w:rFonts w:hint="eastAsia" w:ascii="仿宋" w:hAnsi="仿宋" w:eastAsia="仿宋" w:cs="仿宋"/>
                <w:sz w:val="24"/>
                <w:szCs w:val="24"/>
              </w:rPr>
            </w:pPr>
          </w:p>
        </w:tc>
        <w:tc>
          <w:tcPr>
            <w:tcW w:w="795" w:type="dxa"/>
            <w:noWrap w:val="0"/>
            <w:vAlign w:val="top"/>
          </w:tcPr>
          <w:p w14:paraId="41B6E399">
            <w:pPr>
              <w:spacing w:line="440" w:lineRule="exact"/>
              <w:jc w:val="center"/>
              <w:rPr>
                <w:rFonts w:hint="eastAsia" w:ascii="仿宋" w:hAnsi="仿宋" w:eastAsia="仿宋" w:cs="仿宋"/>
                <w:sz w:val="24"/>
                <w:szCs w:val="24"/>
              </w:rPr>
            </w:pPr>
          </w:p>
        </w:tc>
        <w:tc>
          <w:tcPr>
            <w:tcW w:w="1381" w:type="dxa"/>
            <w:noWrap w:val="0"/>
            <w:vAlign w:val="top"/>
          </w:tcPr>
          <w:p w14:paraId="40BA4E50">
            <w:pPr>
              <w:spacing w:line="440" w:lineRule="exact"/>
              <w:jc w:val="center"/>
              <w:rPr>
                <w:rFonts w:hint="eastAsia" w:ascii="仿宋" w:hAnsi="仿宋" w:eastAsia="仿宋" w:cs="仿宋"/>
                <w:sz w:val="24"/>
                <w:szCs w:val="24"/>
              </w:rPr>
            </w:pPr>
          </w:p>
        </w:tc>
        <w:tc>
          <w:tcPr>
            <w:tcW w:w="742" w:type="dxa"/>
            <w:noWrap w:val="0"/>
            <w:vAlign w:val="top"/>
          </w:tcPr>
          <w:p w14:paraId="3865A9D9">
            <w:pPr>
              <w:spacing w:line="440" w:lineRule="exact"/>
              <w:jc w:val="center"/>
              <w:rPr>
                <w:rFonts w:hint="eastAsia" w:ascii="仿宋" w:hAnsi="仿宋" w:eastAsia="仿宋" w:cs="仿宋"/>
                <w:sz w:val="24"/>
                <w:szCs w:val="24"/>
              </w:rPr>
            </w:pPr>
          </w:p>
        </w:tc>
      </w:tr>
      <w:tr w14:paraId="0AC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63" w:type="dxa"/>
            <w:noWrap w:val="0"/>
            <w:vAlign w:val="center"/>
          </w:tcPr>
          <w:p w14:paraId="0E2615EA">
            <w:pPr>
              <w:jc w:val="center"/>
              <w:rPr>
                <w:rFonts w:hint="eastAsia" w:ascii="仿宋" w:hAnsi="仿宋" w:eastAsia="仿宋" w:cs="仿宋"/>
                <w:bCs/>
                <w:sz w:val="24"/>
                <w:szCs w:val="24"/>
              </w:rPr>
            </w:pPr>
            <w:r>
              <w:rPr>
                <w:rFonts w:hint="eastAsia" w:ascii="仿宋" w:hAnsi="仿宋" w:eastAsia="仿宋" w:cs="仿宋"/>
                <w:bCs/>
                <w:sz w:val="24"/>
                <w:szCs w:val="24"/>
              </w:rPr>
              <w:t>质检员</w:t>
            </w:r>
            <w:r>
              <w:rPr>
                <w:rFonts w:hint="eastAsia" w:ascii="仿宋" w:hAnsi="仿宋" w:eastAsia="仿宋" w:cs="仿宋"/>
                <w:sz w:val="24"/>
                <w:szCs w:val="24"/>
              </w:rPr>
              <w:t>（1人）</w:t>
            </w:r>
          </w:p>
        </w:tc>
        <w:tc>
          <w:tcPr>
            <w:tcW w:w="758" w:type="dxa"/>
            <w:noWrap w:val="0"/>
            <w:vAlign w:val="top"/>
          </w:tcPr>
          <w:p w14:paraId="41766D61">
            <w:pPr>
              <w:spacing w:line="440" w:lineRule="exact"/>
              <w:jc w:val="center"/>
              <w:rPr>
                <w:rFonts w:hint="eastAsia" w:ascii="仿宋" w:hAnsi="仿宋" w:eastAsia="仿宋" w:cs="仿宋"/>
                <w:sz w:val="24"/>
                <w:szCs w:val="24"/>
              </w:rPr>
            </w:pPr>
          </w:p>
        </w:tc>
        <w:tc>
          <w:tcPr>
            <w:tcW w:w="929" w:type="dxa"/>
            <w:noWrap w:val="0"/>
            <w:vAlign w:val="top"/>
          </w:tcPr>
          <w:p w14:paraId="7CF6C091">
            <w:pPr>
              <w:spacing w:line="440" w:lineRule="exact"/>
              <w:jc w:val="center"/>
              <w:rPr>
                <w:rFonts w:hint="eastAsia" w:ascii="仿宋" w:hAnsi="仿宋" w:eastAsia="仿宋" w:cs="仿宋"/>
                <w:sz w:val="24"/>
                <w:szCs w:val="24"/>
              </w:rPr>
            </w:pPr>
          </w:p>
        </w:tc>
        <w:tc>
          <w:tcPr>
            <w:tcW w:w="1373" w:type="dxa"/>
            <w:noWrap w:val="0"/>
            <w:vAlign w:val="top"/>
          </w:tcPr>
          <w:p w14:paraId="46EB6180">
            <w:pPr>
              <w:spacing w:line="440" w:lineRule="exact"/>
              <w:jc w:val="center"/>
              <w:rPr>
                <w:rFonts w:hint="eastAsia" w:ascii="仿宋" w:hAnsi="仿宋" w:eastAsia="仿宋" w:cs="仿宋"/>
                <w:sz w:val="24"/>
                <w:szCs w:val="24"/>
              </w:rPr>
            </w:pPr>
          </w:p>
        </w:tc>
        <w:tc>
          <w:tcPr>
            <w:tcW w:w="840" w:type="dxa"/>
            <w:noWrap w:val="0"/>
            <w:vAlign w:val="top"/>
          </w:tcPr>
          <w:p w14:paraId="50F37D97">
            <w:pPr>
              <w:spacing w:line="440" w:lineRule="exact"/>
              <w:jc w:val="center"/>
              <w:rPr>
                <w:rFonts w:hint="eastAsia" w:ascii="仿宋" w:hAnsi="仿宋" w:eastAsia="仿宋" w:cs="仿宋"/>
                <w:sz w:val="24"/>
                <w:szCs w:val="24"/>
              </w:rPr>
            </w:pPr>
          </w:p>
        </w:tc>
        <w:tc>
          <w:tcPr>
            <w:tcW w:w="855" w:type="dxa"/>
            <w:noWrap w:val="0"/>
            <w:vAlign w:val="top"/>
          </w:tcPr>
          <w:p w14:paraId="487E9495">
            <w:pPr>
              <w:spacing w:line="440" w:lineRule="exact"/>
              <w:jc w:val="center"/>
              <w:rPr>
                <w:rFonts w:hint="eastAsia" w:ascii="仿宋" w:hAnsi="仿宋" w:eastAsia="仿宋" w:cs="仿宋"/>
                <w:sz w:val="24"/>
                <w:szCs w:val="24"/>
              </w:rPr>
            </w:pPr>
          </w:p>
        </w:tc>
        <w:tc>
          <w:tcPr>
            <w:tcW w:w="795" w:type="dxa"/>
            <w:noWrap w:val="0"/>
            <w:vAlign w:val="top"/>
          </w:tcPr>
          <w:p w14:paraId="279C1E08">
            <w:pPr>
              <w:spacing w:line="440" w:lineRule="exact"/>
              <w:jc w:val="center"/>
              <w:rPr>
                <w:rFonts w:hint="eastAsia" w:ascii="仿宋" w:hAnsi="仿宋" w:eastAsia="仿宋" w:cs="仿宋"/>
                <w:sz w:val="24"/>
                <w:szCs w:val="24"/>
              </w:rPr>
            </w:pPr>
          </w:p>
        </w:tc>
        <w:tc>
          <w:tcPr>
            <w:tcW w:w="1381" w:type="dxa"/>
            <w:noWrap w:val="0"/>
            <w:vAlign w:val="top"/>
          </w:tcPr>
          <w:p w14:paraId="11151D92">
            <w:pPr>
              <w:spacing w:line="440" w:lineRule="exact"/>
              <w:jc w:val="center"/>
              <w:rPr>
                <w:rFonts w:hint="eastAsia" w:ascii="仿宋" w:hAnsi="仿宋" w:eastAsia="仿宋" w:cs="仿宋"/>
                <w:sz w:val="24"/>
                <w:szCs w:val="24"/>
              </w:rPr>
            </w:pPr>
          </w:p>
        </w:tc>
        <w:tc>
          <w:tcPr>
            <w:tcW w:w="742" w:type="dxa"/>
            <w:noWrap w:val="0"/>
            <w:vAlign w:val="top"/>
          </w:tcPr>
          <w:p w14:paraId="77C348EB">
            <w:pPr>
              <w:spacing w:line="440" w:lineRule="exact"/>
              <w:jc w:val="center"/>
              <w:rPr>
                <w:rFonts w:hint="eastAsia" w:ascii="仿宋" w:hAnsi="仿宋" w:eastAsia="仿宋" w:cs="仿宋"/>
                <w:sz w:val="24"/>
                <w:szCs w:val="24"/>
              </w:rPr>
            </w:pPr>
          </w:p>
        </w:tc>
      </w:tr>
      <w:tr w14:paraId="7436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63" w:type="dxa"/>
            <w:noWrap w:val="0"/>
            <w:vAlign w:val="center"/>
          </w:tcPr>
          <w:p w14:paraId="7C508547">
            <w:pPr>
              <w:jc w:val="center"/>
              <w:rPr>
                <w:rFonts w:hint="eastAsia" w:ascii="仿宋" w:hAnsi="仿宋" w:eastAsia="仿宋" w:cs="仿宋"/>
                <w:bCs/>
                <w:sz w:val="24"/>
                <w:szCs w:val="24"/>
              </w:rPr>
            </w:pPr>
            <w:r>
              <w:rPr>
                <w:rFonts w:hint="eastAsia" w:ascii="仿宋" w:hAnsi="仿宋" w:eastAsia="仿宋" w:cs="仿宋"/>
                <w:bCs/>
                <w:sz w:val="24"/>
                <w:szCs w:val="24"/>
              </w:rPr>
              <w:t>安全员</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人）</w:t>
            </w:r>
          </w:p>
        </w:tc>
        <w:tc>
          <w:tcPr>
            <w:tcW w:w="758" w:type="dxa"/>
            <w:noWrap w:val="0"/>
            <w:vAlign w:val="top"/>
          </w:tcPr>
          <w:p w14:paraId="2E2DF3BB">
            <w:pPr>
              <w:spacing w:line="440" w:lineRule="exact"/>
              <w:jc w:val="center"/>
              <w:rPr>
                <w:rFonts w:hint="eastAsia" w:ascii="仿宋" w:hAnsi="仿宋" w:eastAsia="仿宋" w:cs="仿宋"/>
                <w:sz w:val="24"/>
                <w:szCs w:val="24"/>
              </w:rPr>
            </w:pPr>
          </w:p>
        </w:tc>
        <w:tc>
          <w:tcPr>
            <w:tcW w:w="929" w:type="dxa"/>
            <w:noWrap w:val="0"/>
            <w:vAlign w:val="top"/>
          </w:tcPr>
          <w:p w14:paraId="2DE54874">
            <w:pPr>
              <w:spacing w:line="440" w:lineRule="exact"/>
              <w:jc w:val="center"/>
              <w:rPr>
                <w:rFonts w:hint="eastAsia" w:ascii="仿宋" w:hAnsi="仿宋" w:eastAsia="仿宋" w:cs="仿宋"/>
                <w:sz w:val="24"/>
                <w:szCs w:val="24"/>
              </w:rPr>
            </w:pPr>
          </w:p>
        </w:tc>
        <w:tc>
          <w:tcPr>
            <w:tcW w:w="1373" w:type="dxa"/>
            <w:noWrap w:val="0"/>
            <w:vAlign w:val="top"/>
          </w:tcPr>
          <w:p w14:paraId="4A9152BE">
            <w:pPr>
              <w:spacing w:line="440" w:lineRule="exact"/>
              <w:jc w:val="center"/>
              <w:rPr>
                <w:rFonts w:hint="eastAsia" w:ascii="仿宋" w:hAnsi="仿宋" w:eastAsia="仿宋" w:cs="仿宋"/>
                <w:sz w:val="24"/>
                <w:szCs w:val="24"/>
              </w:rPr>
            </w:pPr>
          </w:p>
        </w:tc>
        <w:tc>
          <w:tcPr>
            <w:tcW w:w="840" w:type="dxa"/>
            <w:noWrap w:val="0"/>
            <w:vAlign w:val="top"/>
          </w:tcPr>
          <w:p w14:paraId="6F2F4C08">
            <w:pPr>
              <w:spacing w:line="440" w:lineRule="exact"/>
              <w:jc w:val="center"/>
              <w:rPr>
                <w:rFonts w:hint="eastAsia" w:ascii="仿宋" w:hAnsi="仿宋" w:eastAsia="仿宋" w:cs="仿宋"/>
                <w:sz w:val="24"/>
                <w:szCs w:val="24"/>
              </w:rPr>
            </w:pPr>
          </w:p>
        </w:tc>
        <w:tc>
          <w:tcPr>
            <w:tcW w:w="855" w:type="dxa"/>
            <w:noWrap w:val="0"/>
            <w:vAlign w:val="top"/>
          </w:tcPr>
          <w:p w14:paraId="7C38B17C">
            <w:pPr>
              <w:spacing w:line="440" w:lineRule="exact"/>
              <w:jc w:val="center"/>
              <w:rPr>
                <w:rFonts w:hint="eastAsia" w:ascii="仿宋" w:hAnsi="仿宋" w:eastAsia="仿宋" w:cs="仿宋"/>
                <w:sz w:val="24"/>
                <w:szCs w:val="24"/>
              </w:rPr>
            </w:pPr>
          </w:p>
        </w:tc>
        <w:tc>
          <w:tcPr>
            <w:tcW w:w="795" w:type="dxa"/>
            <w:noWrap w:val="0"/>
            <w:vAlign w:val="top"/>
          </w:tcPr>
          <w:p w14:paraId="6A9FA109">
            <w:pPr>
              <w:spacing w:line="440" w:lineRule="exact"/>
              <w:jc w:val="center"/>
              <w:rPr>
                <w:rFonts w:hint="eastAsia" w:ascii="仿宋" w:hAnsi="仿宋" w:eastAsia="仿宋" w:cs="仿宋"/>
                <w:sz w:val="24"/>
                <w:szCs w:val="24"/>
              </w:rPr>
            </w:pPr>
          </w:p>
        </w:tc>
        <w:tc>
          <w:tcPr>
            <w:tcW w:w="1381" w:type="dxa"/>
            <w:noWrap w:val="0"/>
            <w:vAlign w:val="top"/>
          </w:tcPr>
          <w:p w14:paraId="48AFB77E">
            <w:pPr>
              <w:spacing w:line="440" w:lineRule="exact"/>
              <w:jc w:val="center"/>
              <w:rPr>
                <w:rFonts w:hint="eastAsia" w:ascii="仿宋" w:hAnsi="仿宋" w:eastAsia="仿宋" w:cs="仿宋"/>
                <w:sz w:val="24"/>
                <w:szCs w:val="24"/>
              </w:rPr>
            </w:pPr>
          </w:p>
        </w:tc>
        <w:tc>
          <w:tcPr>
            <w:tcW w:w="742" w:type="dxa"/>
            <w:noWrap w:val="0"/>
            <w:vAlign w:val="top"/>
          </w:tcPr>
          <w:p w14:paraId="043F955D">
            <w:pPr>
              <w:spacing w:line="440" w:lineRule="exact"/>
              <w:jc w:val="center"/>
              <w:rPr>
                <w:rFonts w:hint="eastAsia" w:ascii="仿宋" w:hAnsi="仿宋" w:eastAsia="仿宋" w:cs="仿宋"/>
                <w:sz w:val="24"/>
                <w:szCs w:val="24"/>
              </w:rPr>
            </w:pPr>
          </w:p>
        </w:tc>
      </w:tr>
      <w:tr w14:paraId="1558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63" w:type="dxa"/>
            <w:noWrap w:val="0"/>
            <w:vAlign w:val="center"/>
          </w:tcPr>
          <w:p w14:paraId="744E7E4E">
            <w:pPr>
              <w:jc w:val="center"/>
              <w:rPr>
                <w:rFonts w:hint="eastAsia" w:ascii="仿宋" w:hAnsi="仿宋" w:eastAsia="仿宋" w:cs="仿宋"/>
                <w:bCs/>
                <w:sz w:val="24"/>
                <w:szCs w:val="24"/>
              </w:rPr>
            </w:pPr>
            <w:r>
              <w:rPr>
                <w:rFonts w:hint="eastAsia" w:ascii="仿宋" w:hAnsi="仿宋" w:eastAsia="仿宋" w:cs="仿宋"/>
                <w:bCs/>
                <w:sz w:val="24"/>
                <w:szCs w:val="24"/>
              </w:rPr>
              <w:t>材料员</w:t>
            </w:r>
            <w:r>
              <w:rPr>
                <w:rFonts w:hint="eastAsia" w:ascii="仿宋" w:hAnsi="仿宋" w:eastAsia="仿宋" w:cs="仿宋"/>
                <w:sz w:val="24"/>
                <w:szCs w:val="24"/>
              </w:rPr>
              <w:t>（1人）</w:t>
            </w:r>
          </w:p>
        </w:tc>
        <w:tc>
          <w:tcPr>
            <w:tcW w:w="758" w:type="dxa"/>
            <w:noWrap w:val="0"/>
            <w:vAlign w:val="top"/>
          </w:tcPr>
          <w:p w14:paraId="1782DB26">
            <w:pPr>
              <w:spacing w:line="440" w:lineRule="exact"/>
              <w:jc w:val="center"/>
              <w:rPr>
                <w:rFonts w:hint="eastAsia" w:ascii="仿宋" w:hAnsi="仿宋" w:eastAsia="仿宋" w:cs="仿宋"/>
                <w:sz w:val="24"/>
                <w:szCs w:val="24"/>
              </w:rPr>
            </w:pPr>
          </w:p>
        </w:tc>
        <w:tc>
          <w:tcPr>
            <w:tcW w:w="929" w:type="dxa"/>
            <w:noWrap w:val="0"/>
            <w:vAlign w:val="top"/>
          </w:tcPr>
          <w:p w14:paraId="2EF710B1">
            <w:pPr>
              <w:spacing w:line="440" w:lineRule="exact"/>
              <w:jc w:val="center"/>
              <w:rPr>
                <w:rFonts w:hint="eastAsia" w:ascii="仿宋" w:hAnsi="仿宋" w:eastAsia="仿宋" w:cs="仿宋"/>
                <w:sz w:val="24"/>
                <w:szCs w:val="24"/>
              </w:rPr>
            </w:pPr>
          </w:p>
        </w:tc>
        <w:tc>
          <w:tcPr>
            <w:tcW w:w="1373" w:type="dxa"/>
            <w:noWrap w:val="0"/>
            <w:vAlign w:val="top"/>
          </w:tcPr>
          <w:p w14:paraId="2CEB0DF6">
            <w:pPr>
              <w:spacing w:line="440" w:lineRule="exact"/>
              <w:jc w:val="center"/>
              <w:rPr>
                <w:rFonts w:hint="eastAsia" w:ascii="仿宋" w:hAnsi="仿宋" w:eastAsia="仿宋" w:cs="仿宋"/>
                <w:sz w:val="24"/>
                <w:szCs w:val="24"/>
              </w:rPr>
            </w:pPr>
          </w:p>
        </w:tc>
        <w:tc>
          <w:tcPr>
            <w:tcW w:w="840" w:type="dxa"/>
            <w:noWrap w:val="0"/>
            <w:vAlign w:val="top"/>
          </w:tcPr>
          <w:p w14:paraId="0C9728B3">
            <w:pPr>
              <w:spacing w:line="440" w:lineRule="exact"/>
              <w:jc w:val="center"/>
              <w:rPr>
                <w:rFonts w:hint="eastAsia" w:ascii="仿宋" w:hAnsi="仿宋" w:eastAsia="仿宋" w:cs="仿宋"/>
                <w:sz w:val="24"/>
                <w:szCs w:val="24"/>
              </w:rPr>
            </w:pPr>
          </w:p>
        </w:tc>
        <w:tc>
          <w:tcPr>
            <w:tcW w:w="855" w:type="dxa"/>
            <w:noWrap w:val="0"/>
            <w:vAlign w:val="top"/>
          </w:tcPr>
          <w:p w14:paraId="4E679BC5">
            <w:pPr>
              <w:spacing w:line="440" w:lineRule="exact"/>
              <w:jc w:val="center"/>
              <w:rPr>
                <w:rFonts w:hint="eastAsia" w:ascii="仿宋" w:hAnsi="仿宋" w:eastAsia="仿宋" w:cs="仿宋"/>
                <w:sz w:val="24"/>
                <w:szCs w:val="24"/>
              </w:rPr>
            </w:pPr>
          </w:p>
        </w:tc>
        <w:tc>
          <w:tcPr>
            <w:tcW w:w="795" w:type="dxa"/>
            <w:noWrap w:val="0"/>
            <w:vAlign w:val="top"/>
          </w:tcPr>
          <w:p w14:paraId="10584DFF">
            <w:pPr>
              <w:spacing w:line="440" w:lineRule="exact"/>
              <w:jc w:val="center"/>
              <w:rPr>
                <w:rFonts w:hint="eastAsia" w:ascii="仿宋" w:hAnsi="仿宋" w:eastAsia="仿宋" w:cs="仿宋"/>
                <w:sz w:val="24"/>
                <w:szCs w:val="24"/>
              </w:rPr>
            </w:pPr>
          </w:p>
        </w:tc>
        <w:tc>
          <w:tcPr>
            <w:tcW w:w="1381" w:type="dxa"/>
            <w:noWrap w:val="0"/>
            <w:vAlign w:val="top"/>
          </w:tcPr>
          <w:p w14:paraId="24F9D34D">
            <w:pPr>
              <w:spacing w:line="440" w:lineRule="exact"/>
              <w:jc w:val="center"/>
              <w:rPr>
                <w:rFonts w:hint="eastAsia" w:ascii="仿宋" w:hAnsi="仿宋" w:eastAsia="仿宋" w:cs="仿宋"/>
                <w:sz w:val="24"/>
                <w:szCs w:val="24"/>
              </w:rPr>
            </w:pPr>
          </w:p>
        </w:tc>
        <w:tc>
          <w:tcPr>
            <w:tcW w:w="742" w:type="dxa"/>
            <w:noWrap w:val="0"/>
            <w:vAlign w:val="top"/>
          </w:tcPr>
          <w:p w14:paraId="278BC161">
            <w:pPr>
              <w:spacing w:line="440" w:lineRule="exact"/>
              <w:jc w:val="center"/>
              <w:rPr>
                <w:rFonts w:hint="eastAsia" w:ascii="仿宋" w:hAnsi="仿宋" w:eastAsia="仿宋" w:cs="仿宋"/>
                <w:sz w:val="24"/>
                <w:szCs w:val="24"/>
              </w:rPr>
            </w:pPr>
          </w:p>
        </w:tc>
      </w:tr>
      <w:tr w14:paraId="168B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3" w:type="dxa"/>
            <w:noWrap w:val="0"/>
            <w:vAlign w:val="center"/>
          </w:tcPr>
          <w:p w14:paraId="37983804">
            <w:pPr>
              <w:jc w:val="center"/>
              <w:rPr>
                <w:rFonts w:hint="eastAsia" w:ascii="仿宋" w:hAnsi="仿宋" w:eastAsia="仿宋" w:cs="仿宋"/>
                <w:bCs/>
                <w:sz w:val="24"/>
                <w:szCs w:val="24"/>
              </w:rPr>
            </w:pPr>
            <w:r>
              <w:rPr>
                <w:rFonts w:hint="eastAsia" w:ascii="仿宋" w:hAnsi="仿宋" w:eastAsia="仿宋" w:cs="仿宋"/>
                <w:bCs/>
                <w:sz w:val="24"/>
                <w:szCs w:val="24"/>
              </w:rPr>
              <w:t>资料员</w:t>
            </w:r>
            <w:r>
              <w:rPr>
                <w:rFonts w:hint="eastAsia" w:ascii="仿宋" w:hAnsi="仿宋" w:eastAsia="仿宋" w:cs="仿宋"/>
                <w:sz w:val="24"/>
                <w:szCs w:val="24"/>
              </w:rPr>
              <w:t>（1人）</w:t>
            </w:r>
          </w:p>
        </w:tc>
        <w:tc>
          <w:tcPr>
            <w:tcW w:w="758" w:type="dxa"/>
            <w:noWrap w:val="0"/>
            <w:vAlign w:val="top"/>
          </w:tcPr>
          <w:p w14:paraId="30EC07FF">
            <w:pPr>
              <w:spacing w:line="440" w:lineRule="exact"/>
              <w:jc w:val="center"/>
              <w:rPr>
                <w:rFonts w:hint="eastAsia" w:ascii="仿宋" w:hAnsi="仿宋" w:eastAsia="仿宋" w:cs="仿宋"/>
                <w:sz w:val="24"/>
                <w:szCs w:val="24"/>
              </w:rPr>
            </w:pPr>
          </w:p>
        </w:tc>
        <w:tc>
          <w:tcPr>
            <w:tcW w:w="929" w:type="dxa"/>
            <w:noWrap w:val="0"/>
            <w:vAlign w:val="top"/>
          </w:tcPr>
          <w:p w14:paraId="2498EB9B">
            <w:pPr>
              <w:spacing w:line="440" w:lineRule="exact"/>
              <w:jc w:val="center"/>
              <w:rPr>
                <w:rFonts w:hint="eastAsia" w:ascii="仿宋" w:hAnsi="仿宋" w:eastAsia="仿宋" w:cs="仿宋"/>
                <w:sz w:val="24"/>
                <w:szCs w:val="24"/>
              </w:rPr>
            </w:pPr>
          </w:p>
        </w:tc>
        <w:tc>
          <w:tcPr>
            <w:tcW w:w="1373" w:type="dxa"/>
            <w:noWrap w:val="0"/>
            <w:vAlign w:val="top"/>
          </w:tcPr>
          <w:p w14:paraId="44953136">
            <w:pPr>
              <w:spacing w:line="440" w:lineRule="exact"/>
              <w:jc w:val="center"/>
              <w:rPr>
                <w:rFonts w:hint="eastAsia" w:ascii="仿宋" w:hAnsi="仿宋" w:eastAsia="仿宋" w:cs="仿宋"/>
                <w:sz w:val="24"/>
                <w:szCs w:val="24"/>
              </w:rPr>
            </w:pPr>
          </w:p>
        </w:tc>
        <w:tc>
          <w:tcPr>
            <w:tcW w:w="840" w:type="dxa"/>
            <w:noWrap w:val="0"/>
            <w:vAlign w:val="top"/>
          </w:tcPr>
          <w:p w14:paraId="0CADF87D">
            <w:pPr>
              <w:spacing w:line="440" w:lineRule="exact"/>
              <w:jc w:val="center"/>
              <w:rPr>
                <w:rFonts w:hint="eastAsia" w:ascii="仿宋" w:hAnsi="仿宋" w:eastAsia="仿宋" w:cs="仿宋"/>
                <w:sz w:val="24"/>
                <w:szCs w:val="24"/>
              </w:rPr>
            </w:pPr>
          </w:p>
        </w:tc>
        <w:tc>
          <w:tcPr>
            <w:tcW w:w="855" w:type="dxa"/>
            <w:noWrap w:val="0"/>
            <w:vAlign w:val="top"/>
          </w:tcPr>
          <w:p w14:paraId="5318F1F5">
            <w:pPr>
              <w:spacing w:line="440" w:lineRule="exact"/>
              <w:jc w:val="center"/>
              <w:rPr>
                <w:rFonts w:hint="eastAsia" w:ascii="仿宋" w:hAnsi="仿宋" w:eastAsia="仿宋" w:cs="仿宋"/>
                <w:sz w:val="24"/>
                <w:szCs w:val="24"/>
              </w:rPr>
            </w:pPr>
          </w:p>
        </w:tc>
        <w:tc>
          <w:tcPr>
            <w:tcW w:w="795" w:type="dxa"/>
            <w:noWrap w:val="0"/>
            <w:vAlign w:val="top"/>
          </w:tcPr>
          <w:p w14:paraId="0BBE0DE4">
            <w:pPr>
              <w:spacing w:line="440" w:lineRule="exact"/>
              <w:jc w:val="center"/>
              <w:rPr>
                <w:rFonts w:hint="eastAsia" w:ascii="仿宋" w:hAnsi="仿宋" w:eastAsia="仿宋" w:cs="仿宋"/>
                <w:sz w:val="24"/>
                <w:szCs w:val="24"/>
              </w:rPr>
            </w:pPr>
          </w:p>
        </w:tc>
        <w:tc>
          <w:tcPr>
            <w:tcW w:w="1381" w:type="dxa"/>
            <w:noWrap w:val="0"/>
            <w:vAlign w:val="top"/>
          </w:tcPr>
          <w:p w14:paraId="6FB1ADD9">
            <w:pPr>
              <w:spacing w:line="440" w:lineRule="exact"/>
              <w:jc w:val="center"/>
              <w:rPr>
                <w:rFonts w:hint="eastAsia" w:ascii="仿宋" w:hAnsi="仿宋" w:eastAsia="仿宋" w:cs="仿宋"/>
                <w:sz w:val="24"/>
                <w:szCs w:val="24"/>
              </w:rPr>
            </w:pPr>
          </w:p>
        </w:tc>
        <w:tc>
          <w:tcPr>
            <w:tcW w:w="742" w:type="dxa"/>
            <w:noWrap w:val="0"/>
            <w:vAlign w:val="top"/>
          </w:tcPr>
          <w:p w14:paraId="53137E18">
            <w:pPr>
              <w:spacing w:line="440" w:lineRule="exact"/>
              <w:jc w:val="center"/>
              <w:rPr>
                <w:rFonts w:hint="eastAsia" w:ascii="仿宋" w:hAnsi="仿宋" w:eastAsia="仿宋" w:cs="仿宋"/>
                <w:sz w:val="24"/>
                <w:szCs w:val="24"/>
              </w:rPr>
            </w:pPr>
          </w:p>
        </w:tc>
      </w:tr>
      <w:tr w14:paraId="3C6F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63" w:type="dxa"/>
            <w:noWrap w:val="0"/>
            <w:vAlign w:val="center"/>
          </w:tcPr>
          <w:p w14:paraId="0E8CAF60">
            <w:pPr>
              <w:jc w:val="center"/>
              <w:rPr>
                <w:rFonts w:hint="eastAsia" w:ascii="仿宋" w:hAnsi="仿宋" w:eastAsia="仿宋" w:cs="仿宋"/>
                <w:bCs/>
                <w:sz w:val="24"/>
                <w:szCs w:val="24"/>
              </w:rPr>
            </w:pPr>
            <w:r>
              <w:rPr>
                <w:rFonts w:hint="eastAsia" w:ascii="仿宋" w:hAnsi="仿宋" w:eastAsia="仿宋" w:cs="仿宋"/>
                <w:bCs/>
                <w:sz w:val="24"/>
                <w:szCs w:val="24"/>
              </w:rPr>
              <w:t>预算员</w:t>
            </w:r>
            <w:r>
              <w:rPr>
                <w:rFonts w:hint="eastAsia" w:ascii="仿宋" w:hAnsi="仿宋" w:eastAsia="仿宋" w:cs="仿宋"/>
                <w:sz w:val="24"/>
                <w:szCs w:val="24"/>
              </w:rPr>
              <w:t>（1人）</w:t>
            </w:r>
          </w:p>
        </w:tc>
        <w:tc>
          <w:tcPr>
            <w:tcW w:w="758" w:type="dxa"/>
            <w:noWrap w:val="0"/>
            <w:vAlign w:val="top"/>
          </w:tcPr>
          <w:p w14:paraId="73D5E300">
            <w:pPr>
              <w:spacing w:line="440" w:lineRule="exact"/>
              <w:jc w:val="center"/>
              <w:rPr>
                <w:rFonts w:hint="eastAsia" w:ascii="仿宋" w:hAnsi="仿宋" w:eastAsia="仿宋" w:cs="仿宋"/>
                <w:sz w:val="24"/>
                <w:szCs w:val="24"/>
              </w:rPr>
            </w:pPr>
          </w:p>
        </w:tc>
        <w:tc>
          <w:tcPr>
            <w:tcW w:w="929" w:type="dxa"/>
            <w:noWrap w:val="0"/>
            <w:vAlign w:val="top"/>
          </w:tcPr>
          <w:p w14:paraId="3CEE7148">
            <w:pPr>
              <w:spacing w:line="440" w:lineRule="exact"/>
              <w:jc w:val="center"/>
              <w:rPr>
                <w:rFonts w:hint="eastAsia" w:ascii="仿宋" w:hAnsi="仿宋" w:eastAsia="仿宋" w:cs="仿宋"/>
                <w:sz w:val="24"/>
                <w:szCs w:val="24"/>
              </w:rPr>
            </w:pPr>
          </w:p>
        </w:tc>
        <w:tc>
          <w:tcPr>
            <w:tcW w:w="1373" w:type="dxa"/>
            <w:noWrap w:val="0"/>
            <w:vAlign w:val="top"/>
          </w:tcPr>
          <w:p w14:paraId="06B305C9">
            <w:pPr>
              <w:spacing w:line="440" w:lineRule="exact"/>
              <w:jc w:val="center"/>
              <w:rPr>
                <w:rFonts w:hint="eastAsia" w:ascii="仿宋" w:hAnsi="仿宋" w:eastAsia="仿宋" w:cs="仿宋"/>
                <w:sz w:val="24"/>
                <w:szCs w:val="24"/>
              </w:rPr>
            </w:pPr>
          </w:p>
        </w:tc>
        <w:tc>
          <w:tcPr>
            <w:tcW w:w="840" w:type="dxa"/>
            <w:noWrap w:val="0"/>
            <w:vAlign w:val="top"/>
          </w:tcPr>
          <w:p w14:paraId="026C3B18">
            <w:pPr>
              <w:spacing w:line="440" w:lineRule="exact"/>
              <w:jc w:val="center"/>
              <w:rPr>
                <w:rFonts w:hint="eastAsia" w:ascii="仿宋" w:hAnsi="仿宋" w:eastAsia="仿宋" w:cs="仿宋"/>
                <w:sz w:val="24"/>
                <w:szCs w:val="24"/>
              </w:rPr>
            </w:pPr>
          </w:p>
        </w:tc>
        <w:tc>
          <w:tcPr>
            <w:tcW w:w="855" w:type="dxa"/>
            <w:noWrap w:val="0"/>
            <w:vAlign w:val="top"/>
          </w:tcPr>
          <w:p w14:paraId="1176D30D">
            <w:pPr>
              <w:spacing w:line="440" w:lineRule="exact"/>
              <w:jc w:val="center"/>
              <w:rPr>
                <w:rFonts w:hint="eastAsia" w:ascii="仿宋" w:hAnsi="仿宋" w:eastAsia="仿宋" w:cs="仿宋"/>
                <w:sz w:val="24"/>
                <w:szCs w:val="24"/>
              </w:rPr>
            </w:pPr>
          </w:p>
        </w:tc>
        <w:tc>
          <w:tcPr>
            <w:tcW w:w="795" w:type="dxa"/>
            <w:noWrap w:val="0"/>
            <w:vAlign w:val="top"/>
          </w:tcPr>
          <w:p w14:paraId="7C46B99D">
            <w:pPr>
              <w:spacing w:line="440" w:lineRule="exact"/>
              <w:jc w:val="center"/>
              <w:rPr>
                <w:rFonts w:hint="eastAsia" w:ascii="仿宋" w:hAnsi="仿宋" w:eastAsia="仿宋" w:cs="仿宋"/>
                <w:sz w:val="24"/>
                <w:szCs w:val="24"/>
              </w:rPr>
            </w:pPr>
          </w:p>
        </w:tc>
        <w:tc>
          <w:tcPr>
            <w:tcW w:w="1381" w:type="dxa"/>
            <w:noWrap w:val="0"/>
            <w:vAlign w:val="top"/>
          </w:tcPr>
          <w:p w14:paraId="7081328A">
            <w:pPr>
              <w:spacing w:line="440" w:lineRule="exact"/>
              <w:jc w:val="center"/>
              <w:rPr>
                <w:rFonts w:hint="eastAsia" w:ascii="仿宋" w:hAnsi="仿宋" w:eastAsia="仿宋" w:cs="仿宋"/>
                <w:sz w:val="24"/>
                <w:szCs w:val="24"/>
              </w:rPr>
            </w:pPr>
          </w:p>
        </w:tc>
        <w:tc>
          <w:tcPr>
            <w:tcW w:w="742" w:type="dxa"/>
            <w:noWrap w:val="0"/>
            <w:vAlign w:val="top"/>
          </w:tcPr>
          <w:p w14:paraId="02CC3525">
            <w:pPr>
              <w:spacing w:line="440" w:lineRule="exact"/>
              <w:jc w:val="center"/>
              <w:rPr>
                <w:rFonts w:hint="eastAsia" w:ascii="仿宋" w:hAnsi="仿宋" w:eastAsia="仿宋" w:cs="仿宋"/>
                <w:sz w:val="24"/>
                <w:szCs w:val="24"/>
              </w:rPr>
            </w:pPr>
          </w:p>
        </w:tc>
      </w:tr>
      <w:tr w14:paraId="2347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63" w:type="dxa"/>
            <w:noWrap w:val="0"/>
            <w:vAlign w:val="center"/>
          </w:tcPr>
          <w:p w14:paraId="7A5A2585">
            <w:pPr>
              <w:jc w:val="center"/>
              <w:rPr>
                <w:rFonts w:hint="eastAsia" w:ascii="仿宋" w:hAnsi="仿宋" w:eastAsia="仿宋" w:cs="仿宋"/>
                <w:bCs/>
                <w:sz w:val="24"/>
                <w:szCs w:val="24"/>
              </w:rPr>
            </w:pPr>
            <w:r>
              <w:rPr>
                <w:rFonts w:hint="eastAsia" w:ascii="仿宋" w:hAnsi="仿宋" w:eastAsia="仿宋" w:cs="仿宋"/>
                <w:sz w:val="24"/>
                <w:szCs w:val="24"/>
              </w:rPr>
              <w:t>其他人员</w:t>
            </w:r>
          </w:p>
        </w:tc>
        <w:tc>
          <w:tcPr>
            <w:tcW w:w="758" w:type="dxa"/>
            <w:noWrap w:val="0"/>
            <w:vAlign w:val="top"/>
          </w:tcPr>
          <w:p w14:paraId="3ACFF729">
            <w:pPr>
              <w:spacing w:line="440" w:lineRule="exact"/>
              <w:jc w:val="center"/>
              <w:rPr>
                <w:rFonts w:hint="eastAsia" w:ascii="仿宋" w:hAnsi="仿宋" w:eastAsia="仿宋" w:cs="仿宋"/>
                <w:sz w:val="24"/>
                <w:szCs w:val="24"/>
              </w:rPr>
            </w:pPr>
          </w:p>
        </w:tc>
        <w:tc>
          <w:tcPr>
            <w:tcW w:w="929" w:type="dxa"/>
            <w:noWrap w:val="0"/>
            <w:vAlign w:val="top"/>
          </w:tcPr>
          <w:p w14:paraId="301FE394">
            <w:pPr>
              <w:spacing w:line="440" w:lineRule="exact"/>
              <w:jc w:val="center"/>
              <w:rPr>
                <w:rFonts w:hint="eastAsia" w:ascii="仿宋" w:hAnsi="仿宋" w:eastAsia="仿宋" w:cs="仿宋"/>
                <w:sz w:val="24"/>
                <w:szCs w:val="24"/>
              </w:rPr>
            </w:pPr>
          </w:p>
        </w:tc>
        <w:tc>
          <w:tcPr>
            <w:tcW w:w="1373" w:type="dxa"/>
            <w:noWrap w:val="0"/>
            <w:vAlign w:val="top"/>
          </w:tcPr>
          <w:p w14:paraId="4DD3E513">
            <w:pPr>
              <w:spacing w:line="440" w:lineRule="exact"/>
              <w:jc w:val="center"/>
              <w:rPr>
                <w:rFonts w:hint="eastAsia" w:ascii="仿宋" w:hAnsi="仿宋" w:eastAsia="仿宋" w:cs="仿宋"/>
                <w:sz w:val="24"/>
                <w:szCs w:val="24"/>
              </w:rPr>
            </w:pPr>
          </w:p>
        </w:tc>
        <w:tc>
          <w:tcPr>
            <w:tcW w:w="840" w:type="dxa"/>
            <w:noWrap w:val="0"/>
            <w:vAlign w:val="top"/>
          </w:tcPr>
          <w:p w14:paraId="38AA717B">
            <w:pPr>
              <w:spacing w:line="440" w:lineRule="exact"/>
              <w:jc w:val="center"/>
              <w:rPr>
                <w:rFonts w:hint="eastAsia" w:ascii="仿宋" w:hAnsi="仿宋" w:eastAsia="仿宋" w:cs="仿宋"/>
                <w:sz w:val="24"/>
                <w:szCs w:val="24"/>
              </w:rPr>
            </w:pPr>
          </w:p>
        </w:tc>
        <w:tc>
          <w:tcPr>
            <w:tcW w:w="855" w:type="dxa"/>
            <w:noWrap w:val="0"/>
            <w:vAlign w:val="top"/>
          </w:tcPr>
          <w:p w14:paraId="603487D8">
            <w:pPr>
              <w:spacing w:line="440" w:lineRule="exact"/>
              <w:jc w:val="center"/>
              <w:rPr>
                <w:rFonts w:hint="eastAsia" w:ascii="仿宋" w:hAnsi="仿宋" w:eastAsia="仿宋" w:cs="仿宋"/>
                <w:sz w:val="24"/>
                <w:szCs w:val="24"/>
              </w:rPr>
            </w:pPr>
          </w:p>
        </w:tc>
        <w:tc>
          <w:tcPr>
            <w:tcW w:w="795" w:type="dxa"/>
            <w:noWrap w:val="0"/>
            <w:vAlign w:val="top"/>
          </w:tcPr>
          <w:p w14:paraId="20717980">
            <w:pPr>
              <w:spacing w:line="440" w:lineRule="exact"/>
              <w:jc w:val="center"/>
              <w:rPr>
                <w:rFonts w:hint="eastAsia" w:ascii="仿宋" w:hAnsi="仿宋" w:eastAsia="仿宋" w:cs="仿宋"/>
                <w:sz w:val="24"/>
                <w:szCs w:val="24"/>
              </w:rPr>
            </w:pPr>
          </w:p>
        </w:tc>
        <w:tc>
          <w:tcPr>
            <w:tcW w:w="1381" w:type="dxa"/>
            <w:noWrap w:val="0"/>
            <w:vAlign w:val="top"/>
          </w:tcPr>
          <w:p w14:paraId="53F8D58D">
            <w:pPr>
              <w:spacing w:line="440" w:lineRule="exact"/>
              <w:jc w:val="center"/>
              <w:rPr>
                <w:rFonts w:hint="eastAsia" w:ascii="仿宋" w:hAnsi="仿宋" w:eastAsia="仿宋" w:cs="仿宋"/>
                <w:sz w:val="24"/>
                <w:szCs w:val="24"/>
              </w:rPr>
            </w:pPr>
          </w:p>
        </w:tc>
        <w:tc>
          <w:tcPr>
            <w:tcW w:w="742" w:type="dxa"/>
            <w:noWrap w:val="0"/>
            <w:vAlign w:val="top"/>
          </w:tcPr>
          <w:p w14:paraId="3597A0F9">
            <w:pPr>
              <w:spacing w:line="440" w:lineRule="exact"/>
              <w:jc w:val="center"/>
              <w:rPr>
                <w:rFonts w:hint="eastAsia" w:ascii="仿宋" w:hAnsi="仿宋" w:eastAsia="仿宋" w:cs="仿宋"/>
                <w:sz w:val="24"/>
                <w:szCs w:val="24"/>
              </w:rPr>
            </w:pPr>
          </w:p>
        </w:tc>
      </w:tr>
      <w:tr w14:paraId="46D7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63" w:type="dxa"/>
            <w:noWrap w:val="0"/>
            <w:vAlign w:val="center"/>
          </w:tcPr>
          <w:p w14:paraId="4B1B3D85">
            <w:pPr>
              <w:jc w:val="center"/>
              <w:rPr>
                <w:rFonts w:hint="eastAsia" w:ascii="仿宋" w:hAnsi="仿宋" w:eastAsia="仿宋" w:cs="仿宋"/>
                <w:bCs/>
                <w:sz w:val="24"/>
                <w:szCs w:val="24"/>
              </w:rPr>
            </w:pPr>
          </w:p>
        </w:tc>
        <w:tc>
          <w:tcPr>
            <w:tcW w:w="758" w:type="dxa"/>
            <w:noWrap w:val="0"/>
            <w:vAlign w:val="top"/>
          </w:tcPr>
          <w:p w14:paraId="12B091F9">
            <w:pPr>
              <w:spacing w:line="440" w:lineRule="exact"/>
              <w:jc w:val="center"/>
              <w:rPr>
                <w:rFonts w:hint="eastAsia" w:ascii="仿宋" w:hAnsi="仿宋" w:eastAsia="仿宋" w:cs="仿宋"/>
                <w:sz w:val="24"/>
                <w:szCs w:val="24"/>
              </w:rPr>
            </w:pPr>
          </w:p>
        </w:tc>
        <w:tc>
          <w:tcPr>
            <w:tcW w:w="929" w:type="dxa"/>
            <w:noWrap w:val="0"/>
            <w:vAlign w:val="top"/>
          </w:tcPr>
          <w:p w14:paraId="7E10B824">
            <w:pPr>
              <w:spacing w:line="440" w:lineRule="exact"/>
              <w:jc w:val="center"/>
              <w:rPr>
                <w:rFonts w:hint="eastAsia" w:ascii="仿宋" w:hAnsi="仿宋" w:eastAsia="仿宋" w:cs="仿宋"/>
                <w:sz w:val="24"/>
                <w:szCs w:val="24"/>
              </w:rPr>
            </w:pPr>
          </w:p>
        </w:tc>
        <w:tc>
          <w:tcPr>
            <w:tcW w:w="1373" w:type="dxa"/>
            <w:noWrap w:val="0"/>
            <w:vAlign w:val="top"/>
          </w:tcPr>
          <w:p w14:paraId="41DA1FB7">
            <w:pPr>
              <w:spacing w:line="440" w:lineRule="exact"/>
              <w:jc w:val="center"/>
              <w:rPr>
                <w:rFonts w:hint="eastAsia" w:ascii="仿宋" w:hAnsi="仿宋" w:eastAsia="仿宋" w:cs="仿宋"/>
                <w:sz w:val="24"/>
                <w:szCs w:val="24"/>
              </w:rPr>
            </w:pPr>
          </w:p>
        </w:tc>
        <w:tc>
          <w:tcPr>
            <w:tcW w:w="840" w:type="dxa"/>
            <w:noWrap w:val="0"/>
            <w:vAlign w:val="top"/>
          </w:tcPr>
          <w:p w14:paraId="46492877">
            <w:pPr>
              <w:spacing w:line="440" w:lineRule="exact"/>
              <w:jc w:val="center"/>
              <w:rPr>
                <w:rFonts w:hint="eastAsia" w:ascii="仿宋" w:hAnsi="仿宋" w:eastAsia="仿宋" w:cs="仿宋"/>
                <w:sz w:val="24"/>
                <w:szCs w:val="24"/>
              </w:rPr>
            </w:pPr>
          </w:p>
        </w:tc>
        <w:tc>
          <w:tcPr>
            <w:tcW w:w="855" w:type="dxa"/>
            <w:noWrap w:val="0"/>
            <w:vAlign w:val="top"/>
          </w:tcPr>
          <w:p w14:paraId="19A436C7">
            <w:pPr>
              <w:spacing w:line="440" w:lineRule="exact"/>
              <w:jc w:val="center"/>
              <w:rPr>
                <w:rFonts w:hint="eastAsia" w:ascii="仿宋" w:hAnsi="仿宋" w:eastAsia="仿宋" w:cs="仿宋"/>
                <w:sz w:val="24"/>
                <w:szCs w:val="24"/>
              </w:rPr>
            </w:pPr>
          </w:p>
        </w:tc>
        <w:tc>
          <w:tcPr>
            <w:tcW w:w="795" w:type="dxa"/>
            <w:noWrap w:val="0"/>
            <w:vAlign w:val="top"/>
          </w:tcPr>
          <w:p w14:paraId="1485ED1F">
            <w:pPr>
              <w:spacing w:line="440" w:lineRule="exact"/>
              <w:jc w:val="center"/>
              <w:rPr>
                <w:rFonts w:hint="eastAsia" w:ascii="仿宋" w:hAnsi="仿宋" w:eastAsia="仿宋" w:cs="仿宋"/>
                <w:sz w:val="24"/>
                <w:szCs w:val="24"/>
              </w:rPr>
            </w:pPr>
          </w:p>
        </w:tc>
        <w:tc>
          <w:tcPr>
            <w:tcW w:w="1381" w:type="dxa"/>
            <w:noWrap w:val="0"/>
            <w:vAlign w:val="top"/>
          </w:tcPr>
          <w:p w14:paraId="65C017FE">
            <w:pPr>
              <w:spacing w:line="440" w:lineRule="exact"/>
              <w:jc w:val="center"/>
              <w:rPr>
                <w:rFonts w:hint="eastAsia" w:ascii="仿宋" w:hAnsi="仿宋" w:eastAsia="仿宋" w:cs="仿宋"/>
                <w:sz w:val="24"/>
                <w:szCs w:val="24"/>
              </w:rPr>
            </w:pPr>
          </w:p>
        </w:tc>
        <w:tc>
          <w:tcPr>
            <w:tcW w:w="742" w:type="dxa"/>
            <w:noWrap w:val="0"/>
            <w:vAlign w:val="top"/>
          </w:tcPr>
          <w:p w14:paraId="41AB60F6">
            <w:pPr>
              <w:spacing w:line="440" w:lineRule="exact"/>
              <w:jc w:val="center"/>
              <w:rPr>
                <w:rFonts w:hint="eastAsia" w:ascii="仿宋" w:hAnsi="仿宋" w:eastAsia="仿宋" w:cs="仿宋"/>
                <w:sz w:val="24"/>
                <w:szCs w:val="24"/>
              </w:rPr>
            </w:pPr>
          </w:p>
        </w:tc>
      </w:tr>
    </w:tbl>
    <w:p w14:paraId="67D7EDBC">
      <w:pPr>
        <w:spacing w:line="4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后附：证明材料</w:t>
      </w:r>
    </w:p>
    <w:p w14:paraId="089922CE">
      <w:pPr>
        <w:pStyle w:val="307"/>
        <w:shd w:val="clear" w:color="auto" w:fill="FFFFFF"/>
        <w:snapToGrid w:val="0"/>
        <w:spacing w:line="440" w:lineRule="exact"/>
        <w:rPr>
          <w:rFonts w:hint="eastAsia" w:ascii="仿宋" w:hAnsi="仿宋" w:eastAsia="仿宋"/>
          <w:color w:val="auto"/>
          <w:sz w:val="24"/>
        </w:rPr>
      </w:pPr>
    </w:p>
    <w:p w14:paraId="747BFF57">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color w:val="auto"/>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0F69D697">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767C6DE">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6031483F">
      <w:pPr>
        <w:widowControl/>
        <w:ind w:firstLine="482" w:firstLineChars="200"/>
        <w:jc w:val="left"/>
        <w:rPr>
          <w:rFonts w:ascii="仿宋" w:hAnsi="仿宋" w:eastAsia="仿宋"/>
          <w:b/>
          <w:bCs/>
          <w:sz w:val="18"/>
          <w:szCs w:val="18"/>
        </w:rPr>
      </w:pPr>
      <w:r>
        <w:rPr>
          <w:rFonts w:ascii="仿宋" w:hAnsi="仿宋" w:eastAsia="仿宋"/>
          <w:b/>
          <w:bCs/>
          <w:sz w:val="24"/>
        </w:rPr>
        <w:br w:type="page"/>
      </w:r>
    </w:p>
    <w:p w14:paraId="2F53CF12">
      <w:pPr>
        <w:pStyle w:val="757"/>
        <w:spacing w:line="560" w:lineRule="exact"/>
        <w:jc w:val="center"/>
        <w:rPr>
          <w:rFonts w:hint="eastAsia" w:ascii="仿宋" w:hAnsi="仿宋" w:eastAsia="仿宋" w:cs="仿宋"/>
          <w:b/>
          <w:color w:val="000000"/>
          <w:sz w:val="24"/>
          <w:szCs w:val="24"/>
          <w:lang w:val="en-US" w:eastAsia="zh-CN" w:bidi="ar-SA"/>
        </w:rPr>
      </w:pPr>
      <w:r>
        <w:rPr>
          <w:rFonts w:hint="eastAsia" w:ascii="仿宋" w:hAnsi="仿宋" w:eastAsia="仿宋" w:cs="Times New Roman"/>
          <w:b/>
          <w:bCs/>
          <w:color w:val="auto"/>
          <w:kern w:val="2"/>
          <w:sz w:val="28"/>
          <w:szCs w:val="28"/>
          <w:lang w:val="en-US" w:eastAsia="zh-CN" w:bidi="ar-SA"/>
        </w:rPr>
        <w:t>近三年完成的类似工程业绩表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14:paraId="42F5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814" w:type="dxa"/>
            <w:noWrap w:val="0"/>
            <w:vAlign w:val="center"/>
          </w:tcPr>
          <w:p w14:paraId="26FC8D32">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94" w:type="dxa"/>
            <w:noWrap w:val="0"/>
            <w:vAlign w:val="center"/>
          </w:tcPr>
          <w:p w14:paraId="36425F0C">
            <w:pPr>
              <w:jc w:val="center"/>
              <w:rPr>
                <w:rFonts w:hint="eastAsia" w:ascii="仿宋" w:hAnsi="仿宋" w:eastAsia="仿宋" w:cs="仿宋"/>
                <w:sz w:val="24"/>
                <w:szCs w:val="24"/>
              </w:rPr>
            </w:pPr>
          </w:p>
        </w:tc>
      </w:tr>
      <w:tr w14:paraId="2EC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814" w:type="dxa"/>
            <w:noWrap w:val="0"/>
            <w:vAlign w:val="center"/>
          </w:tcPr>
          <w:p w14:paraId="3A0D74B2">
            <w:pPr>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094" w:type="dxa"/>
            <w:noWrap w:val="0"/>
            <w:vAlign w:val="center"/>
          </w:tcPr>
          <w:p w14:paraId="36609FAE">
            <w:pPr>
              <w:jc w:val="center"/>
              <w:rPr>
                <w:rFonts w:hint="eastAsia" w:ascii="仿宋" w:hAnsi="仿宋" w:eastAsia="仿宋" w:cs="仿宋"/>
                <w:sz w:val="24"/>
                <w:szCs w:val="24"/>
              </w:rPr>
            </w:pPr>
          </w:p>
        </w:tc>
      </w:tr>
      <w:tr w14:paraId="5DF4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814" w:type="dxa"/>
            <w:noWrap w:val="0"/>
            <w:vAlign w:val="center"/>
          </w:tcPr>
          <w:p w14:paraId="0CD96D38">
            <w:pPr>
              <w:jc w:val="center"/>
              <w:rPr>
                <w:rFonts w:hint="eastAsia" w:ascii="仿宋" w:hAnsi="仿宋" w:eastAsia="仿宋" w:cs="仿宋"/>
                <w:sz w:val="24"/>
                <w:szCs w:val="24"/>
              </w:rPr>
            </w:pPr>
            <w:r>
              <w:rPr>
                <w:rFonts w:hint="eastAsia" w:ascii="仿宋" w:hAnsi="仿宋" w:eastAsia="仿宋" w:cs="仿宋"/>
                <w:sz w:val="24"/>
                <w:szCs w:val="24"/>
              </w:rPr>
              <w:t>发包人名称</w:t>
            </w:r>
          </w:p>
        </w:tc>
        <w:tc>
          <w:tcPr>
            <w:tcW w:w="6094" w:type="dxa"/>
            <w:noWrap w:val="0"/>
            <w:vAlign w:val="center"/>
          </w:tcPr>
          <w:p w14:paraId="342DF028">
            <w:pPr>
              <w:jc w:val="center"/>
              <w:rPr>
                <w:rFonts w:hint="eastAsia" w:ascii="仿宋" w:hAnsi="仿宋" w:eastAsia="仿宋" w:cs="仿宋"/>
                <w:sz w:val="24"/>
                <w:szCs w:val="24"/>
              </w:rPr>
            </w:pPr>
          </w:p>
        </w:tc>
      </w:tr>
      <w:tr w14:paraId="54A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814" w:type="dxa"/>
            <w:noWrap w:val="0"/>
            <w:vAlign w:val="center"/>
          </w:tcPr>
          <w:p w14:paraId="510C1993">
            <w:pPr>
              <w:jc w:val="center"/>
              <w:rPr>
                <w:rFonts w:hint="eastAsia" w:ascii="仿宋" w:hAnsi="仿宋" w:eastAsia="仿宋" w:cs="仿宋"/>
                <w:sz w:val="24"/>
                <w:szCs w:val="24"/>
              </w:rPr>
            </w:pPr>
            <w:r>
              <w:rPr>
                <w:rFonts w:hint="eastAsia" w:ascii="仿宋" w:hAnsi="仿宋" w:eastAsia="仿宋" w:cs="仿宋"/>
                <w:sz w:val="24"/>
                <w:szCs w:val="24"/>
              </w:rPr>
              <w:t>发包人地址</w:t>
            </w:r>
          </w:p>
        </w:tc>
        <w:tc>
          <w:tcPr>
            <w:tcW w:w="6094" w:type="dxa"/>
            <w:noWrap w:val="0"/>
            <w:vAlign w:val="center"/>
          </w:tcPr>
          <w:p w14:paraId="155AA6E3">
            <w:pPr>
              <w:jc w:val="center"/>
              <w:rPr>
                <w:rFonts w:hint="eastAsia" w:ascii="仿宋" w:hAnsi="仿宋" w:eastAsia="仿宋" w:cs="仿宋"/>
                <w:sz w:val="24"/>
                <w:szCs w:val="24"/>
              </w:rPr>
            </w:pPr>
          </w:p>
        </w:tc>
      </w:tr>
      <w:tr w14:paraId="793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814" w:type="dxa"/>
            <w:noWrap w:val="0"/>
            <w:vAlign w:val="center"/>
          </w:tcPr>
          <w:p w14:paraId="10F80256">
            <w:pPr>
              <w:jc w:val="center"/>
              <w:rPr>
                <w:rFonts w:hint="eastAsia" w:ascii="仿宋" w:hAnsi="仿宋" w:eastAsia="仿宋" w:cs="仿宋"/>
                <w:sz w:val="24"/>
                <w:szCs w:val="24"/>
              </w:rPr>
            </w:pPr>
            <w:r>
              <w:rPr>
                <w:rFonts w:hint="eastAsia" w:ascii="仿宋" w:hAnsi="仿宋" w:eastAsia="仿宋" w:cs="仿宋"/>
                <w:sz w:val="24"/>
                <w:szCs w:val="24"/>
              </w:rPr>
              <w:t>发包人联系人及电话</w:t>
            </w:r>
          </w:p>
        </w:tc>
        <w:tc>
          <w:tcPr>
            <w:tcW w:w="6094" w:type="dxa"/>
            <w:noWrap w:val="0"/>
            <w:vAlign w:val="center"/>
          </w:tcPr>
          <w:p w14:paraId="663853C3">
            <w:pPr>
              <w:jc w:val="center"/>
              <w:rPr>
                <w:rFonts w:hint="eastAsia" w:ascii="仿宋" w:hAnsi="仿宋" w:eastAsia="仿宋" w:cs="仿宋"/>
                <w:sz w:val="24"/>
                <w:szCs w:val="24"/>
              </w:rPr>
            </w:pPr>
          </w:p>
        </w:tc>
      </w:tr>
      <w:tr w14:paraId="1A9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14" w:type="dxa"/>
            <w:noWrap w:val="0"/>
            <w:vAlign w:val="center"/>
          </w:tcPr>
          <w:p w14:paraId="2B9ADFD8">
            <w:pPr>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6094" w:type="dxa"/>
            <w:noWrap w:val="0"/>
            <w:vAlign w:val="center"/>
          </w:tcPr>
          <w:p w14:paraId="264EE1AE">
            <w:pPr>
              <w:jc w:val="center"/>
              <w:rPr>
                <w:rFonts w:hint="eastAsia" w:ascii="仿宋" w:hAnsi="仿宋" w:eastAsia="仿宋" w:cs="仿宋"/>
                <w:sz w:val="24"/>
                <w:szCs w:val="24"/>
              </w:rPr>
            </w:pPr>
          </w:p>
        </w:tc>
      </w:tr>
      <w:tr w14:paraId="22E4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14:paraId="0AE99AC9">
            <w:pPr>
              <w:jc w:val="center"/>
              <w:rPr>
                <w:rFonts w:hint="eastAsia" w:ascii="仿宋" w:hAnsi="仿宋" w:eastAsia="仿宋" w:cs="仿宋"/>
                <w:sz w:val="24"/>
                <w:szCs w:val="24"/>
              </w:rPr>
            </w:pPr>
            <w:r>
              <w:rPr>
                <w:rFonts w:hint="eastAsia" w:ascii="仿宋" w:hAnsi="仿宋" w:eastAsia="仿宋" w:cs="仿宋"/>
                <w:sz w:val="24"/>
                <w:szCs w:val="24"/>
              </w:rPr>
              <w:t>开工日期</w:t>
            </w:r>
          </w:p>
        </w:tc>
        <w:tc>
          <w:tcPr>
            <w:tcW w:w="6094" w:type="dxa"/>
            <w:noWrap w:val="0"/>
            <w:vAlign w:val="center"/>
          </w:tcPr>
          <w:p w14:paraId="4634807D">
            <w:pPr>
              <w:jc w:val="center"/>
              <w:rPr>
                <w:rFonts w:hint="eastAsia" w:ascii="仿宋" w:hAnsi="仿宋" w:eastAsia="仿宋" w:cs="仿宋"/>
                <w:sz w:val="24"/>
                <w:szCs w:val="24"/>
              </w:rPr>
            </w:pPr>
          </w:p>
        </w:tc>
      </w:tr>
      <w:tr w14:paraId="6061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14:paraId="78B8A724">
            <w:pPr>
              <w:jc w:val="center"/>
              <w:rPr>
                <w:rFonts w:hint="eastAsia" w:ascii="仿宋" w:hAnsi="仿宋" w:eastAsia="仿宋" w:cs="仿宋"/>
                <w:sz w:val="24"/>
                <w:szCs w:val="24"/>
              </w:rPr>
            </w:pPr>
            <w:r>
              <w:rPr>
                <w:rFonts w:hint="eastAsia" w:ascii="仿宋" w:hAnsi="仿宋" w:eastAsia="仿宋" w:cs="仿宋"/>
                <w:sz w:val="24"/>
                <w:szCs w:val="24"/>
              </w:rPr>
              <w:t>竣工日期</w:t>
            </w:r>
          </w:p>
        </w:tc>
        <w:tc>
          <w:tcPr>
            <w:tcW w:w="6094" w:type="dxa"/>
            <w:noWrap w:val="0"/>
            <w:vAlign w:val="center"/>
          </w:tcPr>
          <w:p w14:paraId="7CFF6945">
            <w:pPr>
              <w:jc w:val="center"/>
              <w:rPr>
                <w:rFonts w:hint="eastAsia" w:ascii="仿宋" w:hAnsi="仿宋" w:eastAsia="仿宋" w:cs="仿宋"/>
                <w:sz w:val="24"/>
                <w:szCs w:val="24"/>
              </w:rPr>
            </w:pPr>
          </w:p>
        </w:tc>
      </w:tr>
      <w:tr w14:paraId="731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14:paraId="5AFD7EE2">
            <w:pPr>
              <w:jc w:val="center"/>
              <w:rPr>
                <w:rFonts w:hint="eastAsia" w:ascii="仿宋" w:hAnsi="仿宋" w:eastAsia="仿宋" w:cs="仿宋"/>
                <w:sz w:val="24"/>
                <w:szCs w:val="24"/>
              </w:rPr>
            </w:pPr>
            <w:r>
              <w:rPr>
                <w:rFonts w:hint="eastAsia" w:ascii="仿宋" w:hAnsi="仿宋" w:eastAsia="仿宋" w:cs="仿宋"/>
                <w:sz w:val="24"/>
                <w:szCs w:val="24"/>
              </w:rPr>
              <w:t>承担的工作</w:t>
            </w:r>
          </w:p>
        </w:tc>
        <w:tc>
          <w:tcPr>
            <w:tcW w:w="6094" w:type="dxa"/>
            <w:noWrap w:val="0"/>
            <w:vAlign w:val="center"/>
          </w:tcPr>
          <w:p w14:paraId="65BB1ADC">
            <w:pPr>
              <w:jc w:val="center"/>
              <w:rPr>
                <w:rFonts w:hint="eastAsia" w:ascii="仿宋" w:hAnsi="仿宋" w:eastAsia="仿宋" w:cs="仿宋"/>
                <w:sz w:val="24"/>
                <w:szCs w:val="24"/>
              </w:rPr>
            </w:pPr>
          </w:p>
        </w:tc>
      </w:tr>
      <w:tr w14:paraId="54C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14:paraId="6A950619">
            <w:pPr>
              <w:jc w:val="center"/>
              <w:rPr>
                <w:rFonts w:hint="eastAsia" w:ascii="仿宋" w:hAnsi="仿宋" w:eastAsia="仿宋" w:cs="仿宋"/>
                <w:sz w:val="24"/>
                <w:szCs w:val="24"/>
              </w:rPr>
            </w:pPr>
            <w:r>
              <w:rPr>
                <w:rFonts w:hint="eastAsia" w:ascii="仿宋" w:hAnsi="仿宋" w:eastAsia="仿宋" w:cs="仿宋"/>
                <w:sz w:val="24"/>
                <w:szCs w:val="24"/>
              </w:rPr>
              <w:t>工程质量</w:t>
            </w:r>
          </w:p>
        </w:tc>
        <w:tc>
          <w:tcPr>
            <w:tcW w:w="6094" w:type="dxa"/>
            <w:noWrap w:val="0"/>
            <w:vAlign w:val="center"/>
          </w:tcPr>
          <w:p w14:paraId="1C52D1E7">
            <w:pPr>
              <w:jc w:val="center"/>
              <w:rPr>
                <w:rFonts w:hint="eastAsia" w:ascii="仿宋" w:hAnsi="仿宋" w:eastAsia="仿宋" w:cs="仿宋"/>
                <w:sz w:val="24"/>
                <w:szCs w:val="24"/>
              </w:rPr>
            </w:pPr>
          </w:p>
        </w:tc>
      </w:tr>
      <w:tr w14:paraId="35C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14:paraId="3402419D">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6094" w:type="dxa"/>
            <w:noWrap w:val="0"/>
            <w:vAlign w:val="center"/>
          </w:tcPr>
          <w:p w14:paraId="4B8B83FD">
            <w:pPr>
              <w:jc w:val="center"/>
              <w:rPr>
                <w:rFonts w:hint="eastAsia" w:ascii="仿宋" w:hAnsi="仿宋" w:eastAsia="仿宋" w:cs="仿宋"/>
                <w:sz w:val="24"/>
                <w:szCs w:val="24"/>
              </w:rPr>
            </w:pPr>
          </w:p>
        </w:tc>
      </w:tr>
      <w:tr w14:paraId="250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14:paraId="36C64872">
            <w:pPr>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6094" w:type="dxa"/>
            <w:noWrap w:val="0"/>
            <w:vAlign w:val="center"/>
          </w:tcPr>
          <w:p w14:paraId="6AF70C00">
            <w:pPr>
              <w:jc w:val="center"/>
              <w:rPr>
                <w:rFonts w:hint="eastAsia" w:ascii="仿宋" w:hAnsi="仿宋" w:eastAsia="仿宋" w:cs="仿宋"/>
                <w:sz w:val="24"/>
                <w:szCs w:val="24"/>
              </w:rPr>
            </w:pPr>
          </w:p>
        </w:tc>
      </w:tr>
      <w:tr w14:paraId="2FB3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4" w:type="dxa"/>
            <w:noWrap w:val="0"/>
            <w:vAlign w:val="center"/>
          </w:tcPr>
          <w:p w14:paraId="3A3B94AB">
            <w:pPr>
              <w:jc w:val="center"/>
              <w:rPr>
                <w:rFonts w:hint="eastAsia" w:ascii="仿宋" w:hAnsi="仿宋" w:eastAsia="仿宋" w:cs="仿宋"/>
                <w:sz w:val="24"/>
                <w:szCs w:val="24"/>
              </w:rPr>
            </w:pPr>
            <w:r>
              <w:rPr>
                <w:rFonts w:hint="eastAsia" w:ascii="仿宋" w:hAnsi="仿宋" w:eastAsia="仿宋" w:cs="仿宋"/>
                <w:sz w:val="24"/>
                <w:szCs w:val="24"/>
              </w:rPr>
              <w:t>总监理工程师及电话</w:t>
            </w:r>
          </w:p>
        </w:tc>
        <w:tc>
          <w:tcPr>
            <w:tcW w:w="6094" w:type="dxa"/>
            <w:noWrap w:val="0"/>
            <w:vAlign w:val="center"/>
          </w:tcPr>
          <w:p w14:paraId="24A31229">
            <w:pPr>
              <w:jc w:val="center"/>
              <w:rPr>
                <w:rFonts w:hint="eastAsia" w:ascii="仿宋" w:hAnsi="仿宋" w:eastAsia="仿宋" w:cs="仿宋"/>
                <w:sz w:val="24"/>
                <w:szCs w:val="24"/>
              </w:rPr>
            </w:pPr>
          </w:p>
        </w:tc>
      </w:tr>
      <w:tr w14:paraId="088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14" w:type="dxa"/>
            <w:noWrap w:val="0"/>
            <w:vAlign w:val="center"/>
          </w:tcPr>
          <w:p w14:paraId="0C3F570C">
            <w:pPr>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094" w:type="dxa"/>
            <w:noWrap w:val="0"/>
            <w:vAlign w:val="center"/>
          </w:tcPr>
          <w:p w14:paraId="118B7116">
            <w:pPr>
              <w:jc w:val="center"/>
              <w:rPr>
                <w:rFonts w:hint="eastAsia" w:ascii="仿宋" w:hAnsi="仿宋" w:eastAsia="仿宋" w:cs="仿宋"/>
                <w:sz w:val="24"/>
                <w:szCs w:val="24"/>
              </w:rPr>
            </w:pPr>
          </w:p>
        </w:tc>
      </w:tr>
      <w:tr w14:paraId="5288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14" w:type="dxa"/>
            <w:noWrap w:val="0"/>
            <w:vAlign w:val="center"/>
          </w:tcPr>
          <w:p w14:paraId="18830587">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6094" w:type="dxa"/>
            <w:noWrap w:val="0"/>
            <w:vAlign w:val="center"/>
          </w:tcPr>
          <w:p w14:paraId="52939769">
            <w:pPr>
              <w:jc w:val="center"/>
              <w:rPr>
                <w:rFonts w:hint="eastAsia" w:ascii="仿宋" w:hAnsi="仿宋" w:eastAsia="仿宋" w:cs="仿宋"/>
                <w:sz w:val="24"/>
                <w:szCs w:val="24"/>
              </w:rPr>
            </w:pPr>
          </w:p>
        </w:tc>
      </w:tr>
    </w:tbl>
    <w:p w14:paraId="338DE711">
      <w:pPr>
        <w:numPr>
          <w:ilvl w:val="0"/>
          <w:numId w:val="0"/>
        </w:numPr>
        <w:adjustRightInd w:val="0"/>
        <w:snapToGrid w:val="0"/>
        <w:ind w:firstLine="450" w:firstLineChars="20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备注：</w:t>
      </w:r>
      <w:r>
        <w:rPr>
          <w:rFonts w:hint="eastAsia" w:ascii="仿宋" w:hAnsi="仿宋" w:eastAsia="仿宋" w:cs="宋体"/>
          <w:b/>
          <w:color w:val="auto"/>
          <w:spacing w:val="7"/>
          <w:sz w:val="21"/>
          <w:szCs w:val="21"/>
          <w:lang w:val="en-US" w:eastAsia="zh-CN"/>
        </w:rPr>
        <w:t>提供证明材料</w:t>
      </w:r>
      <w:r>
        <w:rPr>
          <w:rFonts w:hint="eastAsia" w:ascii="仿宋" w:hAnsi="仿宋" w:eastAsia="仿宋" w:cs="宋体"/>
          <w:b/>
          <w:color w:val="auto"/>
          <w:spacing w:val="7"/>
          <w:sz w:val="21"/>
          <w:szCs w:val="21"/>
        </w:rPr>
        <w:t>。</w:t>
      </w:r>
    </w:p>
    <w:p w14:paraId="3251D57C">
      <w:pPr>
        <w:numPr>
          <w:ilvl w:val="0"/>
          <w:numId w:val="0"/>
        </w:numPr>
        <w:adjustRightInd w:val="0"/>
        <w:snapToGrid w:val="0"/>
        <w:rPr>
          <w:rFonts w:hint="eastAsia" w:ascii="仿宋" w:hAnsi="仿宋" w:eastAsia="仿宋" w:cs="宋体"/>
          <w:b/>
          <w:color w:val="auto"/>
          <w:spacing w:val="7"/>
          <w:sz w:val="21"/>
          <w:szCs w:val="21"/>
        </w:rPr>
      </w:pPr>
      <w:r>
        <w:rPr>
          <w:rFonts w:hint="eastAsia" w:ascii="仿宋" w:hAnsi="仿宋" w:eastAsia="仿宋" w:cs="宋体"/>
          <w:b/>
          <w:color w:val="auto"/>
          <w:spacing w:val="7"/>
          <w:sz w:val="21"/>
          <w:szCs w:val="21"/>
        </w:rPr>
        <w:t xml:space="preserve"> </w:t>
      </w:r>
    </w:p>
    <w:p w14:paraId="4F8AFB30">
      <w:pPr>
        <w:pStyle w:val="736"/>
        <w:spacing w:line="420" w:lineRule="exact"/>
        <w:ind w:firstLine="1200" w:firstLineChars="500"/>
        <w:rPr>
          <w:rFonts w:ascii="仿宋" w:hAnsi="仿宋" w:eastAsia="仿宋" w:cs="仿宋"/>
          <w:snapToGrid w:val="0"/>
          <w:kern w:val="0"/>
          <w:sz w:val="24"/>
        </w:rPr>
      </w:pPr>
      <w:r>
        <w:rPr>
          <w:rFonts w:hint="eastAsia" w:ascii="仿宋" w:hAnsi="仿宋" w:eastAsia="仿宋"/>
          <w:color w:val="auto"/>
          <w:sz w:val="24"/>
          <w:lang w:val="en-US" w:eastAsia="zh-CN"/>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4ADF102D">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7E100610">
      <w:pPr>
        <w:pStyle w:val="772"/>
        <w:adjustRightInd w:val="0"/>
        <w:snapToGrid w:val="0"/>
        <w:spacing w:line="420" w:lineRule="exact"/>
        <w:ind w:firstLine="1440" w:firstLineChars="6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C2E4B18">
      <w:pPr>
        <w:widowControl/>
        <w:ind w:firstLine="482" w:firstLineChars="200"/>
        <w:jc w:val="left"/>
        <w:rPr>
          <w:rFonts w:hint="eastAsia" w:ascii="仿宋" w:hAnsi="仿宋" w:eastAsia="仿宋" w:cs="仿宋"/>
          <w:kern w:val="0"/>
          <w:sz w:val="24"/>
          <w:szCs w:val="24"/>
          <w:lang w:eastAsia="zh-CN"/>
        </w:rPr>
      </w:pPr>
      <w:r>
        <w:rPr>
          <w:rFonts w:ascii="仿宋" w:hAnsi="仿宋" w:eastAsia="仿宋"/>
          <w:b/>
          <w:bCs/>
          <w:sz w:val="24"/>
        </w:rPr>
        <w:br w:type="page"/>
      </w:r>
    </w:p>
    <w:p w14:paraId="14B05752">
      <w:pPr>
        <w:pStyle w:val="756"/>
        <w:rPr>
          <w:rFonts w:hint="eastAsia" w:ascii="仿宋" w:hAnsi="仿宋" w:eastAsia="仿宋" w:cs="仿宋"/>
          <w:kern w:val="0"/>
          <w:sz w:val="24"/>
          <w:szCs w:val="24"/>
          <w:lang w:eastAsia="zh-CN"/>
        </w:rPr>
      </w:pPr>
    </w:p>
    <w:p w14:paraId="470B4F11">
      <w:pPr>
        <w:widowControl/>
        <w:jc w:val="center"/>
        <w:rPr>
          <w:rFonts w:hint="eastAsia" w:ascii="仿宋" w:hAnsi="仿宋" w:eastAsia="仿宋" w:cs="仿宋"/>
          <w:b/>
          <w:bCs w:val="0"/>
          <w:color w:val="auto"/>
          <w:kern w:val="0"/>
          <w:sz w:val="28"/>
          <w:szCs w:val="28"/>
          <w:u w:val="none"/>
          <w:lang w:val="en-US" w:eastAsia="zh-CN" w:bidi="ar-SA"/>
        </w:rPr>
      </w:pPr>
      <w:r>
        <w:rPr>
          <w:rFonts w:hint="eastAsia" w:ascii="仿宋" w:hAnsi="仿宋" w:eastAsia="仿宋" w:cs="仿宋"/>
          <w:b/>
          <w:bCs w:val="0"/>
          <w:color w:val="auto"/>
          <w:kern w:val="0"/>
          <w:sz w:val="28"/>
          <w:szCs w:val="28"/>
          <w:u w:val="none"/>
          <w:lang w:val="en-US" w:eastAsia="zh-CN" w:bidi="ar-SA"/>
        </w:rPr>
        <w:t>施工方案</w:t>
      </w:r>
    </w:p>
    <w:p w14:paraId="7D967359">
      <w:pPr>
        <w:pStyle w:val="683"/>
        <w:ind w:firstLine="480" w:firstLineChars="200"/>
        <w:jc w:val="both"/>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投标人应根据招标工程的具体情况， 编制相应的施工</w:t>
      </w:r>
      <w:r>
        <w:rPr>
          <w:rFonts w:hint="eastAsia" w:ascii="仿宋" w:hAnsi="仿宋" w:eastAsia="仿宋" w:cs="仿宋"/>
          <w:color w:val="auto"/>
          <w:kern w:val="2"/>
          <w:sz w:val="24"/>
          <w:szCs w:val="24"/>
          <w:lang w:val="en-US" w:eastAsia="zh-CN" w:bidi="ar-SA"/>
        </w:rPr>
        <w:t>方案，内容详尽、易于理解和评审</w:t>
      </w:r>
      <w:r>
        <w:rPr>
          <w:rFonts w:hint="default" w:ascii="仿宋" w:hAnsi="仿宋" w:eastAsia="仿宋" w:cs="仿宋"/>
          <w:color w:val="auto"/>
          <w:kern w:val="2"/>
          <w:sz w:val="24"/>
          <w:szCs w:val="24"/>
          <w:lang w:val="en-US" w:eastAsia="zh-CN" w:bidi="ar-SA"/>
        </w:rPr>
        <w:t xml:space="preserve">。 </w:t>
      </w:r>
      <w:r>
        <w:rPr>
          <w:rFonts w:hint="eastAsia" w:ascii="仿宋" w:hAnsi="仿宋" w:eastAsia="仿宋" w:cs="仿宋"/>
          <w:color w:val="auto"/>
          <w:kern w:val="2"/>
          <w:sz w:val="24"/>
          <w:szCs w:val="24"/>
          <w:lang w:val="en-US" w:eastAsia="zh-CN" w:bidi="ar-SA"/>
        </w:rPr>
        <w:t>并富有建设性的项目施工方案将在评标时具有优势。</w:t>
      </w:r>
    </w:p>
    <w:p w14:paraId="78B58AAD">
      <w:pPr>
        <w:keepNext w:val="0"/>
        <w:keepLines w:val="0"/>
        <w:pageBreakBefore w:val="0"/>
        <w:widowControl/>
        <w:suppressLineNumbers w:val="0"/>
        <w:kinsoku/>
        <w:wordWrap/>
        <w:overflowPunct/>
        <w:topLinePunct w:val="0"/>
        <w:autoSpaceDE/>
        <w:autoSpaceDN/>
        <w:bidi w:val="0"/>
        <w:adjustRightInd/>
        <w:snapToGrid/>
        <w:spacing w:line="600" w:lineRule="exact"/>
        <w:ind w:firstLine="1200" w:firstLineChars="500"/>
        <w:jc w:val="left"/>
        <w:textAlignment w:val="auto"/>
        <w:rPr>
          <w:rFonts w:hint="eastAsia" w:ascii="仿宋" w:hAnsi="仿宋" w:eastAsia="仿宋" w:cs="仿宋"/>
          <w:color w:val="auto"/>
          <w:kern w:val="2"/>
          <w:sz w:val="24"/>
          <w:szCs w:val="24"/>
          <w:lang w:val="en-US" w:eastAsia="zh-CN" w:bidi="ar-SA"/>
        </w:rPr>
      </w:pPr>
    </w:p>
    <w:p w14:paraId="382B2067">
      <w:pPr>
        <w:keepNext w:val="0"/>
        <w:keepLines w:val="0"/>
        <w:pageBreakBefore w:val="0"/>
        <w:widowControl/>
        <w:suppressLineNumbers w:val="0"/>
        <w:kinsoku/>
        <w:wordWrap/>
        <w:overflowPunct/>
        <w:topLinePunct w:val="0"/>
        <w:autoSpaceDE/>
        <w:autoSpaceDN/>
        <w:bidi w:val="0"/>
        <w:adjustRightInd/>
        <w:snapToGrid/>
        <w:spacing w:line="600" w:lineRule="exact"/>
        <w:ind w:firstLine="2160" w:firstLineChars="900"/>
        <w:jc w:val="left"/>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 xml:space="preserve">注：内容中若需要表格请投标人自行编制。 </w:t>
      </w:r>
    </w:p>
    <w:p w14:paraId="714EE21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21"/>
          <w:szCs w:val="21"/>
        </w:rPr>
      </w:pPr>
    </w:p>
    <w:sectPr>
      <w:headerReference r:id="rId15" w:type="default"/>
      <w:footerReference r:id="rId16" w:type="default"/>
      <w:pgSz w:w="11906" w:h="16838"/>
      <w:pgMar w:top="1134" w:right="1134" w:bottom="1134" w:left="1134" w:header="703" w:footer="851"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Geneva">
    <w:panose1 w:val="020B0503030404040204"/>
    <w:charset w:val="00"/>
    <w:family w:val="swiss"/>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Courier">
    <w:panose1 w:val="02060409020205020404"/>
    <w:charset w:val="00"/>
    <w:family w:val="modern"/>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0" w:usb3="00000000" w:csb0="00040000"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3F27">
    <w:pPr>
      <w:pStyle w:val="42"/>
    </w:pPr>
    <w:r>
      <w:rPr>
        <w:sz w:val="18"/>
      </w:rPr>
      <w:pict>
        <v:shape id="_x0000_s2067" o:spid="_x0000_s206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56E4C67">
                <w:pPr>
                  <w:pStyle w:val="42"/>
                </w:pPr>
                <w:r>
                  <w:fldChar w:fldCharType="begin"/>
                </w:r>
                <w:r>
                  <w:instrText xml:space="preserve"> PAGE  \* MERGEFORMAT </w:instrText>
                </w:r>
                <w:r>
                  <w:fldChar w:fldCharType="separate"/>
                </w:r>
                <w:r>
                  <w:t>- 1 -</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C696">
    <w:pPr>
      <w:pStyle w:val="42"/>
    </w:pPr>
    <w:r>
      <w:rPr>
        <w:sz w:val="18"/>
      </w:rPr>
      <w:pict>
        <v:shape id="_x0000_s2068" o:spid="_x0000_s206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850B181">
                <w:pPr>
                  <w:pStyle w:val="4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2604">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42"/>
    </w:pPr>
    <w:r>
      <w:rPr>
        <w:sz w:val="18"/>
      </w:rPr>
      <w:pict>
        <v:shape id="文本框 42"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14:paraId="6978860D">
                <w:pPr>
                  <w:pStyle w:val="42"/>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33C7">
    <w:pPr>
      <w:pStyle w:val="42"/>
      <w:widowControl w:val="0"/>
      <w:pBdr>
        <w:top w:val="none" w:color="auto" w:sz="0" w:space="0"/>
        <w:left w:val="none" w:color="auto" w:sz="0" w:space="4"/>
        <w:bottom w:val="none" w:color="auto" w:sz="0" w:space="1"/>
        <w:right w:val="none" w:color="auto" w:sz="0" w:space="4"/>
        <w:between w:val="none" w:color="auto" w:sz="0" w:space="0"/>
      </w:pBdr>
      <w:snapToGrid w:val="0"/>
      <w:jc w:val="left"/>
      <w:rPr>
        <w:rFonts w:hint="eastAsia"/>
      </w:rPr>
    </w:pPr>
    <w:r>
      <w:rPr>
        <w:sz w:val="18"/>
      </w:rPr>
      <w:pict>
        <v:shape id="文本框 7"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466CED81">
                <w:pPr>
                  <w:pStyle w:val="42"/>
                  <w:pBdr>
                    <w:top w:val="dashDotStroked" w:color="auto" w:sz="24" w:space="0"/>
                  </w:pBdr>
                </w:pPr>
                <w:r>
                  <w:rPr>
                    <w:rFonts w:hint="eastAsia" w:ascii="仿宋_GB2312" w:eastAsia="仿宋_GB2312"/>
                    <w:b/>
                    <w:i/>
                  </w:rPr>
                  <w:t xml:space="preserve">                                 </w:t>
                </w:r>
                <w:r>
                  <w:rPr>
                    <w:rFonts w:ascii="仿宋_GB2312" w:eastAsia="仿宋_GB2312"/>
                    <w:b/>
                    <w:i/>
                  </w:rPr>
                  <w:fldChar w:fldCharType="begin"/>
                </w:r>
                <w:r>
                  <w:rPr>
                    <w:rFonts w:ascii="仿宋_GB2312" w:eastAsia="仿宋_GB2312"/>
                    <w:b/>
                    <w:i/>
                  </w:rPr>
                  <w:instrText xml:space="preserve"> PAGE </w:instrText>
                </w:r>
                <w:r>
                  <w:rPr>
                    <w:rFonts w:ascii="仿宋_GB2312" w:eastAsia="仿宋_GB2312"/>
                    <w:b/>
                    <w:i/>
                  </w:rPr>
                  <w:fldChar w:fldCharType="separate"/>
                </w:r>
                <w:r>
                  <w:rPr>
                    <w:rFonts w:ascii="仿宋_GB2312" w:eastAsia="仿宋_GB2312"/>
                    <w:b/>
                    <w:i/>
                  </w:rPr>
                  <w:t>59</w:t>
                </w:r>
                <w:r>
                  <w:rPr>
                    <w:rFonts w:ascii="仿宋_GB2312" w:eastAsia="仿宋_GB2312"/>
                    <w:b/>
                    <w:i/>
                  </w:rPr>
                  <w:fldChar w:fldCharType="end"/>
                </w:r>
                <w:r>
                  <w:rPr>
                    <w:rFonts w:hint="eastAsia" w:ascii="仿宋_GB2312" w:eastAsia="仿宋_GB2312"/>
                    <w:b/>
                    <w:i/>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E446">
    <w:pPr>
      <w:pStyle w:val="42"/>
    </w:pPr>
    <w:r>
      <w:rPr>
        <w:sz w:val="18"/>
      </w:rPr>
      <w:pict>
        <v:shape id="文本框 8"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39FDCD85">
                <w:pPr>
                  <w:pStyle w:val="42"/>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8986">
    <w:pPr>
      <w:pStyle w:val="42"/>
      <w:widowControl w:val="0"/>
      <w:pBdr>
        <w:top w:val="none" w:color="auto" w:sz="0" w:space="0"/>
        <w:left w:val="none" w:color="auto" w:sz="0" w:space="4"/>
        <w:bottom w:val="none" w:color="auto" w:sz="0" w:space="1"/>
        <w:right w:val="none" w:color="auto" w:sz="0" w:space="4"/>
        <w:between w:val="none" w:color="auto" w:sz="0" w:space="0"/>
      </w:pBdr>
      <w:snapToGrid w:val="0"/>
      <w:jc w:val="left"/>
      <w:rPr>
        <w:rFonts w:hint="eastAsia"/>
      </w:rPr>
    </w:pPr>
    <w:r>
      <w:rPr>
        <w:sz w:val="18"/>
      </w:rP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179A910">
                <w:pPr>
                  <w:pStyle w:val="42"/>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4F6A">
    <w:pPr>
      <w:pStyle w:val="42"/>
    </w:pPr>
    <w:r>
      <w:rPr>
        <w:sz w:val="18"/>
      </w:rP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2D7C8BD">
                <w:pPr>
                  <w:pStyle w:val="42"/>
                </w:pPr>
                <w:r>
                  <w:fldChar w:fldCharType="begin"/>
                </w:r>
                <w:r>
                  <w:instrText xml:space="preserve"> PAGE  \* MERGEFORMAT </w:instrText>
                </w:r>
                <w:r>
                  <w:fldChar w:fldCharType="separate"/>
                </w:r>
                <w:r>
                  <w:t>- 1 -</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CFAB">
    <w:pPr>
      <w:pStyle w:val="42"/>
      <w:pBdr>
        <w:top w:val="dashDotStroked" w:color="auto" w:sz="24" w:space="0"/>
      </w:pBdr>
      <w:rPr>
        <w:rFonts w:hint="eastAsia"/>
      </w:rPr>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E44A3BE">
                <w:pPr>
                  <w:pStyle w:val="42"/>
                </w:pPr>
                <w:r>
                  <w:fldChar w:fldCharType="begin"/>
                </w:r>
                <w:r>
                  <w:instrText xml:space="preserve"> PAGE  \* MERGEFORMAT </w:instrText>
                </w:r>
                <w:r>
                  <w:fldChar w:fldCharType="separate"/>
                </w:r>
                <w:r>
                  <w:t>- 1 -</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4028">
    <w:pPr>
      <w:pStyle w:val="42"/>
    </w:pPr>
    <w:r>
      <w:rPr>
        <w:sz w:val="18"/>
      </w:rPr>
      <w:pict>
        <v:shape id="_x0000_s2063" o:spid="_x0000_s206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D05AE6D">
                <w:pPr>
                  <w:pStyle w:val="42"/>
                </w:pPr>
                <w:r>
                  <w:fldChar w:fldCharType="begin"/>
                </w:r>
                <w:r>
                  <w:instrText xml:space="preserve"> PAGE  \* MERGEFORMAT </w:instrText>
                </w:r>
                <w:r>
                  <w:fldChar w:fldCharType="separate"/>
                </w:r>
                <w:r>
                  <w:t>- 26 -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2903">
    <w:pPr>
      <w:pStyle w:val="4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F1D2">
    <w:pPr>
      <w:pStyle w:val="43"/>
      <w:pBdr>
        <w:bottom w:val="none" w:color="auto" w:sz="0" w:space="1"/>
      </w:pBdr>
      <w:tabs>
        <w:tab w:val="clear" w:pos="4153"/>
        <w:tab w:val="clear" w:pos="8306"/>
      </w:tabs>
      <w:ind w:firstLine="69" w:firstLineChars="46"/>
      <w:rPr>
        <w:rFonts w:hint="eastAsia" w:ascii="仿宋_GB2312" w:hAnsi="宋体" w:eastAsia="仿宋_GB2312"/>
        <w:b/>
        <w:i/>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F961">
    <w:pPr>
      <w:pStyle w:val="43"/>
      <w:pBdr>
        <w:bottom w:val="none" w:color="auto" w:sz="0" w:space="1"/>
      </w:pBdr>
      <w:tabs>
        <w:tab w:val="clear" w:pos="4153"/>
        <w:tab w:val="clear" w:pos="8306"/>
      </w:tabs>
      <w:jc w:val="both"/>
      <w:rPr>
        <w:rFonts w:hint="eastAsia" w:ascii="仿宋_GB2312" w:hAnsi="宋体" w:eastAsia="仿宋_GB2312"/>
        <w:b/>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54D4">
    <w:pPr>
      <w:pStyle w:val="4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EF670"/>
    <w:multiLevelType w:val="singleLevel"/>
    <w:tmpl w:val="8E2EF670"/>
    <w:lvl w:ilvl="0" w:tentative="0">
      <w:start w:val="4"/>
      <w:numFmt w:val="chineseCounting"/>
      <w:suff w:val="nothing"/>
      <w:lvlText w:val="%1、"/>
      <w:lvlJc w:val="left"/>
      <w:rPr>
        <w:rFonts w:hint="eastAsia"/>
      </w:rPr>
    </w:lvl>
  </w:abstractNum>
  <w:abstractNum w:abstractNumId="1">
    <w:nsid w:val="F81C956B"/>
    <w:multiLevelType w:val="singleLevel"/>
    <w:tmpl w:val="F81C956B"/>
    <w:lvl w:ilvl="0" w:tentative="0">
      <w:start w:val="1"/>
      <w:numFmt w:val="decimal"/>
      <w:suff w:val="nothing"/>
      <w:lvlText w:val="%1、"/>
      <w:lvlJc w:val="left"/>
    </w:lvl>
  </w:abstractNum>
  <w:abstractNum w:abstractNumId="2">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AD7F4DD"/>
    <w:multiLevelType w:val="singleLevel"/>
    <w:tmpl w:val="0AD7F4DD"/>
    <w:lvl w:ilvl="0" w:tentative="0">
      <w:start w:val="4"/>
      <w:numFmt w:val="chineseCounting"/>
      <w:suff w:val="space"/>
      <w:lvlText w:val="第%1部分"/>
      <w:lvlJc w:val="left"/>
      <w:rPr>
        <w:rFonts w:hint="eastAsia"/>
      </w:rPr>
    </w:lvl>
  </w:abstractNum>
  <w:abstractNum w:abstractNumId="4">
    <w:nsid w:val="0EDB2900"/>
    <w:multiLevelType w:val="multilevel"/>
    <w:tmpl w:val="0EDB2900"/>
    <w:lvl w:ilvl="0" w:tentative="0">
      <w:start w:val="1"/>
      <w:numFmt w:val="bullet"/>
      <w:pStyle w:val="515"/>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0A67D1F"/>
    <w:multiLevelType w:val="singleLevel"/>
    <w:tmpl w:val="10A67D1F"/>
    <w:lvl w:ilvl="0" w:tentative="0">
      <w:start w:val="1"/>
      <w:numFmt w:val="decimal"/>
      <w:lvlText w:val="%1."/>
      <w:lvlJc w:val="left"/>
      <w:pPr>
        <w:tabs>
          <w:tab w:val="left" w:pos="312"/>
        </w:tabs>
      </w:pPr>
    </w:lvl>
  </w:abstractNum>
  <w:abstractNum w:abstractNumId="6">
    <w:nsid w:val="11BF6E1B"/>
    <w:multiLevelType w:val="multilevel"/>
    <w:tmpl w:val="11BF6E1B"/>
    <w:lvl w:ilvl="0" w:tentative="0">
      <w:start w:val="1"/>
      <w:numFmt w:val="decimal"/>
      <w:pStyle w:val="15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7">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1"/>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8">
    <w:nsid w:val="18232DD3"/>
    <w:multiLevelType w:val="singleLevel"/>
    <w:tmpl w:val="18232DD3"/>
    <w:lvl w:ilvl="0" w:tentative="0">
      <w:start w:val="1"/>
      <w:numFmt w:val="decimal"/>
      <w:pStyle w:val="512"/>
      <w:lvlText w:val="（%1）"/>
      <w:lvlJc w:val="left"/>
      <w:pPr>
        <w:tabs>
          <w:tab w:val="left" w:pos="1800"/>
        </w:tabs>
        <w:ind w:left="1800" w:hanging="900"/>
      </w:pPr>
      <w:rPr>
        <w:rFonts w:hint="eastAsia"/>
      </w:rPr>
    </w:lvl>
  </w:abstractNum>
  <w:abstractNum w:abstractNumId="9">
    <w:nsid w:val="20A10221"/>
    <w:multiLevelType w:val="multilevel"/>
    <w:tmpl w:val="20A10221"/>
    <w:lvl w:ilvl="0" w:tentative="0">
      <w:start w:val="1"/>
      <w:numFmt w:val="decimal"/>
      <w:pStyle w:val="219"/>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727B63"/>
    <w:multiLevelType w:val="multilevel"/>
    <w:tmpl w:val="27727B63"/>
    <w:lvl w:ilvl="0" w:tentative="0">
      <w:start w:val="1"/>
      <w:numFmt w:val="bullet"/>
      <w:pStyle w:val="43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4F430D32"/>
    <w:multiLevelType w:val="multilevel"/>
    <w:tmpl w:val="4F430D32"/>
    <w:lvl w:ilvl="0" w:tentative="0">
      <w:start w:val="1"/>
      <w:numFmt w:val="decimal"/>
      <w:pStyle w:val="18"/>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2">
    <w:nsid w:val="595B7205"/>
    <w:multiLevelType w:val="singleLevel"/>
    <w:tmpl w:val="595B7205"/>
    <w:lvl w:ilvl="0" w:tentative="0">
      <w:start w:val="5"/>
      <w:numFmt w:val="decimal"/>
      <w:suff w:val="nothing"/>
      <w:lvlText w:val="%1、"/>
      <w:lvlJc w:val="left"/>
    </w:lvl>
  </w:abstractNum>
  <w:abstractNum w:abstractNumId="13">
    <w:nsid w:val="5B6D3AF1"/>
    <w:multiLevelType w:val="multilevel"/>
    <w:tmpl w:val="5B6D3AF1"/>
    <w:lvl w:ilvl="0" w:tentative="0">
      <w:start w:val="1"/>
      <w:numFmt w:val="decimal"/>
      <w:pStyle w:val="590"/>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6E230785"/>
    <w:multiLevelType w:val="multilevel"/>
    <w:tmpl w:val="6E230785"/>
    <w:lvl w:ilvl="0" w:tentative="0">
      <w:start w:val="1"/>
      <w:numFmt w:val="bullet"/>
      <w:pStyle w:val="617"/>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7E3B679F"/>
    <w:multiLevelType w:val="multilevel"/>
    <w:tmpl w:val="7E3B679F"/>
    <w:lvl w:ilvl="0" w:tentative="0">
      <w:start w:val="1"/>
      <w:numFmt w:val="chineseCountingThousand"/>
      <w:pStyle w:val="372"/>
      <w:lvlText w:val="%1."/>
      <w:lvlJc w:val="left"/>
      <w:pPr>
        <w:ind w:left="0" w:firstLine="0"/>
      </w:pPr>
      <w:rPr>
        <w:rFonts w:hint="default"/>
        <w:color w:val="auto"/>
        <w:sz w:val="44"/>
      </w:rPr>
    </w:lvl>
    <w:lvl w:ilvl="1" w:tentative="0">
      <w:start w:val="1"/>
      <w:numFmt w:val="decimal"/>
      <w:pStyle w:val="447"/>
      <w:lvlText w:val="%2"/>
      <w:lvlJc w:val="left"/>
      <w:pPr>
        <w:ind w:left="0" w:firstLine="0"/>
      </w:pPr>
      <w:rPr>
        <w:rFonts w:hint="eastAsia"/>
      </w:rPr>
    </w:lvl>
    <w:lvl w:ilvl="2" w:tentative="0">
      <w:start w:val="1"/>
      <w:numFmt w:val="decimal"/>
      <w:pStyle w:val="555"/>
      <w:lvlText w:val="%2.%3"/>
      <w:lvlJc w:val="left"/>
      <w:pPr>
        <w:ind w:left="0" w:firstLine="0"/>
      </w:pPr>
      <w:rPr>
        <w:rFonts w:hint="eastAsia"/>
      </w:rPr>
    </w:lvl>
    <w:lvl w:ilvl="3" w:tentative="0">
      <w:start w:val="1"/>
      <w:numFmt w:val="decimal"/>
      <w:pStyle w:val="185"/>
      <w:lvlText w:val="%2.%3.%4"/>
      <w:lvlJc w:val="left"/>
      <w:pPr>
        <w:ind w:left="0" w:firstLine="0"/>
      </w:pPr>
      <w:rPr>
        <w:rFonts w:hint="eastAsia"/>
      </w:rPr>
    </w:lvl>
    <w:lvl w:ilvl="4" w:tentative="0">
      <w:start w:val="1"/>
      <w:numFmt w:val="decimal"/>
      <w:pStyle w:val="622"/>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1"/>
  </w:num>
  <w:num w:numId="2">
    <w:abstractNumId w:val="6"/>
  </w:num>
  <w:num w:numId="3">
    <w:abstractNumId w:val="15"/>
  </w:num>
  <w:num w:numId="4">
    <w:abstractNumId w:val="9"/>
  </w:num>
  <w:num w:numId="5">
    <w:abstractNumId w:val="10"/>
  </w:num>
  <w:num w:numId="6">
    <w:abstractNumId w:val="7"/>
  </w:num>
  <w:num w:numId="7">
    <w:abstractNumId w:val="8"/>
  </w:num>
  <w:num w:numId="8">
    <w:abstractNumId w:val="4"/>
  </w:num>
  <w:num w:numId="9">
    <w:abstractNumId w:val="13"/>
  </w:num>
  <w:num w:numId="10">
    <w:abstractNumId w:val="14"/>
  </w:num>
  <w:num w:numId="11">
    <w:abstractNumId w:val="0"/>
  </w:num>
  <w:num w:numId="12">
    <w:abstractNumId w:val="3"/>
  </w:num>
  <w:num w:numId="13">
    <w:abstractNumId w:val="2"/>
  </w:num>
  <w:num w:numId="14">
    <w:abstractNumId w:val="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 w:name="KSO_WPS_MARK_KEY" w:val="6f360e4d-2183-4c8a-bdad-15f55dcc5bf8"/>
  </w:docVars>
  <w:rsids>
    <w:rsidRoot w:val="00FD0709"/>
    <w:rsid w:val="00000648"/>
    <w:rsid w:val="0000080C"/>
    <w:rsid w:val="000009E4"/>
    <w:rsid w:val="0000164C"/>
    <w:rsid w:val="0000219E"/>
    <w:rsid w:val="000026E1"/>
    <w:rsid w:val="00002992"/>
    <w:rsid w:val="00002A72"/>
    <w:rsid w:val="00002D0A"/>
    <w:rsid w:val="00003069"/>
    <w:rsid w:val="00003BD7"/>
    <w:rsid w:val="0000431D"/>
    <w:rsid w:val="00004BCF"/>
    <w:rsid w:val="00005500"/>
    <w:rsid w:val="00005717"/>
    <w:rsid w:val="00006D5F"/>
    <w:rsid w:val="00006FF4"/>
    <w:rsid w:val="0000711B"/>
    <w:rsid w:val="0000744F"/>
    <w:rsid w:val="00007C81"/>
    <w:rsid w:val="00007E6D"/>
    <w:rsid w:val="000100D7"/>
    <w:rsid w:val="00010470"/>
    <w:rsid w:val="00010830"/>
    <w:rsid w:val="00010A5F"/>
    <w:rsid w:val="00010BE4"/>
    <w:rsid w:val="00010CE3"/>
    <w:rsid w:val="00010DF2"/>
    <w:rsid w:val="0001156F"/>
    <w:rsid w:val="00011946"/>
    <w:rsid w:val="00011FC1"/>
    <w:rsid w:val="00012264"/>
    <w:rsid w:val="0001236A"/>
    <w:rsid w:val="00012804"/>
    <w:rsid w:val="00012EF1"/>
    <w:rsid w:val="00013694"/>
    <w:rsid w:val="00013833"/>
    <w:rsid w:val="000138DF"/>
    <w:rsid w:val="00013ECD"/>
    <w:rsid w:val="000140FD"/>
    <w:rsid w:val="00014180"/>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348"/>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0CE"/>
    <w:rsid w:val="000417C3"/>
    <w:rsid w:val="000432E7"/>
    <w:rsid w:val="00043FB9"/>
    <w:rsid w:val="00044931"/>
    <w:rsid w:val="00044D3A"/>
    <w:rsid w:val="00047062"/>
    <w:rsid w:val="00047090"/>
    <w:rsid w:val="000508A4"/>
    <w:rsid w:val="000508C7"/>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64DE"/>
    <w:rsid w:val="000575AD"/>
    <w:rsid w:val="000578E2"/>
    <w:rsid w:val="00057BEC"/>
    <w:rsid w:val="00057CEE"/>
    <w:rsid w:val="000601CC"/>
    <w:rsid w:val="00060599"/>
    <w:rsid w:val="00060F9F"/>
    <w:rsid w:val="00061133"/>
    <w:rsid w:val="000614E4"/>
    <w:rsid w:val="000615F7"/>
    <w:rsid w:val="00061754"/>
    <w:rsid w:val="00061E49"/>
    <w:rsid w:val="00063463"/>
    <w:rsid w:val="000636E6"/>
    <w:rsid w:val="00063BE0"/>
    <w:rsid w:val="00063EE6"/>
    <w:rsid w:val="00064A35"/>
    <w:rsid w:val="0006630D"/>
    <w:rsid w:val="000663CF"/>
    <w:rsid w:val="000668C3"/>
    <w:rsid w:val="000668E0"/>
    <w:rsid w:val="00066E3F"/>
    <w:rsid w:val="000672DF"/>
    <w:rsid w:val="000676B4"/>
    <w:rsid w:val="00067A73"/>
    <w:rsid w:val="00067EDF"/>
    <w:rsid w:val="00070238"/>
    <w:rsid w:val="000706EA"/>
    <w:rsid w:val="00070945"/>
    <w:rsid w:val="0007120E"/>
    <w:rsid w:val="0007149E"/>
    <w:rsid w:val="00071AF4"/>
    <w:rsid w:val="00071CDF"/>
    <w:rsid w:val="000720DB"/>
    <w:rsid w:val="000725C8"/>
    <w:rsid w:val="000727E9"/>
    <w:rsid w:val="00072985"/>
    <w:rsid w:val="00072BD7"/>
    <w:rsid w:val="00073D89"/>
    <w:rsid w:val="00073E8E"/>
    <w:rsid w:val="000749E7"/>
    <w:rsid w:val="00074E58"/>
    <w:rsid w:val="00075669"/>
    <w:rsid w:val="00075D63"/>
    <w:rsid w:val="00076071"/>
    <w:rsid w:val="00080194"/>
    <w:rsid w:val="00080E6A"/>
    <w:rsid w:val="00082016"/>
    <w:rsid w:val="000827AD"/>
    <w:rsid w:val="00082E4F"/>
    <w:rsid w:val="000830A7"/>
    <w:rsid w:val="0008320D"/>
    <w:rsid w:val="000832A1"/>
    <w:rsid w:val="0008382F"/>
    <w:rsid w:val="000838D3"/>
    <w:rsid w:val="00083B2D"/>
    <w:rsid w:val="00085B19"/>
    <w:rsid w:val="00085DC8"/>
    <w:rsid w:val="00085E32"/>
    <w:rsid w:val="00085FAD"/>
    <w:rsid w:val="000864B0"/>
    <w:rsid w:val="000867C7"/>
    <w:rsid w:val="00086C8A"/>
    <w:rsid w:val="00087B69"/>
    <w:rsid w:val="00087F9F"/>
    <w:rsid w:val="00090C73"/>
    <w:rsid w:val="00091207"/>
    <w:rsid w:val="00092613"/>
    <w:rsid w:val="0009387E"/>
    <w:rsid w:val="00093C35"/>
    <w:rsid w:val="00093D4C"/>
    <w:rsid w:val="00094064"/>
    <w:rsid w:val="000947F1"/>
    <w:rsid w:val="000949E6"/>
    <w:rsid w:val="00094C95"/>
    <w:rsid w:val="00095542"/>
    <w:rsid w:val="000957C7"/>
    <w:rsid w:val="0009593D"/>
    <w:rsid w:val="00095994"/>
    <w:rsid w:val="00095B9B"/>
    <w:rsid w:val="00095EAE"/>
    <w:rsid w:val="000966DF"/>
    <w:rsid w:val="000973D4"/>
    <w:rsid w:val="000A08F8"/>
    <w:rsid w:val="000A09BA"/>
    <w:rsid w:val="000A0B27"/>
    <w:rsid w:val="000A0EF8"/>
    <w:rsid w:val="000A11E5"/>
    <w:rsid w:val="000A1504"/>
    <w:rsid w:val="000A223C"/>
    <w:rsid w:val="000A24A2"/>
    <w:rsid w:val="000A2717"/>
    <w:rsid w:val="000A31AA"/>
    <w:rsid w:val="000A3D7A"/>
    <w:rsid w:val="000A4B00"/>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C9D"/>
    <w:rsid w:val="000B4FE9"/>
    <w:rsid w:val="000B60AE"/>
    <w:rsid w:val="000B6137"/>
    <w:rsid w:val="000B65B8"/>
    <w:rsid w:val="000B6AF4"/>
    <w:rsid w:val="000C0547"/>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C7F9C"/>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9DB"/>
    <w:rsid w:val="000D6A10"/>
    <w:rsid w:val="000D7BA9"/>
    <w:rsid w:val="000D7D03"/>
    <w:rsid w:val="000E01A4"/>
    <w:rsid w:val="000E01BB"/>
    <w:rsid w:val="000E0C38"/>
    <w:rsid w:val="000E0FEE"/>
    <w:rsid w:val="000E17A6"/>
    <w:rsid w:val="000E1875"/>
    <w:rsid w:val="000E1A89"/>
    <w:rsid w:val="000E1E08"/>
    <w:rsid w:val="000E29EA"/>
    <w:rsid w:val="000E2A07"/>
    <w:rsid w:val="000E36DE"/>
    <w:rsid w:val="000E3F9C"/>
    <w:rsid w:val="000E5C89"/>
    <w:rsid w:val="000E6E62"/>
    <w:rsid w:val="000E7A11"/>
    <w:rsid w:val="000E7B08"/>
    <w:rsid w:val="000E7BEE"/>
    <w:rsid w:val="000E7DEA"/>
    <w:rsid w:val="000E7EAF"/>
    <w:rsid w:val="000E7F1E"/>
    <w:rsid w:val="000F0017"/>
    <w:rsid w:val="000F01D5"/>
    <w:rsid w:val="000F0549"/>
    <w:rsid w:val="000F1A8B"/>
    <w:rsid w:val="000F1ED1"/>
    <w:rsid w:val="000F2021"/>
    <w:rsid w:val="000F21E5"/>
    <w:rsid w:val="000F24BF"/>
    <w:rsid w:val="000F2A62"/>
    <w:rsid w:val="000F39A1"/>
    <w:rsid w:val="000F3F24"/>
    <w:rsid w:val="000F44AE"/>
    <w:rsid w:val="000F4811"/>
    <w:rsid w:val="000F4FDE"/>
    <w:rsid w:val="000F5230"/>
    <w:rsid w:val="000F55CE"/>
    <w:rsid w:val="000F5A98"/>
    <w:rsid w:val="000F5C69"/>
    <w:rsid w:val="000F6CC6"/>
    <w:rsid w:val="000F6D58"/>
    <w:rsid w:val="000F6F44"/>
    <w:rsid w:val="000F7A0A"/>
    <w:rsid w:val="00100340"/>
    <w:rsid w:val="00100A0F"/>
    <w:rsid w:val="00100DD0"/>
    <w:rsid w:val="00100EF6"/>
    <w:rsid w:val="00101022"/>
    <w:rsid w:val="00101550"/>
    <w:rsid w:val="00101A88"/>
    <w:rsid w:val="00101D6F"/>
    <w:rsid w:val="00102B00"/>
    <w:rsid w:val="00103C81"/>
    <w:rsid w:val="00103FBC"/>
    <w:rsid w:val="00104153"/>
    <w:rsid w:val="001041BA"/>
    <w:rsid w:val="001045C4"/>
    <w:rsid w:val="0010489E"/>
    <w:rsid w:val="001048DC"/>
    <w:rsid w:val="00104B84"/>
    <w:rsid w:val="00104C6E"/>
    <w:rsid w:val="001052E7"/>
    <w:rsid w:val="001056FC"/>
    <w:rsid w:val="00105F3B"/>
    <w:rsid w:val="001069F0"/>
    <w:rsid w:val="00107541"/>
    <w:rsid w:val="0011054A"/>
    <w:rsid w:val="001113CC"/>
    <w:rsid w:val="00111483"/>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20269"/>
    <w:rsid w:val="001203C4"/>
    <w:rsid w:val="001205DF"/>
    <w:rsid w:val="00120DC2"/>
    <w:rsid w:val="00120EB2"/>
    <w:rsid w:val="00121314"/>
    <w:rsid w:val="001227DD"/>
    <w:rsid w:val="00122B8B"/>
    <w:rsid w:val="001235C7"/>
    <w:rsid w:val="001236B1"/>
    <w:rsid w:val="0012439E"/>
    <w:rsid w:val="00124AC7"/>
    <w:rsid w:val="00124DF5"/>
    <w:rsid w:val="00125E8C"/>
    <w:rsid w:val="0012633F"/>
    <w:rsid w:val="001266D0"/>
    <w:rsid w:val="00126796"/>
    <w:rsid w:val="00127283"/>
    <w:rsid w:val="00127394"/>
    <w:rsid w:val="00127E92"/>
    <w:rsid w:val="00130176"/>
    <w:rsid w:val="00130A54"/>
    <w:rsid w:val="00130C2C"/>
    <w:rsid w:val="00130D97"/>
    <w:rsid w:val="00130EE4"/>
    <w:rsid w:val="00130FD7"/>
    <w:rsid w:val="00131AAE"/>
    <w:rsid w:val="00131CC8"/>
    <w:rsid w:val="00131F71"/>
    <w:rsid w:val="00132E8E"/>
    <w:rsid w:val="00133161"/>
    <w:rsid w:val="001331DD"/>
    <w:rsid w:val="0013329C"/>
    <w:rsid w:val="001332D6"/>
    <w:rsid w:val="00133537"/>
    <w:rsid w:val="00133738"/>
    <w:rsid w:val="00133BBE"/>
    <w:rsid w:val="00133D43"/>
    <w:rsid w:val="001348A7"/>
    <w:rsid w:val="00135321"/>
    <w:rsid w:val="00137242"/>
    <w:rsid w:val="00137F7E"/>
    <w:rsid w:val="001400EA"/>
    <w:rsid w:val="00141351"/>
    <w:rsid w:val="0014177A"/>
    <w:rsid w:val="00141C8F"/>
    <w:rsid w:val="00141D40"/>
    <w:rsid w:val="001423F7"/>
    <w:rsid w:val="00142ED9"/>
    <w:rsid w:val="00143201"/>
    <w:rsid w:val="0014324D"/>
    <w:rsid w:val="001432C0"/>
    <w:rsid w:val="00143BE1"/>
    <w:rsid w:val="00144F52"/>
    <w:rsid w:val="0014543A"/>
    <w:rsid w:val="00145484"/>
    <w:rsid w:val="00145632"/>
    <w:rsid w:val="001456BD"/>
    <w:rsid w:val="00145D2A"/>
    <w:rsid w:val="001468EF"/>
    <w:rsid w:val="00147114"/>
    <w:rsid w:val="00147522"/>
    <w:rsid w:val="00147B3A"/>
    <w:rsid w:val="00147C8E"/>
    <w:rsid w:val="00150704"/>
    <w:rsid w:val="00150ECD"/>
    <w:rsid w:val="00151373"/>
    <w:rsid w:val="0015190A"/>
    <w:rsid w:val="00152233"/>
    <w:rsid w:val="0015237C"/>
    <w:rsid w:val="00152745"/>
    <w:rsid w:val="00153747"/>
    <w:rsid w:val="00153ED1"/>
    <w:rsid w:val="00154367"/>
    <w:rsid w:val="00154416"/>
    <w:rsid w:val="001544B2"/>
    <w:rsid w:val="00154A90"/>
    <w:rsid w:val="001553B5"/>
    <w:rsid w:val="001556E9"/>
    <w:rsid w:val="00155A2F"/>
    <w:rsid w:val="0015642B"/>
    <w:rsid w:val="001568D4"/>
    <w:rsid w:val="00157E9E"/>
    <w:rsid w:val="00160BC8"/>
    <w:rsid w:val="00161870"/>
    <w:rsid w:val="0016302E"/>
    <w:rsid w:val="00163230"/>
    <w:rsid w:val="0016347D"/>
    <w:rsid w:val="00163499"/>
    <w:rsid w:val="00163CF4"/>
    <w:rsid w:val="001642B0"/>
    <w:rsid w:val="001642D0"/>
    <w:rsid w:val="001647B3"/>
    <w:rsid w:val="00164C20"/>
    <w:rsid w:val="00165A93"/>
    <w:rsid w:val="00165B6E"/>
    <w:rsid w:val="00166EAA"/>
    <w:rsid w:val="00166EDE"/>
    <w:rsid w:val="00167210"/>
    <w:rsid w:val="00167886"/>
    <w:rsid w:val="00167E2A"/>
    <w:rsid w:val="00170781"/>
    <w:rsid w:val="00170865"/>
    <w:rsid w:val="0017119A"/>
    <w:rsid w:val="00171434"/>
    <w:rsid w:val="00171C3E"/>
    <w:rsid w:val="00172069"/>
    <w:rsid w:val="0017365C"/>
    <w:rsid w:val="00173868"/>
    <w:rsid w:val="00173D3B"/>
    <w:rsid w:val="00175206"/>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2676"/>
    <w:rsid w:val="00182F87"/>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6A07"/>
    <w:rsid w:val="0018784A"/>
    <w:rsid w:val="0019058B"/>
    <w:rsid w:val="00190DC4"/>
    <w:rsid w:val="00191383"/>
    <w:rsid w:val="0019173B"/>
    <w:rsid w:val="00191C0B"/>
    <w:rsid w:val="00192678"/>
    <w:rsid w:val="001928DB"/>
    <w:rsid w:val="001928E7"/>
    <w:rsid w:val="001940A1"/>
    <w:rsid w:val="00194770"/>
    <w:rsid w:val="001951C1"/>
    <w:rsid w:val="00195330"/>
    <w:rsid w:val="00195408"/>
    <w:rsid w:val="001954B8"/>
    <w:rsid w:val="0019588D"/>
    <w:rsid w:val="00195BED"/>
    <w:rsid w:val="0019638F"/>
    <w:rsid w:val="00196761"/>
    <w:rsid w:val="00196965"/>
    <w:rsid w:val="00196CB7"/>
    <w:rsid w:val="00196F34"/>
    <w:rsid w:val="001971E0"/>
    <w:rsid w:val="0019721D"/>
    <w:rsid w:val="001978EC"/>
    <w:rsid w:val="00197C2E"/>
    <w:rsid w:val="001A0370"/>
    <w:rsid w:val="001A0940"/>
    <w:rsid w:val="001A0C26"/>
    <w:rsid w:val="001A1572"/>
    <w:rsid w:val="001A1F77"/>
    <w:rsid w:val="001A2435"/>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D17"/>
    <w:rsid w:val="001B0E63"/>
    <w:rsid w:val="001B0E64"/>
    <w:rsid w:val="001B1F23"/>
    <w:rsid w:val="001B2B5A"/>
    <w:rsid w:val="001B3938"/>
    <w:rsid w:val="001B3C6F"/>
    <w:rsid w:val="001B426F"/>
    <w:rsid w:val="001B4527"/>
    <w:rsid w:val="001B5117"/>
    <w:rsid w:val="001B55D3"/>
    <w:rsid w:val="001B5942"/>
    <w:rsid w:val="001B5DD9"/>
    <w:rsid w:val="001B60B0"/>
    <w:rsid w:val="001B6539"/>
    <w:rsid w:val="001B658F"/>
    <w:rsid w:val="001B6602"/>
    <w:rsid w:val="001B6CA7"/>
    <w:rsid w:val="001B712A"/>
    <w:rsid w:val="001B7360"/>
    <w:rsid w:val="001B7446"/>
    <w:rsid w:val="001B7540"/>
    <w:rsid w:val="001C01C7"/>
    <w:rsid w:val="001C0200"/>
    <w:rsid w:val="001C0543"/>
    <w:rsid w:val="001C061F"/>
    <w:rsid w:val="001C0C8A"/>
    <w:rsid w:val="001C117B"/>
    <w:rsid w:val="001C18D9"/>
    <w:rsid w:val="001C19FA"/>
    <w:rsid w:val="001C2501"/>
    <w:rsid w:val="001C2767"/>
    <w:rsid w:val="001C2C9A"/>
    <w:rsid w:val="001C3010"/>
    <w:rsid w:val="001C314A"/>
    <w:rsid w:val="001C34CD"/>
    <w:rsid w:val="001C39B1"/>
    <w:rsid w:val="001C3E0F"/>
    <w:rsid w:val="001C409B"/>
    <w:rsid w:val="001C4C28"/>
    <w:rsid w:val="001C5023"/>
    <w:rsid w:val="001C511F"/>
    <w:rsid w:val="001C56DD"/>
    <w:rsid w:val="001C5BFB"/>
    <w:rsid w:val="001C5F26"/>
    <w:rsid w:val="001C75A9"/>
    <w:rsid w:val="001C7D63"/>
    <w:rsid w:val="001D016E"/>
    <w:rsid w:val="001D0348"/>
    <w:rsid w:val="001D0F23"/>
    <w:rsid w:val="001D1082"/>
    <w:rsid w:val="001D1A2A"/>
    <w:rsid w:val="001D21B6"/>
    <w:rsid w:val="001D306B"/>
    <w:rsid w:val="001D350E"/>
    <w:rsid w:val="001D3C2F"/>
    <w:rsid w:val="001D3EB6"/>
    <w:rsid w:val="001D412F"/>
    <w:rsid w:val="001D4161"/>
    <w:rsid w:val="001D4490"/>
    <w:rsid w:val="001D4A4C"/>
    <w:rsid w:val="001D4FB2"/>
    <w:rsid w:val="001D5068"/>
    <w:rsid w:val="001D5360"/>
    <w:rsid w:val="001D5FDC"/>
    <w:rsid w:val="001D62DB"/>
    <w:rsid w:val="001D63C8"/>
    <w:rsid w:val="001D6B9D"/>
    <w:rsid w:val="001D726B"/>
    <w:rsid w:val="001D771F"/>
    <w:rsid w:val="001D7D3E"/>
    <w:rsid w:val="001E0506"/>
    <w:rsid w:val="001E0698"/>
    <w:rsid w:val="001E1789"/>
    <w:rsid w:val="001E2B77"/>
    <w:rsid w:val="001E2DAB"/>
    <w:rsid w:val="001E30E6"/>
    <w:rsid w:val="001E31B9"/>
    <w:rsid w:val="001E3B18"/>
    <w:rsid w:val="001E3C81"/>
    <w:rsid w:val="001E4A13"/>
    <w:rsid w:val="001E528C"/>
    <w:rsid w:val="001E52A9"/>
    <w:rsid w:val="001E5C4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317"/>
    <w:rsid w:val="001F2419"/>
    <w:rsid w:val="001F4381"/>
    <w:rsid w:val="001F479E"/>
    <w:rsid w:val="001F480C"/>
    <w:rsid w:val="001F5134"/>
    <w:rsid w:val="001F5141"/>
    <w:rsid w:val="001F55A0"/>
    <w:rsid w:val="001F691A"/>
    <w:rsid w:val="001F697E"/>
    <w:rsid w:val="001F76F6"/>
    <w:rsid w:val="001F77AF"/>
    <w:rsid w:val="002002FE"/>
    <w:rsid w:val="00200DBA"/>
    <w:rsid w:val="00200E97"/>
    <w:rsid w:val="00201211"/>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736"/>
    <w:rsid w:val="00211D5D"/>
    <w:rsid w:val="00212407"/>
    <w:rsid w:val="00212A1D"/>
    <w:rsid w:val="00212E4C"/>
    <w:rsid w:val="002136E3"/>
    <w:rsid w:val="00213954"/>
    <w:rsid w:val="0021398C"/>
    <w:rsid w:val="00213A06"/>
    <w:rsid w:val="00213DFD"/>
    <w:rsid w:val="00214102"/>
    <w:rsid w:val="002144AE"/>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E1"/>
    <w:rsid w:val="00220E2F"/>
    <w:rsid w:val="00221059"/>
    <w:rsid w:val="00221080"/>
    <w:rsid w:val="00222502"/>
    <w:rsid w:val="00222A25"/>
    <w:rsid w:val="00222DED"/>
    <w:rsid w:val="00223158"/>
    <w:rsid w:val="002242AF"/>
    <w:rsid w:val="00224F57"/>
    <w:rsid w:val="00225746"/>
    <w:rsid w:val="00225955"/>
    <w:rsid w:val="002264D5"/>
    <w:rsid w:val="0022690C"/>
    <w:rsid w:val="00227189"/>
    <w:rsid w:val="0022730E"/>
    <w:rsid w:val="00227B79"/>
    <w:rsid w:val="002300C6"/>
    <w:rsid w:val="002300E1"/>
    <w:rsid w:val="002303C1"/>
    <w:rsid w:val="002304B6"/>
    <w:rsid w:val="0023271B"/>
    <w:rsid w:val="0023299B"/>
    <w:rsid w:val="00233196"/>
    <w:rsid w:val="002336F7"/>
    <w:rsid w:val="00234304"/>
    <w:rsid w:val="0023463B"/>
    <w:rsid w:val="002349FE"/>
    <w:rsid w:val="00234EF7"/>
    <w:rsid w:val="002355FD"/>
    <w:rsid w:val="00235783"/>
    <w:rsid w:val="00235A6F"/>
    <w:rsid w:val="00236104"/>
    <w:rsid w:val="00236D55"/>
    <w:rsid w:val="00237199"/>
    <w:rsid w:val="002372F4"/>
    <w:rsid w:val="0023751A"/>
    <w:rsid w:val="00237A0B"/>
    <w:rsid w:val="00237D66"/>
    <w:rsid w:val="00237D96"/>
    <w:rsid w:val="002400C1"/>
    <w:rsid w:val="00240846"/>
    <w:rsid w:val="002408A3"/>
    <w:rsid w:val="002409E6"/>
    <w:rsid w:val="00240AEE"/>
    <w:rsid w:val="00240E0B"/>
    <w:rsid w:val="00240E9B"/>
    <w:rsid w:val="00240F2E"/>
    <w:rsid w:val="0024226A"/>
    <w:rsid w:val="00243B4E"/>
    <w:rsid w:val="00243E03"/>
    <w:rsid w:val="00244022"/>
    <w:rsid w:val="00244EE6"/>
    <w:rsid w:val="00245261"/>
    <w:rsid w:val="0024530E"/>
    <w:rsid w:val="00245A2D"/>
    <w:rsid w:val="002461BB"/>
    <w:rsid w:val="002462FB"/>
    <w:rsid w:val="00246478"/>
    <w:rsid w:val="002464DD"/>
    <w:rsid w:val="00247398"/>
    <w:rsid w:val="002502A5"/>
    <w:rsid w:val="00250C42"/>
    <w:rsid w:val="002518C1"/>
    <w:rsid w:val="00252050"/>
    <w:rsid w:val="0025226C"/>
    <w:rsid w:val="00252BF2"/>
    <w:rsid w:val="002534DA"/>
    <w:rsid w:val="002535F1"/>
    <w:rsid w:val="00253712"/>
    <w:rsid w:val="002538DB"/>
    <w:rsid w:val="0025393E"/>
    <w:rsid w:val="00253D4C"/>
    <w:rsid w:val="0025421B"/>
    <w:rsid w:val="00254238"/>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6DE5"/>
    <w:rsid w:val="002679BD"/>
    <w:rsid w:val="00267D78"/>
    <w:rsid w:val="0027015E"/>
    <w:rsid w:val="002702FD"/>
    <w:rsid w:val="00270425"/>
    <w:rsid w:val="0027067A"/>
    <w:rsid w:val="002706C8"/>
    <w:rsid w:val="00271231"/>
    <w:rsid w:val="002733E2"/>
    <w:rsid w:val="00273D1C"/>
    <w:rsid w:val="00273FC8"/>
    <w:rsid w:val="002740A1"/>
    <w:rsid w:val="00274244"/>
    <w:rsid w:val="00274336"/>
    <w:rsid w:val="00274451"/>
    <w:rsid w:val="00274541"/>
    <w:rsid w:val="002753A6"/>
    <w:rsid w:val="002754D8"/>
    <w:rsid w:val="00275756"/>
    <w:rsid w:val="00275893"/>
    <w:rsid w:val="0027599C"/>
    <w:rsid w:val="002759A1"/>
    <w:rsid w:val="00275A59"/>
    <w:rsid w:val="002763D5"/>
    <w:rsid w:val="0027776E"/>
    <w:rsid w:val="002808D0"/>
    <w:rsid w:val="00280A1F"/>
    <w:rsid w:val="00280A2D"/>
    <w:rsid w:val="00281080"/>
    <w:rsid w:val="00281642"/>
    <w:rsid w:val="002816F6"/>
    <w:rsid w:val="00282325"/>
    <w:rsid w:val="0028241A"/>
    <w:rsid w:val="00282580"/>
    <w:rsid w:val="00282DD6"/>
    <w:rsid w:val="00283395"/>
    <w:rsid w:val="00283DED"/>
    <w:rsid w:val="002842CD"/>
    <w:rsid w:val="00284834"/>
    <w:rsid w:val="0028557C"/>
    <w:rsid w:val="002855C9"/>
    <w:rsid w:val="0028576F"/>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8BB"/>
    <w:rsid w:val="002A5B04"/>
    <w:rsid w:val="002A6138"/>
    <w:rsid w:val="002A6614"/>
    <w:rsid w:val="002A6CF9"/>
    <w:rsid w:val="002A6F8E"/>
    <w:rsid w:val="002A71EF"/>
    <w:rsid w:val="002A77C3"/>
    <w:rsid w:val="002A7872"/>
    <w:rsid w:val="002B0DEE"/>
    <w:rsid w:val="002B1668"/>
    <w:rsid w:val="002B23DF"/>
    <w:rsid w:val="002B288B"/>
    <w:rsid w:val="002B32EF"/>
    <w:rsid w:val="002B402A"/>
    <w:rsid w:val="002B4861"/>
    <w:rsid w:val="002B48B5"/>
    <w:rsid w:val="002B599D"/>
    <w:rsid w:val="002B5A9F"/>
    <w:rsid w:val="002B5C5E"/>
    <w:rsid w:val="002B6892"/>
    <w:rsid w:val="002B6902"/>
    <w:rsid w:val="002B6E17"/>
    <w:rsid w:val="002C036A"/>
    <w:rsid w:val="002C0420"/>
    <w:rsid w:val="002C149B"/>
    <w:rsid w:val="002C1B5E"/>
    <w:rsid w:val="002C1FE3"/>
    <w:rsid w:val="002C225E"/>
    <w:rsid w:val="002C2460"/>
    <w:rsid w:val="002C2701"/>
    <w:rsid w:val="002C2D41"/>
    <w:rsid w:val="002C2E16"/>
    <w:rsid w:val="002C3CAC"/>
    <w:rsid w:val="002C40EE"/>
    <w:rsid w:val="002C436E"/>
    <w:rsid w:val="002C4E05"/>
    <w:rsid w:val="002C5181"/>
    <w:rsid w:val="002C5358"/>
    <w:rsid w:val="002C55A1"/>
    <w:rsid w:val="002C57C0"/>
    <w:rsid w:val="002C6353"/>
    <w:rsid w:val="002C6C9C"/>
    <w:rsid w:val="002C6E0E"/>
    <w:rsid w:val="002C73F8"/>
    <w:rsid w:val="002C7882"/>
    <w:rsid w:val="002C7925"/>
    <w:rsid w:val="002C7BDD"/>
    <w:rsid w:val="002C7C8A"/>
    <w:rsid w:val="002C7DB1"/>
    <w:rsid w:val="002D04A9"/>
    <w:rsid w:val="002D0838"/>
    <w:rsid w:val="002D10EF"/>
    <w:rsid w:val="002D1E9D"/>
    <w:rsid w:val="002D202F"/>
    <w:rsid w:val="002D2237"/>
    <w:rsid w:val="002D2E8E"/>
    <w:rsid w:val="002D3343"/>
    <w:rsid w:val="002D39DC"/>
    <w:rsid w:val="002D4198"/>
    <w:rsid w:val="002D45BD"/>
    <w:rsid w:val="002D4962"/>
    <w:rsid w:val="002D497C"/>
    <w:rsid w:val="002D4DB5"/>
    <w:rsid w:val="002D5E3D"/>
    <w:rsid w:val="002D6698"/>
    <w:rsid w:val="002D677D"/>
    <w:rsid w:val="002D6B8E"/>
    <w:rsid w:val="002D6BAB"/>
    <w:rsid w:val="002D6F03"/>
    <w:rsid w:val="002D771E"/>
    <w:rsid w:val="002D7CD2"/>
    <w:rsid w:val="002D7F2F"/>
    <w:rsid w:val="002E0426"/>
    <w:rsid w:val="002E04EA"/>
    <w:rsid w:val="002E171C"/>
    <w:rsid w:val="002E193E"/>
    <w:rsid w:val="002E22F7"/>
    <w:rsid w:val="002E3786"/>
    <w:rsid w:val="002E39AA"/>
    <w:rsid w:val="002E3AA7"/>
    <w:rsid w:val="002E3E4E"/>
    <w:rsid w:val="002E3F83"/>
    <w:rsid w:val="002E4017"/>
    <w:rsid w:val="002E43D6"/>
    <w:rsid w:val="002E44F0"/>
    <w:rsid w:val="002E4561"/>
    <w:rsid w:val="002E4D99"/>
    <w:rsid w:val="002E5050"/>
    <w:rsid w:val="002E59FB"/>
    <w:rsid w:val="002E5BD1"/>
    <w:rsid w:val="002E5E93"/>
    <w:rsid w:val="002E5F17"/>
    <w:rsid w:val="002E6613"/>
    <w:rsid w:val="002E67CA"/>
    <w:rsid w:val="002E6BE7"/>
    <w:rsid w:val="002E7903"/>
    <w:rsid w:val="002F01B3"/>
    <w:rsid w:val="002F12CB"/>
    <w:rsid w:val="002F14EF"/>
    <w:rsid w:val="002F1841"/>
    <w:rsid w:val="002F1ECD"/>
    <w:rsid w:val="002F1F29"/>
    <w:rsid w:val="002F2FBC"/>
    <w:rsid w:val="002F33C5"/>
    <w:rsid w:val="002F3561"/>
    <w:rsid w:val="002F3591"/>
    <w:rsid w:val="002F3669"/>
    <w:rsid w:val="002F4BB7"/>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7C5"/>
    <w:rsid w:val="00303CCC"/>
    <w:rsid w:val="00303DED"/>
    <w:rsid w:val="00304499"/>
    <w:rsid w:val="00304743"/>
    <w:rsid w:val="003052D7"/>
    <w:rsid w:val="00305902"/>
    <w:rsid w:val="00305D3D"/>
    <w:rsid w:val="00305F28"/>
    <w:rsid w:val="00305F43"/>
    <w:rsid w:val="00307F1D"/>
    <w:rsid w:val="00310468"/>
    <w:rsid w:val="00310747"/>
    <w:rsid w:val="00310943"/>
    <w:rsid w:val="00310AED"/>
    <w:rsid w:val="00311059"/>
    <w:rsid w:val="00312026"/>
    <w:rsid w:val="00313AC0"/>
    <w:rsid w:val="00313E14"/>
    <w:rsid w:val="00314B05"/>
    <w:rsid w:val="0031502D"/>
    <w:rsid w:val="003152BB"/>
    <w:rsid w:val="00316286"/>
    <w:rsid w:val="00316A7C"/>
    <w:rsid w:val="00316B20"/>
    <w:rsid w:val="00316F90"/>
    <w:rsid w:val="003177F5"/>
    <w:rsid w:val="00317B16"/>
    <w:rsid w:val="00317CF8"/>
    <w:rsid w:val="0032015D"/>
    <w:rsid w:val="003201F0"/>
    <w:rsid w:val="003202AC"/>
    <w:rsid w:val="00320A3A"/>
    <w:rsid w:val="00320BCD"/>
    <w:rsid w:val="00321082"/>
    <w:rsid w:val="003217E4"/>
    <w:rsid w:val="003219B3"/>
    <w:rsid w:val="003222CC"/>
    <w:rsid w:val="00322655"/>
    <w:rsid w:val="003228AF"/>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0A2B"/>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2C"/>
    <w:rsid w:val="00337271"/>
    <w:rsid w:val="00337C72"/>
    <w:rsid w:val="00340540"/>
    <w:rsid w:val="0034083D"/>
    <w:rsid w:val="00340E71"/>
    <w:rsid w:val="003419F1"/>
    <w:rsid w:val="00341F06"/>
    <w:rsid w:val="00343B84"/>
    <w:rsid w:val="00343B9D"/>
    <w:rsid w:val="00343C1B"/>
    <w:rsid w:val="00344709"/>
    <w:rsid w:val="0034515D"/>
    <w:rsid w:val="0034522F"/>
    <w:rsid w:val="00345680"/>
    <w:rsid w:val="00345C11"/>
    <w:rsid w:val="00345C36"/>
    <w:rsid w:val="0034640B"/>
    <w:rsid w:val="003466B1"/>
    <w:rsid w:val="00347271"/>
    <w:rsid w:val="00347532"/>
    <w:rsid w:val="0035020A"/>
    <w:rsid w:val="00350D46"/>
    <w:rsid w:val="0035106E"/>
    <w:rsid w:val="00351466"/>
    <w:rsid w:val="0035186B"/>
    <w:rsid w:val="003519D2"/>
    <w:rsid w:val="00352751"/>
    <w:rsid w:val="003529F1"/>
    <w:rsid w:val="00352A24"/>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579EE"/>
    <w:rsid w:val="00360511"/>
    <w:rsid w:val="00360984"/>
    <w:rsid w:val="003611BD"/>
    <w:rsid w:val="0036184E"/>
    <w:rsid w:val="00361DD3"/>
    <w:rsid w:val="00361E00"/>
    <w:rsid w:val="0036228D"/>
    <w:rsid w:val="0036239E"/>
    <w:rsid w:val="003628D5"/>
    <w:rsid w:val="00362926"/>
    <w:rsid w:val="00362F11"/>
    <w:rsid w:val="00362F44"/>
    <w:rsid w:val="00363239"/>
    <w:rsid w:val="0036358E"/>
    <w:rsid w:val="0036453C"/>
    <w:rsid w:val="00364587"/>
    <w:rsid w:val="00364897"/>
    <w:rsid w:val="003648F9"/>
    <w:rsid w:val="003649B6"/>
    <w:rsid w:val="00364B80"/>
    <w:rsid w:val="00364F1E"/>
    <w:rsid w:val="00364FD2"/>
    <w:rsid w:val="003653C6"/>
    <w:rsid w:val="0036598D"/>
    <w:rsid w:val="00366369"/>
    <w:rsid w:val="00366C68"/>
    <w:rsid w:val="00370035"/>
    <w:rsid w:val="0037021C"/>
    <w:rsid w:val="003710E3"/>
    <w:rsid w:val="0037284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27D"/>
    <w:rsid w:val="00384BB0"/>
    <w:rsid w:val="0038643E"/>
    <w:rsid w:val="003865AB"/>
    <w:rsid w:val="00386ECF"/>
    <w:rsid w:val="003900A3"/>
    <w:rsid w:val="0039043D"/>
    <w:rsid w:val="00390808"/>
    <w:rsid w:val="00390C84"/>
    <w:rsid w:val="00391116"/>
    <w:rsid w:val="00391223"/>
    <w:rsid w:val="00391287"/>
    <w:rsid w:val="003913C0"/>
    <w:rsid w:val="00391FE4"/>
    <w:rsid w:val="00392004"/>
    <w:rsid w:val="00393519"/>
    <w:rsid w:val="00393710"/>
    <w:rsid w:val="00393D1C"/>
    <w:rsid w:val="00393EB4"/>
    <w:rsid w:val="00394135"/>
    <w:rsid w:val="0039461B"/>
    <w:rsid w:val="00395268"/>
    <w:rsid w:val="00395B8D"/>
    <w:rsid w:val="003964B3"/>
    <w:rsid w:val="00396967"/>
    <w:rsid w:val="00396A15"/>
    <w:rsid w:val="003973FB"/>
    <w:rsid w:val="00397E4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2D0"/>
    <w:rsid w:val="003A7520"/>
    <w:rsid w:val="003A7A5A"/>
    <w:rsid w:val="003A7DF2"/>
    <w:rsid w:val="003A7E56"/>
    <w:rsid w:val="003B1798"/>
    <w:rsid w:val="003B1D85"/>
    <w:rsid w:val="003B23B7"/>
    <w:rsid w:val="003B2665"/>
    <w:rsid w:val="003B2FB3"/>
    <w:rsid w:val="003B2FC7"/>
    <w:rsid w:val="003B301A"/>
    <w:rsid w:val="003B331E"/>
    <w:rsid w:val="003B36B6"/>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451"/>
    <w:rsid w:val="003C1EAE"/>
    <w:rsid w:val="003C1F92"/>
    <w:rsid w:val="003C2039"/>
    <w:rsid w:val="003C23EB"/>
    <w:rsid w:val="003C2522"/>
    <w:rsid w:val="003C2BA5"/>
    <w:rsid w:val="003C300B"/>
    <w:rsid w:val="003C3953"/>
    <w:rsid w:val="003C3FE6"/>
    <w:rsid w:val="003C47D4"/>
    <w:rsid w:val="003C4C07"/>
    <w:rsid w:val="003C4E03"/>
    <w:rsid w:val="003C6A3C"/>
    <w:rsid w:val="003C6C6F"/>
    <w:rsid w:val="003C6F0F"/>
    <w:rsid w:val="003C772D"/>
    <w:rsid w:val="003C7927"/>
    <w:rsid w:val="003C7FD8"/>
    <w:rsid w:val="003D0AF8"/>
    <w:rsid w:val="003D0B9A"/>
    <w:rsid w:val="003D131B"/>
    <w:rsid w:val="003D168A"/>
    <w:rsid w:val="003D1B7B"/>
    <w:rsid w:val="003D2B14"/>
    <w:rsid w:val="003D2B53"/>
    <w:rsid w:val="003D2E55"/>
    <w:rsid w:val="003D2EDB"/>
    <w:rsid w:val="003D35DA"/>
    <w:rsid w:val="003D3672"/>
    <w:rsid w:val="003D3DB0"/>
    <w:rsid w:val="003D4C38"/>
    <w:rsid w:val="003D51A3"/>
    <w:rsid w:val="003D542A"/>
    <w:rsid w:val="003D5C0A"/>
    <w:rsid w:val="003D6B87"/>
    <w:rsid w:val="003D73D7"/>
    <w:rsid w:val="003D7ADC"/>
    <w:rsid w:val="003E01CA"/>
    <w:rsid w:val="003E0BF7"/>
    <w:rsid w:val="003E0C04"/>
    <w:rsid w:val="003E0F8F"/>
    <w:rsid w:val="003E1671"/>
    <w:rsid w:val="003E2A93"/>
    <w:rsid w:val="003E2D2D"/>
    <w:rsid w:val="003E2EC5"/>
    <w:rsid w:val="003E308B"/>
    <w:rsid w:val="003E38D1"/>
    <w:rsid w:val="003E3B70"/>
    <w:rsid w:val="003E49DE"/>
    <w:rsid w:val="003E4A05"/>
    <w:rsid w:val="003E4B39"/>
    <w:rsid w:val="003E4EE4"/>
    <w:rsid w:val="003E5283"/>
    <w:rsid w:val="003E60D8"/>
    <w:rsid w:val="003E63CA"/>
    <w:rsid w:val="003E6547"/>
    <w:rsid w:val="003E7C0D"/>
    <w:rsid w:val="003F0019"/>
    <w:rsid w:val="003F03A3"/>
    <w:rsid w:val="003F09F9"/>
    <w:rsid w:val="003F126A"/>
    <w:rsid w:val="003F22CE"/>
    <w:rsid w:val="003F23FE"/>
    <w:rsid w:val="003F27FB"/>
    <w:rsid w:val="003F2812"/>
    <w:rsid w:val="003F3BCE"/>
    <w:rsid w:val="003F435A"/>
    <w:rsid w:val="003F44FB"/>
    <w:rsid w:val="003F4D9B"/>
    <w:rsid w:val="003F5F76"/>
    <w:rsid w:val="003F6B77"/>
    <w:rsid w:val="003F6F2C"/>
    <w:rsid w:val="003F7F4E"/>
    <w:rsid w:val="004001A1"/>
    <w:rsid w:val="0040081C"/>
    <w:rsid w:val="00400A47"/>
    <w:rsid w:val="00400AE5"/>
    <w:rsid w:val="00401DD7"/>
    <w:rsid w:val="00402527"/>
    <w:rsid w:val="00402950"/>
    <w:rsid w:val="00402B76"/>
    <w:rsid w:val="004036F7"/>
    <w:rsid w:val="00403FCE"/>
    <w:rsid w:val="004045E9"/>
    <w:rsid w:val="00404750"/>
    <w:rsid w:val="004051F2"/>
    <w:rsid w:val="0040629E"/>
    <w:rsid w:val="004065D0"/>
    <w:rsid w:val="00406E46"/>
    <w:rsid w:val="004078E9"/>
    <w:rsid w:val="0040797A"/>
    <w:rsid w:val="00410048"/>
    <w:rsid w:val="00410249"/>
    <w:rsid w:val="004103F1"/>
    <w:rsid w:val="0041050E"/>
    <w:rsid w:val="004109B5"/>
    <w:rsid w:val="00410E53"/>
    <w:rsid w:val="00411266"/>
    <w:rsid w:val="00411A15"/>
    <w:rsid w:val="00411B23"/>
    <w:rsid w:val="00411DDB"/>
    <w:rsid w:val="00412BFB"/>
    <w:rsid w:val="0041301B"/>
    <w:rsid w:val="00413318"/>
    <w:rsid w:val="004156A0"/>
    <w:rsid w:val="004157A2"/>
    <w:rsid w:val="00415951"/>
    <w:rsid w:val="00415A7D"/>
    <w:rsid w:val="00415D5A"/>
    <w:rsid w:val="004160C6"/>
    <w:rsid w:val="00416611"/>
    <w:rsid w:val="004166B0"/>
    <w:rsid w:val="00416C81"/>
    <w:rsid w:val="00417192"/>
    <w:rsid w:val="004172CF"/>
    <w:rsid w:val="0041767E"/>
    <w:rsid w:val="00417D3C"/>
    <w:rsid w:val="004203CE"/>
    <w:rsid w:val="0042045C"/>
    <w:rsid w:val="00420BC5"/>
    <w:rsid w:val="004219D0"/>
    <w:rsid w:val="00421A40"/>
    <w:rsid w:val="00422195"/>
    <w:rsid w:val="004222B8"/>
    <w:rsid w:val="004226D0"/>
    <w:rsid w:val="00422838"/>
    <w:rsid w:val="00422994"/>
    <w:rsid w:val="00422CCB"/>
    <w:rsid w:val="00423B18"/>
    <w:rsid w:val="00423B7E"/>
    <w:rsid w:val="00423BDD"/>
    <w:rsid w:val="0042440E"/>
    <w:rsid w:val="00424792"/>
    <w:rsid w:val="004249EF"/>
    <w:rsid w:val="00424ED5"/>
    <w:rsid w:val="00425A04"/>
    <w:rsid w:val="00426118"/>
    <w:rsid w:val="004268E8"/>
    <w:rsid w:val="0042696B"/>
    <w:rsid w:val="00426DEC"/>
    <w:rsid w:val="0042731A"/>
    <w:rsid w:val="0042740F"/>
    <w:rsid w:val="004300CC"/>
    <w:rsid w:val="00430644"/>
    <w:rsid w:val="0043076C"/>
    <w:rsid w:val="00430F0A"/>
    <w:rsid w:val="00430F55"/>
    <w:rsid w:val="0043118F"/>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54FC"/>
    <w:rsid w:val="004374EC"/>
    <w:rsid w:val="004377CE"/>
    <w:rsid w:val="00437B62"/>
    <w:rsid w:val="00437BB3"/>
    <w:rsid w:val="00437EB9"/>
    <w:rsid w:val="0044034D"/>
    <w:rsid w:val="00441705"/>
    <w:rsid w:val="00441B92"/>
    <w:rsid w:val="0044204F"/>
    <w:rsid w:val="0044241A"/>
    <w:rsid w:val="00442A7C"/>
    <w:rsid w:val="00442C72"/>
    <w:rsid w:val="00442D07"/>
    <w:rsid w:val="0044316A"/>
    <w:rsid w:val="0044337C"/>
    <w:rsid w:val="00444302"/>
    <w:rsid w:val="004445A1"/>
    <w:rsid w:val="00444883"/>
    <w:rsid w:val="00444F07"/>
    <w:rsid w:val="0044533E"/>
    <w:rsid w:val="004453F3"/>
    <w:rsid w:val="0044548E"/>
    <w:rsid w:val="004458A7"/>
    <w:rsid w:val="00446FA1"/>
    <w:rsid w:val="00447EF9"/>
    <w:rsid w:val="004500B3"/>
    <w:rsid w:val="0045092E"/>
    <w:rsid w:val="00450C2E"/>
    <w:rsid w:val="00451077"/>
    <w:rsid w:val="00451487"/>
    <w:rsid w:val="004516B0"/>
    <w:rsid w:val="004523B6"/>
    <w:rsid w:val="00452447"/>
    <w:rsid w:val="00452603"/>
    <w:rsid w:val="004535C9"/>
    <w:rsid w:val="00453BE5"/>
    <w:rsid w:val="00453D86"/>
    <w:rsid w:val="00455075"/>
    <w:rsid w:val="0045580F"/>
    <w:rsid w:val="00456586"/>
    <w:rsid w:val="00456E66"/>
    <w:rsid w:val="00457053"/>
    <w:rsid w:val="004575A5"/>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49C"/>
    <w:rsid w:val="0046679E"/>
    <w:rsid w:val="00466B93"/>
    <w:rsid w:val="004703C0"/>
    <w:rsid w:val="00470A1F"/>
    <w:rsid w:val="00470D8C"/>
    <w:rsid w:val="00470F8C"/>
    <w:rsid w:val="00471124"/>
    <w:rsid w:val="00471B14"/>
    <w:rsid w:val="00472224"/>
    <w:rsid w:val="0047245F"/>
    <w:rsid w:val="00472A6F"/>
    <w:rsid w:val="00472BB5"/>
    <w:rsid w:val="00472E09"/>
    <w:rsid w:val="0047324D"/>
    <w:rsid w:val="00473AB2"/>
    <w:rsid w:val="00473C94"/>
    <w:rsid w:val="004740AE"/>
    <w:rsid w:val="004744DB"/>
    <w:rsid w:val="00474849"/>
    <w:rsid w:val="00474BB0"/>
    <w:rsid w:val="004753F9"/>
    <w:rsid w:val="00475FBB"/>
    <w:rsid w:val="0047633C"/>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51A7"/>
    <w:rsid w:val="00485D02"/>
    <w:rsid w:val="004867CB"/>
    <w:rsid w:val="00486A0D"/>
    <w:rsid w:val="00486B88"/>
    <w:rsid w:val="00486EB8"/>
    <w:rsid w:val="00487892"/>
    <w:rsid w:val="00487AE6"/>
    <w:rsid w:val="00487DBB"/>
    <w:rsid w:val="00490A17"/>
    <w:rsid w:val="00490B2B"/>
    <w:rsid w:val="0049127E"/>
    <w:rsid w:val="004914DE"/>
    <w:rsid w:val="00491EF6"/>
    <w:rsid w:val="00491F25"/>
    <w:rsid w:val="00492206"/>
    <w:rsid w:val="00492A0C"/>
    <w:rsid w:val="004933EE"/>
    <w:rsid w:val="004936EA"/>
    <w:rsid w:val="00495508"/>
    <w:rsid w:val="004959BA"/>
    <w:rsid w:val="00495B65"/>
    <w:rsid w:val="00495EFF"/>
    <w:rsid w:val="00495F27"/>
    <w:rsid w:val="004964B2"/>
    <w:rsid w:val="004966DC"/>
    <w:rsid w:val="004967A5"/>
    <w:rsid w:val="00496AD9"/>
    <w:rsid w:val="00496FCA"/>
    <w:rsid w:val="0049727B"/>
    <w:rsid w:val="00497415"/>
    <w:rsid w:val="004979BF"/>
    <w:rsid w:val="00497F58"/>
    <w:rsid w:val="004A01DD"/>
    <w:rsid w:val="004A052B"/>
    <w:rsid w:val="004A1AB6"/>
    <w:rsid w:val="004A20B5"/>
    <w:rsid w:val="004A2132"/>
    <w:rsid w:val="004A349B"/>
    <w:rsid w:val="004A4210"/>
    <w:rsid w:val="004A4536"/>
    <w:rsid w:val="004A51B7"/>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91D"/>
    <w:rsid w:val="004C7B8F"/>
    <w:rsid w:val="004C7C0B"/>
    <w:rsid w:val="004D0CD6"/>
    <w:rsid w:val="004D1D07"/>
    <w:rsid w:val="004D1F65"/>
    <w:rsid w:val="004D21B5"/>
    <w:rsid w:val="004D21BE"/>
    <w:rsid w:val="004D2264"/>
    <w:rsid w:val="004D273B"/>
    <w:rsid w:val="004D2A5A"/>
    <w:rsid w:val="004D2B58"/>
    <w:rsid w:val="004D3220"/>
    <w:rsid w:val="004D3418"/>
    <w:rsid w:val="004D368E"/>
    <w:rsid w:val="004D3C14"/>
    <w:rsid w:val="004D3EA1"/>
    <w:rsid w:val="004D3EE4"/>
    <w:rsid w:val="004D41C2"/>
    <w:rsid w:val="004D4656"/>
    <w:rsid w:val="004D4C57"/>
    <w:rsid w:val="004D5131"/>
    <w:rsid w:val="004D51C0"/>
    <w:rsid w:val="004D527D"/>
    <w:rsid w:val="004D6237"/>
    <w:rsid w:val="004D68ED"/>
    <w:rsid w:val="004D6D4D"/>
    <w:rsid w:val="004D6E04"/>
    <w:rsid w:val="004D70E2"/>
    <w:rsid w:val="004E0585"/>
    <w:rsid w:val="004E075A"/>
    <w:rsid w:val="004E153C"/>
    <w:rsid w:val="004E18B1"/>
    <w:rsid w:val="004E2018"/>
    <w:rsid w:val="004E210B"/>
    <w:rsid w:val="004E22C8"/>
    <w:rsid w:val="004E22EC"/>
    <w:rsid w:val="004E2505"/>
    <w:rsid w:val="004E259D"/>
    <w:rsid w:val="004E278C"/>
    <w:rsid w:val="004E2C24"/>
    <w:rsid w:val="004E2DA4"/>
    <w:rsid w:val="004E4061"/>
    <w:rsid w:val="004E4292"/>
    <w:rsid w:val="004E5731"/>
    <w:rsid w:val="004E6128"/>
    <w:rsid w:val="004E7007"/>
    <w:rsid w:val="004E7B4F"/>
    <w:rsid w:val="004F0327"/>
    <w:rsid w:val="004F03A0"/>
    <w:rsid w:val="004F0439"/>
    <w:rsid w:val="004F0659"/>
    <w:rsid w:val="004F0C74"/>
    <w:rsid w:val="004F1317"/>
    <w:rsid w:val="004F221B"/>
    <w:rsid w:val="004F2725"/>
    <w:rsid w:val="004F2841"/>
    <w:rsid w:val="004F319E"/>
    <w:rsid w:val="004F3423"/>
    <w:rsid w:val="004F3553"/>
    <w:rsid w:val="004F36CA"/>
    <w:rsid w:val="004F3AE5"/>
    <w:rsid w:val="004F4191"/>
    <w:rsid w:val="004F419E"/>
    <w:rsid w:val="004F457F"/>
    <w:rsid w:val="004F45E0"/>
    <w:rsid w:val="004F544A"/>
    <w:rsid w:val="004F55B9"/>
    <w:rsid w:val="004F5DB6"/>
    <w:rsid w:val="004F6899"/>
    <w:rsid w:val="004F6BF6"/>
    <w:rsid w:val="004F6E37"/>
    <w:rsid w:val="004F7254"/>
    <w:rsid w:val="004F7AFE"/>
    <w:rsid w:val="004F7E3B"/>
    <w:rsid w:val="00500138"/>
    <w:rsid w:val="0050032B"/>
    <w:rsid w:val="0050101E"/>
    <w:rsid w:val="0050115B"/>
    <w:rsid w:val="005011D7"/>
    <w:rsid w:val="00501DBA"/>
    <w:rsid w:val="00502FF2"/>
    <w:rsid w:val="005030C9"/>
    <w:rsid w:val="005039A5"/>
    <w:rsid w:val="00503D6C"/>
    <w:rsid w:val="00504573"/>
    <w:rsid w:val="00504740"/>
    <w:rsid w:val="00504D02"/>
    <w:rsid w:val="00504E35"/>
    <w:rsid w:val="005050D4"/>
    <w:rsid w:val="0050555E"/>
    <w:rsid w:val="005059A9"/>
    <w:rsid w:val="00505BB1"/>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F88"/>
    <w:rsid w:val="00513037"/>
    <w:rsid w:val="005134B4"/>
    <w:rsid w:val="005134C6"/>
    <w:rsid w:val="00513F0A"/>
    <w:rsid w:val="00513F8E"/>
    <w:rsid w:val="005142BD"/>
    <w:rsid w:val="0051456E"/>
    <w:rsid w:val="005146BF"/>
    <w:rsid w:val="005146F7"/>
    <w:rsid w:val="005153E3"/>
    <w:rsid w:val="005158C2"/>
    <w:rsid w:val="00515A27"/>
    <w:rsid w:val="00515EDE"/>
    <w:rsid w:val="00516197"/>
    <w:rsid w:val="0051628B"/>
    <w:rsid w:val="00516DA3"/>
    <w:rsid w:val="00516E14"/>
    <w:rsid w:val="00517126"/>
    <w:rsid w:val="00517351"/>
    <w:rsid w:val="0051736E"/>
    <w:rsid w:val="0051792D"/>
    <w:rsid w:val="00517AB9"/>
    <w:rsid w:val="00517DE1"/>
    <w:rsid w:val="00520387"/>
    <w:rsid w:val="00521E28"/>
    <w:rsid w:val="00521EED"/>
    <w:rsid w:val="005220C5"/>
    <w:rsid w:val="00522334"/>
    <w:rsid w:val="00522848"/>
    <w:rsid w:val="00522995"/>
    <w:rsid w:val="00522A08"/>
    <w:rsid w:val="005235D6"/>
    <w:rsid w:val="00523825"/>
    <w:rsid w:val="00523840"/>
    <w:rsid w:val="00523B74"/>
    <w:rsid w:val="00523B97"/>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B68"/>
    <w:rsid w:val="00535EFA"/>
    <w:rsid w:val="005362DD"/>
    <w:rsid w:val="005368DE"/>
    <w:rsid w:val="005400A2"/>
    <w:rsid w:val="00540A53"/>
    <w:rsid w:val="0054174A"/>
    <w:rsid w:val="00542C9C"/>
    <w:rsid w:val="0054374C"/>
    <w:rsid w:val="00543A81"/>
    <w:rsid w:val="00544CE1"/>
    <w:rsid w:val="005451A6"/>
    <w:rsid w:val="0054583B"/>
    <w:rsid w:val="00545BFC"/>
    <w:rsid w:val="00546C51"/>
    <w:rsid w:val="00547395"/>
    <w:rsid w:val="005476FC"/>
    <w:rsid w:val="005479EA"/>
    <w:rsid w:val="00547B2C"/>
    <w:rsid w:val="00550637"/>
    <w:rsid w:val="00550732"/>
    <w:rsid w:val="00551172"/>
    <w:rsid w:val="005515E6"/>
    <w:rsid w:val="00551A4D"/>
    <w:rsid w:val="00551DF1"/>
    <w:rsid w:val="0055290D"/>
    <w:rsid w:val="00552F63"/>
    <w:rsid w:val="005531A6"/>
    <w:rsid w:val="00553567"/>
    <w:rsid w:val="00553981"/>
    <w:rsid w:val="005543FF"/>
    <w:rsid w:val="005546CE"/>
    <w:rsid w:val="005546DD"/>
    <w:rsid w:val="00554DE2"/>
    <w:rsid w:val="00555125"/>
    <w:rsid w:val="0055530F"/>
    <w:rsid w:val="00555376"/>
    <w:rsid w:val="0055548F"/>
    <w:rsid w:val="00555BEA"/>
    <w:rsid w:val="00556CE5"/>
    <w:rsid w:val="00557540"/>
    <w:rsid w:val="00560672"/>
    <w:rsid w:val="00560B3F"/>
    <w:rsid w:val="005613DD"/>
    <w:rsid w:val="00561932"/>
    <w:rsid w:val="00561CE4"/>
    <w:rsid w:val="00562BEB"/>
    <w:rsid w:val="00563091"/>
    <w:rsid w:val="00563935"/>
    <w:rsid w:val="00563A75"/>
    <w:rsid w:val="00563B54"/>
    <w:rsid w:val="00563ECF"/>
    <w:rsid w:val="0056466C"/>
    <w:rsid w:val="00565D73"/>
    <w:rsid w:val="00565F64"/>
    <w:rsid w:val="00565F7C"/>
    <w:rsid w:val="0056669E"/>
    <w:rsid w:val="00566CFF"/>
    <w:rsid w:val="0056770B"/>
    <w:rsid w:val="00570AD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6E7C"/>
    <w:rsid w:val="0057704A"/>
    <w:rsid w:val="00577147"/>
    <w:rsid w:val="0057728A"/>
    <w:rsid w:val="00577491"/>
    <w:rsid w:val="0058125D"/>
    <w:rsid w:val="00581BC1"/>
    <w:rsid w:val="00582D5B"/>
    <w:rsid w:val="00583084"/>
    <w:rsid w:val="00583680"/>
    <w:rsid w:val="005837CE"/>
    <w:rsid w:val="00583B37"/>
    <w:rsid w:val="00583F15"/>
    <w:rsid w:val="0058455C"/>
    <w:rsid w:val="005846DA"/>
    <w:rsid w:val="0058526D"/>
    <w:rsid w:val="005852A6"/>
    <w:rsid w:val="00585D7E"/>
    <w:rsid w:val="0058662E"/>
    <w:rsid w:val="00586950"/>
    <w:rsid w:val="00586B29"/>
    <w:rsid w:val="00586CF2"/>
    <w:rsid w:val="00586D7A"/>
    <w:rsid w:val="0058717C"/>
    <w:rsid w:val="005875A5"/>
    <w:rsid w:val="0058798B"/>
    <w:rsid w:val="00587EF8"/>
    <w:rsid w:val="005900AF"/>
    <w:rsid w:val="0059055E"/>
    <w:rsid w:val="00590C75"/>
    <w:rsid w:val="0059116B"/>
    <w:rsid w:val="00591A62"/>
    <w:rsid w:val="00591CA1"/>
    <w:rsid w:val="00591EB1"/>
    <w:rsid w:val="00591FE6"/>
    <w:rsid w:val="005925F4"/>
    <w:rsid w:val="005928D5"/>
    <w:rsid w:val="00593479"/>
    <w:rsid w:val="005934B4"/>
    <w:rsid w:val="00593F20"/>
    <w:rsid w:val="00595D44"/>
    <w:rsid w:val="00596AA7"/>
    <w:rsid w:val="00596C4E"/>
    <w:rsid w:val="005973E2"/>
    <w:rsid w:val="00597D1C"/>
    <w:rsid w:val="00597D7D"/>
    <w:rsid w:val="00597E37"/>
    <w:rsid w:val="00597E85"/>
    <w:rsid w:val="00597EAC"/>
    <w:rsid w:val="005A017A"/>
    <w:rsid w:val="005A0808"/>
    <w:rsid w:val="005A136B"/>
    <w:rsid w:val="005A13A9"/>
    <w:rsid w:val="005A201D"/>
    <w:rsid w:val="005A2638"/>
    <w:rsid w:val="005A2C2A"/>
    <w:rsid w:val="005A3465"/>
    <w:rsid w:val="005A35E0"/>
    <w:rsid w:val="005A43F2"/>
    <w:rsid w:val="005A458D"/>
    <w:rsid w:val="005A47C2"/>
    <w:rsid w:val="005A4E06"/>
    <w:rsid w:val="005A509E"/>
    <w:rsid w:val="005A526B"/>
    <w:rsid w:val="005A664A"/>
    <w:rsid w:val="005A66A1"/>
    <w:rsid w:val="005A7418"/>
    <w:rsid w:val="005A7745"/>
    <w:rsid w:val="005B1E07"/>
    <w:rsid w:val="005B1FA4"/>
    <w:rsid w:val="005B2ACB"/>
    <w:rsid w:val="005B2D2C"/>
    <w:rsid w:val="005B3013"/>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4E2"/>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0F0"/>
    <w:rsid w:val="005E1CB0"/>
    <w:rsid w:val="005E2062"/>
    <w:rsid w:val="005E2B27"/>
    <w:rsid w:val="005E32D2"/>
    <w:rsid w:val="005E3478"/>
    <w:rsid w:val="005E3805"/>
    <w:rsid w:val="005E391F"/>
    <w:rsid w:val="005E39CD"/>
    <w:rsid w:val="005E3E2C"/>
    <w:rsid w:val="005E456B"/>
    <w:rsid w:val="005E4B70"/>
    <w:rsid w:val="005E4B7C"/>
    <w:rsid w:val="005E51B5"/>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664"/>
    <w:rsid w:val="005F2B53"/>
    <w:rsid w:val="005F2B79"/>
    <w:rsid w:val="005F3523"/>
    <w:rsid w:val="005F3FD8"/>
    <w:rsid w:val="005F4916"/>
    <w:rsid w:val="005F4926"/>
    <w:rsid w:val="005F4D20"/>
    <w:rsid w:val="005F503C"/>
    <w:rsid w:val="005F514B"/>
    <w:rsid w:val="005F5535"/>
    <w:rsid w:val="005F5AF0"/>
    <w:rsid w:val="005F6203"/>
    <w:rsid w:val="005F6FC1"/>
    <w:rsid w:val="00600194"/>
    <w:rsid w:val="00600A30"/>
    <w:rsid w:val="00600A46"/>
    <w:rsid w:val="00600C71"/>
    <w:rsid w:val="00601B2E"/>
    <w:rsid w:val="00601B6C"/>
    <w:rsid w:val="00602004"/>
    <w:rsid w:val="0060207A"/>
    <w:rsid w:val="00602782"/>
    <w:rsid w:val="006027A4"/>
    <w:rsid w:val="00602CC3"/>
    <w:rsid w:val="00602F41"/>
    <w:rsid w:val="00603281"/>
    <w:rsid w:val="00603A7C"/>
    <w:rsid w:val="00603CBA"/>
    <w:rsid w:val="006040FD"/>
    <w:rsid w:val="0060419A"/>
    <w:rsid w:val="0060427E"/>
    <w:rsid w:val="0060468A"/>
    <w:rsid w:val="00604DAB"/>
    <w:rsid w:val="006059DE"/>
    <w:rsid w:val="006063D9"/>
    <w:rsid w:val="0060688E"/>
    <w:rsid w:val="00606BDD"/>
    <w:rsid w:val="00606D84"/>
    <w:rsid w:val="00606FF0"/>
    <w:rsid w:val="006070A8"/>
    <w:rsid w:val="00607219"/>
    <w:rsid w:val="0061033D"/>
    <w:rsid w:val="00610671"/>
    <w:rsid w:val="006109ED"/>
    <w:rsid w:val="006110EC"/>
    <w:rsid w:val="006115A3"/>
    <w:rsid w:val="00611CB0"/>
    <w:rsid w:val="00611FD5"/>
    <w:rsid w:val="006120B9"/>
    <w:rsid w:val="006125F2"/>
    <w:rsid w:val="006126BF"/>
    <w:rsid w:val="00612CB2"/>
    <w:rsid w:val="00613674"/>
    <w:rsid w:val="006149B4"/>
    <w:rsid w:val="00615173"/>
    <w:rsid w:val="0061564A"/>
    <w:rsid w:val="006156B8"/>
    <w:rsid w:val="006158F4"/>
    <w:rsid w:val="00615D3F"/>
    <w:rsid w:val="00615D72"/>
    <w:rsid w:val="00615F3B"/>
    <w:rsid w:val="00616052"/>
    <w:rsid w:val="00616842"/>
    <w:rsid w:val="00617785"/>
    <w:rsid w:val="006178DB"/>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6BF"/>
    <w:rsid w:val="00626C50"/>
    <w:rsid w:val="00626D7E"/>
    <w:rsid w:val="00626E58"/>
    <w:rsid w:val="00627100"/>
    <w:rsid w:val="00627409"/>
    <w:rsid w:val="00627530"/>
    <w:rsid w:val="00627C51"/>
    <w:rsid w:val="006304CC"/>
    <w:rsid w:val="00630A18"/>
    <w:rsid w:val="00631612"/>
    <w:rsid w:val="006323D0"/>
    <w:rsid w:val="006328B3"/>
    <w:rsid w:val="00632F53"/>
    <w:rsid w:val="006333FC"/>
    <w:rsid w:val="00634222"/>
    <w:rsid w:val="00634306"/>
    <w:rsid w:val="006348E9"/>
    <w:rsid w:val="0063492C"/>
    <w:rsid w:val="00634D8E"/>
    <w:rsid w:val="00634ED9"/>
    <w:rsid w:val="00636704"/>
    <w:rsid w:val="006403F1"/>
    <w:rsid w:val="006406D4"/>
    <w:rsid w:val="00640A34"/>
    <w:rsid w:val="00640BB7"/>
    <w:rsid w:val="00640DBF"/>
    <w:rsid w:val="00641250"/>
    <w:rsid w:val="006415D1"/>
    <w:rsid w:val="0064169C"/>
    <w:rsid w:val="006416DA"/>
    <w:rsid w:val="006418C3"/>
    <w:rsid w:val="006418D9"/>
    <w:rsid w:val="00642DDB"/>
    <w:rsid w:val="0064317F"/>
    <w:rsid w:val="006435E4"/>
    <w:rsid w:val="00643CA0"/>
    <w:rsid w:val="00643CA2"/>
    <w:rsid w:val="00645FE2"/>
    <w:rsid w:val="00646048"/>
    <w:rsid w:val="006469B9"/>
    <w:rsid w:val="00646AF2"/>
    <w:rsid w:val="00646E65"/>
    <w:rsid w:val="006474AC"/>
    <w:rsid w:val="006474E3"/>
    <w:rsid w:val="0064770C"/>
    <w:rsid w:val="0064799F"/>
    <w:rsid w:val="006504EC"/>
    <w:rsid w:val="00650E10"/>
    <w:rsid w:val="006514C3"/>
    <w:rsid w:val="006515F1"/>
    <w:rsid w:val="00651B56"/>
    <w:rsid w:val="00651DBA"/>
    <w:rsid w:val="0065245D"/>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42F"/>
    <w:rsid w:val="0066563D"/>
    <w:rsid w:val="006659AB"/>
    <w:rsid w:val="00665D19"/>
    <w:rsid w:val="00666109"/>
    <w:rsid w:val="006662E9"/>
    <w:rsid w:val="00666912"/>
    <w:rsid w:val="00666B79"/>
    <w:rsid w:val="006673C4"/>
    <w:rsid w:val="00667671"/>
    <w:rsid w:val="00667A25"/>
    <w:rsid w:val="00670631"/>
    <w:rsid w:val="00670805"/>
    <w:rsid w:val="00670DD6"/>
    <w:rsid w:val="00671C67"/>
    <w:rsid w:val="00672059"/>
    <w:rsid w:val="006720D3"/>
    <w:rsid w:val="006728EE"/>
    <w:rsid w:val="00672BEB"/>
    <w:rsid w:val="00673A37"/>
    <w:rsid w:val="00673DE0"/>
    <w:rsid w:val="00674957"/>
    <w:rsid w:val="00675263"/>
    <w:rsid w:val="006752F0"/>
    <w:rsid w:val="00675542"/>
    <w:rsid w:val="00675717"/>
    <w:rsid w:val="0067598C"/>
    <w:rsid w:val="00675A96"/>
    <w:rsid w:val="00675AD1"/>
    <w:rsid w:val="00675C3A"/>
    <w:rsid w:val="00676091"/>
    <w:rsid w:val="006760BA"/>
    <w:rsid w:val="00676C5B"/>
    <w:rsid w:val="006773E7"/>
    <w:rsid w:val="006778CB"/>
    <w:rsid w:val="006778F6"/>
    <w:rsid w:val="00677B47"/>
    <w:rsid w:val="00680396"/>
    <w:rsid w:val="00680621"/>
    <w:rsid w:val="006806D1"/>
    <w:rsid w:val="00680E87"/>
    <w:rsid w:val="006812F2"/>
    <w:rsid w:val="00681351"/>
    <w:rsid w:val="0068149B"/>
    <w:rsid w:val="0068168E"/>
    <w:rsid w:val="00681842"/>
    <w:rsid w:val="006819AF"/>
    <w:rsid w:val="00682BCD"/>
    <w:rsid w:val="00682FA4"/>
    <w:rsid w:val="006834F6"/>
    <w:rsid w:val="00683CAF"/>
    <w:rsid w:val="006842F0"/>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CB8"/>
    <w:rsid w:val="00687E38"/>
    <w:rsid w:val="006902AE"/>
    <w:rsid w:val="00690CF0"/>
    <w:rsid w:val="00690EEC"/>
    <w:rsid w:val="00690F9D"/>
    <w:rsid w:val="006912B3"/>
    <w:rsid w:val="0069141B"/>
    <w:rsid w:val="00691A97"/>
    <w:rsid w:val="006927CE"/>
    <w:rsid w:val="00692978"/>
    <w:rsid w:val="0069304B"/>
    <w:rsid w:val="0069326F"/>
    <w:rsid w:val="0069446F"/>
    <w:rsid w:val="00694640"/>
    <w:rsid w:val="0069491F"/>
    <w:rsid w:val="00694D25"/>
    <w:rsid w:val="00694F80"/>
    <w:rsid w:val="006953ED"/>
    <w:rsid w:val="00695680"/>
    <w:rsid w:val="00695CF1"/>
    <w:rsid w:val="006965CE"/>
    <w:rsid w:val="00696B30"/>
    <w:rsid w:val="00697714"/>
    <w:rsid w:val="006978CA"/>
    <w:rsid w:val="00697A2E"/>
    <w:rsid w:val="00697D1D"/>
    <w:rsid w:val="006A0C5D"/>
    <w:rsid w:val="006A0F08"/>
    <w:rsid w:val="006A0F7B"/>
    <w:rsid w:val="006A16BD"/>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88"/>
    <w:rsid w:val="006A61F8"/>
    <w:rsid w:val="006A6AA0"/>
    <w:rsid w:val="006A6C83"/>
    <w:rsid w:val="006A6CBA"/>
    <w:rsid w:val="006A6D8D"/>
    <w:rsid w:val="006A7504"/>
    <w:rsid w:val="006A7615"/>
    <w:rsid w:val="006A7A3D"/>
    <w:rsid w:val="006A7AF5"/>
    <w:rsid w:val="006B13AA"/>
    <w:rsid w:val="006B1E06"/>
    <w:rsid w:val="006B2A9B"/>
    <w:rsid w:val="006B2F9D"/>
    <w:rsid w:val="006B47FC"/>
    <w:rsid w:val="006B5233"/>
    <w:rsid w:val="006B54FD"/>
    <w:rsid w:val="006B5582"/>
    <w:rsid w:val="006B5A93"/>
    <w:rsid w:val="006B5EED"/>
    <w:rsid w:val="006B6BCA"/>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39A7"/>
    <w:rsid w:val="006C4196"/>
    <w:rsid w:val="006C4492"/>
    <w:rsid w:val="006C4B9E"/>
    <w:rsid w:val="006C5491"/>
    <w:rsid w:val="006C5731"/>
    <w:rsid w:val="006C606A"/>
    <w:rsid w:val="006C6387"/>
    <w:rsid w:val="006C6B28"/>
    <w:rsid w:val="006C6D34"/>
    <w:rsid w:val="006C71A6"/>
    <w:rsid w:val="006C73DA"/>
    <w:rsid w:val="006C784B"/>
    <w:rsid w:val="006C79E3"/>
    <w:rsid w:val="006C7D99"/>
    <w:rsid w:val="006D06F4"/>
    <w:rsid w:val="006D0CBD"/>
    <w:rsid w:val="006D0E71"/>
    <w:rsid w:val="006D1171"/>
    <w:rsid w:val="006D1652"/>
    <w:rsid w:val="006D1F55"/>
    <w:rsid w:val="006D2925"/>
    <w:rsid w:val="006D311A"/>
    <w:rsid w:val="006D3810"/>
    <w:rsid w:val="006D39A7"/>
    <w:rsid w:val="006D3DB4"/>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91B"/>
    <w:rsid w:val="006E3F03"/>
    <w:rsid w:val="006E3FCA"/>
    <w:rsid w:val="006E40D2"/>
    <w:rsid w:val="006E422C"/>
    <w:rsid w:val="006E4F3D"/>
    <w:rsid w:val="006E565C"/>
    <w:rsid w:val="006E5881"/>
    <w:rsid w:val="006E6666"/>
    <w:rsid w:val="006E6751"/>
    <w:rsid w:val="006E6ADE"/>
    <w:rsid w:val="006E6B4D"/>
    <w:rsid w:val="006E6DDE"/>
    <w:rsid w:val="006E6F3E"/>
    <w:rsid w:val="006E70B3"/>
    <w:rsid w:val="006E737F"/>
    <w:rsid w:val="006E7A32"/>
    <w:rsid w:val="006E7A3C"/>
    <w:rsid w:val="006F0C17"/>
    <w:rsid w:val="006F0F5A"/>
    <w:rsid w:val="006F1AA7"/>
    <w:rsid w:val="006F24BB"/>
    <w:rsid w:val="006F2691"/>
    <w:rsid w:val="006F31EC"/>
    <w:rsid w:val="006F36F7"/>
    <w:rsid w:val="006F3CCC"/>
    <w:rsid w:val="006F4221"/>
    <w:rsid w:val="006F42E0"/>
    <w:rsid w:val="006F5038"/>
    <w:rsid w:val="006F555F"/>
    <w:rsid w:val="006F68F9"/>
    <w:rsid w:val="006F748A"/>
    <w:rsid w:val="006F79A4"/>
    <w:rsid w:val="006F7CF0"/>
    <w:rsid w:val="00700074"/>
    <w:rsid w:val="00700A50"/>
    <w:rsid w:val="007014D9"/>
    <w:rsid w:val="00701B82"/>
    <w:rsid w:val="007021CF"/>
    <w:rsid w:val="00702A0C"/>
    <w:rsid w:val="00702DA2"/>
    <w:rsid w:val="007033F7"/>
    <w:rsid w:val="0070350D"/>
    <w:rsid w:val="00703952"/>
    <w:rsid w:val="00703AEB"/>
    <w:rsid w:val="00704A81"/>
    <w:rsid w:val="007054B9"/>
    <w:rsid w:val="007054DA"/>
    <w:rsid w:val="00705774"/>
    <w:rsid w:val="00707318"/>
    <w:rsid w:val="0070798F"/>
    <w:rsid w:val="00707E86"/>
    <w:rsid w:val="00707EFE"/>
    <w:rsid w:val="00710352"/>
    <w:rsid w:val="007108DF"/>
    <w:rsid w:val="00710A1F"/>
    <w:rsid w:val="00711033"/>
    <w:rsid w:val="00711042"/>
    <w:rsid w:val="0071140F"/>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1C05"/>
    <w:rsid w:val="007221DA"/>
    <w:rsid w:val="00722E29"/>
    <w:rsid w:val="007236F8"/>
    <w:rsid w:val="00723994"/>
    <w:rsid w:val="007241A3"/>
    <w:rsid w:val="0072452D"/>
    <w:rsid w:val="007246BE"/>
    <w:rsid w:val="007261E0"/>
    <w:rsid w:val="007267FE"/>
    <w:rsid w:val="007300AC"/>
    <w:rsid w:val="007301CA"/>
    <w:rsid w:val="00730485"/>
    <w:rsid w:val="0073099A"/>
    <w:rsid w:val="00731B29"/>
    <w:rsid w:val="0073283D"/>
    <w:rsid w:val="00733308"/>
    <w:rsid w:val="0073370F"/>
    <w:rsid w:val="0073390F"/>
    <w:rsid w:val="007356F7"/>
    <w:rsid w:val="00735D0C"/>
    <w:rsid w:val="00735EA8"/>
    <w:rsid w:val="00735FF9"/>
    <w:rsid w:val="007361A8"/>
    <w:rsid w:val="00736894"/>
    <w:rsid w:val="00736944"/>
    <w:rsid w:val="00736D04"/>
    <w:rsid w:val="00736D31"/>
    <w:rsid w:val="00736F77"/>
    <w:rsid w:val="0073737F"/>
    <w:rsid w:val="007376B1"/>
    <w:rsid w:val="00737F29"/>
    <w:rsid w:val="00740DC1"/>
    <w:rsid w:val="007410B6"/>
    <w:rsid w:val="00741995"/>
    <w:rsid w:val="00741B46"/>
    <w:rsid w:val="00741BD8"/>
    <w:rsid w:val="0074221A"/>
    <w:rsid w:val="0074229B"/>
    <w:rsid w:val="00742CC6"/>
    <w:rsid w:val="00742F8A"/>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1684"/>
    <w:rsid w:val="007521AE"/>
    <w:rsid w:val="0075255D"/>
    <w:rsid w:val="00753165"/>
    <w:rsid w:val="00753334"/>
    <w:rsid w:val="00753CB7"/>
    <w:rsid w:val="00753D97"/>
    <w:rsid w:val="007542F6"/>
    <w:rsid w:val="007545FA"/>
    <w:rsid w:val="00755D2A"/>
    <w:rsid w:val="0075638D"/>
    <w:rsid w:val="00756E68"/>
    <w:rsid w:val="00757505"/>
    <w:rsid w:val="00757597"/>
    <w:rsid w:val="0075791D"/>
    <w:rsid w:val="00760DAB"/>
    <w:rsid w:val="0076205A"/>
    <w:rsid w:val="007621A6"/>
    <w:rsid w:val="00762772"/>
    <w:rsid w:val="00762AD7"/>
    <w:rsid w:val="00766874"/>
    <w:rsid w:val="007669AB"/>
    <w:rsid w:val="007670EA"/>
    <w:rsid w:val="00767BF8"/>
    <w:rsid w:val="007700F1"/>
    <w:rsid w:val="00770FFE"/>
    <w:rsid w:val="00771091"/>
    <w:rsid w:val="00771660"/>
    <w:rsid w:val="00771BF1"/>
    <w:rsid w:val="007722A6"/>
    <w:rsid w:val="00772666"/>
    <w:rsid w:val="00772B3D"/>
    <w:rsid w:val="00773533"/>
    <w:rsid w:val="00773F28"/>
    <w:rsid w:val="007743F6"/>
    <w:rsid w:val="00774496"/>
    <w:rsid w:val="00774631"/>
    <w:rsid w:val="00774CDC"/>
    <w:rsid w:val="00775EB6"/>
    <w:rsid w:val="00776536"/>
    <w:rsid w:val="00776DD8"/>
    <w:rsid w:val="0077719B"/>
    <w:rsid w:val="007777C9"/>
    <w:rsid w:val="00780032"/>
    <w:rsid w:val="007813A4"/>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874C3"/>
    <w:rsid w:val="007901AD"/>
    <w:rsid w:val="007902A4"/>
    <w:rsid w:val="0079085C"/>
    <w:rsid w:val="00791503"/>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0E56"/>
    <w:rsid w:val="007A146C"/>
    <w:rsid w:val="007A147B"/>
    <w:rsid w:val="007A16C2"/>
    <w:rsid w:val="007A18A8"/>
    <w:rsid w:val="007A1BC7"/>
    <w:rsid w:val="007A2106"/>
    <w:rsid w:val="007A247F"/>
    <w:rsid w:val="007A2D1B"/>
    <w:rsid w:val="007A2D64"/>
    <w:rsid w:val="007A351E"/>
    <w:rsid w:val="007A3F6E"/>
    <w:rsid w:val="007A464E"/>
    <w:rsid w:val="007A4D87"/>
    <w:rsid w:val="007A4DA7"/>
    <w:rsid w:val="007A50D0"/>
    <w:rsid w:val="007A535E"/>
    <w:rsid w:val="007A599F"/>
    <w:rsid w:val="007A5F4C"/>
    <w:rsid w:val="007A6F32"/>
    <w:rsid w:val="007A75F5"/>
    <w:rsid w:val="007A77C6"/>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550D"/>
    <w:rsid w:val="007B7531"/>
    <w:rsid w:val="007B7ED8"/>
    <w:rsid w:val="007C086D"/>
    <w:rsid w:val="007C09A8"/>
    <w:rsid w:val="007C0D29"/>
    <w:rsid w:val="007C1647"/>
    <w:rsid w:val="007C1671"/>
    <w:rsid w:val="007C1E42"/>
    <w:rsid w:val="007C1FC6"/>
    <w:rsid w:val="007C2385"/>
    <w:rsid w:val="007C23DE"/>
    <w:rsid w:val="007C3112"/>
    <w:rsid w:val="007C31B8"/>
    <w:rsid w:val="007C518E"/>
    <w:rsid w:val="007C61DF"/>
    <w:rsid w:val="007C6296"/>
    <w:rsid w:val="007C639A"/>
    <w:rsid w:val="007C66CE"/>
    <w:rsid w:val="007C7453"/>
    <w:rsid w:val="007C7548"/>
    <w:rsid w:val="007C7B84"/>
    <w:rsid w:val="007C7D7D"/>
    <w:rsid w:val="007D034D"/>
    <w:rsid w:val="007D08AF"/>
    <w:rsid w:val="007D08C6"/>
    <w:rsid w:val="007D0B5D"/>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2489"/>
    <w:rsid w:val="007E26A8"/>
    <w:rsid w:val="007E2AF2"/>
    <w:rsid w:val="007E2B57"/>
    <w:rsid w:val="007E300A"/>
    <w:rsid w:val="007E4184"/>
    <w:rsid w:val="007E431E"/>
    <w:rsid w:val="007E46F2"/>
    <w:rsid w:val="007E4AB8"/>
    <w:rsid w:val="007E55E3"/>
    <w:rsid w:val="007E5C86"/>
    <w:rsid w:val="007E6032"/>
    <w:rsid w:val="007E62A2"/>
    <w:rsid w:val="007E67D9"/>
    <w:rsid w:val="007E7264"/>
    <w:rsid w:val="007E747B"/>
    <w:rsid w:val="007E7754"/>
    <w:rsid w:val="007E7930"/>
    <w:rsid w:val="007E7D84"/>
    <w:rsid w:val="007F00AA"/>
    <w:rsid w:val="007F0ECC"/>
    <w:rsid w:val="007F19EC"/>
    <w:rsid w:val="007F1EF2"/>
    <w:rsid w:val="007F23A4"/>
    <w:rsid w:val="007F256B"/>
    <w:rsid w:val="007F25C5"/>
    <w:rsid w:val="007F2D69"/>
    <w:rsid w:val="007F35DD"/>
    <w:rsid w:val="007F3A12"/>
    <w:rsid w:val="007F3E57"/>
    <w:rsid w:val="007F421B"/>
    <w:rsid w:val="007F4895"/>
    <w:rsid w:val="007F4B12"/>
    <w:rsid w:val="007F5030"/>
    <w:rsid w:val="007F51A3"/>
    <w:rsid w:val="007F601D"/>
    <w:rsid w:val="007F677B"/>
    <w:rsid w:val="007F6B78"/>
    <w:rsid w:val="007F7157"/>
    <w:rsid w:val="007F755F"/>
    <w:rsid w:val="00800194"/>
    <w:rsid w:val="008007F3"/>
    <w:rsid w:val="00800804"/>
    <w:rsid w:val="00801057"/>
    <w:rsid w:val="00801B9B"/>
    <w:rsid w:val="00802C47"/>
    <w:rsid w:val="00802D52"/>
    <w:rsid w:val="00802EE2"/>
    <w:rsid w:val="00803609"/>
    <w:rsid w:val="0080374E"/>
    <w:rsid w:val="008037A6"/>
    <w:rsid w:val="00803EA8"/>
    <w:rsid w:val="00804836"/>
    <w:rsid w:val="00804986"/>
    <w:rsid w:val="00804BB8"/>
    <w:rsid w:val="00804D50"/>
    <w:rsid w:val="00805537"/>
    <w:rsid w:val="00805583"/>
    <w:rsid w:val="0080632A"/>
    <w:rsid w:val="00806497"/>
    <w:rsid w:val="00806502"/>
    <w:rsid w:val="00806B63"/>
    <w:rsid w:val="008071C3"/>
    <w:rsid w:val="0080739A"/>
    <w:rsid w:val="00807483"/>
    <w:rsid w:val="00807C26"/>
    <w:rsid w:val="00811A67"/>
    <w:rsid w:val="00811F52"/>
    <w:rsid w:val="00812108"/>
    <w:rsid w:val="0081237D"/>
    <w:rsid w:val="008123DA"/>
    <w:rsid w:val="0081287C"/>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1621"/>
    <w:rsid w:val="00822103"/>
    <w:rsid w:val="00822BD4"/>
    <w:rsid w:val="00823C9C"/>
    <w:rsid w:val="00824864"/>
    <w:rsid w:val="00824917"/>
    <w:rsid w:val="008250BD"/>
    <w:rsid w:val="008256E3"/>
    <w:rsid w:val="00827039"/>
    <w:rsid w:val="00827A93"/>
    <w:rsid w:val="00827DEA"/>
    <w:rsid w:val="00827F35"/>
    <w:rsid w:val="008303DB"/>
    <w:rsid w:val="008303F9"/>
    <w:rsid w:val="008311C6"/>
    <w:rsid w:val="00831434"/>
    <w:rsid w:val="00831B47"/>
    <w:rsid w:val="0083239E"/>
    <w:rsid w:val="00832A58"/>
    <w:rsid w:val="008331AA"/>
    <w:rsid w:val="0083354A"/>
    <w:rsid w:val="00833A0F"/>
    <w:rsid w:val="00833BE5"/>
    <w:rsid w:val="00833E5B"/>
    <w:rsid w:val="008343D5"/>
    <w:rsid w:val="008347E2"/>
    <w:rsid w:val="00834A95"/>
    <w:rsid w:val="00834B47"/>
    <w:rsid w:val="00835264"/>
    <w:rsid w:val="00835634"/>
    <w:rsid w:val="0083690E"/>
    <w:rsid w:val="008375C2"/>
    <w:rsid w:val="008375D7"/>
    <w:rsid w:val="008375E5"/>
    <w:rsid w:val="0084056F"/>
    <w:rsid w:val="0084059A"/>
    <w:rsid w:val="00841775"/>
    <w:rsid w:val="00841AEE"/>
    <w:rsid w:val="00841C59"/>
    <w:rsid w:val="00842222"/>
    <w:rsid w:val="00842AA6"/>
    <w:rsid w:val="00842C7C"/>
    <w:rsid w:val="00843447"/>
    <w:rsid w:val="00843702"/>
    <w:rsid w:val="008442D1"/>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1A5"/>
    <w:rsid w:val="008554D6"/>
    <w:rsid w:val="00855CE4"/>
    <w:rsid w:val="00855E13"/>
    <w:rsid w:val="008568C2"/>
    <w:rsid w:val="00856B32"/>
    <w:rsid w:val="00856C42"/>
    <w:rsid w:val="00856D29"/>
    <w:rsid w:val="008606CD"/>
    <w:rsid w:val="00861254"/>
    <w:rsid w:val="008622F5"/>
    <w:rsid w:val="00862C5E"/>
    <w:rsid w:val="00862DDD"/>
    <w:rsid w:val="00862F9E"/>
    <w:rsid w:val="008634BF"/>
    <w:rsid w:val="008636EA"/>
    <w:rsid w:val="008636FF"/>
    <w:rsid w:val="008638BA"/>
    <w:rsid w:val="0086433F"/>
    <w:rsid w:val="008657A7"/>
    <w:rsid w:val="00865CE4"/>
    <w:rsid w:val="0086657A"/>
    <w:rsid w:val="00866E7E"/>
    <w:rsid w:val="00867178"/>
    <w:rsid w:val="0087014B"/>
    <w:rsid w:val="008701C9"/>
    <w:rsid w:val="0087082C"/>
    <w:rsid w:val="00870C71"/>
    <w:rsid w:val="0087146C"/>
    <w:rsid w:val="00871656"/>
    <w:rsid w:val="008717B0"/>
    <w:rsid w:val="00871B44"/>
    <w:rsid w:val="00872CCB"/>
    <w:rsid w:val="00872E71"/>
    <w:rsid w:val="00873CA0"/>
    <w:rsid w:val="00874AC5"/>
    <w:rsid w:val="00874B22"/>
    <w:rsid w:val="0087524B"/>
    <w:rsid w:val="00875484"/>
    <w:rsid w:val="0087590F"/>
    <w:rsid w:val="00875B5B"/>
    <w:rsid w:val="00875E0F"/>
    <w:rsid w:val="00877522"/>
    <w:rsid w:val="008778AD"/>
    <w:rsid w:val="0087791C"/>
    <w:rsid w:val="00877DCC"/>
    <w:rsid w:val="0088023F"/>
    <w:rsid w:val="00880ACF"/>
    <w:rsid w:val="00881285"/>
    <w:rsid w:val="0088164C"/>
    <w:rsid w:val="00881CE4"/>
    <w:rsid w:val="00882042"/>
    <w:rsid w:val="00882534"/>
    <w:rsid w:val="00882862"/>
    <w:rsid w:val="00882C95"/>
    <w:rsid w:val="00882D44"/>
    <w:rsid w:val="00883624"/>
    <w:rsid w:val="00883913"/>
    <w:rsid w:val="00883F59"/>
    <w:rsid w:val="00883FF6"/>
    <w:rsid w:val="008840DF"/>
    <w:rsid w:val="00884A50"/>
    <w:rsid w:val="0088548C"/>
    <w:rsid w:val="008858BB"/>
    <w:rsid w:val="008874BF"/>
    <w:rsid w:val="00887DFC"/>
    <w:rsid w:val="0089165F"/>
    <w:rsid w:val="008917BE"/>
    <w:rsid w:val="0089208C"/>
    <w:rsid w:val="008921C3"/>
    <w:rsid w:val="0089292F"/>
    <w:rsid w:val="0089301E"/>
    <w:rsid w:val="008931AA"/>
    <w:rsid w:val="00893401"/>
    <w:rsid w:val="008943F3"/>
    <w:rsid w:val="00895E28"/>
    <w:rsid w:val="00896061"/>
    <w:rsid w:val="00896AAF"/>
    <w:rsid w:val="00897915"/>
    <w:rsid w:val="008A0212"/>
    <w:rsid w:val="008A0937"/>
    <w:rsid w:val="008A157D"/>
    <w:rsid w:val="008A1E7E"/>
    <w:rsid w:val="008A2245"/>
    <w:rsid w:val="008A28E5"/>
    <w:rsid w:val="008A4214"/>
    <w:rsid w:val="008A4787"/>
    <w:rsid w:val="008A4932"/>
    <w:rsid w:val="008A50F7"/>
    <w:rsid w:val="008A5432"/>
    <w:rsid w:val="008A54D0"/>
    <w:rsid w:val="008A6584"/>
    <w:rsid w:val="008A6FD2"/>
    <w:rsid w:val="008A70BB"/>
    <w:rsid w:val="008A79D2"/>
    <w:rsid w:val="008B0567"/>
    <w:rsid w:val="008B0E4B"/>
    <w:rsid w:val="008B1C51"/>
    <w:rsid w:val="008B2190"/>
    <w:rsid w:val="008B2BA2"/>
    <w:rsid w:val="008B3CD2"/>
    <w:rsid w:val="008B411A"/>
    <w:rsid w:val="008B44AC"/>
    <w:rsid w:val="008B488E"/>
    <w:rsid w:val="008B4F3E"/>
    <w:rsid w:val="008B4FDA"/>
    <w:rsid w:val="008B54D4"/>
    <w:rsid w:val="008B55E3"/>
    <w:rsid w:val="008B5A56"/>
    <w:rsid w:val="008B5DBB"/>
    <w:rsid w:val="008B627B"/>
    <w:rsid w:val="008B6916"/>
    <w:rsid w:val="008B699B"/>
    <w:rsid w:val="008B7109"/>
    <w:rsid w:val="008B7119"/>
    <w:rsid w:val="008B7C5A"/>
    <w:rsid w:val="008B7EA7"/>
    <w:rsid w:val="008B7EC8"/>
    <w:rsid w:val="008C0258"/>
    <w:rsid w:val="008C0C7A"/>
    <w:rsid w:val="008C1695"/>
    <w:rsid w:val="008C1816"/>
    <w:rsid w:val="008C2FC1"/>
    <w:rsid w:val="008C3469"/>
    <w:rsid w:val="008C4003"/>
    <w:rsid w:val="008C4424"/>
    <w:rsid w:val="008C4DB4"/>
    <w:rsid w:val="008C558A"/>
    <w:rsid w:val="008C59C5"/>
    <w:rsid w:val="008C5AF2"/>
    <w:rsid w:val="008C5CE4"/>
    <w:rsid w:val="008C63F0"/>
    <w:rsid w:val="008C64F5"/>
    <w:rsid w:val="008C654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D4A"/>
    <w:rsid w:val="008D2E4A"/>
    <w:rsid w:val="008D2F22"/>
    <w:rsid w:val="008D3214"/>
    <w:rsid w:val="008D3C1C"/>
    <w:rsid w:val="008D4491"/>
    <w:rsid w:val="008D46A1"/>
    <w:rsid w:val="008D5522"/>
    <w:rsid w:val="008D669B"/>
    <w:rsid w:val="008D6870"/>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340A"/>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0EA"/>
    <w:rsid w:val="008F21DD"/>
    <w:rsid w:val="008F30A0"/>
    <w:rsid w:val="008F3FDE"/>
    <w:rsid w:val="008F41E6"/>
    <w:rsid w:val="008F4617"/>
    <w:rsid w:val="008F517E"/>
    <w:rsid w:val="008F5A40"/>
    <w:rsid w:val="008F60DA"/>
    <w:rsid w:val="008F6397"/>
    <w:rsid w:val="008F6FF1"/>
    <w:rsid w:val="008F75E6"/>
    <w:rsid w:val="008F77FD"/>
    <w:rsid w:val="0090055F"/>
    <w:rsid w:val="009007B6"/>
    <w:rsid w:val="009007F0"/>
    <w:rsid w:val="009017CE"/>
    <w:rsid w:val="00901B4B"/>
    <w:rsid w:val="00901F8E"/>
    <w:rsid w:val="00902009"/>
    <w:rsid w:val="00902319"/>
    <w:rsid w:val="0090329A"/>
    <w:rsid w:val="0090374D"/>
    <w:rsid w:val="00903C44"/>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46C1"/>
    <w:rsid w:val="009153F3"/>
    <w:rsid w:val="00915AA0"/>
    <w:rsid w:val="009161D0"/>
    <w:rsid w:val="0091684C"/>
    <w:rsid w:val="00916DF8"/>
    <w:rsid w:val="00917428"/>
    <w:rsid w:val="009176FB"/>
    <w:rsid w:val="009177AC"/>
    <w:rsid w:val="00917DC6"/>
    <w:rsid w:val="0092038A"/>
    <w:rsid w:val="009204FA"/>
    <w:rsid w:val="009206C2"/>
    <w:rsid w:val="00920B60"/>
    <w:rsid w:val="00921205"/>
    <w:rsid w:val="009212E8"/>
    <w:rsid w:val="009215E3"/>
    <w:rsid w:val="00921A27"/>
    <w:rsid w:val="00921ADB"/>
    <w:rsid w:val="00922958"/>
    <w:rsid w:val="00922DD1"/>
    <w:rsid w:val="0092301C"/>
    <w:rsid w:val="009230C9"/>
    <w:rsid w:val="009231B3"/>
    <w:rsid w:val="009234BB"/>
    <w:rsid w:val="00923D4C"/>
    <w:rsid w:val="00924A51"/>
    <w:rsid w:val="00925B80"/>
    <w:rsid w:val="00925CAA"/>
    <w:rsid w:val="0092689C"/>
    <w:rsid w:val="0092726C"/>
    <w:rsid w:val="0092769A"/>
    <w:rsid w:val="00927A52"/>
    <w:rsid w:val="00927F5C"/>
    <w:rsid w:val="00931B3F"/>
    <w:rsid w:val="009330FA"/>
    <w:rsid w:val="00933CB3"/>
    <w:rsid w:val="00934030"/>
    <w:rsid w:val="0093432D"/>
    <w:rsid w:val="009345AC"/>
    <w:rsid w:val="00935039"/>
    <w:rsid w:val="009353D9"/>
    <w:rsid w:val="00935E48"/>
    <w:rsid w:val="00936430"/>
    <w:rsid w:val="00936BC8"/>
    <w:rsid w:val="00936D3B"/>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2C0"/>
    <w:rsid w:val="0094658E"/>
    <w:rsid w:val="0094671F"/>
    <w:rsid w:val="0094674F"/>
    <w:rsid w:val="00946818"/>
    <w:rsid w:val="009468BF"/>
    <w:rsid w:val="00946B57"/>
    <w:rsid w:val="009472A3"/>
    <w:rsid w:val="009477B3"/>
    <w:rsid w:val="009513DA"/>
    <w:rsid w:val="009520BC"/>
    <w:rsid w:val="009522D9"/>
    <w:rsid w:val="00954626"/>
    <w:rsid w:val="0095487B"/>
    <w:rsid w:val="009548FB"/>
    <w:rsid w:val="00956646"/>
    <w:rsid w:val="009567E8"/>
    <w:rsid w:val="00956810"/>
    <w:rsid w:val="009568FE"/>
    <w:rsid w:val="00956D18"/>
    <w:rsid w:val="00957B24"/>
    <w:rsid w:val="00960BF6"/>
    <w:rsid w:val="0096294B"/>
    <w:rsid w:val="0096326C"/>
    <w:rsid w:val="00963414"/>
    <w:rsid w:val="00963BF7"/>
    <w:rsid w:val="00963E00"/>
    <w:rsid w:val="00964C97"/>
    <w:rsid w:val="00964E84"/>
    <w:rsid w:val="009657B6"/>
    <w:rsid w:val="00965F62"/>
    <w:rsid w:val="00966266"/>
    <w:rsid w:val="00966793"/>
    <w:rsid w:val="00966877"/>
    <w:rsid w:val="00966F16"/>
    <w:rsid w:val="00967AFE"/>
    <w:rsid w:val="00967BF7"/>
    <w:rsid w:val="00970CAF"/>
    <w:rsid w:val="00970E80"/>
    <w:rsid w:val="009712FD"/>
    <w:rsid w:val="00971BE4"/>
    <w:rsid w:val="00971E2D"/>
    <w:rsid w:val="009729AC"/>
    <w:rsid w:val="00973497"/>
    <w:rsid w:val="00973879"/>
    <w:rsid w:val="00973968"/>
    <w:rsid w:val="009739D7"/>
    <w:rsid w:val="00973DE4"/>
    <w:rsid w:val="00973DF2"/>
    <w:rsid w:val="00974D45"/>
    <w:rsid w:val="00975714"/>
    <w:rsid w:val="0097574C"/>
    <w:rsid w:val="00975FED"/>
    <w:rsid w:val="00976371"/>
    <w:rsid w:val="00976770"/>
    <w:rsid w:val="00976ACA"/>
    <w:rsid w:val="00976ADF"/>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2653"/>
    <w:rsid w:val="009929D0"/>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0049"/>
    <w:rsid w:val="009A1351"/>
    <w:rsid w:val="009A1C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A7D80"/>
    <w:rsid w:val="009A7DE0"/>
    <w:rsid w:val="009B017C"/>
    <w:rsid w:val="009B0E13"/>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B45"/>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6786"/>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5C9"/>
    <w:rsid w:val="00A15B2E"/>
    <w:rsid w:val="00A16461"/>
    <w:rsid w:val="00A16B95"/>
    <w:rsid w:val="00A17D4C"/>
    <w:rsid w:val="00A20444"/>
    <w:rsid w:val="00A20871"/>
    <w:rsid w:val="00A20BDF"/>
    <w:rsid w:val="00A20F90"/>
    <w:rsid w:val="00A21513"/>
    <w:rsid w:val="00A22231"/>
    <w:rsid w:val="00A22426"/>
    <w:rsid w:val="00A23388"/>
    <w:rsid w:val="00A2368F"/>
    <w:rsid w:val="00A239D8"/>
    <w:rsid w:val="00A2476D"/>
    <w:rsid w:val="00A25490"/>
    <w:rsid w:val="00A25612"/>
    <w:rsid w:val="00A258FB"/>
    <w:rsid w:val="00A25A48"/>
    <w:rsid w:val="00A269D6"/>
    <w:rsid w:val="00A26DA7"/>
    <w:rsid w:val="00A27685"/>
    <w:rsid w:val="00A27728"/>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37F84"/>
    <w:rsid w:val="00A4098A"/>
    <w:rsid w:val="00A412F3"/>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47593"/>
    <w:rsid w:val="00A50208"/>
    <w:rsid w:val="00A5046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56845"/>
    <w:rsid w:val="00A60636"/>
    <w:rsid w:val="00A60999"/>
    <w:rsid w:val="00A60AB1"/>
    <w:rsid w:val="00A60FFF"/>
    <w:rsid w:val="00A613A9"/>
    <w:rsid w:val="00A61813"/>
    <w:rsid w:val="00A6186F"/>
    <w:rsid w:val="00A619F4"/>
    <w:rsid w:val="00A62582"/>
    <w:rsid w:val="00A62BAD"/>
    <w:rsid w:val="00A62E70"/>
    <w:rsid w:val="00A637E4"/>
    <w:rsid w:val="00A63922"/>
    <w:rsid w:val="00A6421D"/>
    <w:rsid w:val="00A642B4"/>
    <w:rsid w:val="00A65735"/>
    <w:rsid w:val="00A659D1"/>
    <w:rsid w:val="00A65A75"/>
    <w:rsid w:val="00A65F4B"/>
    <w:rsid w:val="00A67E11"/>
    <w:rsid w:val="00A67E39"/>
    <w:rsid w:val="00A70754"/>
    <w:rsid w:val="00A70D28"/>
    <w:rsid w:val="00A715B2"/>
    <w:rsid w:val="00A717A4"/>
    <w:rsid w:val="00A71836"/>
    <w:rsid w:val="00A71985"/>
    <w:rsid w:val="00A725E5"/>
    <w:rsid w:val="00A735C3"/>
    <w:rsid w:val="00A73A58"/>
    <w:rsid w:val="00A73D49"/>
    <w:rsid w:val="00A74846"/>
    <w:rsid w:val="00A74F83"/>
    <w:rsid w:val="00A75156"/>
    <w:rsid w:val="00A7583C"/>
    <w:rsid w:val="00A75E5F"/>
    <w:rsid w:val="00A76ABC"/>
    <w:rsid w:val="00A774E7"/>
    <w:rsid w:val="00A7753F"/>
    <w:rsid w:val="00A77EB5"/>
    <w:rsid w:val="00A801A2"/>
    <w:rsid w:val="00A80C19"/>
    <w:rsid w:val="00A818A6"/>
    <w:rsid w:val="00A820E1"/>
    <w:rsid w:val="00A822C6"/>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BFD"/>
    <w:rsid w:val="00A96F26"/>
    <w:rsid w:val="00A9710E"/>
    <w:rsid w:val="00A97344"/>
    <w:rsid w:val="00A97465"/>
    <w:rsid w:val="00A974DA"/>
    <w:rsid w:val="00A97D73"/>
    <w:rsid w:val="00AA0B81"/>
    <w:rsid w:val="00AA0D9B"/>
    <w:rsid w:val="00AA1C11"/>
    <w:rsid w:val="00AA3365"/>
    <w:rsid w:val="00AA336A"/>
    <w:rsid w:val="00AA43BB"/>
    <w:rsid w:val="00AA4931"/>
    <w:rsid w:val="00AA4BF2"/>
    <w:rsid w:val="00AA4DEC"/>
    <w:rsid w:val="00AA511B"/>
    <w:rsid w:val="00AA51C0"/>
    <w:rsid w:val="00AA5B98"/>
    <w:rsid w:val="00AA60CE"/>
    <w:rsid w:val="00AA62BA"/>
    <w:rsid w:val="00AA6709"/>
    <w:rsid w:val="00AA6A8D"/>
    <w:rsid w:val="00AA6D60"/>
    <w:rsid w:val="00AA6F52"/>
    <w:rsid w:val="00AA7371"/>
    <w:rsid w:val="00AA7FB3"/>
    <w:rsid w:val="00AB0CB5"/>
    <w:rsid w:val="00AB10F0"/>
    <w:rsid w:val="00AB11F1"/>
    <w:rsid w:val="00AB1567"/>
    <w:rsid w:val="00AB1BA7"/>
    <w:rsid w:val="00AB1EE6"/>
    <w:rsid w:val="00AB277E"/>
    <w:rsid w:val="00AB2DFB"/>
    <w:rsid w:val="00AB32DE"/>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3CBF"/>
    <w:rsid w:val="00AD4843"/>
    <w:rsid w:val="00AD4B7D"/>
    <w:rsid w:val="00AD50F8"/>
    <w:rsid w:val="00AD5A38"/>
    <w:rsid w:val="00AD5E51"/>
    <w:rsid w:val="00AD62CB"/>
    <w:rsid w:val="00AD6CBE"/>
    <w:rsid w:val="00AD6ECE"/>
    <w:rsid w:val="00AD799E"/>
    <w:rsid w:val="00AD7E6D"/>
    <w:rsid w:val="00AE0397"/>
    <w:rsid w:val="00AE05F9"/>
    <w:rsid w:val="00AE076A"/>
    <w:rsid w:val="00AE1573"/>
    <w:rsid w:val="00AE1B46"/>
    <w:rsid w:val="00AE1BDA"/>
    <w:rsid w:val="00AE1E4B"/>
    <w:rsid w:val="00AE2411"/>
    <w:rsid w:val="00AE24D7"/>
    <w:rsid w:val="00AE2562"/>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7C"/>
    <w:rsid w:val="00AE7281"/>
    <w:rsid w:val="00AF05B7"/>
    <w:rsid w:val="00AF0B45"/>
    <w:rsid w:val="00AF1805"/>
    <w:rsid w:val="00AF216D"/>
    <w:rsid w:val="00AF2570"/>
    <w:rsid w:val="00AF2883"/>
    <w:rsid w:val="00AF2B0F"/>
    <w:rsid w:val="00AF2E9C"/>
    <w:rsid w:val="00AF3696"/>
    <w:rsid w:val="00AF427D"/>
    <w:rsid w:val="00AF432B"/>
    <w:rsid w:val="00AF46FD"/>
    <w:rsid w:val="00AF5252"/>
    <w:rsid w:val="00AF5286"/>
    <w:rsid w:val="00AF547D"/>
    <w:rsid w:val="00AF5565"/>
    <w:rsid w:val="00AF5EB5"/>
    <w:rsid w:val="00AF6796"/>
    <w:rsid w:val="00AF6A15"/>
    <w:rsid w:val="00AF6A9B"/>
    <w:rsid w:val="00AF6D5F"/>
    <w:rsid w:val="00AF6EC7"/>
    <w:rsid w:val="00AF71E4"/>
    <w:rsid w:val="00AF7256"/>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5F"/>
    <w:rsid w:val="00B15079"/>
    <w:rsid w:val="00B154E6"/>
    <w:rsid w:val="00B155F2"/>
    <w:rsid w:val="00B16451"/>
    <w:rsid w:val="00B16BDB"/>
    <w:rsid w:val="00B1732C"/>
    <w:rsid w:val="00B17C6E"/>
    <w:rsid w:val="00B17E53"/>
    <w:rsid w:val="00B200CD"/>
    <w:rsid w:val="00B20119"/>
    <w:rsid w:val="00B20717"/>
    <w:rsid w:val="00B20A03"/>
    <w:rsid w:val="00B20A18"/>
    <w:rsid w:val="00B20FB6"/>
    <w:rsid w:val="00B213F2"/>
    <w:rsid w:val="00B21591"/>
    <w:rsid w:val="00B21ABF"/>
    <w:rsid w:val="00B22116"/>
    <w:rsid w:val="00B221C3"/>
    <w:rsid w:val="00B224D7"/>
    <w:rsid w:val="00B22DC9"/>
    <w:rsid w:val="00B230F4"/>
    <w:rsid w:val="00B23A6D"/>
    <w:rsid w:val="00B2427B"/>
    <w:rsid w:val="00B24314"/>
    <w:rsid w:val="00B24B2B"/>
    <w:rsid w:val="00B24E1D"/>
    <w:rsid w:val="00B25D4C"/>
    <w:rsid w:val="00B25F5A"/>
    <w:rsid w:val="00B2680D"/>
    <w:rsid w:val="00B26BF4"/>
    <w:rsid w:val="00B26C85"/>
    <w:rsid w:val="00B26F36"/>
    <w:rsid w:val="00B275A3"/>
    <w:rsid w:val="00B27988"/>
    <w:rsid w:val="00B3045D"/>
    <w:rsid w:val="00B304E3"/>
    <w:rsid w:val="00B306BE"/>
    <w:rsid w:val="00B31604"/>
    <w:rsid w:val="00B3238B"/>
    <w:rsid w:val="00B323FB"/>
    <w:rsid w:val="00B32846"/>
    <w:rsid w:val="00B32F42"/>
    <w:rsid w:val="00B33906"/>
    <w:rsid w:val="00B3419D"/>
    <w:rsid w:val="00B346ED"/>
    <w:rsid w:val="00B34B4B"/>
    <w:rsid w:val="00B34DED"/>
    <w:rsid w:val="00B3512B"/>
    <w:rsid w:val="00B358E6"/>
    <w:rsid w:val="00B35A1F"/>
    <w:rsid w:val="00B36F62"/>
    <w:rsid w:val="00B37721"/>
    <w:rsid w:val="00B37A3D"/>
    <w:rsid w:val="00B4045F"/>
    <w:rsid w:val="00B415DB"/>
    <w:rsid w:val="00B417A7"/>
    <w:rsid w:val="00B41A75"/>
    <w:rsid w:val="00B42493"/>
    <w:rsid w:val="00B42F7B"/>
    <w:rsid w:val="00B43394"/>
    <w:rsid w:val="00B433B3"/>
    <w:rsid w:val="00B435DC"/>
    <w:rsid w:val="00B43E24"/>
    <w:rsid w:val="00B449E1"/>
    <w:rsid w:val="00B44AFA"/>
    <w:rsid w:val="00B45090"/>
    <w:rsid w:val="00B455A9"/>
    <w:rsid w:val="00B459AE"/>
    <w:rsid w:val="00B45B2E"/>
    <w:rsid w:val="00B45E1F"/>
    <w:rsid w:val="00B47C9D"/>
    <w:rsid w:val="00B47DB8"/>
    <w:rsid w:val="00B47FE5"/>
    <w:rsid w:val="00B50F26"/>
    <w:rsid w:val="00B518B7"/>
    <w:rsid w:val="00B51B62"/>
    <w:rsid w:val="00B524FC"/>
    <w:rsid w:val="00B52F7C"/>
    <w:rsid w:val="00B54BBC"/>
    <w:rsid w:val="00B55616"/>
    <w:rsid w:val="00B556C4"/>
    <w:rsid w:val="00B56097"/>
    <w:rsid w:val="00B5612E"/>
    <w:rsid w:val="00B56328"/>
    <w:rsid w:val="00B56DBD"/>
    <w:rsid w:val="00B56E8A"/>
    <w:rsid w:val="00B56F64"/>
    <w:rsid w:val="00B572F5"/>
    <w:rsid w:val="00B5738F"/>
    <w:rsid w:val="00B5753B"/>
    <w:rsid w:val="00B57818"/>
    <w:rsid w:val="00B60517"/>
    <w:rsid w:val="00B61524"/>
    <w:rsid w:val="00B61611"/>
    <w:rsid w:val="00B61931"/>
    <w:rsid w:val="00B61BEF"/>
    <w:rsid w:val="00B61CA8"/>
    <w:rsid w:val="00B626E3"/>
    <w:rsid w:val="00B62740"/>
    <w:rsid w:val="00B631C8"/>
    <w:rsid w:val="00B635BA"/>
    <w:rsid w:val="00B636CA"/>
    <w:rsid w:val="00B63B54"/>
    <w:rsid w:val="00B644C2"/>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491"/>
    <w:rsid w:val="00B81971"/>
    <w:rsid w:val="00B821DA"/>
    <w:rsid w:val="00B828C4"/>
    <w:rsid w:val="00B82D67"/>
    <w:rsid w:val="00B83004"/>
    <w:rsid w:val="00B835AA"/>
    <w:rsid w:val="00B83639"/>
    <w:rsid w:val="00B8387F"/>
    <w:rsid w:val="00B83AFB"/>
    <w:rsid w:val="00B843E5"/>
    <w:rsid w:val="00B84450"/>
    <w:rsid w:val="00B84528"/>
    <w:rsid w:val="00B84E0E"/>
    <w:rsid w:val="00B85F67"/>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979AA"/>
    <w:rsid w:val="00B97A52"/>
    <w:rsid w:val="00BA096D"/>
    <w:rsid w:val="00BA0F40"/>
    <w:rsid w:val="00BA226B"/>
    <w:rsid w:val="00BA26B3"/>
    <w:rsid w:val="00BA2721"/>
    <w:rsid w:val="00BA2DD7"/>
    <w:rsid w:val="00BA2F85"/>
    <w:rsid w:val="00BA30B5"/>
    <w:rsid w:val="00BA3190"/>
    <w:rsid w:val="00BA3390"/>
    <w:rsid w:val="00BA38A7"/>
    <w:rsid w:val="00BA417D"/>
    <w:rsid w:val="00BA4CFE"/>
    <w:rsid w:val="00BA5425"/>
    <w:rsid w:val="00BA5426"/>
    <w:rsid w:val="00BA576F"/>
    <w:rsid w:val="00BA59A9"/>
    <w:rsid w:val="00BA618C"/>
    <w:rsid w:val="00BA6326"/>
    <w:rsid w:val="00BA68E8"/>
    <w:rsid w:val="00BA6D75"/>
    <w:rsid w:val="00BA7CD3"/>
    <w:rsid w:val="00BA7D75"/>
    <w:rsid w:val="00BA7F85"/>
    <w:rsid w:val="00BB0EB6"/>
    <w:rsid w:val="00BB1379"/>
    <w:rsid w:val="00BB16B0"/>
    <w:rsid w:val="00BB2919"/>
    <w:rsid w:val="00BB329A"/>
    <w:rsid w:val="00BB3576"/>
    <w:rsid w:val="00BB3B42"/>
    <w:rsid w:val="00BB3DE3"/>
    <w:rsid w:val="00BB4146"/>
    <w:rsid w:val="00BB428F"/>
    <w:rsid w:val="00BB4787"/>
    <w:rsid w:val="00BB4926"/>
    <w:rsid w:val="00BB499F"/>
    <w:rsid w:val="00BB5253"/>
    <w:rsid w:val="00BB53A2"/>
    <w:rsid w:val="00BB6AA1"/>
    <w:rsid w:val="00BB7D9B"/>
    <w:rsid w:val="00BB7DD9"/>
    <w:rsid w:val="00BC0CAC"/>
    <w:rsid w:val="00BC0F30"/>
    <w:rsid w:val="00BC1288"/>
    <w:rsid w:val="00BC14C8"/>
    <w:rsid w:val="00BC20B4"/>
    <w:rsid w:val="00BC2170"/>
    <w:rsid w:val="00BC29C0"/>
    <w:rsid w:val="00BC2FEF"/>
    <w:rsid w:val="00BC3106"/>
    <w:rsid w:val="00BC34EB"/>
    <w:rsid w:val="00BC4020"/>
    <w:rsid w:val="00BC44BD"/>
    <w:rsid w:val="00BC5315"/>
    <w:rsid w:val="00BC56CF"/>
    <w:rsid w:val="00BC595B"/>
    <w:rsid w:val="00BC5A44"/>
    <w:rsid w:val="00BC5F0B"/>
    <w:rsid w:val="00BC6321"/>
    <w:rsid w:val="00BC7DAD"/>
    <w:rsid w:val="00BC7E68"/>
    <w:rsid w:val="00BD021D"/>
    <w:rsid w:val="00BD0553"/>
    <w:rsid w:val="00BD071E"/>
    <w:rsid w:val="00BD0888"/>
    <w:rsid w:val="00BD147C"/>
    <w:rsid w:val="00BD1946"/>
    <w:rsid w:val="00BD1CC5"/>
    <w:rsid w:val="00BD1DDF"/>
    <w:rsid w:val="00BD21A2"/>
    <w:rsid w:val="00BD263D"/>
    <w:rsid w:val="00BD26BD"/>
    <w:rsid w:val="00BD3299"/>
    <w:rsid w:val="00BD32C6"/>
    <w:rsid w:val="00BD3373"/>
    <w:rsid w:val="00BD3704"/>
    <w:rsid w:val="00BD3AB5"/>
    <w:rsid w:val="00BD3DC3"/>
    <w:rsid w:val="00BD43CF"/>
    <w:rsid w:val="00BD4B50"/>
    <w:rsid w:val="00BD4B5C"/>
    <w:rsid w:val="00BD4E77"/>
    <w:rsid w:val="00BD5504"/>
    <w:rsid w:val="00BD5632"/>
    <w:rsid w:val="00BD5D92"/>
    <w:rsid w:val="00BD5EE2"/>
    <w:rsid w:val="00BD63EC"/>
    <w:rsid w:val="00BD6847"/>
    <w:rsid w:val="00BD697C"/>
    <w:rsid w:val="00BD6C87"/>
    <w:rsid w:val="00BD78AF"/>
    <w:rsid w:val="00BE055B"/>
    <w:rsid w:val="00BE06CF"/>
    <w:rsid w:val="00BE0BF4"/>
    <w:rsid w:val="00BE11E3"/>
    <w:rsid w:val="00BE18BD"/>
    <w:rsid w:val="00BE1ED3"/>
    <w:rsid w:val="00BE25E1"/>
    <w:rsid w:val="00BE3479"/>
    <w:rsid w:val="00BE3572"/>
    <w:rsid w:val="00BE3A5E"/>
    <w:rsid w:val="00BE3AD2"/>
    <w:rsid w:val="00BE421E"/>
    <w:rsid w:val="00BE446A"/>
    <w:rsid w:val="00BE492C"/>
    <w:rsid w:val="00BE5069"/>
    <w:rsid w:val="00BE5132"/>
    <w:rsid w:val="00BE52A5"/>
    <w:rsid w:val="00BE557A"/>
    <w:rsid w:val="00BE5B92"/>
    <w:rsid w:val="00BE5DC2"/>
    <w:rsid w:val="00BE6317"/>
    <w:rsid w:val="00BE68C1"/>
    <w:rsid w:val="00BE6C0D"/>
    <w:rsid w:val="00BE7361"/>
    <w:rsid w:val="00BE759B"/>
    <w:rsid w:val="00BE773F"/>
    <w:rsid w:val="00BF0830"/>
    <w:rsid w:val="00BF0CAD"/>
    <w:rsid w:val="00BF148C"/>
    <w:rsid w:val="00BF1818"/>
    <w:rsid w:val="00BF2787"/>
    <w:rsid w:val="00BF2D71"/>
    <w:rsid w:val="00BF2FF9"/>
    <w:rsid w:val="00BF34E7"/>
    <w:rsid w:val="00BF4741"/>
    <w:rsid w:val="00BF48F9"/>
    <w:rsid w:val="00BF585E"/>
    <w:rsid w:val="00BF60A9"/>
    <w:rsid w:val="00BF60BA"/>
    <w:rsid w:val="00BF649B"/>
    <w:rsid w:val="00BF6E2F"/>
    <w:rsid w:val="00BF7575"/>
    <w:rsid w:val="00BF7ABF"/>
    <w:rsid w:val="00BF7ED2"/>
    <w:rsid w:val="00C00908"/>
    <w:rsid w:val="00C009EF"/>
    <w:rsid w:val="00C01470"/>
    <w:rsid w:val="00C01B4E"/>
    <w:rsid w:val="00C01D59"/>
    <w:rsid w:val="00C02974"/>
    <w:rsid w:val="00C02980"/>
    <w:rsid w:val="00C02E6F"/>
    <w:rsid w:val="00C0391B"/>
    <w:rsid w:val="00C03A32"/>
    <w:rsid w:val="00C041FF"/>
    <w:rsid w:val="00C042F0"/>
    <w:rsid w:val="00C04682"/>
    <w:rsid w:val="00C047E7"/>
    <w:rsid w:val="00C059B2"/>
    <w:rsid w:val="00C05F94"/>
    <w:rsid w:val="00C0609F"/>
    <w:rsid w:val="00C067AD"/>
    <w:rsid w:val="00C067F1"/>
    <w:rsid w:val="00C06B39"/>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7F4"/>
    <w:rsid w:val="00C21DC7"/>
    <w:rsid w:val="00C23AFF"/>
    <w:rsid w:val="00C2468C"/>
    <w:rsid w:val="00C2498C"/>
    <w:rsid w:val="00C24A08"/>
    <w:rsid w:val="00C24F97"/>
    <w:rsid w:val="00C25269"/>
    <w:rsid w:val="00C25489"/>
    <w:rsid w:val="00C26044"/>
    <w:rsid w:val="00C26993"/>
    <w:rsid w:val="00C276D7"/>
    <w:rsid w:val="00C302E7"/>
    <w:rsid w:val="00C30432"/>
    <w:rsid w:val="00C30617"/>
    <w:rsid w:val="00C30F54"/>
    <w:rsid w:val="00C317D5"/>
    <w:rsid w:val="00C31A6F"/>
    <w:rsid w:val="00C31AC5"/>
    <w:rsid w:val="00C31B38"/>
    <w:rsid w:val="00C31D22"/>
    <w:rsid w:val="00C3264F"/>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6D27"/>
    <w:rsid w:val="00C37801"/>
    <w:rsid w:val="00C400F3"/>
    <w:rsid w:val="00C401B6"/>
    <w:rsid w:val="00C406AC"/>
    <w:rsid w:val="00C40762"/>
    <w:rsid w:val="00C41357"/>
    <w:rsid w:val="00C41FBA"/>
    <w:rsid w:val="00C4220E"/>
    <w:rsid w:val="00C42310"/>
    <w:rsid w:val="00C4231C"/>
    <w:rsid w:val="00C428E0"/>
    <w:rsid w:val="00C4331E"/>
    <w:rsid w:val="00C43FF8"/>
    <w:rsid w:val="00C4413B"/>
    <w:rsid w:val="00C442AA"/>
    <w:rsid w:val="00C44407"/>
    <w:rsid w:val="00C446FE"/>
    <w:rsid w:val="00C451AB"/>
    <w:rsid w:val="00C453F8"/>
    <w:rsid w:val="00C45C4C"/>
    <w:rsid w:val="00C46202"/>
    <w:rsid w:val="00C462D8"/>
    <w:rsid w:val="00C46922"/>
    <w:rsid w:val="00C46E97"/>
    <w:rsid w:val="00C47389"/>
    <w:rsid w:val="00C503BD"/>
    <w:rsid w:val="00C5048D"/>
    <w:rsid w:val="00C5173F"/>
    <w:rsid w:val="00C518ED"/>
    <w:rsid w:val="00C51A02"/>
    <w:rsid w:val="00C51CB8"/>
    <w:rsid w:val="00C522DD"/>
    <w:rsid w:val="00C52AB8"/>
    <w:rsid w:val="00C554BA"/>
    <w:rsid w:val="00C55A11"/>
    <w:rsid w:val="00C55DB2"/>
    <w:rsid w:val="00C561B9"/>
    <w:rsid w:val="00C564D7"/>
    <w:rsid w:val="00C56A50"/>
    <w:rsid w:val="00C570C0"/>
    <w:rsid w:val="00C600BB"/>
    <w:rsid w:val="00C60810"/>
    <w:rsid w:val="00C60AE3"/>
    <w:rsid w:val="00C60BB6"/>
    <w:rsid w:val="00C60DA3"/>
    <w:rsid w:val="00C60EBA"/>
    <w:rsid w:val="00C6108B"/>
    <w:rsid w:val="00C61317"/>
    <w:rsid w:val="00C61CCE"/>
    <w:rsid w:val="00C6258E"/>
    <w:rsid w:val="00C62676"/>
    <w:rsid w:val="00C63206"/>
    <w:rsid w:val="00C6338D"/>
    <w:rsid w:val="00C6389A"/>
    <w:rsid w:val="00C63E93"/>
    <w:rsid w:val="00C63F97"/>
    <w:rsid w:val="00C6449B"/>
    <w:rsid w:val="00C64982"/>
    <w:rsid w:val="00C64B7F"/>
    <w:rsid w:val="00C64F78"/>
    <w:rsid w:val="00C64FF6"/>
    <w:rsid w:val="00C6605A"/>
    <w:rsid w:val="00C6634F"/>
    <w:rsid w:val="00C66CA9"/>
    <w:rsid w:val="00C66F6A"/>
    <w:rsid w:val="00C67BF0"/>
    <w:rsid w:val="00C67C75"/>
    <w:rsid w:val="00C7042E"/>
    <w:rsid w:val="00C70708"/>
    <w:rsid w:val="00C7071D"/>
    <w:rsid w:val="00C7106D"/>
    <w:rsid w:val="00C710CB"/>
    <w:rsid w:val="00C71416"/>
    <w:rsid w:val="00C7154D"/>
    <w:rsid w:val="00C719AA"/>
    <w:rsid w:val="00C71BF9"/>
    <w:rsid w:val="00C71C94"/>
    <w:rsid w:val="00C722DE"/>
    <w:rsid w:val="00C722FA"/>
    <w:rsid w:val="00C72CF3"/>
    <w:rsid w:val="00C73EC7"/>
    <w:rsid w:val="00C7402E"/>
    <w:rsid w:val="00C7441D"/>
    <w:rsid w:val="00C74507"/>
    <w:rsid w:val="00C74BB4"/>
    <w:rsid w:val="00C753FE"/>
    <w:rsid w:val="00C75566"/>
    <w:rsid w:val="00C759D5"/>
    <w:rsid w:val="00C762D1"/>
    <w:rsid w:val="00C76ACA"/>
    <w:rsid w:val="00C76ADB"/>
    <w:rsid w:val="00C76B8D"/>
    <w:rsid w:val="00C772E3"/>
    <w:rsid w:val="00C7747E"/>
    <w:rsid w:val="00C774C6"/>
    <w:rsid w:val="00C77835"/>
    <w:rsid w:val="00C77ACA"/>
    <w:rsid w:val="00C77EA5"/>
    <w:rsid w:val="00C80DBF"/>
    <w:rsid w:val="00C8127A"/>
    <w:rsid w:val="00C82261"/>
    <w:rsid w:val="00C826D4"/>
    <w:rsid w:val="00C82ACD"/>
    <w:rsid w:val="00C83024"/>
    <w:rsid w:val="00C83DF7"/>
    <w:rsid w:val="00C84EDB"/>
    <w:rsid w:val="00C851BB"/>
    <w:rsid w:val="00C857F5"/>
    <w:rsid w:val="00C85D01"/>
    <w:rsid w:val="00C869FD"/>
    <w:rsid w:val="00C86CE3"/>
    <w:rsid w:val="00C86FCC"/>
    <w:rsid w:val="00C86FE7"/>
    <w:rsid w:val="00C87264"/>
    <w:rsid w:val="00C905AA"/>
    <w:rsid w:val="00C90D48"/>
    <w:rsid w:val="00C9213F"/>
    <w:rsid w:val="00C92617"/>
    <w:rsid w:val="00C93003"/>
    <w:rsid w:val="00C934DB"/>
    <w:rsid w:val="00C9359C"/>
    <w:rsid w:val="00C936FD"/>
    <w:rsid w:val="00C94229"/>
    <w:rsid w:val="00C94419"/>
    <w:rsid w:val="00C95242"/>
    <w:rsid w:val="00C9578B"/>
    <w:rsid w:val="00C968EE"/>
    <w:rsid w:val="00C96B2C"/>
    <w:rsid w:val="00C9760D"/>
    <w:rsid w:val="00C97F06"/>
    <w:rsid w:val="00CA01AA"/>
    <w:rsid w:val="00CA06E3"/>
    <w:rsid w:val="00CA0C2A"/>
    <w:rsid w:val="00CA0ECF"/>
    <w:rsid w:val="00CA1246"/>
    <w:rsid w:val="00CA161C"/>
    <w:rsid w:val="00CA1A02"/>
    <w:rsid w:val="00CA1DB0"/>
    <w:rsid w:val="00CA27A3"/>
    <w:rsid w:val="00CA28B9"/>
    <w:rsid w:val="00CA2B2C"/>
    <w:rsid w:val="00CA342B"/>
    <w:rsid w:val="00CA353A"/>
    <w:rsid w:val="00CA42A3"/>
    <w:rsid w:val="00CA4921"/>
    <w:rsid w:val="00CA493B"/>
    <w:rsid w:val="00CA58D0"/>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3EF6"/>
    <w:rsid w:val="00CB4E6C"/>
    <w:rsid w:val="00CB50D2"/>
    <w:rsid w:val="00CB5246"/>
    <w:rsid w:val="00CB5265"/>
    <w:rsid w:val="00CB5993"/>
    <w:rsid w:val="00CB5B41"/>
    <w:rsid w:val="00CB5B8B"/>
    <w:rsid w:val="00CB623A"/>
    <w:rsid w:val="00CB6E93"/>
    <w:rsid w:val="00CB70D4"/>
    <w:rsid w:val="00CB7B29"/>
    <w:rsid w:val="00CC0118"/>
    <w:rsid w:val="00CC02FD"/>
    <w:rsid w:val="00CC0953"/>
    <w:rsid w:val="00CC0B1A"/>
    <w:rsid w:val="00CC101C"/>
    <w:rsid w:val="00CC106E"/>
    <w:rsid w:val="00CC13DA"/>
    <w:rsid w:val="00CC14E8"/>
    <w:rsid w:val="00CC2234"/>
    <w:rsid w:val="00CC22BA"/>
    <w:rsid w:val="00CC3391"/>
    <w:rsid w:val="00CC3658"/>
    <w:rsid w:val="00CC3944"/>
    <w:rsid w:val="00CC3AAA"/>
    <w:rsid w:val="00CC3D41"/>
    <w:rsid w:val="00CC544B"/>
    <w:rsid w:val="00CC56D8"/>
    <w:rsid w:val="00CC5B1C"/>
    <w:rsid w:val="00CC5B81"/>
    <w:rsid w:val="00CC5D92"/>
    <w:rsid w:val="00CC60F8"/>
    <w:rsid w:val="00CC6111"/>
    <w:rsid w:val="00CC6855"/>
    <w:rsid w:val="00CC6A5A"/>
    <w:rsid w:val="00CC7D68"/>
    <w:rsid w:val="00CD06DD"/>
    <w:rsid w:val="00CD266B"/>
    <w:rsid w:val="00CD2716"/>
    <w:rsid w:val="00CD2E44"/>
    <w:rsid w:val="00CD4E23"/>
    <w:rsid w:val="00CD5A38"/>
    <w:rsid w:val="00CD5DAF"/>
    <w:rsid w:val="00CD61E5"/>
    <w:rsid w:val="00CD6276"/>
    <w:rsid w:val="00CD63EF"/>
    <w:rsid w:val="00CD650F"/>
    <w:rsid w:val="00CD6D60"/>
    <w:rsid w:val="00CD76CF"/>
    <w:rsid w:val="00CD789C"/>
    <w:rsid w:val="00CD7D8F"/>
    <w:rsid w:val="00CD7EED"/>
    <w:rsid w:val="00CE061B"/>
    <w:rsid w:val="00CE0C1B"/>
    <w:rsid w:val="00CE1470"/>
    <w:rsid w:val="00CE1B62"/>
    <w:rsid w:val="00CE1F8B"/>
    <w:rsid w:val="00CE28A6"/>
    <w:rsid w:val="00CE2B12"/>
    <w:rsid w:val="00CE3872"/>
    <w:rsid w:val="00CE38D6"/>
    <w:rsid w:val="00CE3CCE"/>
    <w:rsid w:val="00CE3F79"/>
    <w:rsid w:val="00CE3FEC"/>
    <w:rsid w:val="00CE51AE"/>
    <w:rsid w:val="00CE51ED"/>
    <w:rsid w:val="00CE5827"/>
    <w:rsid w:val="00CE5AC8"/>
    <w:rsid w:val="00CE5DB9"/>
    <w:rsid w:val="00CE5EAA"/>
    <w:rsid w:val="00CE6191"/>
    <w:rsid w:val="00CE6966"/>
    <w:rsid w:val="00CE6CD0"/>
    <w:rsid w:val="00CE6E52"/>
    <w:rsid w:val="00CE70D9"/>
    <w:rsid w:val="00CE75E6"/>
    <w:rsid w:val="00CE7724"/>
    <w:rsid w:val="00CE7A2B"/>
    <w:rsid w:val="00CE7AFF"/>
    <w:rsid w:val="00CF0661"/>
    <w:rsid w:val="00CF171A"/>
    <w:rsid w:val="00CF17DF"/>
    <w:rsid w:val="00CF2311"/>
    <w:rsid w:val="00CF2F61"/>
    <w:rsid w:val="00CF320C"/>
    <w:rsid w:val="00CF3500"/>
    <w:rsid w:val="00CF39AC"/>
    <w:rsid w:val="00CF3E77"/>
    <w:rsid w:val="00CF4431"/>
    <w:rsid w:val="00CF451C"/>
    <w:rsid w:val="00CF6335"/>
    <w:rsid w:val="00CF6418"/>
    <w:rsid w:val="00CF6583"/>
    <w:rsid w:val="00CF72F8"/>
    <w:rsid w:val="00CF74F8"/>
    <w:rsid w:val="00CF7502"/>
    <w:rsid w:val="00CF784E"/>
    <w:rsid w:val="00CF7CEE"/>
    <w:rsid w:val="00CF7EEE"/>
    <w:rsid w:val="00D001F0"/>
    <w:rsid w:val="00D00738"/>
    <w:rsid w:val="00D0089B"/>
    <w:rsid w:val="00D009E7"/>
    <w:rsid w:val="00D00D1B"/>
    <w:rsid w:val="00D0144E"/>
    <w:rsid w:val="00D01975"/>
    <w:rsid w:val="00D02601"/>
    <w:rsid w:val="00D0386E"/>
    <w:rsid w:val="00D03AAE"/>
    <w:rsid w:val="00D03D80"/>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942"/>
    <w:rsid w:val="00D1627E"/>
    <w:rsid w:val="00D16AA3"/>
    <w:rsid w:val="00D172EF"/>
    <w:rsid w:val="00D17DA1"/>
    <w:rsid w:val="00D20067"/>
    <w:rsid w:val="00D20533"/>
    <w:rsid w:val="00D20920"/>
    <w:rsid w:val="00D209AF"/>
    <w:rsid w:val="00D20EF6"/>
    <w:rsid w:val="00D21271"/>
    <w:rsid w:val="00D216DB"/>
    <w:rsid w:val="00D2193F"/>
    <w:rsid w:val="00D22700"/>
    <w:rsid w:val="00D22750"/>
    <w:rsid w:val="00D22AFC"/>
    <w:rsid w:val="00D22B9B"/>
    <w:rsid w:val="00D23183"/>
    <w:rsid w:val="00D2364B"/>
    <w:rsid w:val="00D248BD"/>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EB4"/>
    <w:rsid w:val="00D407E3"/>
    <w:rsid w:val="00D40B45"/>
    <w:rsid w:val="00D40D38"/>
    <w:rsid w:val="00D412BA"/>
    <w:rsid w:val="00D4159F"/>
    <w:rsid w:val="00D41CF5"/>
    <w:rsid w:val="00D42611"/>
    <w:rsid w:val="00D428B2"/>
    <w:rsid w:val="00D4295A"/>
    <w:rsid w:val="00D4480F"/>
    <w:rsid w:val="00D448FA"/>
    <w:rsid w:val="00D4573D"/>
    <w:rsid w:val="00D467CF"/>
    <w:rsid w:val="00D47688"/>
    <w:rsid w:val="00D478C0"/>
    <w:rsid w:val="00D50183"/>
    <w:rsid w:val="00D5023C"/>
    <w:rsid w:val="00D502EE"/>
    <w:rsid w:val="00D506CC"/>
    <w:rsid w:val="00D5076F"/>
    <w:rsid w:val="00D5079D"/>
    <w:rsid w:val="00D508D4"/>
    <w:rsid w:val="00D50E7F"/>
    <w:rsid w:val="00D52243"/>
    <w:rsid w:val="00D52812"/>
    <w:rsid w:val="00D537A0"/>
    <w:rsid w:val="00D53B50"/>
    <w:rsid w:val="00D54048"/>
    <w:rsid w:val="00D54249"/>
    <w:rsid w:val="00D54C4D"/>
    <w:rsid w:val="00D54D8B"/>
    <w:rsid w:val="00D54F58"/>
    <w:rsid w:val="00D5561A"/>
    <w:rsid w:val="00D5608D"/>
    <w:rsid w:val="00D56CD9"/>
    <w:rsid w:val="00D57C33"/>
    <w:rsid w:val="00D57D4D"/>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67C86"/>
    <w:rsid w:val="00D702B2"/>
    <w:rsid w:val="00D70452"/>
    <w:rsid w:val="00D706EA"/>
    <w:rsid w:val="00D707A7"/>
    <w:rsid w:val="00D70BA1"/>
    <w:rsid w:val="00D70F3D"/>
    <w:rsid w:val="00D71ADF"/>
    <w:rsid w:val="00D71E39"/>
    <w:rsid w:val="00D72239"/>
    <w:rsid w:val="00D73961"/>
    <w:rsid w:val="00D74680"/>
    <w:rsid w:val="00D74811"/>
    <w:rsid w:val="00D75344"/>
    <w:rsid w:val="00D75A67"/>
    <w:rsid w:val="00D75A98"/>
    <w:rsid w:val="00D77001"/>
    <w:rsid w:val="00D772A0"/>
    <w:rsid w:val="00D7747B"/>
    <w:rsid w:val="00D803B8"/>
    <w:rsid w:val="00D8117A"/>
    <w:rsid w:val="00D814D0"/>
    <w:rsid w:val="00D81D65"/>
    <w:rsid w:val="00D824F6"/>
    <w:rsid w:val="00D826F0"/>
    <w:rsid w:val="00D82779"/>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0579"/>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80E"/>
    <w:rsid w:val="00DA2139"/>
    <w:rsid w:val="00DA224E"/>
    <w:rsid w:val="00DA2BB7"/>
    <w:rsid w:val="00DA2E2B"/>
    <w:rsid w:val="00DA3391"/>
    <w:rsid w:val="00DA3D7E"/>
    <w:rsid w:val="00DA3E83"/>
    <w:rsid w:val="00DA4228"/>
    <w:rsid w:val="00DA4333"/>
    <w:rsid w:val="00DA4C9A"/>
    <w:rsid w:val="00DA4F36"/>
    <w:rsid w:val="00DA636F"/>
    <w:rsid w:val="00DA6385"/>
    <w:rsid w:val="00DA64D2"/>
    <w:rsid w:val="00DA66AA"/>
    <w:rsid w:val="00DA709B"/>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076"/>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2D4A"/>
    <w:rsid w:val="00DC332D"/>
    <w:rsid w:val="00DC391F"/>
    <w:rsid w:val="00DC39EC"/>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E76"/>
    <w:rsid w:val="00DD38C8"/>
    <w:rsid w:val="00DD57C3"/>
    <w:rsid w:val="00DD63D7"/>
    <w:rsid w:val="00DD6983"/>
    <w:rsid w:val="00DD6BDB"/>
    <w:rsid w:val="00DD7200"/>
    <w:rsid w:val="00DD7321"/>
    <w:rsid w:val="00DD7704"/>
    <w:rsid w:val="00DD7727"/>
    <w:rsid w:val="00DD78E9"/>
    <w:rsid w:val="00DD7965"/>
    <w:rsid w:val="00DE035B"/>
    <w:rsid w:val="00DE03E5"/>
    <w:rsid w:val="00DE0432"/>
    <w:rsid w:val="00DE19F4"/>
    <w:rsid w:val="00DE1D25"/>
    <w:rsid w:val="00DE1F46"/>
    <w:rsid w:val="00DE36DB"/>
    <w:rsid w:val="00DE36E9"/>
    <w:rsid w:val="00DE39BD"/>
    <w:rsid w:val="00DE479F"/>
    <w:rsid w:val="00DE48C1"/>
    <w:rsid w:val="00DE578B"/>
    <w:rsid w:val="00DE5B0D"/>
    <w:rsid w:val="00DE609E"/>
    <w:rsid w:val="00DE6158"/>
    <w:rsid w:val="00DE64EB"/>
    <w:rsid w:val="00DE6AAC"/>
    <w:rsid w:val="00DE6D9C"/>
    <w:rsid w:val="00DE7B1E"/>
    <w:rsid w:val="00DF02BE"/>
    <w:rsid w:val="00DF0C97"/>
    <w:rsid w:val="00DF0DD0"/>
    <w:rsid w:val="00DF1606"/>
    <w:rsid w:val="00DF230C"/>
    <w:rsid w:val="00DF387E"/>
    <w:rsid w:val="00DF3A00"/>
    <w:rsid w:val="00DF5951"/>
    <w:rsid w:val="00DF600B"/>
    <w:rsid w:val="00DF6540"/>
    <w:rsid w:val="00DF7147"/>
    <w:rsid w:val="00DF7433"/>
    <w:rsid w:val="00DF78B9"/>
    <w:rsid w:val="00DF7E0E"/>
    <w:rsid w:val="00E001A8"/>
    <w:rsid w:val="00E00261"/>
    <w:rsid w:val="00E00862"/>
    <w:rsid w:val="00E012B4"/>
    <w:rsid w:val="00E038BC"/>
    <w:rsid w:val="00E03EF6"/>
    <w:rsid w:val="00E040FA"/>
    <w:rsid w:val="00E041D5"/>
    <w:rsid w:val="00E042F4"/>
    <w:rsid w:val="00E0472F"/>
    <w:rsid w:val="00E04B01"/>
    <w:rsid w:val="00E04D88"/>
    <w:rsid w:val="00E04F2E"/>
    <w:rsid w:val="00E058C9"/>
    <w:rsid w:val="00E05FA4"/>
    <w:rsid w:val="00E06083"/>
    <w:rsid w:val="00E06485"/>
    <w:rsid w:val="00E06E5D"/>
    <w:rsid w:val="00E07783"/>
    <w:rsid w:val="00E07BDB"/>
    <w:rsid w:val="00E104E3"/>
    <w:rsid w:val="00E1069E"/>
    <w:rsid w:val="00E109F9"/>
    <w:rsid w:val="00E10BAA"/>
    <w:rsid w:val="00E10FDB"/>
    <w:rsid w:val="00E114E4"/>
    <w:rsid w:val="00E119EE"/>
    <w:rsid w:val="00E11C02"/>
    <w:rsid w:val="00E120FD"/>
    <w:rsid w:val="00E124AF"/>
    <w:rsid w:val="00E12586"/>
    <w:rsid w:val="00E12615"/>
    <w:rsid w:val="00E12EA2"/>
    <w:rsid w:val="00E13096"/>
    <w:rsid w:val="00E134EB"/>
    <w:rsid w:val="00E13F6C"/>
    <w:rsid w:val="00E13FBA"/>
    <w:rsid w:val="00E14346"/>
    <w:rsid w:val="00E1443B"/>
    <w:rsid w:val="00E14D78"/>
    <w:rsid w:val="00E14E3B"/>
    <w:rsid w:val="00E14F48"/>
    <w:rsid w:val="00E166F0"/>
    <w:rsid w:val="00E1678B"/>
    <w:rsid w:val="00E16840"/>
    <w:rsid w:val="00E16B09"/>
    <w:rsid w:val="00E17577"/>
    <w:rsid w:val="00E2070F"/>
    <w:rsid w:val="00E20C43"/>
    <w:rsid w:val="00E21295"/>
    <w:rsid w:val="00E212D5"/>
    <w:rsid w:val="00E219FC"/>
    <w:rsid w:val="00E223F4"/>
    <w:rsid w:val="00E22AF7"/>
    <w:rsid w:val="00E22DCE"/>
    <w:rsid w:val="00E24265"/>
    <w:rsid w:val="00E245D2"/>
    <w:rsid w:val="00E24B93"/>
    <w:rsid w:val="00E257A9"/>
    <w:rsid w:val="00E257E3"/>
    <w:rsid w:val="00E25920"/>
    <w:rsid w:val="00E25A3A"/>
    <w:rsid w:val="00E25CFD"/>
    <w:rsid w:val="00E2609B"/>
    <w:rsid w:val="00E266AC"/>
    <w:rsid w:val="00E273D3"/>
    <w:rsid w:val="00E304C5"/>
    <w:rsid w:val="00E30B6B"/>
    <w:rsid w:val="00E30E21"/>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0CD3"/>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4E7"/>
    <w:rsid w:val="00E56759"/>
    <w:rsid w:val="00E6003A"/>
    <w:rsid w:val="00E6013A"/>
    <w:rsid w:val="00E60A17"/>
    <w:rsid w:val="00E611E7"/>
    <w:rsid w:val="00E6159B"/>
    <w:rsid w:val="00E615F0"/>
    <w:rsid w:val="00E61E68"/>
    <w:rsid w:val="00E62552"/>
    <w:rsid w:val="00E62EDA"/>
    <w:rsid w:val="00E6310E"/>
    <w:rsid w:val="00E63FB5"/>
    <w:rsid w:val="00E64CDC"/>
    <w:rsid w:val="00E64D85"/>
    <w:rsid w:val="00E64FC5"/>
    <w:rsid w:val="00E6526E"/>
    <w:rsid w:val="00E6550F"/>
    <w:rsid w:val="00E656B8"/>
    <w:rsid w:val="00E6676C"/>
    <w:rsid w:val="00E66E82"/>
    <w:rsid w:val="00E671F3"/>
    <w:rsid w:val="00E675C5"/>
    <w:rsid w:val="00E676BA"/>
    <w:rsid w:val="00E67C0E"/>
    <w:rsid w:val="00E67C2C"/>
    <w:rsid w:val="00E70709"/>
    <w:rsid w:val="00E71AC1"/>
    <w:rsid w:val="00E72BF5"/>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95"/>
    <w:rsid w:val="00E827DF"/>
    <w:rsid w:val="00E8282E"/>
    <w:rsid w:val="00E82C0E"/>
    <w:rsid w:val="00E82CD0"/>
    <w:rsid w:val="00E83813"/>
    <w:rsid w:val="00E84D5F"/>
    <w:rsid w:val="00E85501"/>
    <w:rsid w:val="00E86278"/>
    <w:rsid w:val="00E86A81"/>
    <w:rsid w:val="00E87069"/>
    <w:rsid w:val="00E875A6"/>
    <w:rsid w:val="00E87BE5"/>
    <w:rsid w:val="00E90CBB"/>
    <w:rsid w:val="00E91734"/>
    <w:rsid w:val="00E91DFC"/>
    <w:rsid w:val="00E9215A"/>
    <w:rsid w:val="00E92D18"/>
    <w:rsid w:val="00E92D20"/>
    <w:rsid w:val="00E943BA"/>
    <w:rsid w:val="00E9455E"/>
    <w:rsid w:val="00E94970"/>
    <w:rsid w:val="00E95523"/>
    <w:rsid w:val="00E95FF3"/>
    <w:rsid w:val="00E96669"/>
    <w:rsid w:val="00E96EA4"/>
    <w:rsid w:val="00E972A9"/>
    <w:rsid w:val="00E9753F"/>
    <w:rsid w:val="00EA03CF"/>
    <w:rsid w:val="00EA12AA"/>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5236"/>
    <w:rsid w:val="00EA5400"/>
    <w:rsid w:val="00EA5652"/>
    <w:rsid w:val="00EA583E"/>
    <w:rsid w:val="00EA5869"/>
    <w:rsid w:val="00EA6AF0"/>
    <w:rsid w:val="00EA6EDF"/>
    <w:rsid w:val="00EB050A"/>
    <w:rsid w:val="00EB063A"/>
    <w:rsid w:val="00EB07D3"/>
    <w:rsid w:val="00EB1619"/>
    <w:rsid w:val="00EB1E97"/>
    <w:rsid w:val="00EB221B"/>
    <w:rsid w:val="00EB227D"/>
    <w:rsid w:val="00EB2530"/>
    <w:rsid w:val="00EB2770"/>
    <w:rsid w:val="00EB2B28"/>
    <w:rsid w:val="00EB2EEB"/>
    <w:rsid w:val="00EB39C6"/>
    <w:rsid w:val="00EB3E76"/>
    <w:rsid w:val="00EB4AE4"/>
    <w:rsid w:val="00EB5C63"/>
    <w:rsid w:val="00EB6FF1"/>
    <w:rsid w:val="00EB712C"/>
    <w:rsid w:val="00EB765A"/>
    <w:rsid w:val="00EC05C1"/>
    <w:rsid w:val="00EC0CCD"/>
    <w:rsid w:val="00EC0FCE"/>
    <w:rsid w:val="00EC1766"/>
    <w:rsid w:val="00EC1962"/>
    <w:rsid w:val="00EC1A36"/>
    <w:rsid w:val="00EC1C57"/>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9F0"/>
    <w:rsid w:val="00EC6B7F"/>
    <w:rsid w:val="00EC6DA7"/>
    <w:rsid w:val="00EC6ECA"/>
    <w:rsid w:val="00EC784C"/>
    <w:rsid w:val="00EC7B88"/>
    <w:rsid w:val="00ED0184"/>
    <w:rsid w:val="00ED01F4"/>
    <w:rsid w:val="00ED1B3C"/>
    <w:rsid w:val="00ED2230"/>
    <w:rsid w:val="00ED2DDB"/>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79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4E9"/>
    <w:rsid w:val="00EE7528"/>
    <w:rsid w:val="00EE7A24"/>
    <w:rsid w:val="00EF0988"/>
    <w:rsid w:val="00EF14D1"/>
    <w:rsid w:val="00EF1A83"/>
    <w:rsid w:val="00EF1D35"/>
    <w:rsid w:val="00EF1E17"/>
    <w:rsid w:val="00EF2063"/>
    <w:rsid w:val="00EF287F"/>
    <w:rsid w:val="00EF2F22"/>
    <w:rsid w:val="00EF300D"/>
    <w:rsid w:val="00EF3FBD"/>
    <w:rsid w:val="00EF404E"/>
    <w:rsid w:val="00EF46B1"/>
    <w:rsid w:val="00EF4963"/>
    <w:rsid w:val="00EF4B0A"/>
    <w:rsid w:val="00EF4BB5"/>
    <w:rsid w:val="00EF4E6A"/>
    <w:rsid w:val="00EF52C3"/>
    <w:rsid w:val="00EF58CD"/>
    <w:rsid w:val="00EF652F"/>
    <w:rsid w:val="00EF65CC"/>
    <w:rsid w:val="00EF6D1C"/>
    <w:rsid w:val="00EF6DC3"/>
    <w:rsid w:val="00EF7325"/>
    <w:rsid w:val="00EF7B13"/>
    <w:rsid w:val="00EF7EAC"/>
    <w:rsid w:val="00F0059D"/>
    <w:rsid w:val="00F00678"/>
    <w:rsid w:val="00F00818"/>
    <w:rsid w:val="00F009F6"/>
    <w:rsid w:val="00F010F7"/>
    <w:rsid w:val="00F014F5"/>
    <w:rsid w:val="00F0184C"/>
    <w:rsid w:val="00F038AE"/>
    <w:rsid w:val="00F04058"/>
    <w:rsid w:val="00F04A52"/>
    <w:rsid w:val="00F05453"/>
    <w:rsid w:val="00F05662"/>
    <w:rsid w:val="00F059B0"/>
    <w:rsid w:val="00F0652B"/>
    <w:rsid w:val="00F0740E"/>
    <w:rsid w:val="00F109B3"/>
    <w:rsid w:val="00F10C7D"/>
    <w:rsid w:val="00F1157C"/>
    <w:rsid w:val="00F124F2"/>
    <w:rsid w:val="00F125D7"/>
    <w:rsid w:val="00F12CA0"/>
    <w:rsid w:val="00F13052"/>
    <w:rsid w:val="00F139C4"/>
    <w:rsid w:val="00F1408D"/>
    <w:rsid w:val="00F14403"/>
    <w:rsid w:val="00F14A40"/>
    <w:rsid w:val="00F14B5A"/>
    <w:rsid w:val="00F1579D"/>
    <w:rsid w:val="00F15932"/>
    <w:rsid w:val="00F15BA0"/>
    <w:rsid w:val="00F15C32"/>
    <w:rsid w:val="00F16215"/>
    <w:rsid w:val="00F16555"/>
    <w:rsid w:val="00F17636"/>
    <w:rsid w:val="00F17E54"/>
    <w:rsid w:val="00F203F9"/>
    <w:rsid w:val="00F20455"/>
    <w:rsid w:val="00F20836"/>
    <w:rsid w:val="00F21000"/>
    <w:rsid w:val="00F210F0"/>
    <w:rsid w:val="00F2119A"/>
    <w:rsid w:val="00F21536"/>
    <w:rsid w:val="00F216DD"/>
    <w:rsid w:val="00F21B3C"/>
    <w:rsid w:val="00F22109"/>
    <w:rsid w:val="00F225BA"/>
    <w:rsid w:val="00F22985"/>
    <w:rsid w:val="00F22F96"/>
    <w:rsid w:val="00F236B1"/>
    <w:rsid w:val="00F23E7B"/>
    <w:rsid w:val="00F24026"/>
    <w:rsid w:val="00F24CCA"/>
    <w:rsid w:val="00F2527A"/>
    <w:rsid w:val="00F26AF0"/>
    <w:rsid w:val="00F26E31"/>
    <w:rsid w:val="00F306E4"/>
    <w:rsid w:val="00F30A61"/>
    <w:rsid w:val="00F30DC8"/>
    <w:rsid w:val="00F30E5E"/>
    <w:rsid w:val="00F314A3"/>
    <w:rsid w:val="00F31AB8"/>
    <w:rsid w:val="00F31D69"/>
    <w:rsid w:val="00F31EB1"/>
    <w:rsid w:val="00F32177"/>
    <w:rsid w:val="00F324A4"/>
    <w:rsid w:val="00F32964"/>
    <w:rsid w:val="00F33304"/>
    <w:rsid w:val="00F33355"/>
    <w:rsid w:val="00F334C0"/>
    <w:rsid w:val="00F34F94"/>
    <w:rsid w:val="00F354FD"/>
    <w:rsid w:val="00F35508"/>
    <w:rsid w:val="00F355CC"/>
    <w:rsid w:val="00F356C8"/>
    <w:rsid w:val="00F35817"/>
    <w:rsid w:val="00F35A7C"/>
    <w:rsid w:val="00F35D87"/>
    <w:rsid w:val="00F35EFD"/>
    <w:rsid w:val="00F35F3A"/>
    <w:rsid w:val="00F36198"/>
    <w:rsid w:val="00F36293"/>
    <w:rsid w:val="00F36C63"/>
    <w:rsid w:val="00F36CA8"/>
    <w:rsid w:val="00F37FDF"/>
    <w:rsid w:val="00F40016"/>
    <w:rsid w:val="00F408F5"/>
    <w:rsid w:val="00F415D9"/>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5BCA"/>
    <w:rsid w:val="00F46125"/>
    <w:rsid w:val="00F46335"/>
    <w:rsid w:val="00F46850"/>
    <w:rsid w:val="00F47096"/>
    <w:rsid w:val="00F50675"/>
    <w:rsid w:val="00F516C5"/>
    <w:rsid w:val="00F51DCB"/>
    <w:rsid w:val="00F5249E"/>
    <w:rsid w:val="00F527DC"/>
    <w:rsid w:val="00F528D5"/>
    <w:rsid w:val="00F52EE0"/>
    <w:rsid w:val="00F5393F"/>
    <w:rsid w:val="00F54A51"/>
    <w:rsid w:val="00F55519"/>
    <w:rsid w:val="00F56845"/>
    <w:rsid w:val="00F56D35"/>
    <w:rsid w:val="00F56D44"/>
    <w:rsid w:val="00F5783A"/>
    <w:rsid w:val="00F607B3"/>
    <w:rsid w:val="00F60EB5"/>
    <w:rsid w:val="00F61B23"/>
    <w:rsid w:val="00F62076"/>
    <w:rsid w:val="00F62199"/>
    <w:rsid w:val="00F62DEA"/>
    <w:rsid w:val="00F633CF"/>
    <w:rsid w:val="00F638C7"/>
    <w:rsid w:val="00F63A41"/>
    <w:rsid w:val="00F63CDA"/>
    <w:rsid w:val="00F640BB"/>
    <w:rsid w:val="00F641B2"/>
    <w:rsid w:val="00F643CE"/>
    <w:rsid w:val="00F65116"/>
    <w:rsid w:val="00F65505"/>
    <w:rsid w:val="00F6561E"/>
    <w:rsid w:val="00F664A3"/>
    <w:rsid w:val="00F67292"/>
    <w:rsid w:val="00F673E0"/>
    <w:rsid w:val="00F675E7"/>
    <w:rsid w:val="00F676D1"/>
    <w:rsid w:val="00F67740"/>
    <w:rsid w:val="00F6780C"/>
    <w:rsid w:val="00F678B7"/>
    <w:rsid w:val="00F67C9D"/>
    <w:rsid w:val="00F67CF8"/>
    <w:rsid w:val="00F70F94"/>
    <w:rsid w:val="00F7124F"/>
    <w:rsid w:val="00F7208E"/>
    <w:rsid w:val="00F72A1C"/>
    <w:rsid w:val="00F72D66"/>
    <w:rsid w:val="00F72DCC"/>
    <w:rsid w:val="00F73398"/>
    <w:rsid w:val="00F734C6"/>
    <w:rsid w:val="00F739B8"/>
    <w:rsid w:val="00F743C0"/>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34E4"/>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77C"/>
    <w:rsid w:val="00F97888"/>
    <w:rsid w:val="00F978B4"/>
    <w:rsid w:val="00F97A93"/>
    <w:rsid w:val="00F97EA4"/>
    <w:rsid w:val="00FA0E0D"/>
    <w:rsid w:val="00FA149E"/>
    <w:rsid w:val="00FA15A9"/>
    <w:rsid w:val="00FA1D8E"/>
    <w:rsid w:val="00FA2229"/>
    <w:rsid w:val="00FA26F6"/>
    <w:rsid w:val="00FA2E9C"/>
    <w:rsid w:val="00FA4190"/>
    <w:rsid w:val="00FA42FB"/>
    <w:rsid w:val="00FA4847"/>
    <w:rsid w:val="00FA501C"/>
    <w:rsid w:val="00FA50B6"/>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4D22"/>
    <w:rsid w:val="00FB52DD"/>
    <w:rsid w:val="00FB54AA"/>
    <w:rsid w:val="00FB5640"/>
    <w:rsid w:val="00FB5A3E"/>
    <w:rsid w:val="00FB7A75"/>
    <w:rsid w:val="00FB7A92"/>
    <w:rsid w:val="00FB7B46"/>
    <w:rsid w:val="00FC0141"/>
    <w:rsid w:val="00FC02E0"/>
    <w:rsid w:val="00FC0575"/>
    <w:rsid w:val="00FC08FB"/>
    <w:rsid w:val="00FC0A2F"/>
    <w:rsid w:val="00FC15EF"/>
    <w:rsid w:val="00FC176A"/>
    <w:rsid w:val="00FC1B89"/>
    <w:rsid w:val="00FC20F4"/>
    <w:rsid w:val="00FC22D3"/>
    <w:rsid w:val="00FC2486"/>
    <w:rsid w:val="00FC2964"/>
    <w:rsid w:val="00FC30BC"/>
    <w:rsid w:val="00FC3592"/>
    <w:rsid w:val="00FC3E25"/>
    <w:rsid w:val="00FC459C"/>
    <w:rsid w:val="00FC4715"/>
    <w:rsid w:val="00FC498C"/>
    <w:rsid w:val="00FC4BA3"/>
    <w:rsid w:val="00FC4E3E"/>
    <w:rsid w:val="00FC4FEA"/>
    <w:rsid w:val="00FC5894"/>
    <w:rsid w:val="00FC589C"/>
    <w:rsid w:val="00FC5ED9"/>
    <w:rsid w:val="00FC6E5E"/>
    <w:rsid w:val="00FC714E"/>
    <w:rsid w:val="00FC73BE"/>
    <w:rsid w:val="00FC7874"/>
    <w:rsid w:val="00FD0583"/>
    <w:rsid w:val="00FD06A2"/>
    <w:rsid w:val="00FD06ED"/>
    <w:rsid w:val="00FD0709"/>
    <w:rsid w:val="00FD070E"/>
    <w:rsid w:val="00FD0B26"/>
    <w:rsid w:val="00FD0E54"/>
    <w:rsid w:val="00FD0EF0"/>
    <w:rsid w:val="00FD12A6"/>
    <w:rsid w:val="00FD1675"/>
    <w:rsid w:val="00FD185C"/>
    <w:rsid w:val="00FD18EB"/>
    <w:rsid w:val="00FD23F1"/>
    <w:rsid w:val="00FD33B7"/>
    <w:rsid w:val="00FD43C2"/>
    <w:rsid w:val="00FD4663"/>
    <w:rsid w:val="00FD51EB"/>
    <w:rsid w:val="00FD573A"/>
    <w:rsid w:val="00FD594D"/>
    <w:rsid w:val="00FD6042"/>
    <w:rsid w:val="00FD6197"/>
    <w:rsid w:val="00FD6BE2"/>
    <w:rsid w:val="00FD6FFF"/>
    <w:rsid w:val="00FD759A"/>
    <w:rsid w:val="00FD7FA4"/>
    <w:rsid w:val="00FE0BCB"/>
    <w:rsid w:val="00FE0DCD"/>
    <w:rsid w:val="00FE0EE8"/>
    <w:rsid w:val="00FE1547"/>
    <w:rsid w:val="00FE15C8"/>
    <w:rsid w:val="00FE2469"/>
    <w:rsid w:val="00FE2694"/>
    <w:rsid w:val="00FE2706"/>
    <w:rsid w:val="00FE2C7E"/>
    <w:rsid w:val="00FE30A4"/>
    <w:rsid w:val="00FE3CF4"/>
    <w:rsid w:val="00FE4068"/>
    <w:rsid w:val="00FE49FE"/>
    <w:rsid w:val="00FE4C24"/>
    <w:rsid w:val="00FE4D15"/>
    <w:rsid w:val="00FE58AB"/>
    <w:rsid w:val="00FE5BAB"/>
    <w:rsid w:val="00FE5D08"/>
    <w:rsid w:val="00FE6670"/>
    <w:rsid w:val="00FE68D2"/>
    <w:rsid w:val="00FE6AEA"/>
    <w:rsid w:val="00FE6B34"/>
    <w:rsid w:val="00FE6F4E"/>
    <w:rsid w:val="00FF0235"/>
    <w:rsid w:val="00FF3403"/>
    <w:rsid w:val="00FF3C00"/>
    <w:rsid w:val="00FF4014"/>
    <w:rsid w:val="00FF4FC8"/>
    <w:rsid w:val="00FF6CFA"/>
    <w:rsid w:val="00FF6EFD"/>
    <w:rsid w:val="00FF759E"/>
    <w:rsid w:val="00FF7952"/>
    <w:rsid w:val="010D7DD7"/>
    <w:rsid w:val="01240177"/>
    <w:rsid w:val="01440DC2"/>
    <w:rsid w:val="018E53BB"/>
    <w:rsid w:val="0242549F"/>
    <w:rsid w:val="02433078"/>
    <w:rsid w:val="02607F1F"/>
    <w:rsid w:val="029C1412"/>
    <w:rsid w:val="02BD75DA"/>
    <w:rsid w:val="02CC180B"/>
    <w:rsid w:val="030D40BE"/>
    <w:rsid w:val="031511C4"/>
    <w:rsid w:val="031E2AE0"/>
    <w:rsid w:val="03261881"/>
    <w:rsid w:val="034E3DBB"/>
    <w:rsid w:val="034E4978"/>
    <w:rsid w:val="039840F6"/>
    <w:rsid w:val="03FD6B43"/>
    <w:rsid w:val="041B6CAE"/>
    <w:rsid w:val="041D47D5"/>
    <w:rsid w:val="043F0BEF"/>
    <w:rsid w:val="04C15B15"/>
    <w:rsid w:val="05082DC9"/>
    <w:rsid w:val="057D77DA"/>
    <w:rsid w:val="05C2152E"/>
    <w:rsid w:val="06093262"/>
    <w:rsid w:val="067A4160"/>
    <w:rsid w:val="06CA6F0E"/>
    <w:rsid w:val="06E13FD3"/>
    <w:rsid w:val="06E93094"/>
    <w:rsid w:val="06EB6E0C"/>
    <w:rsid w:val="06F757B1"/>
    <w:rsid w:val="07604E36"/>
    <w:rsid w:val="07753DE7"/>
    <w:rsid w:val="07A11EAC"/>
    <w:rsid w:val="07A91952"/>
    <w:rsid w:val="07E42CB9"/>
    <w:rsid w:val="07E43CE0"/>
    <w:rsid w:val="07F3214C"/>
    <w:rsid w:val="08255F63"/>
    <w:rsid w:val="084C40D4"/>
    <w:rsid w:val="085D0769"/>
    <w:rsid w:val="09892F6B"/>
    <w:rsid w:val="09C41003"/>
    <w:rsid w:val="09E338F4"/>
    <w:rsid w:val="09E8586A"/>
    <w:rsid w:val="09F5647E"/>
    <w:rsid w:val="0A033725"/>
    <w:rsid w:val="0A335CE2"/>
    <w:rsid w:val="0A6E5D8A"/>
    <w:rsid w:val="0A73514E"/>
    <w:rsid w:val="0A786C09"/>
    <w:rsid w:val="0B503641"/>
    <w:rsid w:val="0B512F01"/>
    <w:rsid w:val="0B8956E5"/>
    <w:rsid w:val="0B9F1F73"/>
    <w:rsid w:val="0B9F7CC3"/>
    <w:rsid w:val="0BAD28E2"/>
    <w:rsid w:val="0BD30F57"/>
    <w:rsid w:val="0C197F77"/>
    <w:rsid w:val="0C243E2A"/>
    <w:rsid w:val="0C721FA2"/>
    <w:rsid w:val="0CD3693F"/>
    <w:rsid w:val="0D197D5C"/>
    <w:rsid w:val="0D676618"/>
    <w:rsid w:val="0D787973"/>
    <w:rsid w:val="0D7E6DC9"/>
    <w:rsid w:val="0D945C06"/>
    <w:rsid w:val="0D984ECC"/>
    <w:rsid w:val="0DA759C3"/>
    <w:rsid w:val="0DB52AA3"/>
    <w:rsid w:val="0DB87B2C"/>
    <w:rsid w:val="0E2B3F92"/>
    <w:rsid w:val="0E4B49D0"/>
    <w:rsid w:val="0E7E2314"/>
    <w:rsid w:val="0E8C396F"/>
    <w:rsid w:val="0EBE0829"/>
    <w:rsid w:val="0F026BA1"/>
    <w:rsid w:val="0F046CBD"/>
    <w:rsid w:val="0F652C2F"/>
    <w:rsid w:val="0F696B20"/>
    <w:rsid w:val="0F7E0CF1"/>
    <w:rsid w:val="0F9D05FF"/>
    <w:rsid w:val="10066A65"/>
    <w:rsid w:val="10580218"/>
    <w:rsid w:val="10D10D1E"/>
    <w:rsid w:val="10D557B9"/>
    <w:rsid w:val="116A1732"/>
    <w:rsid w:val="11731ED8"/>
    <w:rsid w:val="11EB4164"/>
    <w:rsid w:val="124D44D7"/>
    <w:rsid w:val="12723F3D"/>
    <w:rsid w:val="12CB5EEF"/>
    <w:rsid w:val="12D33030"/>
    <w:rsid w:val="12DE5A77"/>
    <w:rsid w:val="131A5191"/>
    <w:rsid w:val="1340403C"/>
    <w:rsid w:val="13C609E5"/>
    <w:rsid w:val="13CC3122"/>
    <w:rsid w:val="142474B9"/>
    <w:rsid w:val="14262131"/>
    <w:rsid w:val="14662E94"/>
    <w:rsid w:val="151A760E"/>
    <w:rsid w:val="15211EAF"/>
    <w:rsid w:val="155344FA"/>
    <w:rsid w:val="1565479A"/>
    <w:rsid w:val="1598015F"/>
    <w:rsid w:val="15EC5AE8"/>
    <w:rsid w:val="168A0F73"/>
    <w:rsid w:val="16F77107"/>
    <w:rsid w:val="17460EB9"/>
    <w:rsid w:val="17606A5A"/>
    <w:rsid w:val="17670AF8"/>
    <w:rsid w:val="179E3692"/>
    <w:rsid w:val="17AD76C8"/>
    <w:rsid w:val="17CB176A"/>
    <w:rsid w:val="180A1652"/>
    <w:rsid w:val="18A1557C"/>
    <w:rsid w:val="18A87744"/>
    <w:rsid w:val="19D70125"/>
    <w:rsid w:val="19EA2F53"/>
    <w:rsid w:val="19FB0CBC"/>
    <w:rsid w:val="1A2623A5"/>
    <w:rsid w:val="1A4A65D5"/>
    <w:rsid w:val="1A656146"/>
    <w:rsid w:val="1A864A2A"/>
    <w:rsid w:val="1A9C424D"/>
    <w:rsid w:val="1AC61383"/>
    <w:rsid w:val="1AF57E02"/>
    <w:rsid w:val="1B063DBD"/>
    <w:rsid w:val="1B79633D"/>
    <w:rsid w:val="1BC0337B"/>
    <w:rsid w:val="1BF0048C"/>
    <w:rsid w:val="1C204B72"/>
    <w:rsid w:val="1C396B9A"/>
    <w:rsid w:val="1C9A47BD"/>
    <w:rsid w:val="1CC225DD"/>
    <w:rsid w:val="1CC51F1F"/>
    <w:rsid w:val="1D3A72E4"/>
    <w:rsid w:val="1D551774"/>
    <w:rsid w:val="1DC11D9D"/>
    <w:rsid w:val="1E061FAA"/>
    <w:rsid w:val="1E0E39F3"/>
    <w:rsid w:val="1E200CF1"/>
    <w:rsid w:val="1E2A48A6"/>
    <w:rsid w:val="1E58446C"/>
    <w:rsid w:val="1E8B1540"/>
    <w:rsid w:val="1E91399D"/>
    <w:rsid w:val="1EDE3EB7"/>
    <w:rsid w:val="1F226CEB"/>
    <w:rsid w:val="1F417171"/>
    <w:rsid w:val="1FE67A2A"/>
    <w:rsid w:val="1FF02946"/>
    <w:rsid w:val="202851B1"/>
    <w:rsid w:val="2045613D"/>
    <w:rsid w:val="205A36D2"/>
    <w:rsid w:val="20943115"/>
    <w:rsid w:val="20A976C4"/>
    <w:rsid w:val="20F906AA"/>
    <w:rsid w:val="213C5120"/>
    <w:rsid w:val="215E31B2"/>
    <w:rsid w:val="21AE1ECF"/>
    <w:rsid w:val="21BE3200"/>
    <w:rsid w:val="21E309B4"/>
    <w:rsid w:val="22142A77"/>
    <w:rsid w:val="22175505"/>
    <w:rsid w:val="2232406D"/>
    <w:rsid w:val="225E003A"/>
    <w:rsid w:val="226A1341"/>
    <w:rsid w:val="22EA5D72"/>
    <w:rsid w:val="23077BA4"/>
    <w:rsid w:val="230C79F5"/>
    <w:rsid w:val="230E1A60"/>
    <w:rsid w:val="23511A08"/>
    <w:rsid w:val="23C13FDD"/>
    <w:rsid w:val="241E2177"/>
    <w:rsid w:val="249E4FC1"/>
    <w:rsid w:val="24D740D4"/>
    <w:rsid w:val="25BF64D9"/>
    <w:rsid w:val="26277783"/>
    <w:rsid w:val="26417CD1"/>
    <w:rsid w:val="26460C71"/>
    <w:rsid w:val="26526108"/>
    <w:rsid w:val="26526E8A"/>
    <w:rsid w:val="26541E80"/>
    <w:rsid w:val="26655E3B"/>
    <w:rsid w:val="26853417"/>
    <w:rsid w:val="26CF20B5"/>
    <w:rsid w:val="27395D92"/>
    <w:rsid w:val="279B3ADF"/>
    <w:rsid w:val="27BA0FBA"/>
    <w:rsid w:val="27CE17BE"/>
    <w:rsid w:val="2820574C"/>
    <w:rsid w:val="286B09FD"/>
    <w:rsid w:val="289B3D96"/>
    <w:rsid w:val="28DB0637"/>
    <w:rsid w:val="292E7268"/>
    <w:rsid w:val="29350AE4"/>
    <w:rsid w:val="294419BD"/>
    <w:rsid w:val="299D769A"/>
    <w:rsid w:val="29F36FE0"/>
    <w:rsid w:val="2A1F09F7"/>
    <w:rsid w:val="2A432CA0"/>
    <w:rsid w:val="2A650136"/>
    <w:rsid w:val="2A6E48D8"/>
    <w:rsid w:val="2A7771E4"/>
    <w:rsid w:val="2A830F86"/>
    <w:rsid w:val="2A8D72E7"/>
    <w:rsid w:val="2A9C1B06"/>
    <w:rsid w:val="2ABD6656"/>
    <w:rsid w:val="2B36072A"/>
    <w:rsid w:val="2B5244B4"/>
    <w:rsid w:val="2B571648"/>
    <w:rsid w:val="2BDC66E0"/>
    <w:rsid w:val="2C446926"/>
    <w:rsid w:val="2C6110AC"/>
    <w:rsid w:val="2CCA7B38"/>
    <w:rsid w:val="2CE42260"/>
    <w:rsid w:val="2DA97EE5"/>
    <w:rsid w:val="2E0F48DF"/>
    <w:rsid w:val="2E2737C8"/>
    <w:rsid w:val="2E63392C"/>
    <w:rsid w:val="2EED6AC4"/>
    <w:rsid w:val="2F283EAA"/>
    <w:rsid w:val="2F2B399A"/>
    <w:rsid w:val="2F41678A"/>
    <w:rsid w:val="2F4C1EBE"/>
    <w:rsid w:val="2FB90D0B"/>
    <w:rsid w:val="2FCC2A87"/>
    <w:rsid w:val="2FDB5CC5"/>
    <w:rsid w:val="300D68EA"/>
    <w:rsid w:val="301713F0"/>
    <w:rsid w:val="304512CE"/>
    <w:rsid w:val="30766E97"/>
    <w:rsid w:val="307C273E"/>
    <w:rsid w:val="309B3C46"/>
    <w:rsid w:val="30FE10B4"/>
    <w:rsid w:val="310966F9"/>
    <w:rsid w:val="31527F00"/>
    <w:rsid w:val="316E04D9"/>
    <w:rsid w:val="32286DA8"/>
    <w:rsid w:val="32352D3F"/>
    <w:rsid w:val="325B6344"/>
    <w:rsid w:val="3267118D"/>
    <w:rsid w:val="32B8233D"/>
    <w:rsid w:val="32D9210B"/>
    <w:rsid w:val="333E1EEE"/>
    <w:rsid w:val="33B421B0"/>
    <w:rsid w:val="33C16CC9"/>
    <w:rsid w:val="33F27615"/>
    <w:rsid w:val="33F53A8A"/>
    <w:rsid w:val="33F67746"/>
    <w:rsid w:val="34036C94"/>
    <w:rsid w:val="340A6313"/>
    <w:rsid w:val="342721C0"/>
    <w:rsid w:val="34565015"/>
    <w:rsid w:val="34934651"/>
    <w:rsid w:val="34BD0A45"/>
    <w:rsid w:val="34FA4749"/>
    <w:rsid w:val="35230157"/>
    <w:rsid w:val="354C2EF3"/>
    <w:rsid w:val="35613C72"/>
    <w:rsid w:val="35840DD9"/>
    <w:rsid w:val="359E6C74"/>
    <w:rsid w:val="36034D29"/>
    <w:rsid w:val="362330DC"/>
    <w:rsid w:val="36767BF1"/>
    <w:rsid w:val="36830B09"/>
    <w:rsid w:val="36897045"/>
    <w:rsid w:val="36A66AAC"/>
    <w:rsid w:val="36FA5D6F"/>
    <w:rsid w:val="36FC481D"/>
    <w:rsid w:val="3706757D"/>
    <w:rsid w:val="37170A20"/>
    <w:rsid w:val="37335AE2"/>
    <w:rsid w:val="376506D1"/>
    <w:rsid w:val="37813D7F"/>
    <w:rsid w:val="378955B8"/>
    <w:rsid w:val="378A27B4"/>
    <w:rsid w:val="3794270F"/>
    <w:rsid w:val="37995744"/>
    <w:rsid w:val="379B706E"/>
    <w:rsid w:val="37A75EA2"/>
    <w:rsid w:val="37FA58D7"/>
    <w:rsid w:val="38123BAE"/>
    <w:rsid w:val="38700E11"/>
    <w:rsid w:val="388A289F"/>
    <w:rsid w:val="38936FC6"/>
    <w:rsid w:val="389F3D5B"/>
    <w:rsid w:val="38B67B31"/>
    <w:rsid w:val="38FD0155"/>
    <w:rsid w:val="39180AEB"/>
    <w:rsid w:val="39921A71"/>
    <w:rsid w:val="39AD1B7B"/>
    <w:rsid w:val="39D215E2"/>
    <w:rsid w:val="3A4E0B7E"/>
    <w:rsid w:val="3A5B15D7"/>
    <w:rsid w:val="3A99316B"/>
    <w:rsid w:val="3AAD6706"/>
    <w:rsid w:val="3ADD4C50"/>
    <w:rsid w:val="3AE8398C"/>
    <w:rsid w:val="3AEE7004"/>
    <w:rsid w:val="3B1A39B3"/>
    <w:rsid w:val="3B6F5F46"/>
    <w:rsid w:val="3B7E27DD"/>
    <w:rsid w:val="3C095919"/>
    <w:rsid w:val="3C101822"/>
    <w:rsid w:val="3C291261"/>
    <w:rsid w:val="3C5916E3"/>
    <w:rsid w:val="3C6510EB"/>
    <w:rsid w:val="3CD458C9"/>
    <w:rsid w:val="3CE36A23"/>
    <w:rsid w:val="3CFA74DA"/>
    <w:rsid w:val="3D031E2F"/>
    <w:rsid w:val="3D352B5F"/>
    <w:rsid w:val="3D5A3DC8"/>
    <w:rsid w:val="3D6D0BCE"/>
    <w:rsid w:val="3D766AC2"/>
    <w:rsid w:val="3D943FE7"/>
    <w:rsid w:val="3DA013AA"/>
    <w:rsid w:val="3DB85315"/>
    <w:rsid w:val="3E0D1FF1"/>
    <w:rsid w:val="3E5F7771"/>
    <w:rsid w:val="3EA824D0"/>
    <w:rsid w:val="3EB838A0"/>
    <w:rsid w:val="3F051B12"/>
    <w:rsid w:val="3F1461E4"/>
    <w:rsid w:val="3F7B0026"/>
    <w:rsid w:val="3F892743"/>
    <w:rsid w:val="3F922049"/>
    <w:rsid w:val="3FB14895"/>
    <w:rsid w:val="403A3D18"/>
    <w:rsid w:val="40512B35"/>
    <w:rsid w:val="4089679F"/>
    <w:rsid w:val="40A1219A"/>
    <w:rsid w:val="40F1187B"/>
    <w:rsid w:val="41163263"/>
    <w:rsid w:val="41614FF9"/>
    <w:rsid w:val="418238EE"/>
    <w:rsid w:val="41AF2209"/>
    <w:rsid w:val="41B65345"/>
    <w:rsid w:val="41B96BE3"/>
    <w:rsid w:val="41D76705"/>
    <w:rsid w:val="42332E3A"/>
    <w:rsid w:val="428003B2"/>
    <w:rsid w:val="42DD0CA6"/>
    <w:rsid w:val="431C567C"/>
    <w:rsid w:val="43530F99"/>
    <w:rsid w:val="437835D9"/>
    <w:rsid w:val="437A14DC"/>
    <w:rsid w:val="43967D63"/>
    <w:rsid w:val="439B0C97"/>
    <w:rsid w:val="43CA47D0"/>
    <w:rsid w:val="441950C4"/>
    <w:rsid w:val="4447076B"/>
    <w:rsid w:val="450620ED"/>
    <w:rsid w:val="451234C5"/>
    <w:rsid w:val="45CC3389"/>
    <w:rsid w:val="45DF59B1"/>
    <w:rsid w:val="46674E60"/>
    <w:rsid w:val="46855A4B"/>
    <w:rsid w:val="46D35E87"/>
    <w:rsid w:val="46D44956"/>
    <w:rsid w:val="46EE1E8D"/>
    <w:rsid w:val="47086643"/>
    <w:rsid w:val="471851CA"/>
    <w:rsid w:val="475C24EB"/>
    <w:rsid w:val="47BC1A39"/>
    <w:rsid w:val="47DE6870"/>
    <w:rsid w:val="48362755"/>
    <w:rsid w:val="488241D3"/>
    <w:rsid w:val="488E4E48"/>
    <w:rsid w:val="489056C4"/>
    <w:rsid w:val="48E00140"/>
    <w:rsid w:val="490703E8"/>
    <w:rsid w:val="494C0AB8"/>
    <w:rsid w:val="49B900C8"/>
    <w:rsid w:val="4A4701EE"/>
    <w:rsid w:val="4AA54D68"/>
    <w:rsid w:val="4AAD488C"/>
    <w:rsid w:val="4ADD1B95"/>
    <w:rsid w:val="4B122CFD"/>
    <w:rsid w:val="4B4E04B7"/>
    <w:rsid w:val="4BA71BED"/>
    <w:rsid w:val="4C2F2DD8"/>
    <w:rsid w:val="4C354AC1"/>
    <w:rsid w:val="4C4D3849"/>
    <w:rsid w:val="4CFE5DF2"/>
    <w:rsid w:val="4D665E71"/>
    <w:rsid w:val="4D7C5695"/>
    <w:rsid w:val="4D8674EE"/>
    <w:rsid w:val="4DB72F5F"/>
    <w:rsid w:val="4DB93F59"/>
    <w:rsid w:val="4DFC4A28"/>
    <w:rsid w:val="4E157897"/>
    <w:rsid w:val="4E6D044E"/>
    <w:rsid w:val="4E95578B"/>
    <w:rsid w:val="4EBA0458"/>
    <w:rsid w:val="4EF462BB"/>
    <w:rsid w:val="4F253EF0"/>
    <w:rsid w:val="4F4B5A34"/>
    <w:rsid w:val="4F4C72E9"/>
    <w:rsid w:val="4F5D5052"/>
    <w:rsid w:val="4FAB400F"/>
    <w:rsid w:val="4FBC4948"/>
    <w:rsid w:val="4FE40414"/>
    <w:rsid w:val="504340CD"/>
    <w:rsid w:val="50497971"/>
    <w:rsid w:val="50635A54"/>
    <w:rsid w:val="50CA7935"/>
    <w:rsid w:val="50CD6207"/>
    <w:rsid w:val="50CF3D2E"/>
    <w:rsid w:val="50F03844"/>
    <w:rsid w:val="510B3CBD"/>
    <w:rsid w:val="512D4FD1"/>
    <w:rsid w:val="516369D5"/>
    <w:rsid w:val="516A1CA8"/>
    <w:rsid w:val="5188119D"/>
    <w:rsid w:val="51890667"/>
    <w:rsid w:val="519644C0"/>
    <w:rsid w:val="51D84E64"/>
    <w:rsid w:val="521A10C4"/>
    <w:rsid w:val="52370FD0"/>
    <w:rsid w:val="52B77ED9"/>
    <w:rsid w:val="52DD009F"/>
    <w:rsid w:val="52DF7371"/>
    <w:rsid w:val="52E57838"/>
    <w:rsid w:val="52E635B0"/>
    <w:rsid w:val="531050B2"/>
    <w:rsid w:val="53166D6E"/>
    <w:rsid w:val="532365B3"/>
    <w:rsid w:val="53746E0E"/>
    <w:rsid w:val="53821D96"/>
    <w:rsid w:val="538B66AA"/>
    <w:rsid w:val="53CE7F9B"/>
    <w:rsid w:val="53D81C5E"/>
    <w:rsid w:val="53E52B7C"/>
    <w:rsid w:val="543024D3"/>
    <w:rsid w:val="544751EF"/>
    <w:rsid w:val="545E6A74"/>
    <w:rsid w:val="548010BF"/>
    <w:rsid w:val="54BA63B6"/>
    <w:rsid w:val="54C37B3A"/>
    <w:rsid w:val="54F2623D"/>
    <w:rsid w:val="55436A98"/>
    <w:rsid w:val="556F231F"/>
    <w:rsid w:val="5570420D"/>
    <w:rsid w:val="55F3553F"/>
    <w:rsid w:val="56CD3563"/>
    <w:rsid w:val="56D46542"/>
    <w:rsid w:val="56EC7720"/>
    <w:rsid w:val="56F47B7E"/>
    <w:rsid w:val="571A3CDF"/>
    <w:rsid w:val="5742438B"/>
    <w:rsid w:val="57446690"/>
    <w:rsid w:val="57831068"/>
    <w:rsid w:val="57CC4DAB"/>
    <w:rsid w:val="58150BC0"/>
    <w:rsid w:val="58207565"/>
    <w:rsid w:val="58242496"/>
    <w:rsid w:val="58335A19"/>
    <w:rsid w:val="584808F2"/>
    <w:rsid w:val="585A2A77"/>
    <w:rsid w:val="588B7E4F"/>
    <w:rsid w:val="58992DA7"/>
    <w:rsid w:val="59066A70"/>
    <w:rsid w:val="59077D7A"/>
    <w:rsid w:val="59444C1B"/>
    <w:rsid w:val="594D3595"/>
    <w:rsid w:val="594E4D66"/>
    <w:rsid w:val="59B25549"/>
    <w:rsid w:val="5A165663"/>
    <w:rsid w:val="5A350DBE"/>
    <w:rsid w:val="5A576F72"/>
    <w:rsid w:val="5A9912BB"/>
    <w:rsid w:val="5AB773E5"/>
    <w:rsid w:val="5AFA7264"/>
    <w:rsid w:val="5B0C5B6E"/>
    <w:rsid w:val="5B0E0ACE"/>
    <w:rsid w:val="5B51179D"/>
    <w:rsid w:val="5BA37B45"/>
    <w:rsid w:val="5BBA5D28"/>
    <w:rsid w:val="5BBE50CA"/>
    <w:rsid w:val="5BED19F4"/>
    <w:rsid w:val="5C0D1BAE"/>
    <w:rsid w:val="5C7E56FF"/>
    <w:rsid w:val="5CB179C5"/>
    <w:rsid w:val="5CE52579"/>
    <w:rsid w:val="5D28648B"/>
    <w:rsid w:val="5D4D6706"/>
    <w:rsid w:val="5D5A7075"/>
    <w:rsid w:val="5D717287"/>
    <w:rsid w:val="5DB1580F"/>
    <w:rsid w:val="5DBD41AF"/>
    <w:rsid w:val="5DF25D30"/>
    <w:rsid w:val="5DFD76AB"/>
    <w:rsid w:val="5E2A15EF"/>
    <w:rsid w:val="5E315BF1"/>
    <w:rsid w:val="5E405747"/>
    <w:rsid w:val="5E875C48"/>
    <w:rsid w:val="5EB0499E"/>
    <w:rsid w:val="5EF4726A"/>
    <w:rsid w:val="5EFA7003"/>
    <w:rsid w:val="5F7E529D"/>
    <w:rsid w:val="5FBE1B3D"/>
    <w:rsid w:val="602D0A71"/>
    <w:rsid w:val="602D572B"/>
    <w:rsid w:val="606C3347"/>
    <w:rsid w:val="60752B29"/>
    <w:rsid w:val="60912DAE"/>
    <w:rsid w:val="609217A4"/>
    <w:rsid w:val="610B478D"/>
    <w:rsid w:val="61446072"/>
    <w:rsid w:val="61C443FA"/>
    <w:rsid w:val="61D4389A"/>
    <w:rsid w:val="61DF5D9B"/>
    <w:rsid w:val="61E25504"/>
    <w:rsid w:val="61EC0E92"/>
    <w:rsid w:val="61F52546"/>
    <w:rsid w:val="621F43E9"/>
    <w:rsid w:val="622533DA"/>
    <w:rsid w:val="6267026A"/>
    <w:rsid w:val="627C1875"/>
    <w:rsid w:val="62A040E8"/>
    <w:rsid w:val="62A15DA4"/>
    <w:rsid w:val="62A3376D"/>
    <w:rsid w:val="62D968EB"/>
    <w:rsid w:val="633A772C"/>
    <w:rsid w:val="63452778"/>
    <w:rsid w:val="635307EE"/>
    <w:rsid w:val="635F7193"/>
    <w:rsid w:val="63926837"/>
    <w:rsid w:val="63E31B72"/>
    <w:rsid w:val="64526CF8"/>
    <w:rsid w:val="64A42418"/>
    <w:rsid w:val="64C807A3"/>
    <w:rsid w:val="64D616D7"/>
    <w:rsid w:val="651D7306"/>
    <w:rsid w:val="651F307E"/>
    <w:rsid w:val="65492D3C"/>
    <w:rsid w:val="65643644"/>
    <w:rsid w:val="65CA2133"/>
    <w:rsid w:val="65D976D1"/>
    <w:rsid w:val="661063CD"/>
    <w:rsid w:val="66395E1E"/>
    <w:rsid w:val="66867E32"/>
    <w:rsid w:val="668B029F"/>
    <w:rsid w:val="66BC30C2"/>
    <w:rsid w:val="66CC797F"/>
    <w:rsid w:val="66CF5762"/>
    <w:rsid w:val="66DC5C34"/>
    <w:rsid w:val="67224B97"/>
    <w:rsid w:val="673F7A07"/>
    <w:rsid w:val="6765645A"/>
    <w:rsid w:val="67887D22"/>
    <w:rsid w:val="67FF181D"/>
    <w:rsid w:val="6820381B"/>
    <w:rsid w:val="68453F0D"/>
    <w:rsid w:val="68471206"/>
    <w:rsid w:val="68525518"/>
    <w:rsid w:val="686B482C"/>
    <w:rsid w:val="68B2725E"/>
    <w:rsid w:val="68DA7C00"/>
    <w:rsid w:val="69FA4CB6"/>
    <w:rsid w:val="6A2D65C8"/>
    <w:rsid w:val="6A3D3DFF"/>
    <w:rsid w:val="6A6C5263"/>
    <w:rsid w:val="6A8F5E03"/>
    <w:rsid w:val="6A9A4F55"/>
    <w:rsid w:val="6AB72926"/>
    <w:rsid w:val="6AE8665A"/>
    <w:rsid w:val="6B171960"/>
    <w:rsid w:val="6B4C65E1"/>
    <w:rsid w:val="6B4F5D3F"/>
    <w:rsid w:val="6B6E08BB"/>
    <w:rsid w:val="6B6F6AB5"/>
    <w:rsid w:val="6BA64772"/>
    <w:rsid w:val="6BDF3567"/>
    <w:rsid w:val="6BE648F5"/>
    <w:rsid w:val="6C00614D"/>
    <w:rsid w:val="6C1256EA"/>
    <w:rsid w:val="6C960582"/>
    <w:rsid w:val="6C97799E"/>
    <w:rsid w:val="6CBE4A5E"/>
    <w:rsid w:val="6D1E00BF"/>
    <w:rsid w:val="6D1F7964"/>
    <w:rsid w:val="6D1F7993"/>
    <w:rsid w:val="6D6C268E"/>
    <w:rsid w:val="6D9E361D"/>
    <w:rsid w:val="6DA63419"/>
    <w:rsid w:val="6DBB14D9"/>
    <w:rsid w:val="6DEC70F7"/>
    <w:rsid w:val="6DF71F59"/>
    <w:rsid w:val="6E3E1358"/>
    <w:rsid w:val="6E7E5383"/>
    <w:rsid w:val="6EA77C40"/>
    <w:rsid w:val="6EEA5288"/>
    <w:rsid w:val="6EF530A1"/>
    <w:rsid w:val="6F7706A2"/>
    <w:rsid w:val="6F7761A0"/>
    <w:rsid w:val="6FC50CC6"/>
    <w:rsid w:val="70095C08"/>
    <w:rsid w:val="70BC0647"/>
    <w:rsid w:val="70C3536F"/>
    <w:rsid w:val="70FE47A5"/>
    <w:rsid w:val="71190330"/>
    <w:rsid w:val="71233EF6"/>
    <w:rsid w:val="712B12ED"/>
    <w:rsid w:val="71373115"/>
    <w:rsid w:val="71942299"/>
    <w:rsid w:val="71D977B2"/>
    <w:rsid w:val="71F91B12"/>
    <w:rsid w:val="720328F7"/>
    <w:rsid w:val="72086C48"/>
    <w:rsid w:val="72283D07"/>
    <w:rsid w:val="726B427C"/>
    <w:rsid w:val="727644F9"/>
    <w:rsid w:val="72F1136F"/>
    <w:rsid w:val="73102258"/>
    <w:rsid w:val="73B03BB2"/>
    <w:rsid w:val="73BE6D5C"/>
    <w:rsid w:val="73F73283"/>
    <w:rsid w:val="7403775D"/>
    <w:rsid w:val="74637265"/>
    <w:rsid w:val="74796486"/>
    <w:rsid w:val="74BA06CD"/>
    <w:rsid w:val="74E86097"/>
    <w:rsid w:val="75410DEE"/>
    <w:rsid w:val="75431DF5"/>
    <w:rsid w:val="75742F72"/>
    <w:rsid w:val="75B90070"/>
    <w:rsid w:val="75ED6880"/>
    <w:rsid w:val="75EE0105"/>
    <w:rsid w:val="7653662C"/>
    <w:rsid w:val="7657019E"/>
    <w:rsid w:val="767D2E2C"/>
    <w:rsid w:val="76907AF5"/>
    <w:rsid w:val="76C320D0"/>
    <w:rsid w:val="776E39F1"/>
    <w:rsid w:val="77AE723C"/>
    <w:rsid w:val="782869F8"/>
    <w:rsid w:val="784E48D0"/>
    <w:rsid w:val="788D6B17"/>
    <w:rsid w:val="78A21BA4"/>
    <w:rsid w:val="7909538C"/>
    <w:rsid w:val="792A3948"/>
    <w:rsid w:val="79344C4A"/>
    <w:rsid w:val="79382421"/>
    <w:rsid w:val="797D43BF"/>
    <w:rsid w:val="7A2D749C"/>
    <w:rsid w:val="7A366FBF"/>
    <w:rsid w:val="7A74131E"/>
    <w:rsid w:val="7ABE07EB"/>
    <w:rsid w:val="7ADE49EA"/>
    <w:rsid w:val="7AED2E7F"/>
    <w:rsid w:val="7B1623D5"/>
    <w:rsid w:val="7B276391"/>
    <w:rsid w:val="7B716360"/>
    <w:rsid w:val="7B91726B"/>
    <w:rsid w:val="7BD40C4D"/>
    <w:rsid w:val="7C0B3F04"/>
    <w:rsid w:val="7C0B7A60"/>
    <w:rsid w:val="7C215D74"/>
    <w:rsid w:val="7C292D5A"/>
    <w:rsid w:val="7C3945CD"/>
    <w:rsid w:val="7CCE7810"/>
    <w:rsid w:val="7CF56B19"/>
    <w:rsid w:val="7D15658F"/>
    <w:rsid w:val="7D5170DA"/>
    <w:rsid w:val="7D5611AF"/>
    <w:rsid w:val="7D6C1EA8"/>
    <w:rsid w:val="7D7609EE"/>
    <w:rsid w:val="7D845D1C"/>
    <w:rsid w:val="7DA94059"/>
    <w:rsid w:val="7DBB7264"/>
    <w:rsid w:val="7DC6148E"/>
    <w:rsid w:val="7E355268"/>
    <w:rsid w:val="7E7A28A3"/>
    <w:rsid w:val="7EC2465E"/>
    <w:rsid w:val="7EC749DF"/>
    <w:rsid w:val="7F127358"/>
    <w:rsid w:val="7F435763"/>
    <w:rsid w:val="7F5E6069"/>
    <w:rsid w:val="7F5F04E4"/>
    <w:rsid w:val="7F5F07EF"/>
    <w:rsid w:val="7FAA1778"/>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autoRedefine/>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5"/>
    <w:link w:val="77"/>
    <w:autoRedefine/>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8"/>
    <w:autoRedefine/>
    <w:qFormat/>
    <w:uiPriority w:val="9"/>
    <w:pPr>
      <w:keepNext/>
      <w:keepLines/>
      <w:spacing w:before="260" w:after="260" w:line="360" w:lineRule="auto"/>
      <w:ind w:left="171" w:leftChars="171"/>
      <w:outlineLvl w:val="2"/>
    </w:pPr>
    <w:rPr>
      <w:rFonts w:eastAsia="Arial Unicode MS"/>
      <w:b/>
      <w:szCs w:val="20"/>
    </w:rPr>
  </w:style>
  <w:style w:type="paragraph" w:styleId="8">
    <w:name w:val="heading 4"/>
    <w:basedOn w:val="1"/>
    <w:next w:val="1"/>
    <w:link w:val="79"/>
    <w:autoRedefine/>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80"/>
    <w:autoRedefine/>
    <w:qFormat/>
    <w:uiPriority w:val="9"/>
    <w:pPr>
      <w:keepNext/>
      <w:keepLines/>
      <w:spacing w:before="280" w:after="290" w:line="376" w:lineRule="auto"/>
      <w:outlineLvl w:val="4"/>
    </w:pPr>
    <w:rPr>
      <w:rFonts w:ascii="Calibri" w:hAnsi="Calibri"/>
      <w:b/>
      <w:bCs/>
      <w:sz w:val="28"/>
      <w:szCs w:val="28"/>
    </w:rPr>
  </w:style>
  <w:style w:type="paragraph" w:styleId="10">
    <w:name w:val="heading 6"/>
    <w:basedOn w:val="1"/>
    <w:next w:val="1"/>
    <w:link w:val="81"/>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1">
    <w:name w:val="heading 7"/>
    <w:basedOn w:val="1"/>
    <w:next w:val="1"/>
    <w:link w:val="82"/>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2">
    <w:name w:val="heading 8"/>
    <w:basedOn w:val="1"/>
    <w:next w:val="1"/>
    <w:link w:val="83"/>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3">
    <w:name w:val="heading 9"/>
    <w:basedOn w:val="1"/>
    <w:next w:val="1"/>
    <w:link w:val="84"/>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3">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eastAsia="微软雅黑"/>
      <w:sz w:val="24"/>
      <w:szCs w:val="21"/>
    </w:rPr>
  </w:style>
  <w:style w:type="paragraph" w:customStyle="1" w:styleId="5">
    <w:name w:val="文档正文"/>
    <w:basedOn w:val="6"/>
    <w:link w:val="186"/>
    <w:autoRedefine/>
    <w:qFormat/>
    <w:uiPriority w:val="0"/>
    <w:pPr>
      <w:adjustRightInd w:val="0"/>
      <w:spacing w:line="312" w:lineRule="atLeast"/>
      <w:ind w:firstLine="567"/>
      <w:textAlignment w:val="baseline"/>
    </w:pPr>
    <w:rPr>
      <w:rFonts w:ascii="Arial" w:eastAsia="长城仿宋" w:hAnsiTheme="minorHAnsi" w:cstheme="minorBidi"/>
      <w:sz w:val="28"/>
      <w:szCs w:val="22"/>
    </w:rPr>
  </w:style>
  <w:style w:type="paragraph" w:styleId="6">
    <w:name w:val="Normal Indent"/>
    <w:basedOn w:val="1"/>
    <w:link w:val="124"/>
    <w:autoRedefine/>
    <w:qFormat/>
    <w:uiPriority w:val="99"/>
    <w:pPr>
      <w:ind w:firstLine="420" w:firstLineChars="200"/>
    </w:pPr>
    <w:rPr>
      <w:rFonts w:asciiTheme="minorHAnsi" w:hAnsiTheme="minorHAnsi" w:eastAsiaTheme="minorEastAsia" w:cstheme="minorBidi"/>
    </w:rPr>
  </w:style>
  <w:style w:type="paragraph" w:styleId="14">
    <w:name w:val="List 3"/>
    <w:basedOn w:val="1"/>
    <w:autoRedefine/>
    <w:qFormat/>
    <w:uiPriority w:val="0"/>
    <w:pPr>
      <w:ind w:left="100" w:leftChars="400" w:hanging="200" w:hangingChars="200"/>
    </w:pPr>
  </w:style>
  <w:style w:type="paragraph" w:styleId="15">
    <w:name w:val="toc 7"/>
    <w:basedOn w:val="1"/>
    <w:next w:val="1"/>
    <w:autoRedefine/>
    <w:qFormat/>
    <w:uiPriority w:val="39"/>
    <w:pPr>
      <w:ind w:left="1260"/>
      <w:jc w:val="left"/>
    </w:pPr>
    <w:rPr>
      <w:rFonts w:asciiTheme="minorHAnsi" w:hAnsiTheme="minorHAnsi" w:cstheme="minorHAnsi"/>
      <w:sz w:val="18"/>
      <w:szCs w:val="18"/>
    </w:rPr>
  </w:style>
  <w:style w:type="paragraph" w:styleId="16">
    <w:name w:val="table of authorities"/>
    <w:basedOn w:val="1"/>
    <w:next w:val="1"/>
    <w:autoRedefine/>
    <w:qFormat/>
    <w:uiPriority w:val="0"/>
    <w:pPr>
      <w:ind w:left="420" w:leftChars="200"/>
    </w:pPr>
    <w:rPr>
      <w:szCs w:val="20"/>
    </w:rPr>
  </w:style>
  <w:style w:type="paragraph" w:styleId="17">
    <w:name w:val="List Bullet 4"/>
    <w:basedOn w:val="1"/>
    <w:autoRedefine/>
    <w:qFormat/>
    <w:uiPriority w:val="0"/>
    <w:pPr>
      <w:tabs>
        <w:tab w:val="left" w:pos="980"/>
      </w:tabs>
      <w:spacing w:beforeLines="50" w:afterLines="50" w:line="360" w:lineRule="auto"/>
      <w:ind w:left="980" w:hanging="420"/>
    </w:pPr>
    <w:rPr>
      <w:sz w:val="24"/>
    </w:rPr>
  </w:style>
  <w:style w:type="paragraph" w:styleId="18">
    <w:name w:val="List Number"/>
    <w:basedOn w:val="1"/>
    <w:autoRedefine/>
    <w:qFormat/>
    <w:uiPriority w:val="0"/>
    <w:pPr>
      <w:numPr>
        <w:ilvl w:val="0"/>
        <w:numId w:val="1"/>
      </w:numPr>
      <w:tabs>
        <w:tab w:val="left" w:pos="840"/>
      </w:tabs>
    </w:pPr>
    <w:rPr>
      <w:rFonts w:ascii="Calibri" w:hAnsi="Calibri"/>
      <w:sz w:val="28"/>
      <w:szCs w:val="22"/>
    </w:rPr>
  </w:style>
  <w:style w:type="paragraph" w:styleId="19">
    <w:name w:val="caption"/>
    <w:basedOn w:val="1"/>
    <w:next w:val="1"/>
    <w:link w:val="204"/>
    <w:autoRedefine/>
    <w:qFormat/>
    <w:uiPriority w:val="0"/>
    <w:pPr>
      <w:widowControl/>
      <w:jc w:val="left"/>
    </w:pPr>
    <w:rPr>
      <w:rFonts w:ascii="Arial" w:hAnsi="Arial" w:eastAsia="黑体" w:cstheme="minorBidi"/>
      <w:szCs w:val="22"/>
    </w:rPr>
  </w:style>
  <w:style w:type="paragraph" w:styleId="20">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61"/>
    <w:autoRedefine/>
    <w:qFormat/>
    <w:uiPriority w:val="99"/>
    <w:pPr>
      <w:shd w:val="clear" w:color="auto" w:fill="000080"/>
    </w:pPr>
    <w:rPr>
      <w:rFonts w:asciiTheme="minorHAnsi" w:hAnsiTheme="minorHAnsi" w:eastAsiaTheme="minorEastAsia" w:cstheme="minorBidi"/>
    </w:rPr>
  </w:style>
  <w:style w:type="paragraph" w:styleId="23">
    <w:name w:val="annotation text"/>
    <w:basedOn w:val="1"/>
    <w:link w:val="248"/>
    <w:autoRedefine/>
    <w:unhideWhenUsed/>
    <w:qFormat/>
    <w:uiPriority w:val="99"/>
    <w:pPr>
      <w:jc w:val="left"/>
    </w:pPr>
  </w:style>
  <w:style w:type="paragraph" w:styleId="24">
    <w:name w:val="Salutation"/>
    <w:basedOn w:val="1"/>
    <w:next w:val="1"/>
    <w:link w:val="258"/>
    <w:autoRedefine/>
    <w:qFormat/>
    <w:uiPriority w:val="0"/>
    <w:rPr>
      <w:rFonts w:asciiTheme="minorHAnsi" w:hAnsiTheme="minorHAnsi" w:eastAsiaTheme="minorEastAsia" w:cstheme="minorBidi"/>
    </w:rPr>
  </w:style>
  <w:style w:type="paragraph" w:styleId="25">
    <w:name w:val="Body Text 3"/>
    <w:basedOn w:val="1"/>
    <w:link w:val="228"/>
    <w:autoRedefine/>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90"/>
    <w:autoRedefine/>
    <w:qFormat/>
    <w:uiPriority w:val="0"/>
    <w:pPr>
      <w:ind w:left="100" w:leftChars="2100"/>
    </w:pPr>
    <w:rPr>
      <w:rFonts w:ascii="宋体" w:hAnsi="宋体" w:eastAsiaTheme="minorEastAsia" w:cstheme="minorBidi"/>
      <w:b/>
      <w:sz w:val="24"/>
    </w:rPr>
  </w:style>
  <w:style w:type="paragraph" w:styleId="27">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8">
    <w:name w:val="Body Text"/>
    <w:basedOn w:val="1"/>
    <w:link w:val="255"/>
    <w:autoRedefine/>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9">
    <w:name w:val="Body Text Indent"/>
    <w:basedOn w:val="1"/>
    <w:next w:val="30"/>
    <w:link w:val="225"/>
    <w:autoRedefine/>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Body Text First Indent 2"/>
    <w:basedOn w:val="29"/>
    <w:next w:val="31"/>
    <w:link w:val="236"/>
    <w:autoRedefine/>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paragraph" w:styleId="3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2">
    <w:name w:val="List 2"/>
    <w:basedOn w:val="1"/>
    <w:autoRedefine/>
    <w:qFormat/>
    <w:uiPriority w:val="0"/>
    <w:pPr>
      <w:spacing w:beforeLines="50" w:afterLines="50" w:line="360" w:lineRule="auto"/>
      <w:ind w:left="100" w:leftChars="200" w:hanging="200" w:hangingChars="200"/>
    </w:pPr>
    <w:rPr>
      <w:sz w:val="24"/>
    </w:rPr>
  </w:style>
  <w:style w:type="paragraph" w:styleId="33">
    <w:name w:val="Block Text"/>
    <w:basedOn w:val="1"/>
    <w:autoRedefine/>
    <w:qFormat/>
    <w:uiPriority w:val="0"/>
    <w:pPr>
      <w:spacing w:beforeLines="50" w:afterLines="50" w:line="360" w:lineRule="auto"/>
      <w:ind w:left="1440" w:leftChars="700" w:right="1440" w:rightChars="700"/>
    </w:pPr>
    <w:rPr>
      <w:sz w:val="24"/>
    </w:rPr>
  </w:style>
  <w:style w:type="paragraph" w:styleId="34">
    <w:name w:val="toc 5"/>
    <w:basedOn w:val="1"/>
    <w:next w:val="1"/>
    <w:autoRedefine/>
    <w:qFormat/>
    <w:uiPriority w:val="39"/>
    <w:pPr>
      <w:ind w:left="840"/>
      <w:jc w:val="left"/>
    </w:pPr>
    <w:rPr>
      <w:rFonts w:asciiTheme="minorHAnsi" w:hAnsiTheme="minorHAnsi" w:cstheme="minorHAnsi"/>
      <w:sz w:val="18"/>
      <w:szCs w:val="18"/>
    </w:rPr>
  </w:style>
  <w:style w:type="paragraph" w:styleId="35">
    <w:name w:val="toc 3"/>
    <w:basedOn w:val="1"/>
    <w:next w:val="1"/>
    <w:autoRedefine/>
    <w:qFormat/>
    <w:uiPriority w:val="39"/>
    <w:pPr>
      <w:ind w:left="420"/>
      <w:jc w:val="left"/>
    </w:pPr>
    <w:rPr>
      <w:rFonts w:asciiTheme="minorHAnsi" w:hAnsiTheme="minorHAnsi" w:cstheme="minorHAnsi"/>
      <w:i/>
      <w:iCs/>
      <w:sz w:val="20"/>
      <w:szCs w:val="20"/>
    </w:rPr>
  </w:style>
  <w:style w:type="paragraph" w:styleId="36">
    <w:name w:val="Plain Text"/>
    <w:basedOn w:val="1"/>
    <w:link w:val="240"/>
    <w:autoRedefine/>
    <w:qFormat/>
    <w:uiPriority w:val="0"/>
    <w:rPr>
      <w:rFonts w:ascii="宋体" w:hAnsi="Courier New" w:cs="Courier New" w:eastAsiaTheme="minorEastAsia"/>
      <w:szCs w:val="21"/>
    </w:rPr>
  </w:style>
  <w:style w:type="paragraph" w:styleId="37">
    <w:name w:val="toc 8"/>
    <w:basedOn w:val="1"/>
    <w:next w:val="1"/>
    <w:autoRedefine/>
    <w:qFormat/>
    <w:uiPriority w:val="39"/>
    <w:pPr>
      <w:ind w:left="1470"/>
      <w:jc w:val="left"/>
    </w:pPr>
    <w:rPr>
      <w:rFonts w:asciiTheme="minorHAnsi" w:hAnsiTheme="minorHAnsi" w:cstheme="minorHAnsi"/>
      <w:sz w:val="18"/>
      <w:szCs w:val="18"/>
    </w:rPr>
  </w:style>
  <w:style w:type="paragraph" w:styleId="38">
    <w:name w:val="Date"/>
    <w:basedOn w:val="1"/>
    <w:next w:val="1"/>
    <w:link w:val="265"/>
    <w:autoRedefine/>
    <w:qFormat/>
    <w:uiPriority w:val="0"/>
    <w:pPr>
      <w:ind w:left="100" w:leftChars="2500"/>
    </w:pPr>
    <w:rPr>
      <w:rFonts w:eastAsia="仿宋_GB2312" w:asciiTheme="minorHAnsi" w:hAnsiTheme="minorHAnsi" w:cstheme="minorBidi"/>
      <w:color w:val="000000"/>
      <w:sz w:val="28"/>
    </w:rPr>
  </w:style>
  <w:style w:type="paragraph" w:styleId="39">
    <w:name w:val="Body Text Indent 2"/>
    <w:basedOn w:val="1"/>
    <w:link w:val="218"/>
    <w:autoRedefine/>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40">
    <w:name w:val="endnote text"/>
    <w:basedOn w:val="1"/>
    <w:link w:val="294"/>
    <w:autoRedefine/>
    <w:qFormat/>
    <w:uiPriority w:val="0"/>
    <w:pPr>
      <w:snapToGrid w:val="0"/>
      <w:jc w:val="left"/>
    </w:pPr>
    <w:rPr>
      <w:rFonts w:asciiTheme="minorHAnsi" w:hAnsiTheme="minorHAnsi" w:eastAsiaTheme="minorEastAsia" w:cstheme="minorBidi"/>
      <w:szCs w:val="22"/>
    </w:rPr>
  </w:style>
  <w:style w:type="paragraph" w:styleId="41">
    <w:name w:val="Balloon Text"/>
    <w:basedOn w:val="1"/>
    <w:link w:val="246"/>
    <w:autoRedefine/>
    <w:qFormat/>
    <w:uiPriority w:val="99"/>
    <w:rPr>
      <w:rFonts w:asciiTheme="minorHAnsi" w:hAnsiTheme="minorHAnsi" w:eastAsiaTheme="minorEastAsia" w:cstheme="minorBidi"/>
      <w:sz w:val="18"/>
      <w:szCs w:val="18"/>
    </w:rPr>
  </w:style>
  <w:style w:type="paragraph" w:styleId="42">
    <w:name w:val="footer"/>
    <w:basedOn w:val="1"/>
    <w:link w:val="75"/>
    <w:autoRedefine/>
    <w:unhideWhenUsed/>
    <w:qFormat/>
    <w:uiPriority w:val="99"/>
    <w:pPr>
      <w:tabs>
        <w:tab w:val="center" w:pos="4153"/>
        <w:tab w:val="right" w:pos="8306"/>
      </w:tabs>
      <w:snapToGrid w:val="0"/>
      <w:jc w:val="left"/>
    </w:pPr>
    <w:rPr>
      <w:sz w:val="18"/>
      <w:szCs w:val="18"/>
    </w:rPr>
  </w:style>
  <w:style w:type="paragraph" w:styleId="43">
    <w:name w:val="header"/>
    <w:basedOn w:val="1"/>
    <w:link w:val="7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45">
    <w:name w:val="toc 4"/>
    <w:basedOn w:val="1"/>
    <w:next w:val="1"/>
    <w:autoRedefine/>
    <w:qFormat/>
    <w:uiPriority w:val="39"/>
    <w:pPr>
      <w:ind w:left="630"/>
      <w:jc w:val="left"/>
    </w:pPr>
    <w:rPr>
      <w:rFonts w:asciiTheme="minorHAnsi" w:hAnsiTheme="minorHAnsi" w:cstheme="minorHAnsi"/>
      <w:sz w:val="18"/>
      <w:szCs w:val="18"/>
    </w:rPr>
  </w:style>
  <w:style w:type="paragraph" w:styleId="46">
    <w:name w:val="Subtitle"/>
    <w:basedOn w:val="1"/>
    <w:next w:val="1"/>
    <w:link w:val="291"/>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7">
    <w:name w:val="List"/>
    <w:basedOn w:val="1"/>
    <w:autoRedefine/>
    <w:qFormat/>
    <w:uiPriority w:val="0"/>
    <w:pPr>
      <w:ind w:left="420" w:hanging="420"/>
    </w:pPr>
    <w:rPr>
      <w:sz w:val="24"/>
      <w:szCs w:val="20"/>
    </w:rPr>
  </w:style>
  <w:style w:type="paragraph" w:styleId="48">
    <w:name w:val="footnote text"/>
    <w:basedOn w:val="1"/>
    <w:link w:val="719"/>
    <w:autoRedefine/>
    <w:qFormat/>
    <w:uiPriority w:val="0"/>
    <w:pPr>
      <w:widowControl/>
      <w:jc w:val="left"/>
    </w:pPr>
    <w:rPr>
      <w:kern w:val="0"/>
      <w:sz w:val="20"/>
      <w:szCs w:val="20"/>
      <w:lang w:val="de-DE"/>
    </w:rPr>
  </w:style>
  <w:style w:type="paragraph" w:styleId="49">
    <w:name w:val="toc 6"/>
    <w:basedOn w:val="1"/>
    <w:next w:val="1"/>
    <w:autoRedefine/>
    <w:qFormat/>
    <w:uiPriority w:val="39"/>
    <w:pPr>
      <w:ind w:left="1050"/>
      <w:jc w:val="left"/>
    </w:pPr>
    <w:rPr>
      <w:rFonts w:asciiTheme="minorHAnsi" w:hAnsiTheme="minorHAnsi" w:cstheme="minorHAnsi"/>
      <w:sz w:val="18"/>
      <w:szCs w:val="18"/>
    </w:rPr>
  </w:style>
  <w:style w:type="paragraph" w:styleId="50">
    <w:name w:val="Body Text Indent 3"/>
    <w:basedOn w:val="1"/>
    <w:link w:val="250"/>
    <w:autoRedefine/>
    <w:qFormat/>
    <w:uiPriority w:val="0"/>
    <w:pPr>
      <w:ind w:firstLine="480" w:firstLineChars="200"/>
    </w:pPr>
    <w:rPr>
      <w:rFonts w:ascii="幼圆" w:eastAsia="幼圆" w:hAnsiTheme="minorHAnsi" w:cstheme="minorBidi"/>
      <w:sz w:val="24"/>
      <w:szCs w:val="32"/>
    </w:rPr>
  </w:style>
  <w:style w:type="paragraph" w:styleId="51">
    <w:name w:val="table of figures"/>
    <w:basedOn w:val="1"/>
    <w:next w:val="1"/>
    <w:autoRedefine/>
    <w:qFormat/>
    <w:uiPriority w:val="99"/>
    <w:pPr>
      <w:ind w:left="200" w:leftChars="200" w:hanging="200" w:hangingChars="200"/>
    </w:pPr>
  </w:style>
  <w:style w:type="paragraph" w:styleId="52">
    <w:name w:val="toc 2"/>
    <w:basedOn w:val="1"/>
    <w:next w:val="1"/>
    <w:autoRedefine/>
    <w:qFormat/>
    <w:uiPriority w:val="39"/>
    <w:pPr>
      <w:ind w:left="210"/>
      <w:jc w:val="left"/>
    </w:pPr>
    <w:rPr>
      <w:rFonts w:asciiTheme="minorHAnsi" w:hAnsiTheme="minorHAnsi" w:cstheme="minorHAnsi"/>
      <w:smallCaps/>
      <w:sz w:val="20"/>
      <w:szCs w:val="20"/>
    </w:rPr>
  </w:style>
  <w:style w:type="paragraph" w:styleId="53">
    <w:name w:val="toc 9"/>
    <w:basedOn w:val="1"/>
    <w:next w:val="1"/>
    <w:autoRedefine/>
    <w:qFormat/>
    <w:uiPriority w:val="39"/>
    <w:pPr>
      <w:ind w:left="1680"/>
      <w:jc w:val="left"/>
    </w:pPr>
    <w:rPr>
      <w:rFonts w:asciiTheme="minorHAnsi" w:hAnsiTheme="minorHAnsi" w:cstheme="minorHAnsi"/>
      <w:sz w:val="18"/>
      <w:szCs w:val="18"/>
    </w:rPr>
  </w:style>
  <w:style w:type="paragraph" w:styleId="54">
    <w:name w:val="Body Text 2"/>
    <w:basedOn w:val="1"/>
    <w:link w:val="285"/>
    <w:autoRedefine/>
    <w:qFormat/>
    <w:uiPriority w:val="0"/>
    <w:pPr>
      <w:jc w:val="center"/>
    </w:pPr>
    <w:rPr>
      <w:rFonts w:ascii="宋体" w:hAnsi="宋体" w:eastAsiaTheme="minorEastAsia" w:cstheme="minorBidi"/>
      <w:sz w:val="24"/>
    </w:rPr>
  </w:style>
  <w:style w:type="paragraph" w:styleId="55">
    <w:name w:val="HTML Preformatted"/>
    <w:basedOn w:val="1"/>
    <w:link w:val="28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6">
    <w:name w:val="index 1"/>
    <w:basedOn w:val="1"/>
    <w:next w:val="1"/>
    <w:autoRedefine/>
    <w:qFormat/>
    <w:uiPriority w:val="0"/>
    <w:rPr>
      <w:kern w:val="0"/>
      <w:sz w:val="24"/>
      <w:szCs w:val="21"/>
    </w:rPr>
  </w:style>
  <w:style w:type="paragraph" w:styleId="57">
    <w:name w:val="Title"/>
    <w:basedOn w:val="1"/>
    <w:next w:val="1"/>
    <w:link w:val="231"/>
    <w:autoRedefine/>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3"/>
    <w:next w:val="23"/>
    <w:link w:val="249"/>
    <w:autoRedefine/>
    <w:qFormat/>
    <w:uiPriority w:val="99"/>
    <w:rPr>
      <w:rFonts w:asciiTheme="minorHAnsi" w:hAnsiTheme="minorHAnsi" w:eastAsiaTheme="minorEastAsia" w:cstheme="minorBidi"/>
      <w:b/>
    </w:rPr>
  </w:style>
  <w:style w:type="paragraph" w:styleId="59">
    <w:name w:val="Body Text First Indent"/>
    <w:basedOn w:val="28"/>
    <w:next w:val="49"/>
    <w:link w:val="284"/>
    <w:autoRedefine/>
    <w:qFormat/>
    <w:uiPriority w:val="0"/>
    <w:pPr>
      <w:autoSpaceDE/>
      <w:autoSpaceDN/>
      <w:adjustRightInd/>
      <w:spacing w:after="120" w:line="240" w:lineRule="auto"/>
      <w:ind w:firstLine="420" w:firstLineChars="100"/>
      <w:jc w:val="both"/>
    </w:pPr>
    <w:rPr>
      <w:sz w:val="21"/>
    </w:rPr>
  </w:style>
  <w:style w:type="table" w:styleId="61">
    <w:name w:val="Table Grid"/>
    <w:basedOn w:val="6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2">
    <w:name w:val="Table Elegant"/>
    <w:basedOn w:val="60"/>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4">
    <w:name w:val="Strong"/>
    <w:autoRedefine/>
    <w:qFormat/>
    <w:uiPriority w:val="0"/>
    <w:rPr>
      <w:b/>
      <w:bCs/>
    </w:rPr>
  </w:style>
  <w:style w:type="character" w:styleId="65">
    <w:name w:val="endnote reference"/>
    <w:autoRedefine/>
    <w:qFormat/>
    <w:uiPriority w:val="0"/>
    <w:rPr>
      <w:vertAlign w:val="superscript"/>
    </w:rPr>
  </w:style>
  <w:style w:type="character" w:styleId="66">
    <w:name w:val="page number"/>
    <w:basedOn w:val="63"/>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iCs/>
    </w:rPr>
  </w:style>
  <w:style w:type="character" w:styleId="69">
    <w:name w:val="Hyperlink"/>
    <w:autoRedefine/>
    <w:qFormat/>
    <w:uiPriority w:val="99"/>
    <w:rPr>
      <w:color w:val="0000FF"/>
      <w:u w:val="single"/>
    </w:rPr>
  </w:style>
  <w:style w:type="character" w:styleId="70">
    <w:name w:val="annotation reference"/>
    <w:autoRedefine/>
    <w:qFormat/>
    <w:uiPriority w:val="99"/>
    <w:rPr>
      <w:sz w:val="21"/>
    </w:rPr>
  </w:style>
  <w:style w:type="paragraph" w:customStyle="1" w:styleId="71">
    <w:name w:val="BodyText1I2"/>
    <w:basedOn w:val="72"/>
    <w:next w:val="72"/>
    <w:qFormat/>
    <w:uiPriority w:val="0"/>
    <w:pPr>
      <w:ind w:firstLine="420" w:firstLineChars="200"/>
    </w:pPr>
    <w:rPr>
      <w:szCs w:val="24"/>
    </w:rPr>
  </w:style>
  <w:style w:type="paragraph" w:customStyle="1" w:styleId="72">
    <w:name w:val="BodyTextIndent"/>
    <w:basedOn w:val="1"/>
    <w:qFormat/>
    <w:uiPriority w:val="0"/>
    <w:pPr>
      <w:spacing w:after="120"/>
      <w:ind w:left="420" w:leftChars="200"/>
    </w:pPr>
    <w:rPr>
      <w:szCs w:val="22"/>
    </w:rPr>
  </w:style>
  <w:style w:type="paragraph" w:customStyle="1" w:styleId="7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4">
    <w:name w:val="页眉 Char"/>
    <w:basedOn w:val="63"/>
    <w:link w:val="43"/>
    <w:autoRedefine/>
    <w:qFormat/>
    <w:uiPriority w:val="99"/>
    <w:rPr>
      <w:sz w:val="18"/>
      <w:szCs w:val="18"/>
    </w:rPr>
  </w:style>
  <w:style w:type="character" w:customStyle="1" w:styleId="75">
    <w:name w:val="页脚 Char"/>
    <w:basedOn w:val="63"/>
    <w:link w:val="42"/>
    <w:autoRedefine/>
    <w:qFormat/>
    <w:uiPriority w:val="99"/>
    <w:rPr>
      <w:sz w:val="18"/>
      <w:szCs w:val="18"/>
    </w:rPr>
  </w:style>
  <w:style w:type="character" w:customStyle="1" w:styleId="76">
    <w:name w:val="标题 1 Char"/>
    <w:basedOn w:val="63"/>
    <w:link w:val="3"/>
    <w:autoRedefine/>
    <w:qFormat/>
    <w:uiPriority w:val="0"/>
    <w:rPr>
      <w:rFonts w:ascii="Times New Roman" w:hAnsi="Times New Roman" w:eastAsia="宋体" w:cs="Times New Roman"/>
      <w:b/>
      <w:kern w:val="44"/>
      <w:sz w:val="32"/>
      <w:szCs w:val="20"/>
    </w:rPr>
  </w:style>
  <w:style w:type="character" w:customStyle="1" w:styleId="77">
    <w:name w:val="标题 2 Char"/>
    <w:basedOn w:val="63"/>
    <w:link w:val="4"/>
    <w:autoRedefine/>
    <w:qFormat/>
    <w:uiPriority w:val="0"/>
    <w:rPr>
      <w:rFonts w:ascii="Arial" w:hAnsi="Arial" w:eastAsia="黑体" w:cs="Times New Roman"/>
      <w:b/>
      <w:bCs/>
      <w:sz w:val="32"/>
      <w:szCs w:val="32"/>
    </w:rPr>
  </w:style>
  <w:style w:type="character" w:customStyle="1" w:styleId="78">
    <w:name w:val="标题 3 Char"/>
    <w:basedOn w:val="63"/>
    <w:link w:val="7"/>
    <w:autoRedefine/>
    <w:qFormat/>
    <w:uiPriority w:val="9"/>
    <w:rPr>
      <w:rFonts w:ascii="Times New Roman" w:hAnsi="Times New Roman" w:eastAsia="Arial Unicode MS" w:cs="Times New Roman"/>
      <w:b/>
      <w:szCs w:val="20"/>
    </w:rPr>
  </w:style>
  <w:style w:type="character" w:customStyle="1" w:styleId="79">
    <w:name w:val="标题 4 Char"/>
    <w:basedOn w:val="63"/>
    <w:link w:val="8"/>
    <w:autoRedefine/>
    <w:qFormat/>
    <w:uiPriority w:val="0"/>
    <w:rPr>
      <w:rFonts w:ascii="Cambria" w:hAnsi="Cambria" w:eastAsia="宋体" w:cs="Times New Roman"/>
      <w:b/>
      <w:bCs/>
      <w:sz w:val="28"/>
      <w:szCs w:val="28"/>
    </w:rPr>
  </w:style>
  <w:style w:type="character" w:customStyle="1" w:styleId="80">
    <w:name w:val="标题 5 Char"/>
    <w:basedOn w:val="63"/>
    <w:link w:val="9"/>
    <w:autoRedefine/>
    <w:qFormat/>
    <w:uiPriority w:val="9"/>
    <w:rPr>
      <w:rFonts w:ascii="Calibri" w:hAnsi="Calibri" w:eastAsia="宋体" w:cs="Times New Roman"/>
      <w:b/>
      <w:bCs/>
      <w:sz w:val="28"/>
      <w:szCs w:val="28"/>
    </w:rPr>
  </w:style>
  <w:style w:type="character" w:customStyle="1" w:styleId="81">
    <w:name w:val="标题 6 Char"/>
    <w:basedOn w:val="63"/>
    <w:link w:val="10"/>
    <w:autoRedefine/>
    <w:qFormat/>
    <w:uiPriority w:val="0"/>
    <w:rPr>
      <w:rFonts w:ascii="Arial" w:hAnsi="Arial" w:eastAsia="黑体" w:cs="Times New Roman"/>
      <w:b/>
      <w:bCs/>
      <w:kern w:val="0"/>
      <w:sz w:val="24"/>
      <w:szCs w:val="24"/>
    </w:rPr>
  </w:style>
  <w:style w:type="character" w:customStyle="1" w:styleId="82">
    <w:name w:val="标题 7 Char"/>
    <w:basedOn w:val="63"/>
    <w:link w:val="11"/>
    <w:autoRedefine/>
    <w:qFormat/>
    <w:uiPriority w:val="0"/>
    <w:rPr>
      <w:rFonts w:ascii="Times New Roman" w:hAnsi="Times New Roman" w:eastAsia="宋体" w:cs="Times New Roman"/>
      <w:b/>
      <w:bCs/>
      <w:kern w:val="0"/>
      <w:sz w:val="24"/>
      <w:szCs w:val="24"/>
    </w:rPr>
  </w:style>
  <w:style w:type="character" w:customStyle="1" w:styleId="83">
    <w:name w:val="标题 8 Char"/>
    <w:basedOn w:val="63"/>
    <w:link w:val="12"/>
    <w:autoRedefine/>
    <w:qFormat/>
    <w:uiPriority w:val="0"/>
    <w:rPr>
      <w:rFonts w:ascii="Arial" w:hAnsi="Arial" w:eastAsia="黑体" w:cs="Times New Roman"/>
      <w:kern w:val="0"/>
      <w:sz w:val="24"/>
      <w:szCs w:val="24"/>
    </w:rPr>
  </w:style>
  <w:style w:type="character" w:customStyle="1" w:styleId="84">
    <w:name w:val="标题 9 Char"/>
    <w:basedOn w:val="63"/>
    <w:link w:val="13"/>
    <w:autoRedefine/>
    <w:qFormat/>
    <w:uiPriority w:val="0"/>
    <w:rPr>
      <w:rFonts w:ascii="Arial" w:hAnsi="Arial" w:eastAsia="黑体" w:cs="Times New Roman"/>
      <w:kern w:val="0"/>
      <w:szCs w:val="21"/>
    </w:rPr>
  </w:style>
  <w:style w:type="character" w:customStyle="1" w:styleId="85">
    <w:name w:val="hei12"/>
    <w:basedOn w:val="63"/>
    <w:autoRedefine/>
    <w:qFormat/>
    <w:uiPriority w:val="0"/>
  </w:style>
  <w:style w:type="character" w:customStyle="1" w:styleId="86">
    <w:name w:val="正文缩进2格 Char"/>
    <w:link w:val="87"/>
    <w:autoRedefine/>
    <w:qFormat/>
    <w:uiPriority w:val="0"/>
    <w:rPr>
      <w:rFonts w:ascii="仿宋_GB2312" w:hAnsi="宋体" w:eastAsia="仿宋_GB2312"/>
      <w:sz w:val="31"/>
    </w:rPr>
  </w:style>
  <w:style w:type="paragraph" w:customStyle="1" w:styleId="87">
    <w:name w:val="正文缩进2格"/>
    <w:basedOn w:val="1"/>
    <w:link w:val="86"/>
    <w:autoRedefine/>
    <w:qFormat/>
    <w:uiPriority w:val="0"/>
    <w:pPr>
      <w:spacing w:line="600" w:lineRule="exact"/>
      <w:ind w:firstLine="639" w:firstLineChars="206"/>
    </w:pPr>
    <w:rPr>
      <w:rFonts w:ascii="仿宋_GB2312" w:hAnsi="宋体" w:eastAsia="仿宋_GB2312" w:cstheme="minorBidi"/>
      <w:sz w:val="31"/>
      <w:szCs w:val="22"/>
    </w:rPr>
  </w:style>
  <w:style w:type="character" w:customStyle="1" w:styleId="88">
    <w:name w:val="font51"/>
    <w:autoRedefine/>
    <w:qFormat/>
    <w:uiPriority w:val="0"/>
    <w:rPr>
      <w:rFonts w:hint="eastAsia" w:ascii="宋体" w:hAnsi="宋体" w:eastAsia="宋体" w:cs="宋体"/>
      <w:color w:val="000000"/>
      <w:sz w:val="20"/>
      <w:szCs w:val="20"/>
      <w:u w:val="none"/>
    </w:rPr>
  </w:style>
  <w:style w:type="character" w:customStyle="1" w:styleId="89">
    <w:name w:val="font61"/>
    <w:autoRedefine/>
    <w:qFormat/>
    <w:uiPriority w:val="0"/>
    <w:rPr>
      <w:rFonts w:hint="default" w:ascii="Times New Roman" w:hAnsi="Times New Roman" w:cs="Times New Roman"/>
      <w:color w:val="000000"/>
      <w:sz w:val="20"/>
      <w:szCs w:val="20"/>
      <w:u w:val="none"/>
    </w:rPr>
  </w:style>
  <w:style w:type="character" w:customStyle="1" w:styleId="90">
    <w:name w:val="表中左小5 Char"/>
    <w:link w:val="91"/>
    <w:autoRedefine/>
    <w:qFormat/>
    <w:uiPriority w:val="0"/>
    <w:rPr>
      <w:color w:val="0000FF"/>
      <w:sz w:val="18"/>
      <w:szCs w:val="18"/>
    </w:rPr>
  </w:style>
  <w:style w:type="paragraph" w:customStyle="1" w:styleId="91">
    <w:name w:val="表中左小5"/>
    <w:link w:val="90"/>
    <w:autoRedefine/>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2">
    <w:name w:val="font71"/>
    <w:autoRedefine/>
    <w:qFormat/>
    <w:uiPriority w:val="0"/>
    <w:rPr>
      <w:rFonts w:hint="eastAsia" w:ascii="宋体" w:hAnsi="宋体" w:eastAsia="宋体" w:cs="宋体"/>
      <w:color w:val="000000"/>
      <w:sz w:val="20"/>
      <w:szCs w:val="20"/>
      <w:u w:val="none"/>
    </w:rPr>
  </w:style>
  <w:style w:type="character" w:customStyle="1" w:styleId="93">
    <w:name w:val="z-窗体底端 Char"/>
    <w:autoRedefine/>
    <w:qFormat/>
    <w:uiPriority w:val="99"/>
    <w:rPr>
      <w:rFonts w:ascii="Arial" w:hAnsi="Arial" w:cs="Arial"/>
      <w:vanish/>
      <w:sz w:val="16"/>
      <w:szCs w:val="16"/>
    </w:rPr>
  </w:style>
  <w:style w:type="paragraph" w:customStyle="1" w:styleId="94">
    <w:name w:val="z-窗体底端1"/>
    <w:basedOn w:val="1"/>
    <w:next w:val="1"/>
    <w:link w:val="280"/>
    <w:autoRedefine/>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5">
    <w:name w:val="ca-251"/>
    <w:autoRedefine/>
    <w:qFormat/>
    <w:uiPriority w:val="0"/>
    <w:rPr>
      <w:rFonts w:hint="default" w:ascii="Times New Roman" w:hAnsi="Times New Roman" w:cs="Times New Roman"/>
      <w:sz w:val="24"/>
      <w:szCs w:val="24"/>
    </w:rPr>
  </w:style>
  <w:style w:type="character" w:customStyle="1" w:styleId="96">
    <w:name w:val="Char Char3"/>
    <w:autoRedefine/>
    <w:semiHidden/>
    <w:qFormat/>
    <w:uiPriority w:val="0"/>
    <w:rPr>
      <w:sz w:val="18"/>
      <w:szCs w:val="18"/>
    </w:rPr>
  </w:style>
  <w:style w:type="character" w:customStyle="1" w:styleId="97">
    <w:name w:val="批注文字 Char"/>
    <w:autoRedefine/>
    <w:qFormat/>
    <w:uiPriority w:val="99"/>
    <w:rPr>
      <w:kern w:val="2"/>
      <w:sz w:val="21"/>
      <w:szCs w:val="24"/>
    </w:rPr>
  </w:style>
  <w:style w:type="character" w:customStyle="1" w:styleId="98">
    <w:name w:val="apple-converted-space"/>
    <w:basedOn w:val="63"/>
    <w:autoRedefine/>
    <w:qFormat/>
    <w:uiPriority w:val="0"/>
  </w:style>
  <w:style w:type="character" w:customStyle="1" w:styleId="99">
    <w:name w:val="chanpinname"/>
    <w:basedOn w:val="63"/>
    <w:autoRedefine/>
    <w:qFormat/>
    <w:uiPriority w:val="0"/>
  </w:style>
  <w:style w:type="character" w:customStyle="1" w:styleId="100">
    <w:name w:val="副标题 Char"/>
    <w:autoRedefine/>
    <w:qFormat/>
    <w:uiPriority w:val="0"/>
    <w:rPr>
      <w:rFonts w:ascii="Cambria" w:hAnsi="Cambria"/>
      <w:b/>
      <w:bCs/>
      <w:kern w:val="28"/>
      <w:sz w:val="32"/>
      <w:szCs w:val="32"/>
    </w:rPr>
  </w:style>
  <w:style w:type="character" w:customStyle="1" w:styleId="101">
    <w:name w:val="ca-231"/>
    <w:autoRedefine/>
    <w:qFormat/>
    <w:uiPriority w:val="0"/>
    <w:rPr>
      <w:rFonts w:hint="eastAsia" w:ascii="宋体" w:hAnsi="宋体" w:eastAsia="宋体"/>
      <w:sz w:val="24"/>
      <w:szCs w:val="24"/>
    </w:rPr>
  </w:style>
  <w:style w:type="character" w:customStyle="1" w:styleId="102">
    <w:name w:val="Figure Text Char"/>
    <w:link w:val="103"/>
    <w:autoRedefine/>
    <w:qFormat/>
    <w:uiPriority w:val="0"/>
    <w:rPr>
      <w:rFonts w:ascii="Arial" w:hAnsi="Arial" w:cs="Arial"/>
      <w:sz w:val="18"/>
      <w:szCs w:val="18"/>
      <w:lang w:eastAsia="en-US"/>
    </w:rPr>
  </w:style>
  <w:style w:type="paragraph" w:customStyle="1" w:styleId="103">
    <w:name w:val="Figure Text"/>
    <w:link w:val="102"/>
    <w:autoRedefine/>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4">
    <w:name w:val="font91"/>
    <w:autoRedefine/>
    <w:qFormat/>
    <w:uiPriority w:val="0"/>
    <w:rPr>
      <w:rFonts w:hint="eastAsia" w:ascii="宋体" w:hAnsi="宋体" w:eastAsia="宋体" w:cs="宋体"/>
      <w:color w:val="000000"/>
      <w:sz w:val="20"/>
      <w:szCs w:val="20"/>
      <w:u w:val="none"/>
    </w:rPr>
  </w:style>
  <w:style w:type="character" w:customStyle="1" w:styleId="105">
    <w:name w:val="正文小四 Char"/>
    <w:link w:val="106"/>
    <w:autoRedefine/>
    <w:qFormat/>
    <w:uiPriority w:val="0"/>
    <w:rPr>
      <w:rFonts w:ascii="宋体" w:hAnsi="宋体"/>
      <w:sz w:val="24"/>
    </w:rPr>
  </w:style>
  <w:style w:type="paragraph" w:customStyle="1" w:styleId="106">
    <w:name w:val="正文小四"/>
    <w:link w:val="105"/>
    <w:autoRedefine/>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7">
    <w:name w:val="正文文本 3 Char"/>
    <w:autoRedefine/>
    <w:qFormat/>
    <w:uiPriority w:val="0"/>
    <w:rPr>
      <w:sz w:val="16"/>
      <w:szCs w:val="16"/>
    </w:rPr>
  </w:style>
  <w:style w:type="character" w:customStyle="1" w:styleId="108">
    <w:name w:val="font01"/>
    <w:basedOn w:val="63"/>
    <w:autoRedefine/>
    <w:qFormat/>
    <w:uiPriority w:val="0"/>
    <w:rPr>
      <w:rFonts w:hint="eastAsia" w:ascii="宋体" w:hAnsi="宋体" w:eastAsia="宋体" w:cs="宋体"/>
      <w:color w:val="000000"/>
      <w:sz w:val="24"/>
      <w:szCs w:val="24"/>
      <w:u w:val="none"/>
      <w:vertAlign w:val="superscript"/>
    </w:rPr>
  </w:style>
  <w:style w:type="character" w:customStyle="1" w:styleId="109">
    <w:name w:val="Table Description Char Char"/>
    <w:link w:val="110"/>
    <w:autoRedefine/>
    <w:qFormat/>
    <w:uiPriority w:val="0"/>
    <w:rPr>
      <w:rFonts w:ascii="Arial" w:hAnsi="Arial" w:eastAsia="黑体"/>
      <w:sz w:val="18"/>
    </w:rPr>
  </w:style>
  <w:style w:type="paragraph" w:customStyle="1" w:styleId="110">
    <w:name w:val="Table Description"/>
    <w:next w:val="1"/>
    <w:link w:val="109"/>
    <w:autoRedefine/>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1">
    <w:name w:val="表格标题(居中) Char"/>
    <w:link w:val="112"/>
    <w:autoRedefine/>
    <w:qFormat/>
    <w:uiPriority w:val="0"/>
    <w:rPr>
      <w:rFonts w:eastAsia="黑体"/>
      <w:sz w:val="24"/>
    </w:rPr>
  </w:style>
  <w:style w:type="paragraph" w:customStyle="1" w:styleId="112">
    <w:name w:val="表格标题(居中)"/>
    <w:basedOn w:val="1"/>
    <w:link w:val="111"/>
    <w:autoRedefine/>
    <w:qFormat/>
    <w:uiPriority w:val="0"/>
    <w:pPr>
      <w:snapToGrid w:val="0"/>
      <w:spacing w:line="300" w:lineRule="auto"/>
      <w:jc w:val="center"/>
    </w:pPr>
    <w:rPr>
      <w:rFonts w:eastAsia="黑体" w:asciiTheme="minorHAnsi" w:hAnsiTheme="minorHAnsi" w:cstheme="minorBidi"/>
      <w:sz w:val="24"/>
      <w:szCs w:val="22"/>
    </w:rPr>
  </w:style>
  <w:style w:type="character" w:customStyle="1" w:styleId="113">
    <w:name w:val="称呼 Char"/>
    <w:autoRedefine/>
    <w:qFormat/>
    <w:uiPriority w:val="0"/>
    <w:rPr>
      <w:szCs w:val="24"/>
    </w:rPr>
  </w:style>
  <w:style w:type="character" w:customStyle="1" w:styleId="114">
    <w:name w:val="样式 目录 2 + 宋体 Char"/>
    <w:link w:val="115"/>
    <w:autoRedefine/>
    <w:qFormat/>
    <w:uiPriority w:val="0"/>
    <w:rPr>
      <w:rFonts w:ascii="宋体" w:hAnsi="宋体"/>
      <w:sz w:val="28"/>
    </w:rPr>
  </w:style>
  <w:style w:type="paragraph" w:customStyle="1" w:styleId="115">
    <w:name w:val="样式 目录 2 + 宋体"/>
    <w:basedOn w:val="28"/>
    <w:next w:val="28"/>
    <w:link w:val="114"/>
    <w:autoRedefine/>
    <w:qFormat/>
    <w:uiPriority w:val="0"/>
    <w:pPr>
      <w:autoSpaceDE/>
      <w:autoSpaceDN/>
      <w:adjustRightInd/>
      <w:spacing w:after="120" w:line="240" w:lineRule="auto"/>
      <w:jc w:val="both"/>
    </w:pPr>
    <w:rPr>
      <w:rFonts w:hAnsi="宋体"/>
      <w:color w:val="auto"/>
      <w:szCs w:val="22"/>
    </w:rPr>
  </w:style>
  <w:style w:type="character" w:customStyle="1" w:styleId="116">
    <w:name w:val="副标题 Char1"/>
    <w:autoRedefine/>
    <w:qFormat/>
    <w:uiPriority w:val="0"/>
    <w:rPr>
      <w:rFonts w:ascii="Cambria" w:hAnsi="Cambria" w:cs="Times New Roman"/>
      <w:b/>
      <w:bCs/>
      <w:kern w:val="28"/>
      <w:sz w:val="32"/>
      <w:szCs w:val="32"/>
    </w:rPr>
  </w:style>
  <w:style w:type="character" w:customStyle="1" w:styleId="117">
    <w:name w:val="正文首行缩进 Char"/>
    <w:autoRedefine/>
    <w:qFormat/>
    <w:uiPriority w:val="0"/>
    <w:rPr>
      <w:rFonts w:ascii="宋体"/>
      <w:color w:val="000000"/>
      <w:szCs w:val="32"/>
    </w:rPr>
  </w:style>
  <w:style w:type="character" w:customStyle="1" w:styleId="118">
    <w:name w:val="正文文本缩进 2 Char"/>
    <w:autoRedefine/>
    <w:qFormat/>
    <w:locked/>
    <w:uiPriority w:val="0"/>
    <w:rPr>
      <w:rFonts w:ascii="幼圆" w:eastAsia="幼圆"/>
      <w:color w:val="000000"/>
      <w:sz w:val="30"/>
      <w:szCs w:val="32"/>
    </w:rPr>
  </w:style>
  <w:style w:type="character" w:customStyle="1" w:styleId="119">
    <w:name w:val="font81"/>
    <w:autoRedefine/>
    <w:qFormat/>
    <w:uiPriority w:val="0"/>
    <w:rPr>
      <w:rFonts w:hint="eastAsia" w:ascii="宋体" w:hAnsi="宋体" w:eastAsia="宋体" w:cs="宋体"/>
      <w:color w:val="000000"/>
      <w:sz w:val="20"/>
      <w:szCs w:val="20"/>
      <w:u w:val="none"/>
    </w:rPr>
  </w:style>
  <w:style w:type="character" w:customStyle="1" w:styleId="120">
    <w:name w:val="正文文本 Char"/>
    <w:autoRedefine/>
    <w:qFormat/>
    <w:uiPriority w:val="0"/>
    <w:rPr>
      <w:rFonts w:ascii="宋体"/>
      <w:color w:val="000000"/>
      <w:sz w:val="28"/>
      <w:szCs w:val="32"/>
    </w:rPr>
  </w:style>
  <w:style w:type="character" w:customStyle="1" w:styleId="121">
    <w:name w:val="尾注文本 Char"/>
    <w:basedOn w:val="63"/>
    <w:autoRedefine/>
    <w:qFormat/>
    <w:uiPriority w:val="0"/>
  </w:style>
  <w:style w:type="character" w:customStyle="1" w:styleId="122">
    <w:name w:val="HTML 预设格式 Char1"/>
    <w:autoRedefine/>
    <w:semiHidden/>
    <w:qFormat/>
    <w:uiPriority w:val="0"/>
    <w:rPr>
      <w:rFonts w:ascii="Courier New" w:hAnsi="Courier New" w:eastAsia="宋体" w:cs="Courier New"/>
      <w:sz w:val="20"/>
      <w:szCs w:val="20"/>
    </w:rPr>
  </w:style>
  <w:style w:type="character" w:customStyle="1" w:styleId="123">
    <w:name w:val="3zw1"/>
    <w:autoRedefine/>
    <w:qFormat/>
    <w:uiPriority w:val="0"/>
    <w:rPr>
      <w:color w:val="000000"/>
      <w:sz w:val="21"/>
      <w:szCs w:val="21"/>
    </w:rPr>
  </w:style>
  <w:style w:type="character" w:customStyle="1" w:styleId="124">
    <w:name w:val="正文缩进 Char"/>
    <w:link w:val="6"/>
    <w:autoRedefine/>
    <w:qFormat/>
    <w:uiPriority w:val="0"/>
    <w:rPr>
      <w:szCs w:val="24"/>
    </w:rPr>
  </w:style>
  <w:style w:type="character" w:customStyle="1" w:styleId="125">
    <w:name w:val="正文2级 Char"/>
    <w:link w:val="126"/>
    <w:autoRedefine/>
    <w:qFormat/>
    <w:uiPriority w:val="0"/>
    <w:rPr>
      <w:bCs/>
      <w:kern w:val="44"/>
      <w:sz w:val="24"/>
      <w:szCs w:val="44"/>
    </w:rPr>
  </w:style>
  <w:style w:type="paragraph" w:customStyle="1" w:styleId="126">
    <w:name w:val="正文2级"/>
    <w:link w:val="125"/>
    <w:autoRedefine/>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7">
    <w:name w:val="param-name"/>
    <w:autoRedefine/>
    <w:qFormat/>
    <w:uiPriority w:val="0"/>
  </w:style>
  <w:style w:type="character" w:customStyle="1" w:styleId="128">
    <w:name w:val="Table Text Char1"/>
    <w:autoRedefine/>
    <w:qFormat/>
    <w:uiPriority w:val="0"/>
    <w:rPr>
      <w:rFonts w:ascii="Arial" w:hAnsi="Arial" w:eastAsia="宋体" w:cs="Arial"/>
      <w:snapToGrid w:val="0"/>
      <w:sz w:val="21"/>
      <w:szCs w:val="21"/>
      <w:lang w:val="en-US" w:eastAsia="zh-CN" w:bidi="ar-SA"/>
    </w:rPr>
  </w:style>
  <w:style w:type="character" w:customStyle="1" w:styleId="129">
    <w:name w:val="word21"/>
    <w:autoRedefine/>
    <w:qFormat/>
    <w:uiPriority w:val="0"/>
    <w:rPr>
      <w:b/>
      <w:bCs/>
      <w:color w:val="194D7C"/>
      <w:spacing w:val="400"/>
      <w:sz w:val="24"/>
      <w:szCs w:val="24"/>
    </w:rPr>
  </w:style>
  <w:style w:type="character" w:customStyle="1" w:styleId="130">
    <w:name w:val="页眉 Char1"/>
    <w:autoRedefine/>
    <w:semiHidden/>
    <w:qFormat/>
    <w:uiPriority w:val="99"/>
    <w:rPr>
      <w:rFonts w:ascii="Times New Roman" w:hAnsi="Times New Roman" w:eastAsia="宋体" w:cs="Times New Roman"/>
      <w:sz w:val="18"/>
      <w:szCs w:val="18"/>
    </w:rPr>
  </w:style>
  <w:style w:type="character" w:customStyle="1" w:styleId="131">
    <w:name w:val="表格非标题文字 Char"/>
    <w:link w:val="132"/>
    <w:autoRedefine/>
    <w:qFormat/>
    <w:uiPriority w:val="0"/>
    <w:rPr>
      <w:rFonts w:ascii="Arial" w:hAnsi="Arial"/>
      <w:sz w:val="18"/>
      <w:szCs w:val="21"/>
    </w:rPr>
  </w:style>
  <w:style w:type="paragraph" w:customStyle="1" w:styleId="132">
    <w:name w:val="表格非标题文字"/>
    <w:link w:val="131"/>
    <w:autoRedefine/>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3">
    <w:name w:val="正文首行缩进 2 Char1"/>
    <w:basedOn w:val="134"/>
    <w:autoRedefine/>
    <w:qFormat/>
    <w:uiPriority w:val="0"/>
    <w:rPr>
      <w:rFonts w:ascii="楷体_GB2312" w:eastAsia="楷体_GB2312"/>
      <w:kern w:val="2"/>
      <w:sz w:val="28"/>
      <w:szCs w:val="31"/>
    </w:rPr>
  </w:style>
  <w:style w:type="character" w:customStyle="1" w:styleId="134">
    <w:name w:val="正文文本缩进 Char1"/>
    <w:autoRedefine/>
    <w:qFormat/>
    <w:uiPriority w:val="0"/>
    <w:rPr>
      <w:rFonts w:ascii="楷体_GB2312" w:eastAsia="楷体_GB2312"/>
      <w:kern w:val="2"/>
      <w:sz w:val="28"/>
      <w:szCs w:val="31"/>
    </w:rPr>
  </w:style>
  <w:style w:type="character" w:customStyle="1" w:styleId="135">
    <w:name w:val="正文新 Char"/>
    <w:link w:val="136"/>
    <w:autoRedefine/>
    <w:qFormat/>
    <w:uiPriority w:val="0"/>
    <w:rPr>
      <w:rFonts w:ascii="宋体" w:hAnsi="宋体"/>
      <w:sz w:val="28"/>
    </w:rPr>
  </w:style>
  <w:style w:type="paragraph" w:customStyle="1" w:styleId="136">
    <w:name w:val="正文新"/>
    <w:basedOn w:val="1"/>
    <w:link w:val="135"/>
    <w:autoRedefine/>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7">
    <w:name w:val="font31"/>
    <w:basedOn w:val="63"/>
    <w:autoRedefine/>
    <w:qFormat/>
    <w:uiPriority w:val="0"/>
    <w:rPr>
      <w:rFonts w:hint="default" w:ascii="Times New Roman" w:hAnsi="Times New Roman" w:cs="Times New Roman"/>
      <w:color w:val="000000"/>
      <w:sz w:val="20"/>
      <w:szCs w:val="20"/>
      <w:u w:val="none"/>
    </w:rPr>
  </w:style>
  <w:style w:type="character" w:customStyle="1" w:styleId="138">
    <w:name w:val="B正文 Char"/>
    <w:link w:val="139"/>
    <w:autoRedefine/>
    <w:qFormat/>
    <w:locked/>
    <w:uiPriority w:val="0"/>
    <w:rPr>
      <w:rFonts w:ascii="宋体" w:hAnsi="宋体"/>
      <w:sz w:val="24"/>
    </w:rPr>
  </w:style>
  <w:style w:type="paragraph" w:customStyle="1" w:styleId="139">
    <w:name w:val="B正文"/>
    <w:basedOn w:val="1"/>
    <w:link w:val="138"/>
    <w:autoRedefine/>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40">
    <w:name w:val="日期 Char"/>
    <w:autoRedefine/>
    <w:qFormat/>
    <w:locked/>
    <w:uiPriority w:val="0"/>
    <w:rPr>
      <w:rFonts w:eastAsia="仿宋_GB2312"/>
      <w:color w:val="000000"/>
      <w:sz w:val="28"/>
      <w:szCs w:val="24"/>
    </w:rPr>
  </w:style>
  <w:style w:type="character" w:customStyle="1" w:styleId="141">
    <w:name w:val="缩进 Char"/>
    <w:link w:val="142"/>
    <w:autoRedefine/>
    <w:qFormat/>
    <w:uiPriority w:val="0"/>
    <w:rPr>
      <w:color w:val="0000FF"/>
      <w:szCs w:val="18"/>
    </w:rPr>
  </w:style>
  <w:style w:type="paragraph" w:customStyle="1" w:styleId="142">
    <w:name w:val="缩进"/>
    <w:link w:val="141"/>
    <w:autoRedefine/>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3">
    <w:name w:val="font41"/>
    <w:basedOn w:val="63"/>
    <w:autoRedefine/>
    <w:qFormat/>
    <w:uiPriority w:val="0"/>
    <w:rPr>
      <w:rFonts w:hint="eastAsia" w:ascii="宋体" w:hAnsi="宋体" w:eastAsia="宋体" w:cs="宋体"/>
      <w:color w:val="000000"/>
      <w:sz w:val="20"/>
      <w:szCs w:val="20"/>
      <w:u w:val="none"/>
    </w:rPr>
  </w:style>
  <w:style w:type="character" w:customStyle="1" w:styleId="144">
    <w:name w:val="txt"/>
    <w:basedOn w:val="63"/>
    <w:autoRedefine/>
    <w:qFormat/>
    <w:uiPriority w:val="0"/>
  </w:style>
  <w:style w:type="character" w:customStyle="1" w:styleId="145">
    <w:name w:val="首行缩进 Char Char1"/>
    <w:link w:val="146"/>
    <w:autoRedefine/>
    <w:qFormat/>
    <w:locked/>
    <w:uiPriority w:val="0"/>
    <w:rPr>
      <w:sz w:val="24"/>
      <w:szCs w:val="24"/>
    </w:rPr>
  </w:style>
  <w:style w:type="paragraph" w:customStyle="1" w:styleId="146">
    <w:name w:val="首行缩进 Char"/>
    <w:basedOn w:val="1"/>
    <w:next w:val="6"/>
    <w:link w:val="145"/>
    <w:autoRedefine/>
    <w:qFormat/>
    <w:uiPriority w:val="0"/>
    <w:pPr>
      <w:spacing w:line="300" w:lineRule="auto"/>
      <w:ind w:firstLine="420"/>
    </w:pPr>
    <w:rPr>
      <w:rFonts w:asciiTheme="minorHAnsi" w:hAnsiTheme="minorHAnsi" w:eastAsiaTheme="minorEastAsia" w:cstheme="minorBidi"/>
      <w:sz w:val="24"/>
    </w:rPr>
  </w:style>
  <w:style w:type="character" w:customStyle="1" w:styleId="147">
    <w:name w:val="ca-131"/>
    <w:autoRedefine/>
    <w:qFormat/>
    <w:uiPriority w:val="0"/>
    <w:rPr>
      <w:rFonts w:hint="default" w:ascii="Times New Roman" w:hAnsi="Times New Roman" w:cs="Times New Roman"/>
      <w:sz w:val="21"/>
      <w:szCs w:val="21"/>
    </w:rPr>
  </w:style>
  <w:style w:type="character" w:customStyle="1" w:styleId="148">
    <w:name w:val="标题 Char"/>
    <w:autoRedefine/>
    <w:qFormat/>
    <w:uiPriority w:val="0"/>
    <w:rPr>
      <w:rFonts w:ascii="Arial" w:hAnsi="Arial"/>
      <w:b/>
      <w:bCs/>
      <w:sz w:val="32"/>
      <w:szCs w:val="32"/>
    </w:rPr>
  </w:style>
  <w:style w:type="character" w:customStyle="1" w:styleId="149">
    <w:name w:val="悬挂22 Char"/>
    <w:link w:val="150"/>
    <w:autoRedefine/>
    <w:qFormat/>
    <w:uiPriority w:val="0"/>
    <w:rPr>
      <w:color w:val="FF0000"/>
      <w:szCs w:val="28"/>
    </w:rPr>
  </w:style>
  <w:style w:type="paragraph" w:customStyle="1" w:styleId="150">
    <w:name w:val="悬挂22"/>
    <w:link w:val="149"/>
    <w:autoRedefine/>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1">
    <w:name w:val="正文文本 Char1"/>
    <w:autoRedefine/>
    <w:qFormat/>
    <w:uiPriority w:val="0"/>
    <w:rPr>
      <w:rFonts w:ascii="楷体_GB2312" w:eastAsia="楷体_GB2312"/>
      <w:kern w:val="2"/>
      <w:sz w:val="28"/>
    </w:rPr>
  </w:style>
  <w:style w:type="character" w:customStyle="1" w:styleId="152">
    <w:name w:val="纯文本 Char"/>
    <w:autoRedefine/>
    <w:qFormat/>
    <w:uiPriority w:val="0"/>
    <w:rPr>
      <w:rFonts w:ascii="宋体" w:hAnsi="Courier New" w:cs="Courier New"/>
      <w:szCs w:val="21"/>
    </w:rPr>
  </w:style>
  <w:style w:type="character" w:customStyle="1" w:styleId="153">
    <w:name w:val="正文文本缩进 3 Char"/>
    <w:autoRedefine/>
    <w:qFormat/>
    <w:locked/>
    <w:uiPriority w:val="0"/>
    <w:rPr>
      <w:rFonts w:ascii="幼圆" w:eastAsia="幼圆"/>
      <w:sz w:val="24"/>
      <w:szCs w:val="32"/>
    </w:rPr>
  </w:style>
  <w:style w:type="character" w:customStyle="1" w:styleId="154">
    <w:name w:val="悬挂2 Char"/>
    <w:link w:val="155"/>
    <w:autoRedefine/>
    <w:qFormat/>
    <w:uiPriority w:val="0"/>
    <w:rPr>
      <w:rFonts w:asciiTheme="minorHAnsi" w:hAnsiTheme="minorHAnsi" w:eastAsiaTheme="minorEastAsia" w:cstheme="minorBidi"/>
      <w:kern w:val="2"/>
      <w:sz w:val="21"/>
      <w:szCs w:val="21"/>
    </w:rPr>
  </w:style>
  <w:style w:type="paragraph" w:customStyle="1" w:styleId="155">
    <w:name w:val="悬挂2"/>
    <w:link w:val="154"/>
    <w:autoRedefine/>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6">
    <w:name w:val="Char Char5"/>
    <w:autoRedefine/>
    <w:qFormat/>
    <w:uiPriority w:val="0"/>
    <w:rPr>
      <w:rFonts w:ascii="Times New Roman" w:hAnsi="Times New Roman" w:eastAsia="宋体"/>
      <w:sz w:val="18"/>
    </w:rPr>
  </w:style>
  <w:style w:type="character" w:customStyle="1" w:styleId="157">
    <w:name w:val="prod_content_font_011"/>
    <w:autoRedefine/>
    <w:qFormat/>
    <w:uiPriority w:val="0"/>
    <w:rPr>
      <w:rFonts w:hint="default" w:ascii="Verdana" w:hAnsi="Verdana"/>
      <w:color w:val="5E5E5E"/>
      <w:sz w:val="17"/>
      <w:szCs w:val="17"/>
    </w:rPr>
  </w:style>
  <w:style w:type="character" w:customStyle="1" w:styleId="158">
    <w:name w:val="尾注文本 Char1"/>
    <w:autoRedefine/>
    <w:qFormat/>
    <w:uiPriority w:val="99"/>
    <w:rPr>
      <w:kern w:val="2"/>
      <w:sz w:val="21"/>
      <w:szCs w:val="24"/>
    </w:rPr>
  </w:style>
  <w:style w:type="character" w:customStyle="1" w:styleId="159">
    <w:name w:val="普通 (Web) Char"/>
    <w:link w:val="160"/>
    <w:autoRedefine/>
    <w:qFormat/>
    <w:uiPriority w:val="99"/>
    <w:rPr>
      <w:rFonts w:ascii="宋体" w:hAnsi="宋体"/>
      <w:sz w:val="24"/>
      <w:szCs w:val="24"/>
    </w:rPr>
  </w:style>
  <w:style w:type="paragraph" w:customStyle="1" w:styleId="160">
    <w:name w:val="普通 (Web)"/>
    <w:basedOn w:val="1"/>
    <w:link w:val="159"/>
    <w:autoRedefine/>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1">
    <w:name w:val="标题 Char1"/>
    <w:autoRedefine/>
    <w:qFormat/>
    <w:uiPriority w:val="0"/>
    <w:rPr>
      <w:rFonts w:ascii="Cambria" w:hAnsi="Cambria" w:cs="Times New Roman"/>
      <w:b/>
      <w:bCs/>
      <w:kern w:val="2"/>
      <w:sz w:val="32"/>
      <w:szCs w:val="32"/>
    </w:rPr>
  </w:style>
  <w:style w:type="character" w:customStyle="1" w:styleId="162">
    <w:name w:val="正文缩进 Char1"/>
    <w:autoRedefine/>
    <w:qFormat/>
    <w:uiPriority w:val="0"/>
    <w:rPr>
      <w:rFonts w:eastAsia="宋体"/>
      <w:kern w:val="2"/>
      <w:sz w:val="21"/>
      <w:szCs w:val="24"/>
      <w:lang w:val="en-US" w:eastAsia="zh-CN" w:bidi="ar-SA"/>
    </w:rPr>
  </w:style>
  <w:style w:type="character" w:customStyle="1" w:styleId="163">
    <w:name w:val="正文文本缩进 Char"/>
    <w:autoRedefine/>
    <w:qFormat/>
    <w:uiPriority w:val="0"/>
    <w:rPr>
      <w:rFonts w:ascii="宋体"/>
      <w:color w:val="000000"/>
      <w:sz w:val="32"/>
      <w:szCs w:val="32"/>
    </w:rPr>
  </w:style>
  <w:style w:type="character" w:customStyle="1" w:styleId="164">
    <w:name w:val="Table Text Char"/>
    <w:link w:val="165"/>
    <w:autoRedefine/>
    <w:qFormat/>
    <w:uiPriority w:val="0"/>
    <w:rPr>
      <w:rFonts w:ascii="Arial" w:hAnsi="Arial"/>
      <w:sz w:val="18"/>
    </w:rPr>
  </w:style>
  <w:style w:type="paragraph" w:customStyle="1" w:styleId="165">
    <w:name w:val="Table Text"/>
    <w:link w:val="164"/>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6">
    <w:name w:val="批注框文本 Char"/>
    <w:autoRedefine/>
    <w:qFormat/>
    <w:uiPriority w:val="99"/>
    <w:rPr>
      <w:rFonts w:ascii="Times New Roman" w:hAnsi="Times New Roman"/>
      <w:kern w:val="2"/>
      <w:sz w:val="18"/>
      <w:szCs w:val="18"/>
    </w:rPr>
  </w:style>
  <w:style w:type="character" w:customStyle="1" w:styleId="167">
    <w:name w:val="Table Heading Char"/>
    <w:link w:val="168"/>
    <w:autoRedefine/>
    <w:qFormat/>
    <w:uiPriority w:val="0"/>
    <w:rPr>
      <w:rFonts w:ascii="Arial" w:hAnsi="Arial" w:eastAsia="黑体" w:cs="Book Antiqua"/>
      <w:bCs/>
      <w:snapToGrid w:val="0"/>
      <w:szCs w:val="21"/>
    </w:rPr>
  </w:style>
  <w:style w:type="paragraph" w:customStyle="1" w:styleId="168">
    <w:name w:val="Table Heading"/>
    <w:basedOn w:val="1"/>
    <w:link w:val="167"/>
    <w:autoRedefine/>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9">
    <w:name w:val="样式 宋体"/>
    <w:autoRedefine/>
    <w:qFormat/>
    <w:uiPriority w:val="0"/>
    <w:rPr>
      <w:rFonts w:ascii="宋体" w:hAnsi="宋体" w:eastAsia="宋体"/>
      <w:sz w:val="24"/>
      <w:szCs w:val="24"/>
    </w:rPr>
  </w:style>
  <w:style w:type="character" w:customStyle="1" w:styleId="170">
    <w:name w:val="正文文本 2 Char"/>
    <w:autoRedefine/>
    <w:qFormat/>
    <w:uiPriority w:val="0"/>
    <w:rPr>
      <w:rFonts w:ascii="宋体" w:hAnsi="宋体"/>
      <w:sz w:val="24"/>
      <w:szCs w:val="24"/>
    </w:rPr>
  </w:style>
  <w:style w:type="character" w:customStyle="1" w:styleId="171">
    <w:name w:val="myp1111"/>
    <w:autoRedefine/>
    <w:qFormat/>
    <w:uiPriority w:val="0"/>
    <w:rPr>
      <w:rFonts w:hint="default" w:ascii="ˎ̥" w:hAnsi="ˎ̥"/>
      <w:color w:val="000000"/>
      <w:sz w:val="15"/>
      <w:szCs w:val="15"/>
      <w:u w:val="none"/>
    </w:rPr>
  </w:style>
  <w:style w:type="character" w:customStyle="1" w:styleId="172">
    <w:name w:val="hang1"/>
    <w:basedOn w:val="63"/>
    <w:autoRedefine/>
    <w:qFormat/>
    <w:uiPriority w:val="0"/>
  </w:style>
  <w:style w:type="character" w:customStyle="1" w:styleId="173">
    <w:name w:val="段 Char Char"/>
    <w:autoRedefine/>
    <w:qFormat/>
    <w:uiPriority w:val="0"/>
    <w:rPr>
      <w:rFonts w:ascii="宋体"/>
      <w:sz w:val="21"/>
      <w:lang w:val="en-US" w:eastAsia="zh-CN" w:bidi="ar-SA"/>
    </w:rPr>
  </w:style>
  <w:style w:type="character" w:customStyle="1" w:styleId="174">
    <w:name w:val="悬挂1 Char"/>
    <w:link w:val="175"/>
    <w:autoRedefine/>
    <w:qFormat/>
    <w:uiPriority w:val="0"/>
    <w:rPr>
      <w:szCs w:val="21"/>
    </w:rPr>
  </w:style>
  <w:style w:type="paragraph" w:customStyle="1" w:styleId="175">
    <w:name w:val="悬挂1"/>
    <w:link w:val="174"/>
    <w:autoRedefine/>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6">
    <w:name w:val="text_12_black1"/>
    <w:autoRedefine/>
    <w:qFormat/>
    <w:uiPriority w:val="0"/>
    <w:rPr>
      <w:rFonts w:hint="default" w:ascii="ˎ̥" w:hAnsi="ˎ̥"/>
      <w:color w:val="333333"/>
      <w:sz w:val="18"/>
      <w:szCs w:val="18"/>
      <w:u w:val="none"/>
    </w:rPr>
  </w:style>
  <w:style w:type="character" w:customStyle="1" w:styleId="177">
    <w:name w:val="font11"/>
    <w:autoRedefine/>
    <w:qFormat/>
    <w:uiPriority w:val="0"/>
    <w:rPr>
      <w:rFonts w:hint="eastAsia" w:ascii="宋体" w:hAnsi="宋体" w:eastAsia="宋体" w:cs="宋体"/>
      <w:color w:val="000000"/>
      <w:sz w:val="20"/>
      <w:szCs w:val="20"/>
      <w:u w:val="none"/>
    </w:rPr>
  </w:style>
  <w:style w:type="character" w:customStyle="1" w:styleId="178">
    <w:name w:val="正文缩进(ALT+Z) Char"/>
    <w:link w:val="179"/>
    <w:autoRedefine/>
    <w:qFormat/>
    <w:uiPriority w:val="0"/>
    <w:rPr>
      <w:sz w:val="24"/>
      <w:szCs w:val="24"/>
    </w:rPr>
  </w:style>
  <w:style w:type="paragraph" w:customStyle="1" w:styleId="179">
    <w:name w:val="正文缩进(ALT+Z)"/>
    <w:basedOn w:val="1"/>
    <w:link w:val="178"/>
    <w:autoRedefine/>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0">
    <w:name w:val="font21"/>
    <w:autoRedefine/>
    <w:qFormat/>
    <w:uiPriority w:val="0"/>
    <w:rPr>
      <w:rFonts w:hint="eastAsia" w:ascii="宋体" w:hAnsi="宋体" w:eastAsia="宋体" w:cs="宋体"/>
      <w:color w:val="000000"/>
      <w:sz w:val="24"/>
      <w:szCs w:val="24"/>
      <w:u w:val="none"/>
    </w:rPr>
  </w:style>
  <w:style w:type="character" w:customStyle="1" w:styleId="181">
    <w:name w:val="标题 3 Char1"/>
    <w:autoRedefine/>
    <w:qFormat/>
    <w:uiPriority w:val="0"/>
    <w:rPr>
      <w:b/>
      <w:bCs/>
      <w:kern w:val="2"/>
      <w:sz w:val="32"/>
      <w:szCs w:val="32"/>
    </w:rPr>
  </w:style>
  <w:style w:type="character" w:customStyle="1" w:styleId="182">
    <w:name w:val="页脚 Char1"/>
    <w:autoRedefine/>
    <w:semiHidden/>
    <w:qFormat/>
    <w:uiPriority w:val="0"/>
    <w:rPr>
      <w:rFonts w:ascii="Times New Roman" w:hAnsi="Times New Roman" w:eastAsia="宋体" w:cs="Times New Roman"/>
      <w:sz w:val="18"/>
      <w:szCs w:val="18"/>
    </w:rPr>
  </w:style>
  <w:style w:type="character" w:customStyle="1" w:styleId="183">
    <w:name w:val="z71"/>
    <w:autoRedefine/>
    <w:qFormat/>
    <w:uiPriority w:val="0"/>
    <w:rPr>
      <w:spacing w:val="300"/>
      <w:sz w:val="18"/>
      <w:szCs w:val="18"/>
    </w:rPr>
  </w:style>
  <w:style w:type="character" w:customStyle="1" w:styleId="184">
    <w:name w:val="四级大纲 Char"/>
    <w:link w:val="185"/>
    <w:autoRedefine/>
    <w:qFormat/>
    <w:uiPriority w:val="0"/>
    <w:rPr>
      <w:rFonts w:ascii="Calibri" w:hAnsi="Calibri" w:eastAsiaTheme="minorEastAsia" w:cstheme="minorBidi"/>
      <w:b/>
      <w:kern w:val="2"/>
      <w:sz w:val="30"/>
      <w:szCs w:val="22"/>
    </w:rPr>
  </w:style>
  <w:style w:type="paragraph" w:customStyle="1" w:styleId="185">
    <w:name w:val="四级大纲"/>
    <w:next w:val="106"/>
    <w:link w:val="184"/>
    <w:autoRedefine/>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6">
    <w:name w:val="文档正文 Char"/>
    <w:link w:val="5"/>
    <w:autoRedefine/>
    <w:qFormat/>
    <w:uiPriority w:val="0"/>
    <w:rPr>
      <w:rFonts w:ascii="Arial" w:eastAsia="长城仿宋"/>
      <w:sz w:val="28"/>
    </w:rPr>
  </w:style>
  <w:style w:type="character" w:customStyle="1" w:styleId="187">
    <w:name w:val="15"/>
    <w:autoRedefine/>
    <w:qFormat/>
    <w:uiPriority w:val="0"/>
    <w:rPr>
      <w:rFonts w:hint="default" w:ascii="Times New Roman" w:hAnsi="Times New Roman" w:cs="Times New Roman"/>
      <w:color w:val="0000FF"/>
      <w:u w:val="single"/>
    </w:rPr>
  </w:style>
  <w:style w:type="character" w:customStyle="1" w:styleId="188">
    <w:name w:val="批注主题 Char"/>
    <w:autoRedefine/>
    <w:qFormat/>
    <w:uiPriority w:val="99"/>
    <w:rPr>
      <w:b/>
      <w:szCs w:val="24"/>
    </w:rPr>
  </w:style>
  <w:style w:type="character" w:customStyle="1" w:styleId="189">
    <w:name w:val="纯文本 Char1"/>
    <w:autoRedefine/>
    <w:qFormat/>
    <w:uiPriority w:val="0"/>
    <w:rPr>
      <w:rFonts w:ascii="宋体" w:hAnsi="Courier New" w:cs="Courier New"/>
      <w:kern w:val="2"/>
      <w:sz w:val="21"/>
      <w:szCs w:val="21"/>
    </w:rPr>
  </w:style>
  <w:style w:type="character" w:customStyle="1" w:styleId="190">
    <w:name w:val="批注框文本 Char1"/>
    <w:autoRedefine/>
    <w:qFormat/>
    <w:locked/>
    <w:uiPriority w:val="0"/>
    <w:rPr>
      <w:sz w:val="18"/>
      <w:szCs w:val="18"/>
    </w:rPr>
  </w:style>
  <w:style w:type="character" w:customStyle="1" w:styleId="191">
    <w:name w:val="结束语 Char"/>
    <w:autoRedefine/>
    <w:qFormat/>
    <w:uiPriority w:val="0"/>
    <w:rPr>
      <w:rFonts w:ascii="宋体" w:hAnsi="宋体"/>
      <w:b/>
      <w:sz w:val="24"/>
      <w:szCs w:val="24"/>
    </w:rPr>
  </w:style>
  <w:style w:type="character" w:customStyle="1" w:styleId="192">
    <w:name w:val="正文文本 Char2"/>
    <w:autoRedefine/>
    <w:qFormat/>
    <w:uiPriority w:val="0"/>
    <w:rPr>
      <w:rFonts w:ascii="宋体"/>
      <w:color w:val="000000"/>
      <w:sz w:val="28"/>
      <w:szCs w:val="32"/>
    </w:rPr>
  </w:style>
  <w:style w:type="character" w:customStyle="1" w:styleId="193">
    <w:name w:val="文档结构图 Char"/>
    <w:autoRedefine/>
    <w:qFormat/>
    <w:uiPriority w:val="99"/>
    <w:rPr>
      <w:szCs w:val="24"/>
      <w:shd w:val="clear" w:color="auto" w:fill="000080"/>
    </w:rPr>
  </w:style>
  <w:style w:type="character" w:customStyle="1" w:styleId="194">
    <w:name w:val="contentheaderrev1"/>
    <w:autoRedefine/>
    <w:qFormat/>
    <w:uiPriority w:val="0"/>
    <w:rPr>
      <w:rFonts w:hint="default" w:ascii="Arial" w:hAnsi="Arial" w:cs="Arial"/>
      <w:b/>
      <w:bCs/>
      <w:color w:val="FFFFFF"/>
      <w:sz w:val="18"/>
      <w:szCs w:val="18"/>
      <w:u w:val="none"/>
    </w:rPr>
  </w:style>
  <w:style w:type="character" w:customStyle="1" w:styleId="195">
    <w:name w:val="z-窗体底端 Char1"/>
    <w:autoRedefine/>
    <w:qFormat/>
    <w:uiPriority w:val="0"/>
    <w:rPr>
      <w:rFonts w:ascii="Arial" w:hAnsi="Arial" w:cs="Arial"/>
      <w:vanish/>
      <w:kern w:val="2"/>
      <w:sz w:val="16"/>
      <w:szCs w:val="16"/>
    </w:rPr>
  </w:style>
  <w:style w:type="character" w:customStyle="1" w:styleId="196">
    <w:name w:val="content021"/>
    <w:autoRedefine/>
    <w:qFormat/>
    <w:uiPriority w:val="0"/>
    <w:rPr>
      <w:color w:val="444444"/>
      <w:spacing w:val="330"/>
      <w:sz w:val="21"/>
      <w:szCs w:val="21"/>
      <w:u w:val="none"/>
    </w:rPr>
  </w:style>
  <w:style w:type="character" w:customStyle="1" w:styleId="197">
    <w:name w:val="abcde1"/>
    <w:autoRedefine/>
    <w:qFormat/>
    <w:uiPriority w:val="0"/>
    <w:rPr>
      <w:spacing w:val="400"/>
      <w:sz w:val="26"/>
      <w:szCs w:val="26"/>
    </w:rPr>
  </w:style>
  <w:style w:type="character" w:customStyle="1" w:styleId="198">
    <w:name w:val="HTML 预设格式 Char"/>
    <w:autoRedefine/>
    <w:qFormat/>
    <w:uiPriority w:val="99"/>
    <w:rPr>
      <w:rFonts w:ascii="宋体" w:hAnsi="宋体" w:cs="宋体"/>
      <w:sz w:val="24"/>
      <w:szCs w:val="24"/>
    </w:rPr>
  </w:style>
  <w:style w:type="character" w:customStyle="1" w:styleId="199">
    <w:name w:val="结束语 Char1"/>
    <w:autoRedefine/>
    <w:qFormat/>
    <w:uiPriority w:val="0"/>
    <w:rPr>
      <w:kern w:val="2"/>
      <w:sz w:val="21"/>
      <w:szCs w:val="24"/>
    </w:rPr>
  </w:style>
  <w:style w:type="character" w:customStyle="1" w:styleId="200">
    <w:name w:val="常规 Char"/>
    <w:link w:val="201"/>
    <w:autoRedefine/>
    <w:qFormat/>
    <w:uiPriority w:val="0"/>
    <w:rPr>
      <w:rFonts w:ascii="Tahoma" w:hAnsi="Tahoma"/>
      <w:color w:val="000000"/>
      <w:sz w:val="28"/>
      <w:szCs w:val="21"/>
    </w:rPr>
  </w:style>
  <w:style w:type="paragraph" w:customStyle="1" w:styleId="201">
    <w:name w:val="常规"/>
    <w:basedOn w:val="1"/>
    <w:link w:val="200"/>
    <w:autoRedefine/>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2">
    <w:name w:val="正文首行缩进 2 Char"/>
    <w:autoRedefine/>
    <w:qFormat/>
    <w:uiPriority w:val="0"/>
    <w:rPr>
      <w:rFonts w:ascii="仿宋_GB2312" w:eastAsia="仿宋_GB2312"/>
      <w:color w:val="000000"/>
      <w:sz w:val="24"/>
      <w:szCs w:val="24"/>
    </w:rPr>
  </w:style>
  <w:style w:type="character" w:customStyle="1" w:styleId="203">
    <w:name w:val="unnamed11"/>
    <w:autoRedefine/>
    <w:qFormat/>
    <w:uiPriority w:val="0"/>
    <w:rPr>
      <w:sz w:val="20"/>
      <w:szCs w:val="20"/>
    </w:rPr>
  </w:style>
  <w:style w:type="character" w:customStyle="1" w:styleId="204">
    <w:name w:val="题注 Char"/>
    <w:link w:val="19"/>
    <w:autoRedefine/>
    <w:qFormat/>
    <w:locked/>
    <w:uiPriority w:val="0"/>
    <w:rPr>
      <w:rFonts w:ascii="Arial" w:hAnsi="Arial" w:eastAsia="黑体"/>
    </w:rPr>
  </w:style>
  <w:style w:type="character" w:customStyle="1" w:styleId="205">
    <w:name w:val="text_12_subject1"/>
    <w:autoRedefine/>
    <w:qFormat/>
    <w:uiPriority w:val="0"/>
    <w:rPr>
      <w:rFonts w:hint="default" w:ascii="ˎ̥" w:hAnsi="ˎ̥"/>
      <w:b/>
      <w:bCs/>
      <w:color w:val="006699"/>
      <w:sz w:val="18"/>
      <w:szCs w:val="18"/>
      <w:u w:val="none"/>
    </w:rPr>
  </w:style>
  <w:style w:type="character" w:customStyle="1" w:styleId="206">
    <w:name w:val="正文文本 3 Char1"/>
    <w:autoRedefine/>
    <w:qFormat/>
    <w:uiPriority w:val="0"/>
    <w:rPr>
      <w:kern w:val="2"/>
      <w:sz w:val="16"/>
      <w:szCs w:val="16"/>
    </w:rPr>
  </w:style>
  <w:style w:type="character" w:customStyle="1" w:styleId="207">
    <w:name w:val="正文文本缩进 Char2"/>
    <w:autoRedefine/>
    <w:qFormat/>
    <w:uiPriority w:val="0"/>
    <w:rPr>
      <w:rFonts w:ascii="宋体"/>
      <w:color w:val="000000"/>
      <w:sz w:val="32"/>
      <w:szCs w:val="32"/>
    </w:rPr>
  </w:style>
  <w:style w:type="character" w:customStyle="1" w:styleId="208">
    <w:name w:val="z21"/>
    <w:autoRedefine/>
    <w:qFormat/>
    <w:uiPriority w:val="0"/>
    <w:rPr>
      <w:color w:val="000000"/>
      <w:spacing w:val="255"/>
      <w:sz w:val="18"/>
      <w:szCs w:val="18"/>
    </w:rPr>
  </w:style>
  <w:style w:type="character" w:customStyle="1" w:styleId="209">
    <w:name w:val="段 Char"/>
    <w:link w:val="210"/>
    <w:autoRedefine/>
    <w:qFormat/>
    <w:locked/>
    <w:uiPriority w:val="0"/>
    <w:rPr>
      <w:rFonts w:ascii="宋体" w:hAnsi="宋体"/>
    </w:rPr>
  </w:style>
  <w:style w:type="paragraph" w:customStyle="1" w:styleId="210">
    <w:name w:val="段"/>
    <w:link w:val="209"/>
    <w:autoRedefine/>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1">
    <w:name w:val="line14pj"/>
    <w:basedOn w:val="63"/>
    <w:autoRedefine/>
    <w:qFormat/>
    <w:uiPriority w:val="0"/>
  </w:style>
  <w:style w:type="character" w:customStyle="1" w:styleId="212">
    <w:name w:val="ca-121"/>
    <w:autoRedefine/>
    <w:qFormat/>
    <w:uiPriority w:val="0"/>
    <w:rPr>
      <w:rFonts w:hint="eastAsia" w:ascii="宋体" w:hAnsi="宋体" w:eastAsia="宋体"/>
      <w:sz w:val="21"/>
      <w:szCs w:val="21"/>
    </w:rPr>
  </w:style>
  <w:style w:type="character" w:customStyle="1" w:styleId="213">
    <w:name w:val="页脚 Char2"/>
    <w:basedOn w:val="63"/>
    <w:autoRedefine/>
    <w:semiHidden/>
    <w:qFormat/>
    <w:uiPriority w:val="99"/>
    <w:rPr>
      <w:rFonts w:ascii="Times New Roman" w:hAnsi="Times New Roman" w:eastAsia="宋体" w:cs="Times New Roman"/>
      <w:sz w:val="18"/>
      <w:szCs w:val="18"/>
    </w:rPr>
  </w:style>
  <w:style w:type="paragraph" w:customStyle="1" w:styleId="214">
    <w:name w:val="样式 标题 + 段前: 0.5 行 段后: 0.5 行"/>
    <w:basedOn w:val="57"/>
    <w:autoRedefine/>
    <w:qFormat/>
    <w:uiPriority w:val="0"/>
  </w:style>
  <w:style w:type="paragraph" w:customStyle="1" w:styleId="215">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7">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8">
    <w:name w:val="正文文本缩进 2 Char1"/>
    <w:basedOn w:val="63"/>
    <w:link w:val="39"/>
    <w:autoRedefine/>
    <w:qFormat/>
    <w:uiPriority w:val="0"/>
    <w:rPr>
      <w:rFonts w:ascii="Times New Roman" w:hAnsi="Times New Roman" w:eastAsia="宋体" w:cs="Times New Roman"/>
      <w:szCs w:val="24"/>
    </w:rPr>
  </w:style>
  <w:style w:type="paragraph" w:customStyle="1" w:styleId="219">
    <w:name w:val="表2"/>
    <w:basedOn w:val="220"/>
    <w:autoRedefine/>
    <w:qFormat/>
    <w:uiPriority w:val="0"/>
    <w:pPr>
      <w:numPr>
        <w:ilvl w:val="0"/>
        <w:numId w:val="4"/>
      </w:numPr>
    </w:pPr>
  </w:style>
  <w:style w:type="paragraph" w:customStyle="1" w:styleId="220">
    <w:name w:val="表1"/>
    <w:basedOn w:val="221"/>
    <w:autoRedefine/>
    <w:qFormat/>
    <w:uiPriority w:val="0"/>
  </w:style>
  <w:style w:type="paragraph" w:customStyle="1" w:styleId="221">
    <w:name w:val="表格样式"/>
    <w:basedOn w:val="1"/>
    <w:autoRedefine/>
    <w:qFormat/>
    <w:uiPriority w:val="0"/>
    <w:pPr>
      <w:spacing w:before="156" w:after="156"/>
      <w:jc w:val="center"/>
    </w:pPr>
    <w:rPr>
      <w:rFonts w:ascii="宋体" w:hAnsi="宋体" w:cs="宋体"/>
      <w:b/>
      <w:bCs/>
      <w:kern w:val="0"/>
      <w:szCs w:val="20"/>
    </w:rPr>
  </w:style>
  <w:style w:type="paragraph" w:customStyle="1" w:styleId="22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3">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24">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5">
    <w:name w:val="正文文本缩进 Char3"/>
    <w:basedOn w:val="63"/>
    <w:link w:val="29"/>
    <w:autoRedefine/>
    <w:qFormat/>
    <w:uiPriority w:val="0"/>
    <w:rPr>
      <w:rFonts w:ascii="Times New Roman" w:hAnsi="Times New Roman" w:eastAsia="宋体" w:cs="Times New Roman"/>
      <w:szCs w:val="24"/>
    </w:rPr>
  </w:style>
  <w:style w:type="paragraph" w:customStyle="1" w:styleId="226">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227">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 3 Char2"/>
    <w:basedOn w:val="63"/>
    <w:link w:val="25"/>
    <w:autoRedefine/>
    <w:qFormat/>
    <w:uiPriority w:val="0"/>
    <w:rPr>
      <w:rFonts w:ascii="Times New Roman" w:hAnsi="Times New Roman" w:eastAsia="宋体" w:cs="Times New Roman"/>
      <w:sz w:val="16"/>
      <w:szCs w:val="16"/>
    </w:rPr>
  </w:style>
  <w:style w:type="paragraph" w:customStyle="1" w:styleId="229">
    <w:name w:val="样式 标题 4 + 段前: 0.5 行 段后: 0.5 行"/>
    <w:basedOn w:val="8"/>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0">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1">
    <w:name w:val="标题 Char2"/>
    <w:basedOn w:val="63"/>
    <w:link w:val="57"/>
    <w:autoRedefine/>
    <w:qFormat/>
    <w:uiPriority w:val="0"/>
    <w:rPr>
      <w:rFonts w:eastAsia="宋体" w:asciiTheme="majorHAnsi" w:hAnsiTheme="majorHAnsi" w:cstheme="majorBidi"/>
      <w:b/>
      <w:bCs/>
      <w:sz w:val="32"/>
      <w:szCs w:val="32"/>
    </w:rPr>
  </w:style>
  <w:style w:type="paragraph" w:customStyle="1" w:styleId="232">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3">
    <w:name w:val="表格2"/>
    <w:basedOn w:val="1"/>
    <w:autoRedefine/>
    <w:qFormat/>
    <w:uiPriority w:val="0"/>
    <w:pPr>
      <w:snapToGrid w:val="0"/>
      <w:jc w:val="center"/>
    </w:pPr>
    <w:rPr>
      <w:rFonts w:ascii="Arial" w:hAnsi="Arial" w:cs="Arial"/>
      <w:snapToGrid w:val="0"/>
      <w:kern w:val="0"/>
      <w:sz w:val="24"/>
    </w:rPr>
  </w:style>
  <w:style w:type="paragraph" w:customStyle="1" w:styleId="234">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6">
    <w:name w:val="正文首行缩进 2 Char2"/>
    <w:basedOn w:val="225"/>
    <w:link w:val="30"/>
    <w:autoRedefine/>
    <w:qFormat/>
    <w:uiPriority w:val="0"/>
    <w:rPr>
      <w:rFonts w:ascii="Times New Roman" w:hAnsi="Times New Roman" w:eastAsia="宋体" w:cs="Times New Roman"/>
      <w:szCs w:val="24"/>
    </w:rPr>
  </w:style>
  <w:style w:type="paragraph" w:customStyle="1" w:styleId="237">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8">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9">
    <w:name w:val="说明正文"/>
    <w:basedOn w:val="1"/>
    <w:autoRedefine/>
    <w:qFormat/>
    <w:uiPriority w:val="0"/>
    <w:pPr>
      <w:spacing w:line="360" w:lineRule="auto"/>
      <w:ind w:firstLine="480" w:firstLineChars="200"/>
    </w:pPr>
    <w:rPr>
      <w:rFonts w:ascii="宋体" w:hAnsi="宋体"/>
      <w:sz w:val="24"/>
    </w:rPr>
  </w:style>
  <w:style w:type="character" w:customStyle="1" w:styleId="240">
    <w:name w:val="纯文本 Char2"/>
    <w:basedOn w:val="63"/>
    <w:link w:val="36"/>
    <w:autoRedefine/>
    <w:qFormat/>
    <w:uiPriority w:val="0"/>
    <w:rPr>
      <w:rFonts w:ascii="宋体" w:hAnsi="Courier New" w:eastAsia="宋体" w:cs="Courier New"/>
      <w:szCs w:val="21"/>
    </w:rPr>
  </w:style>
  <w:style w:type="paragraph" w:customStyle="1" w:styleId="241">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2">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3">
    <w:name w:val="lgh排序1"/>
    <w:basedOn w:val="36"/>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4">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5">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6">
    <w:name w:val="批注框文本 Char2"/>
    <w:basedOn w:val="63"/>
    <w:link w:val="41"/>
    <w:autoRedefine/>
    <w:qFormat/>
    <w:uiPriority w:val="99"/>
    <w:rPr>
      <w:rFonts w:ascii="Times New Roman" w:hAnsi="Times New Roman" w:eastAsia="宋体" w:cs="Times New Roman"/>
      <w:sz w:val="18"/>
      <w:szCs w:val="18"/>
    </w:rPr>
  </w:style>
  <w:style w:type="paragraph" w:customStyle="1" w:styleId="247">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8">
    <w:name w:val="批注文字 Char1"/>
    <w:basedOn w:val="63"/>
    <w:link w:val="23"/>
    <w:autoRedefine/>
    <w:qFormat/>
    <w:uiPriority w:val="99"/>
    <w:rPr>
      <w:rFonts w:ascii="Times New Roman" w:hAnsi="Times New Roman" w:eastAsia="宋体" w:cs="Times New Roman"/>
      <w:szCs w:val="24"/>
    </w:rPr>
  </w:style>
  <w:style w:type="character" w:customStyle="1" w:styleId="249">
    <w:name w:val="批注主题 Char1"/>
    <w:basedOn w:val="248"/>
    <w:link w:val="58"/>
    <w:autoRedefine/>
    <w:qFormat/>
    <w:uiPriority w:val="99"/>
    <w:rPr>
      <w:rFonts w:ascii="Times New Roman" w:hAnsi="Times New Roman" w:eastAsia="宋体" w:cs="Times New Roman"/>
      <w:b/>
      <w:bCs/>
      <w:szCs w:val="24"/>
    </w:rPr>
  </w:style>
  <w:style w:type="character" w:customStyle="1" w:styleId="250">
    <w:name w:val="正文文本缩进 3 Char1"/>
    <w:basedOn w:val="63"/>
    <w:link w:val="50"/>
    <w:autoRedefine/>
    <w:qFormat/>
    <w:uiPriority w:val="0"/>
    <w:rPr>
      <w:rFonts w:ascii="Times New Roman" w:hAnsi="Times New Roman" w:eastAsia="宋体" w:cs="Times New Roman"/>
      <w:sz w:val="16"/>
      <w:szCs w:val="16"/>
    </w:rPr>
  </w:style>
  <w:style w:type="paragraph" w:customStyle="1" w:styleId="251">
    <w:name w:val="CM2"/>
    <w:basedOn w:val="252"/>
    <w:next w:val="252"/>
    <w:autoRedefine/>
    <w:qFormat/>
    <w:uiPriority w:val="0"/>
    <w:pPr>
      <w:spacing w:line="623" w:lineRule="atLeast"/>
    </w:pPr>
    <w:rPr>
      <w:rFonts w:ascii=".a..DD.." w:eastAsia=".a..DD.."/>
      <w:color w:val="auto"/>
      <w:szCs w:val="24"/>
    </w:rPr>
  </w:style>
  <w:style w:type="paragraph" w:customStyle="1" w:styleId="25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3">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254">
    <w:name w:val="复选框1"/>
    <w:basedOn w:val="1"/>
    <w:autoRedefine/>
    <w:qFormat/>
    <w:uiPriority w:val="0"/>
    <w:pPr>
      <w:widowControl/>
      <w:spacing w:before="360" w:after="360"/>
      <w:jc w:val="left"/>
    </w:pPr>
    <w:rPr>
      <w:kern w:val="0"/>
      <w:sz w:val="20"/>
      <w:szCs w:val="20"/>
    </w:rPr>
  </w:style>
  <w:style w:type="character" w:customStyle="1" w:styleId="255">
    <w:name w:val="正文文本 Char3"/>
    <w:basedOn w:val="63"/>
    <w:link w:val="28"/>
    <w:autoRedefine/>
    <w:qFormat/>
    <w:uiPriority w:val="0"/>
    <w:rPr>
      <w:rFonts w:ascii="Times New Roman" w:hAnsi="Times New Roman" w:eastAsia="宋体" w:cs="Times New Roman"/>
      <w:szCs w:val="24"/>
    </w:rPr>
  </w:style>
  <w:style w:type="paragraph" w:customStyle="1" w:styleId="256">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257">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8">
    <w:name w:val="称呼 Char1"/>
    <w:basedOn w:val="63"/>
    <w:link w:val="24"/>
    <w:autoRedefine/>
    <w:qFormat/>
    <w:uiPriority w:val="0"/>
    <w:rPr>
      <w:rFonts w:ascii="Times New Roman" w:hAnsi="Times New Roman" w:eastAsia="宋体" w:cs="Times New Roman"/>
      <w:szCs w:val="24"/>
    </w:rPr>
  </w:style>
  <w:style w:type="paragraph" w:customStyle="1" w:styleId="259">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0">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character" w:customStyle="1" w:styleId="261">
    <w:name w:val="文档结构图 Char1"/>
    <w:basedOn w:val="63"/>
    <w:link w:val="22"/>
    <w:autoRedefine/>
    <w:qFormat/>
    <w:uiPriority w:val="99"/>
    <w:rPr>
      <w:rFonts w:ascii="宋体" w:hAnsi="Times New Roman" w:eastAsia="宋体" w:cs="Times New Roman"/>
      <w:sz w:val="18"/>
      <w:szCs w:val="18"/>
    </w:rPr>
  </w:style>
  <w:style w:type="paragraph" w:customStyle="1" w:styleId="262">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3">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4">
    <w:name w:val="页眉 Char2"/>
    <w:basedOn w:val="63"/>
    <w:autoRedefine/>
    <w:semiHidden/>
    <w:qFormat/>
    <w:uiPriority w:val="99"/>
    <w:rPr>
      <w:rFonts w:ascii="Times New Roman" w:hAnsi="Times New Roman" w:eastAsia="宋体" w:cs="Times New Roman"/>
      <w:sz w:val="18"/>
      <w:szCs w:val="18"/>
    </w:rPr>
  </w:style>
  <w:style w:type="character" w:customStyle="1" w:styleId="265">
    <w:name w:val="日期 Char1"/>
    <w:basedOn w:val="63"/>
    <w:link w:val="38"/>
    <w:autoRedefine/>
    <w:qFormat/>
    <w:uiPriority w:val="0"/>
    <w:rPr>
      <w:rFonts w:ascii="Times New Roman" w:hAnsi="Times New Roman" w:eastAsia="宋体" w:cs="Times New Roman"/>
      <w:szCs w:val="24"/>
    </w:rPr>
  </w:style>
  <w:style w:type="paragraph" w:customStyle="1" w:styleId="266">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7">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9">
    <w:name w:val="样式5"/>
    <w:basedOn w:val="146"/>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0">
    <w:name w:val="五级条标题"/>
    <w:basedOn w:val="271"/>
    <w:next w:val="1"/>
    <w:autoRedefine/>
    <w:qFormat/>
    <w:uiPriority w:val="0"/>
    <w:pPr>
      <w:outlineLvl w:val="6"/>
    </w:pPr>
  </w:style>
  <w:style w:type="paragraph" w:customStyle="1" w:styleId="271">
    <w:name w:val="四级条标题"/>
    <w:basedOn w:val="272"/>
    <w:next w:val="1"/>
    <w:autoRedefine/>
    <w:qFormat/>
    <w:uiPriority w:val="0"/>
    <w:pPr>
      <w:outlineLvl w:val="5"/>
    </w:pPr>
  </w:style>
  <w:style w:type="paragraph" w:customStyle="1" w:styleId="272">
    <w:name w:val="三级条标题"/>
    <w:basedOn w:val="273"/>
    <w:next w:val="1"/>
    <w:autoRedefine/>
    <w:qFormat/>
    <w:uiPriority w:val="0"/>
    <w:pPr>
      <w:outlineLvl w:val="4"/>
    </w:pPr>
  </w:style>
  <w:style w:type="paragraph" w:customStyle="1" w:styleId="273">
    <w:name w:val="二级条标题"/>
    <w:basedOn w:val="227"/>
    <w:next w:val="1"/>
    <w:autoRedefine/>
    <w:qFormat/>
    <w:uiPriority w:val="0"/>
    <w:pPr>
      <w:outlineLvl w:val="3"/>
    </w:pPr>
  </w:style>
  <w:style w:type="paragraph" w:customStyle="1" w:styleId="274">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5">
    <w:name w:val="CM3"/>
    <w:basedOn w:val="252"/>
    <w:next w:val="252"/>
    <w:autoRedefine/>
    <w:qFormat/>
    <w:uiPriority w:val="0"/>
    <w:pPr>
      <w:spacing w:line="626" w:lineRule="atLeast"/>
    </w:pPr>
    <w:rPr>
      <w:rFonts w:ascii=".a..DD.." w:eastAsia=".a..DD.."/>
      <w:color w:val="auto"/>
      <w:szCs w:val="24"/>
    </w:rPr>
  </w:style>
  <w:style w:type="paragraph" w:customStyle="1" w:styleId="276">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7">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样式 标题 3标题 3 Char Char Char Char(A-3)sect1.2.3h3H3 + 加粗 段前:..."/>
    <w:basedOn w:val="7"/>
    <w:autoRedefine/>
    <w:qFormat/>
    <w:uiPriority w:val="0"/>
    <w:pPr>
      <w:keepNext w:val="0"/>
      <w:tabs>
        <w:tab w:val="left" w:pos="1080"/>
      </w:tabs>
      <w:spacing w:before="120" w:after="0" w:line="415" w:lineRule="auto"/>
    </w:pPr>
    <w:rPr>
      <w:rFonts w:eastAsia="黑体" w:cs="宋体"/>
      <w:b w:val="0"/>
      <w:bCs/>
      <w:sz w:val="24"/>
    </w:rPr>
  </w:style>
  <w:style w:type="character" w:customStyle="1" w:styleId="280">
    <w:name w:val="z-窗体底端 Char2"/>
    <w:basedOn w:val="63"/>
    <w:link w:val="94"/>
    <w:autoRedefine/>
    <w:qFormat/>
    <w:uiPriority w:val="99"/>
    <w:rPr>
      <w:rFonts w:ascii="Arial" w:hAnsi="Arial" w:eastAsia="宋体" w:cs="Arial"/>
      <w:vanish/>
      <w:sz w:val="16"/>
      <w:szCs w:val="16"/>
    </w:rPr>
  </w:style>
  <w:style w:type="character" w:customStyle="1" w:styleId="281">
    <w:name w:val="HTML 预设格式 Char2"/>
    <w:basedOn w:val="63"/>
    <w:link w:val="55"/>
    <w:autoRedefine/>
    <w:qFormat/>
    <w:uiPriority w:val="99"/>
    <w:rPr>
      <w:rFonts w:ascii="Courier New" w:hAnsi="Courier New" w:eastAsia="宋体" w:cs="Courier New"/>
      <w:sz w:val="20"/>
      <w:szCs w:val="20"/>
    </w:rPr>
  </w:style>
  <w:style w:type="paragraph" w:customStyle="1" w:styleId="282">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4">
    <w:name w:val="正文首行缩进 Char1"/>
    <w:basedOn w:val="255"/>
    <w:link w:val="59"/>
    <w:autoRedefine/>
    <w:qFormat/>
    <w:uiPriority w:val="0"/>
    <w:rPr>
      <w:rFonts w:ascii="Times New Roman" w:hAnsi="Times New Roman" w:eastAsia="宋体" w:cs="Times New Roman"/>
      <w:szCs w:val="24"/>
    </w:rPr>
  </w:style>
  <w:style w:type="character" w:customStyle="1" w:styleId="285">
    <w:name w:val="正文文本 2 Char1"/>
    <w:basedOn w:val="63"/>
    <w:link w:val="54"/>
    <w:autoRedefine/>
    <w:qFormat/>
    <w:uiPriority w:val="0"/>
    <w:rPr>
      <w:rFonts w:ascii="Times New Roman" w:hAnsi="Times New Roman" w:eastAsia="宋体" w:cs="Times New Roman"/>
      <w:szCs w:val="24"/>
    </w:rPr>
  </w:style>
  <w:style w:type="paragraph" w:customStyle="1" w:styleId="286">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7">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288">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0">
    <w:name w:val="结束语 Char2"/>
    <w:basedOn w:val="63"/>
    <w:link w:val="26"/>
    <w:autoRedefine/>
    <w:qFormat/>
    <w:uiPriority w:val="0"/>
    <w:rPr>
      <w:rFonts w:ascii="Times New Roman" w:hAnsi="Times New Roman" w:eastAsia="宋体" w:cs="Times New Roman"/>
      <w:szCs w:val="24"/>
    </w:rPr>
  </w:style>
  <w:style w:type="character" w:customStyle="1" w:styleId="291">
    <w:name w:val="副标题 Char2"/>
    <w:basedOn w:val="63"/>
    <w:link w:val="46"/>
    <w:autoRedefine/>
    <w:qFormat/>
    <w:uiPriority w:val="0"/>
    <w:rPr>
      <w:rFonts w:eastAsia="宋体" w:asciiTheme="majorHAnsi" w:hAnsiTheme="majorHAnsi" w:cstheme="majorBidi"/>
      <w:b/>
      <w:bCs/>
      <w:kern w:val="28"/>
      <w:sz w:val="32"/>
      <w:szCs w:val="32"/>
    </w:rPr>
  </w:style>
  <w:style w:type="paragraph" w:customStyle="1" w:styleId="292">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4">
    <w:name w:val="尾注文本 Char2"/>
    <w:basedOn w:val="63"/>
    <w:link w:val="40"/>
    <w:autoRedefine/>
    <w:qFormat/>
    <w:uiPriority w:val="0"/>
    <w:rPr>
      <w:rFonts w:ascii="Times New Roman" w:hAnsi="Times New Roman" w:eastAsia="宋体" w:cs="Times New Roman"/>
      <w:szCs w:val="24"/>
    </w:rPr>
  </w:style>
  <w:style w:type="paragraph" w:customStyle="1" w:styleId="295">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6">
    <w:name w:val="样式3"/>
    <w:autoRedefine/>
    <w:qFormat/>
    <w:uiPriority w:val="0"/>
    <w:pPr>
      <w:spacing w:line="300" w:lineRule="auto"/>
    </w:pPr>
    <w:rPr>
      <w:rFonts w:ascii="Times New Roman" w:hAnsi="Times New Roman" w:eastAsia="宋体" w:cs="Times New Roman"/>
      <w:lang w:val="en-US" w:eastAsia="zh-CN" w:bidi="ar-SA"/>
    </w:rPr>
  </w:style>
  <w:style w:type="paragraph" w:customStyle="1" w:styleId="297">
    <w:name w:val="Char11"/>
    <w:basedOn w:val="1"/>
    <w:autoRedefine/>
    <w:qFormat/>
    <w:uiPriority w:val="0"/>
  </w:style>
  <w:style w:type="paragraph" w:customStyle="1" w:styleId="298">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9">
    <w:name w:val="不缩进"/>
    <w:basedOn w:val="1"/>
    <w:autoRedefine/>
    <w:qFormat/>
    <w:uiPriority w:val="0"/>
    <w:pPr>
      <w:spacing w:line="360" w:lineRule="auto"/>
      <w:jc w:val="center"/>
    </w:pPr>
    <w:rPr>
      <w:b/>
      <w:bCs/>
      <w:sz w:val="28"/>
      <w:szCs w:val="21"/>
    </w:rPr>
  </w:style>
  <w:style w:type="paragraph" w:customStyle="1" w:styleId="300">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1">
    <w:name w:val="标题2"/>
    <w:basedOn w:val="1"/>
    <w:autoRedefine/>
    <w:qFormat/>
    <w:uiPriority w:val="0"/>
    <w:pPr>
      <w:spacing w:beforeLines="50" w:afterLines="50" w:line="300" w:lineRule="exact"/>
    </w:pPr>
    <w:rPr>
      <w:b/>
      <w:bCs/>
    </w:rPr>
  </w:style>
  <w:style w:type="paragraph" w:customStyle="1" w:styleId="302">
    <w:name w:val="表格1"/>
    <w:basedOn w:val="1"/>
    <w:autoRedefine/>
    <w:qFormat/>
    <w:uiPriority w:val="0"/>
    <w:pPr>
      <w:tabs>
        <w:tab w:val="left" w:pos="203"/>
      </w:tabs>
      <w:spacing w:before="40" w:after="40"/>
      <w:jc w:val="center"/>
    </w:pPr>
    <w:rPr>
      <w:b/>
      <w:sz w:val="28"/>
      <w:szCs w:val="20"/>
    </w:rPr>
  </w:style>
  <w:style w:type="paragraph" w:customStyle="1" w:styleId="303">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4">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样式 标题 1 +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缺省文本"/>
    <w:autoRedefine/>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8">
    <w:name w:val="项目编号一级"/>
    <w:basedOn w:val="1"/>
    <w:autoRedefine/>
    <w:qFormat/>
    <w:uiPriority w:val="0"/>
    <w:pPr>
      <w:tabs>
        <w:tab w:val="left" w:pos="900"/>
      </w:tabs>
      <w:spacing w:line="360" w:lineRule="auto"/>
      <w:ind w:left="900" w:hanging="420"/>
    </w:pPr>
  </w:style>
  <w:style w:type="paragraph" w:customStyle="1" w:styleId="30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0">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样式 标题 1l1I1heading 1h11st levell1+toc 1Chapter title1He..."/>
    <w:basedOn w:val="3"/>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2">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4">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5">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6">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DLP正文"/>
    <w:basedOn w:val="1"/>
    <w:autoRedefine/>
    <w:qFormat/>
    <w:uiPriority w:val="0"/>
    <w:pPr>
      <w:snapToGrid w:val="0"/>
      <w:spacing w:line="360" w:lineRule="auto"/>
      <w:ind w:firstLine="473"/>
    </w:pPr>
    <w:rPr>
      <w:rFonts w:hAnsi="宋体"/>
      <w:sz w:val="24"/>
      <w:szCs w:val="22"/>
    </w:rPr>
  </w:style>
  <w:style w:type="paragraph" w:customStyle="1" w:styleId="318">
    <w:name w:val="CM19"/>
    <w:basedOn w:val="252"/>
    <w:next w:val="252"/>
    <w:autoRedefine/>
    <w:qFormat/>
    <w:uiPriority w:val="0"/>
    <w:pPr>
      <w:spacing w:line="440" w:lineRule="atLeast"/>
    </w:pPr>
    <w:rPr>
      <w:rFonts w:ascii="方正小标宋简体" w:eastAsia="方正小标宋简体"/>
      <w:color w:val="auto"/>
      <w:szCs w:val="24"/>
    </w:rPr>
  </w:style>
  <w:style w:type="paragraph" w:customStyle="1" w:styleId="319">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0">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1">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2">
    <w:name w:val="默认段落字体 Para Char Char Char Char Char Char Char Char Char Char Char Char Char"/>
    <w:basedOn w:val="22"/>
    <w:autoRedefine/>
    <w:qFormat/>
    <w:uiPriority w:val="0"/>
    <w:pPr>
      <w:adjustRightInd w:val="0"/>
      <w:spacing w:line="436" w:lineRule="exact"/>
      <w:ind w:left="357"/>
      <w:jc w:val="left"/>
      <w:outlineLvl w:val="3"/>
    </w:pPr>
    <w:rPr>
      <w:rFonts w:ascii="宋体" w:hAnsi="宋体"/>
      <w:kern w:val="0"/>
      <w:szCs w:val="21"/>
    </w:rPr>
  </w:style>
  <w:style w:type="paragraph" w:customStyle="1" w:styleId="323">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4">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5">
    <w:name w:val="样式 标题 2 + 段前: 0.5 行 段后: 0.5 行2"/>
    <w:basedOn w:val="4"/>
    <w:autoRedefine/>
    <w:qFormat/>
    <w:uiPriority w:val="0"/>
    <w:pPr>
      <w:tabs>
        <w:tab w:val="left" w:pos="1320"/>
      </w:tabs>
      <w:spacing w:beforeLines="50" w:afterLines="50" w:line="360" w:lineRule="auto"/>
      <w:jc w:val="left"/>
    </w:pPr>
    <w:rPr>
      <w:rFonts w:cs="宋体"/>
      <w:kern w:val="0"/>
      <w:sz w:val="36"/>
      <w:szCs w:val="20"/>
    </w:rPr>
  </w:style>
  <w:style w:type="paragraph" w:customStyle="1" w:styleId="326">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7">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8">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9">
    <w:name w:val="Block"/>
    <w:basedOn w:val="1"/>
    <w:next w:val="201"/>
    <w:autoRedefine/>
    <w:qFormat/>
    <w:uiPriority w:val="0"/>
    <w:pPr>
      <w:tabs>
        <w:tab w:val="left" w:pos="0"/>
      </w:tabs>
    </w:pPr>
    <w:rPr>
      <w:rFonts w:ascii="Arial" w:hAnsi="Arial" w:eastAsia="楷体_GB2312"/>
      <w:color w:val="000080"/>
      <w:sz w:val="28"/>
      <w:szCs w:val="28"/>
    </w:rPr>
  </w:style>
  <w:style w:type="paragraph" w:customStyle="1" w:styleId="330">
    <w:name w:val="_Style 20"/>
    <w:basedOn w:val="1"/>
    <w:autoRedefine/>
    <w:qFormat/>
    <w:uiPriority w:val="0"/>
    <w:rPr>
      <w:rFonts w:ascii="Tahoma" w:hAnsi="Tahoma"/>
      <w:sz w:val="24"/>
      <w:szCs w:val="20"/>
    </w:rPr>
  </w:style>
  <w:style w:type="paragraph" w:customStyle="1" w:styleId="331">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2">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3">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5">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36">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7">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338">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9">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0">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1">
    <w:name w:val="GP正文(首行缩进)"/>
    <w:basedOn w:val="1"/>
    <w:autoRedefine/>
    <w:qFormat/>
    <w:uiPriority w:val="0"/>
    <w:pPr>
      <w:spacing w:line="360" w:lineRule="auto"/>
      <w:ind w:firstLine="200" w:firstLineChars="200"/>
      <w:jc w:val="left"/>
    </w:pPr>
    <w:rPr>
      <w:sz w:val="24"/>
      <w:szCs w:val="21"/>
    </w:rPr>
  </w:style>
  <w:style w:type="paragraph" w:customStyle="1" w:styleId="342">
    <w:name w:val="目录"/>
    <w:basedOn w:val="1"/>
    <w:autoRedefine/>
    <w:qFormat/>
    <w:uiPriority w:val="0"/>
    <w:pPr>
      <w:widowControl/>
      <w:jc w:val="center"/>
    </w:pPr>
    <w:rPr>
      <w:rFonts w:ascii="宋体"/>
      <w:b/>
      <w:kern w:val="0"/>
      <w:sz w:val="36"/>
      <w:szCs w:val="20"/>
    </w:rPr>
  </w:style>
  <w:style w:type="paragraph" w:customStyle="1" w:styleId="34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样式 小四 行距: 1.5 倍行距"/>
    <w:basedOn w:val="1"/>
    <w:autoRedefine/>
    <w:qFormat/>
    <w:uiPriority w:val="0"/>
    <w:pPr>
      <w:tabs>
        <w:tab w:val="left" w:pos="740"/>
      </w:tabs>
      <w:ind w:left="1081" w:hanging="1081"/>
    </w:pPr>
  </w:style>
  <w:style w:type="paragraph" w:customStyle="1" w:styleId="345">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6">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7">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349">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0">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1">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2">
    <w:name w:val="样式 标题 3h:33H3Kop 3Vl3Level 3 Headh3sect1.2.3Alt+31.1.1..."/>
    <w:basedOn w:val="7"/>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353">
    <w:name w:val="Char Char Char Char Char Char Char1"/>
    <w:basedOn w:val="1"/>
    <w:autoRedefine/>
    <w:qFormat/>
    <w:uiPriority w:val="0"/>
  </w:style>
  <w:style w:type="paragraph" w:customStyle="1" w:styleId="354">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6">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7">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9">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0">
    <w:name w:val="样式 标题 4 + 段前: 0.5 行 段后: 0.5 行1"/>
    <w:basedOn w:val="8"/>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1">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3">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5">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366">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列表 21"/>
    <w:basedOn w:val="1"/>
    <w:autoRedefine/>
    <w:qFormat/>
    <w:uiPriority w:val="0"/>
    <w:pPr>
      <w:ind w:left="100" w:leftChars="200" w:hanging="200" w:hangingChars="200"/>
    </w:pPr>
  </w:style>
  <w:style w:type="paragraph" w:customStyle="1" w:styleId="368">
    <w:name w:val="Char Char Char Char Char Char Char"/>
    <w:basedOn w:val="1"/>
    <w:autoRedefine/>
    <w:qFormat/>
    <w:uiPriority w:val="0"/>
  </w:style>
  <w:style w:type="paragraph" w:customStyle="1" w:styleId="369">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370">
    <w:name w:val="一级无"/>
    <w:basedOn w:val="227"/>
    <w:autoRedefine/>
    <w:qFormat/>
    <w:uiPriority w:val="0"/>
    <w:pPr>
      <w:spacing w:beforeLines="0" w:afterLines="0"/>
    </w:pPr>
    <w:rPr>
      <w:rFonts w:ascii="宋体" w:eastAsia="宋体"/>
    </w:rPr>
  </w:style>
  <w:style w:type="paragraph" w:customStyle="1" w:styleId="371">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2">
    <w:name w:val="手动目录"/>
    <w:basedOn w:val="1"/>
    <w:autoRedefine/>
    <w:qFormat/>
    <w:uiPriority w:val="0"/>
    <w:pPr>
      <w:numPr>
        <w:ilvl w:val="0"/>
        <w:numId w:val="3"/>
      </w:numPr>
      <w:spacing w:line="360" w:lineRule="auto"/>
    </w:pPr>
    <w:rPr>
      <w:sz w:val="24"/>
    </w:rPr>
  </w:style>
  <w:style w:type="paragraph" w:customStyle="1" w:styleId="373">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4">
    <w:name w:val="默认段落字体 Para Char Char Char Char"/>
    <w:basedOn w:val="1"/>
    <w:autoRedefine/>
    <w:qFormat/>
    <w:uiPriority w:val="0"/>
    <w:rPr>
      <w:szCs w:val="20"/>
    </w:rPr>
  </w:style>
  <w:style w:type="paragraph" w:customStyle="1" w:styleId="375">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6">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377">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8">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9">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0">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2">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3">
    <w:name w:val="CM20"/>
    <w:basedOn w:val="252"/>
    <w:next w:val="252"/>
    <w:autoRedefine/>
    <w:qFormat/>
    <w:uiPriority w:val="0"/>
    <w:pPr>
      <w:spacing w:after="115"/>
    </w:pPr>
    <w:rPr>
      <w:rFonts w:ascii=".a..DD.." w:eastAsia=".a..DD.."/>
      <w:color w:val="auto"/>
      <w:szCs w:val="24"/>
    </w:rPr>
  </w:style>
  <w:style w:type="paragraph" w:customStyle="1" w:styleId="384">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385">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6">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7">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8">
    <w:name w:val="书目1"/>
    <w:basedOn w:val="1"/>
    <w:next w:val="1"/>
    <w:autoRedefine/>
    <w:unhideWhenUsed/>
    <w:qFormat/>
    <w:uiPriority w:val="37"/>
    <w:pPr>
      <w:spacing w:line="360" w:lineRule="auto"/>
      <w:ind w:firstLine="200" w:firstLineChars="200"/>
      <w:jc w:val="left"/>
    </w:pPr>
    <w:rPr>
      <w:sz w:val="24"/>
    </w:rPr>
  </w:style>
  <w:style w:type="paragraph" w:customStyle="1" w:styleId="389">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表文"/>
    <w:basedOn w:val="1"/>
    <w:autoRedefine/>
    <w:qFormat/>
    <w:uiPriority w:val="0"/>
    <w:pPr>
      <w:spacing w:line="300" w:lineRule="auto"/>
      <w:jc w:val="center"/>
      <w:textAlignment w:val="baseline"/>
    </w:pPr>
    <w:rPr>
      <w:kern w:val="0"/>
      <w:szCs w:val="20"/>
    </w:rPr>
  </w:style>
  <w:style w:type="paragraph" w:customStyle="1" w:styleId="391">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2">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样式 标题 1章节标题b1 + 段前: 6 磅"/>
    <w:basedOn w:val="3"/>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4">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8">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样式 样式 标题 2 + 段前: 0.5 行 段后: 0.5 行 + 段前: 0.5 行 段后: 0.5 行"/>
    <w:basedOn w:val="400"/>
    <w:autoRedefine/>
    <w:qFormat/>
    <w:uiPriority w:val="0"/>
    <w:pPr>
      <w:tabs>
        <w:tab w:val="left" w:pos="1320"/>
      </w:tabs>
      <w:spacing w:beforeLines="0" w:beforeAutospacing="1" w:afterLines="0" w:afterAutospacing="1"/>
      <w:ind w:left="576" w:hanging="576"/>
    </w:pPr>
    <w:rPr>
      <w:bCs w:val="0"/>
    </w:rPr>
  </w:style>
  <w:style w:type="paragraph" w:customStyle="1" w:styleId="400">
    <w:name w:val="样式 标题 2 + 段前: 0.5 行 段后: 0.5 行"/>
    <w:basedOn w:val="4"/>
    <w:autoRedefine/>
    <w:qFormat/>
    <w:uiPriority w:val="0"/>
    <w:pPr>
      <w:tabs>
        <w:tab w:val="left" w:pos="1320"/>
      </w:tabs>
      <w:spacing w:beforeLines="50" w:afterLines="50" w:line="360" w:lineRule="auto"/>
      <w:jc w:val="left"/>
    </w:pPr>
    <w:rPr>
      <w:rFonts w:cs="宋体"/>
      <w:b w:val="0"/>
      <w:kern w:val="0"/>
      <w:szCs w:val="20"/>
    </w:rPr>
  </w:style>
  <w:style w:type="paragraph" w:customStyle="1" w:styleId="401">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2">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3">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404">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5">
    <w:name w:val="样式 标题 3 + 四号 段前: 7.8 磅 段后: 0 磅 行距: 单倍行距"/>
    <w:basedOn w:val="7"/>
    <w:autoRedefine/>
    <w:qFormat/>
    <w:uiPriority w:val="0"/>
    <w:pPr>
      <w:tabs>
        <w:tab w:val="left" w:pos="673"/>
      </w:tabs>
      <w:spacing w:before="156" w:after="0"/>
      <w:ind w:left="720" w:hanging="720"/>
    </w:pPr>
    <w:rPr>
      <w:rFonts w:ascii="宋体" w:hAnsi="宋体" w:eastAsia="宋体"/>
      <w:b w:val="0"/>
      <w:sz w:val="28"/>
    </w:rPr>
  </w:style>
  <w:style w:type="paragraph" w:customStyle="1" w:styleId="406">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7">
    <w:name w:val="表项"/>
    <w:next w:val="408"/>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8">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9">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0">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12">
    <w:name w:val="Char2"/>
    <w:basedOn w:val="1"/>
    <w:autoRedefine/>
    <w:qFormat/>
    <w:uiPriority w:val="0"/>
    <w:pPr>
      <w:jc w:val="center"/>
    </w:pPr>
    <w:rPr>
      <w:rFonts w:ascii="宋体" w:hAnsi="宋体"/>
      <w:b/>
      <w:szCs w:val="21"/>
    </w:rPr>
  </w:style>
  <w:style w:type="paragraph" w:customStyle="1" w:styleId="413">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5">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7">
    <w:name w:val="样式 样式 标题 2 + 段前: 0.5 行 段后: 0.5 行2 + 段前: 0.5 行 段后: 0.5 行"/>
    <w:basedOn w:val="325"/>
    <w:autoRedefine/>
    <w:qFormat/>
    <w:uiPriority w:val="0"/>
    <w:rPr>
      <w:b w:val="0"/>
    </w:rPr>
  </w:style>
  <w:style w:type="paragraph" w:customStyle="1" w:styleId="418">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9">
    <w:name w:val="Figure Description"/>
    <w:basedOn w:val="1"/>
    <w:next w:val="201"/>
    <w:autoRedefine/>
    <w:qFormat/>
    <w:uiPriority w:val="0"/>
    <w:pPr>
      <w:keepNext/>
      <w:keepLines/>
      <w:spacing w:afterLines="100" w:line="360" w:lineRule="auto"/>
      <w:jc w:val="center"/>
    </w:pPr>
    <w:rPr>
      <w:rFonts w:ascii="Tahoma" w:hAnsi="Tahoma"/>
      <w:sz w:val="24"/>
    </w:rPr>
  </w:style>
  <w:style w:type="paragraph" w:customStyle="1" w:styleId="420">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1">
    <w:name w:val="pa-13"/>
    <w:basedOn w:val="1"/>
    <w:autoRedefine/>
    <w:qFormat/>
    <w:uiPriority w:val="0"/>
    <w:pPr>
      <w:widowControl/>
      <w:spacing w:line="240" w:lineRule="atLeast"/>
    </w:pPr>
    <w:rPr>
      <w:rFonts w:ascii="宋体" w:hAnsi="宋体" w:cs="宋体"/>
      <w:kern w:val="0"/>
      <w:sz w:val="24"/>
    </w:rPr>
  </w:style>
  <w:style w:type="paragraph" w:customStyle="1" w:styleId="422">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3">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424">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5">
    <w:name w:val="样式 小四 首行缩进:  2 字符"/>
    <w:basedOn w:val="1"/>
    <w:autoRedefine/>
    <w:qFormat/>
    <w:uiPriority w:val="0"/>
    <w:pPr>
      <w:spacing w:line="300" w:lineRule="auto"/>
      <w:ind w:firstLine="480" w:firstLineChars="200"/>
    </w:pPr>
    <w:rPr>
      <w:sz w:val="24"/>
      <w:szCs w:val="20"/>
    </w:rPr>
  </w:style>
  <w:style w:type="paragraph" w:customStyle="1" w:styleId="426">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27">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8">
    <w:name w:val="列出段落2"/>
    <w:basedOn w:val="1"/>
    <w:autoRedefine/>
    <w:qFormat/>
    <w:uiPriority w:val="0"/>
    <w:pPr>
      <w:ind w:firstLine="420" w:firstLineChars="200"/>
    </w:pPr>
  </w:style>
  <w:style w:type="paragraph" w:customStyle="1" w:styleId="429">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0">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3">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4">
    <w:name w:val="Notes Text List in Table"/>
    <w:autoRedefin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5">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6">
    <w:name w:val="Char Char Char"/>
    <w:basedOn w:val="1"/>
    <w:autoRedefine/>
    <w:qFormat/>
    <w:uiPriority w:val="0"/>
    <w:rPr>
      <w:rFonts w:ascii="Tahoma" w:hAnsi="Tahoma" w:cs="Angsana New"/>
      <w:sz w:val="24"/>
      <w:szCs w:val="20"/>
    </w:rPr>
  </w:style>
  <w:style w:type="paragraph" w:customStyle="1" w:styleId="437">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8">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样式 标题 1章H11. heading 1标准章Alt+1h1Huvudrubrikh11h12h13h..."/>
    <w:basedOn w:val="1"/>
    <w:autoRedefine/>
    <w:qFormat/>
    <w:uiPriority w:val="0"/>
  </w:style>
  <w:style w:type="paragraph" w:customStyle="1" w:styleId="440">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1">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2">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3">
    <w:name w:val="正文居中小5"/>
    <w:basedOn w:val="1"/>
    <w:autoRedefine/>
    <w:qFormat/>
    <w:uiPriority w:val="0"/>
    <w:pPr>
      <w:spacing w:line="360" w:lineRule="auto"/>
      <w:jc w:val="center"/>
    </w:pPr>
    <w:rPr>
      <w:rFonts w:ascii="Arial" w:hAnsi="Arial"/>
      <w:sz w:val="18"/>
    </w:rPr>
  </w:style>
  <w:style w:type="paragraph" w:customStyle="1" w:styleId="444">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5">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6">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7">
    <w:name w:val="二级大纲"/>
    <w:next w:val="106"/>
    <w:autoRedefine/>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8">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9">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0">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1">
    <w:name w:val="纯文本1"/>
    <w:basedOn w:val="1"/>
    <w:autoRedefine/>
    <w:qFormat/>
    <w:uiPriority w:val="0"/>
    <w:pPr>
      <w:autoSpaceDE w:val="0"/>
      <w:autoSpaceDN w:val="0"/>
      <w:adjustRightInd w:val="0"/>
    </w:pPr>
    <w:rPr>
      <w:rFonts w:hint="eastAsia" w:ascii="宋体" w:hAnsi="宋体" w:cs="宋体"/>
      <w:kern w:val="0"/>
      <w:szCs w:val="20"/>
    </w:rPr>
  </w:style>
  <w:style w:type="paragraph" w:customStyle="1" w:styleId="452">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4">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5">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7">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8">
    <w:name w:val="样式 样式 标题 + 段前: 0.5 行 段后: 0.5 行 + 段前: 0.5 行 段后: 0.5 行"/>
    <w:basedOn w:val="214"/>
    <w:autoRedefine/>
    <w:qFormat/>
    <w:uiPriority w:val="0"/>
    <w:pPr>
      <w:spacing w:beforeLines="50" w:afterLines="50" w:line="360" w:lineRule="auto"/>
    </w:pPr>
    <w:rPr>
      <w:rFonts w:eastAsia="黑体" w:cs="宋体"/>
      <w:sz w:val="72"/>
      <w:szCs w:val="20"/>
      <w:u w:val="double"/>
    </w:rPr>
  </w:style>
  <w:style w:type="paragraph" w:customStyle="1" w:styleId="459">
    <w:name w:val="正文居中"/>
    <w:basedOn w:val="1"/>
    <w:next w:val="39"/>
    <w:autoRedefine/>
    <w:qFormat/>
    <w:uiPriority w:val="0"/>
    <w:pPr>
      <w:adjustRightInd w:val="0"/>
      <w:snapToGrid w:val="0"/>
      <w:ind w:firstLine="480" w:firstLineChars="200"/>
    </w:pPr>
    <w:rPr>
      <w:rFonts w:ascii="宋体" w:hAnsi="宋体"/>
      <w:sz w:val="24"/>
    </w:rPr>
  </w:style>
  <w:style w:type="paragraph" w:customStyle="1" w:styleId="460">
    <w:name w:val="文档控制号等"/>
    <w:basedOn w:val="1"/>
    <w:autoRedefine/>
    <w:qFormat/>
    <w:uiPriority w:val="0"/>
    <w:pPr>
      <w:spacing w:line="360" w:lineRule="auto"/>
      <w:jc w:val="left"/>
    </w:pPr>
  </w:style>
  <w:style w:type="paragraph" w:customStyle="1" w:styleId="461">
    <w:name w:val="小四 段落 宋体 Char Char"/>
    <w:basedOn w:val="462"/>
    <w:autoRedefine/>
    <w:qFormat/>
    <w:uiPriority w:val="0"/>
    <w:pPr>
      <w:tabs>
        <w:tab w:val="left" w:pos="360"/>
        <w:tab w:val="left" w:pos="840"/>
      </w:tabs>
    </w:pPr>
  </w:style>
  <w:style w:type="paragraph" w:customStyle="1" w:styleId="462">
    <w:name w:val="小四 段落 宋体 Char Char Char"/>
    <w:basedOn w:val="18"/>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3">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4">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5">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表格内容五号(V1)"/>
    <w:basedOn w:val="1"/>
    <w:autoRedefine/>
    <w:qFormat/>
    <w:uiPriority w:val="0"/>
    <w:pPr>
      <w:jc w:val="center"/>
    </w:pPr>
    <w:rPr>
      <w:rFonts w:cs="Arial Unicode MS"/>
      <w:kern w:val="0"/>
      <w:szCs w:val="21"/>
    </w:rPr>
  </w:style>
  <w:style w:type="paragraph" w:customStyle="1" w:styleId="467">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8">
    <w:name w:val="10"/>
    <w:basedOn w:val="1"/>
    <w:autoRedefine/>
    <w:qFormat/>
    <w:uiPriority w:val="0"/>
    <w:pPr>
      <w:spacing w:line="360" w:lineRule="auto"/>
      <w:ind w:firstLine="454"/>
    </w:pPr>
    <w:rPr>
      <w:rFonts w:ascii="Tahoma" w:hAnsi="Tahoma"/>
      <w:sz w:val="24"/>
      <w:szCs w:val="20"/>
    </w:rPr>
  </w:style>
  <w:style w:type="paragraph" w:customStyle="1" w:styleId="469">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0">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471">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2">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4">
    <w:name w:val="样式 日期 + 行距: 1.5 倍行距"/>
    <w:basedOn w:val="38"/>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475">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6">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9">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0">
    <w:name w:val="三级无"/>
    <w:basedOn w:val="272"/>
    <w:autoRedefine/>
    <w:qFormat/>
    <w:uiPriority w:val="0"/>
    <w:pPr>
      <w:spacing w:beforeLines="0" w:afterLines="0"/>
    </w:pPr>
    <w:rPr>
      <w:rFonts w:ascii="宋体" w:eastAsia="宋体"/>
    </w:rPr>
  </w:style>
  <w:style w:type="paragraph" w:customStyle="1" w:styleId="48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82">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Figure"/>
    <w:basedOn w:val="1"/>
    <w:next w:val="419"/>
    <w:autoRedefine/>
    <w:qFormat/>
    <w:uiPriority w:val="0"/>
    <w:pPr>
      <w:keepNext/>
      <w:ind w:left="1701"/>
    </w:pPr>
  </w:style>
  <w:style w:type="paragraph" w:customStyle="1" w:styleId="485">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7">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8">
    <w:name w:val="正文悬挂缩进4"/>
    <w:basedOn w:val="1"/>
    <w:autoRedefine/>
    <w:qFormat/>
    <w:uiPriority w:val="0"/>
    <w:pPr>
      <w:spacing w:line="360" w:lineRule="auto"/>
      <w:ind w:left="839"/>
    </w:pPr>
  </w:style>
  <w:style w:type="paragraph" w:customStyle="1" w:styleId="489">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90">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1">
    <w:name w:val="样式 标题 4Alt+4项h4H41.1.1.1 Heading 4Heading FourHead44bul...1"/>
    <w:basedOn w:val="8"/>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2">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4">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5">
    <w:name w:val="TOC 标题1"/>
    <w:basedOn w:val="3"/>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6">
    <w:name w:val="项目编号1级"/>
    <w:basedOn w:val="497"/>
    <w:autoRedefine/>
    <w:qFormat/>
    <w:uiPriority w:val="0"/>
    <w:pPr>
      <w:tabs>
        <w:tab w:val="left" w:pos="840"/>
      </w:tabs>
      <w:ind w:left="840" w:hanging="420" w:firstLineChars="0"/>
    </w:pPr>
  </w:style>
  <w:style w:type="paragraph" w:customStyle="1" w:styleId="497">
    <w:name w:val="正文缩进2"/>
    <w:basedOn w:val="1"/>
    <w:autoRedefine/>
    <w:qFormat/>
    <w:uiPriority w:val="0"/>
    <w:pPr>
      <w:spacing w:line="360" w:lineRule="auto"/>
      <w:ind w:firstLine="200" w:firstLineChars="200"/>
    </w:pPr>
  </w:style>
  <w:style w:type="paragraph" w:customStyle="1" w:styleId="498">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1">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2">
    <w:name w:val="样式 标题 3 + 段前: 0.5 行 段后: 0.5 行"/>
    <w:basedOn w:val="7"/>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3">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4">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505">
    <w:name w:val="样式 标题 6 + 段前: 0.5 行 段后: 0.5 行"/>
    <w:basedOn w:val="10"/>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6">
    <w:name w:val="列出段落1"/>
    <w:basedOn w:val="1"/>
    <w:autoRedefine/>
    <w:qFormat/>
    <w:uiPriority w:val="0"/>
    <w:pPr>
      <w:ind w:firstLine="420" w:firstLineChars="200"/>
    </w:pPr>
    <w:rPr>
      <w:szCs w:val="20"/>
    </w:rPr>
  </w:style>
  <w:style w:type="paragraph" w:customStyle="1" w:styleId="507">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8">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9">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0">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1">
    <w:name w:val="一级"/>
    <w:basedOn w:val="106"/>
    <w:next w:val="106"/>
    <w:autoRedefine/>
    <w:qFormat/>
    <w:uiPriority w:val="0"/>
    <w:pPr>
      <w:tabs>
        <w:tab w:val="left" w:pos="360"/>
        <w:tab w:val="left" w:pos="780"/>
      </w:tabs>
      <w:ind w:left="780" w:hanging="360" w:firstLineChars="0"/>
      <w:jc w:val="center"/>
      <w:outlineLvl w:val="0"/>
    </w:pPr>
    <w:rPr>
      <w:b/>
      <w:sz w:val="44"/>
    </w:rPr>
  </w:style>
  <w:style w:type="paragraph" w:customStyle="1" w:styleId="512">
    <w:name w:val="警告"/>
    <w:basedOn w:val="1"/>
    <w:next w:val="201"/>
    <w:autoRedefine/>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3">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4">
    <w:name w:val="样式 标题 3H3h3h31第二层条3Bold Headbh章标题1小标题level_3PIM 3Lev..."/>
    <w:basedOn w:val="7"/>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515">
    <w:name w:val="Sub Item List"/>
    <w:basedOn w:val="1"/>
    <w:autoRedefine/>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6">
    <w:name w:val="样式 标题 4 + 段前: 0.5 行 段后: 0.5 行 行距: 多倍行距 1.57 字行"/>
    <w:basedOn w:val="8"/>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7">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518">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0">
    <w:name w:val="正文(单倍行距)"/>
    <w:basedOn w:val="1"/>
    <w:autoRedefine/>
    <w:qFormat/>
    <w:uiPriority w:val="0"/>
    <w:pPr>
      <w:adjustRightInd w:val="0"/>
      <w:snapToGrid w:val="0"/>
      <w:jc w:val="center"/>
    </w:pPr>
  </w:style>
  <w:style w:type="paragraph" w:customStyle="1" w:styleId="52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2">
    <w:name w:val="二级无"/>
    <w:basedOn w:val="273"/>
    <w:autoRedefine/>
    <w:qFormat/>
    <w:uiPriority w:val="0"/>
    <w:pPr>
      <w:spacing w:beforeLines="0" w:afterLines="0"/>
    </w:pPr>
    <w:rPr>
      <w:rFonts w:ascii="宋体" w:eastAsia="宋体"/>
    </w:rPr>
  </w:style>
  <w:style w:type="paragraph" w:customStyle="1" w:styleId="523">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524">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5">
    <w:name w:val="pa-10"/>
    <w:basedOn w:val="1"/>
    <w:autoRedefine/>
    <w:qFormat/>
    <w:uiPriority w:val="0"/>
    <w:pPr>
      <w:widowControl/>
      <w:spacing w:line="280" w:lineRule="atLeast"/>
    </w:pPr>
    <w:rPr>
      <w:rFonts w:ascii="宋体" w:hAnsi="宋体" w:cs="宋体"/>
      <w:kern w:val="0"/>
      <w:sz w:val="24"/>
    </w:rPr>
  </w:style>
  <w:style w:type="paragraph" w:customStyle="1" w:styleId="526">
    <w:name w:val="WPS Plain"/>
    <w:autoRedefine/>
    <w:qFormat/>
    <w:uiPriority w:val="0"/>
    <w:rPr>
      <w:rFonts w:ascii="Times New Roman" w:hAnsi="Times New Roman" w:eastAsia="宋体" w:cs="Times New Roman"/>
      <w:lang w:val="en-US" w:eastAsia="zh-CN" w:bidi="ar-SA"/>
    </w:rPr>
  </w:style>
  <w:style w:type="paragraph" w:customStyle="1" w:styleId="527">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8">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529">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0">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2">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表身（中）"/>
    <w:basedOn w:val="408"/>
    <w:autoRedefine/>
    <w:qFormat/>
    <w:uiPriority w:val="0"/>
    <w:pPr>
      <w:jc w:val="center"/>
    </w:pPr>
  </w:style>
  <w:style w:type="paragraph" w:customStyle="1" w:styleId="534">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5">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536">
    <w:name w:val="标题1"/>
    <w:basedOn w:val="3"/>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537">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8">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0">
    <w:name w:val="表格正文2"/>
    <w:basedOn w:val="1"/>
    <w:autoRedefine/>
    <w:qFormat/>
    <w:uiPriority w:val="0"/>
    <w:pPr>
      <w:adjustRightInd w:val="0"/>
      <w:snapToGrid w:val="0"/>
      <w:spacing w:line="400" w:lineRule="atLeast"/>
      <w:jc w:val="left"/>
    </w:pPr>
    <w:rPr>
      <w:sz w:val="24"/>
      <w:szCs w:val="20"/>
    </w:rPr>
  </w:style>
  <w:style w:type="paragraph" w:customStyle="1" w:styleId="541">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样式 首行缩进:  2 字符2 + 居中"/>
    <w:basedOn w:val="223"/>
    <w:autoRedefine/>
    <w:qFormat/>
    <w:uiPriority w:val="0"/>
    <w:pPr>
      <w:adjustRightInd/>
      <w:snapToGrid/>
      <w:ind w:firstLine="0" w:firstLineChars="0"/>
      <w:jc w:val="center"/>
    </w:pPr>
    <w:rPr>
      <w:sz w:val="28"/>
      <w:szCs w:val="20"/>
    </w:rPr>
  </w:style>
  <w:style w:type="paragraph" w:customStyle="1" w:styleId="543">
    <w:name w:val="Absatz2AL"/>
    <w:basedOn w:val="28"/>
    <w:next w:val="1"/>
    <w:autoRedefine/>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4">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6">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7">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9">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50">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1">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2">
    <w:name w:val="def正文"/>
    <w:basedOn w:val="28"/>
    <w:autoRedefine/>
    <w:qFormat/>
    <w:uiPriority w:val="0"/>
    <w:pPr>
      <w:widowControl/>
      <w:autoSpaceDE/>
      <w:autoSpaceDN/>
      <w:adjustRightInd/>
      <w:ind w:firstLine="482"/>
      <w:jc w:val="both"/>
    </w:pPr>
    <w:rPr>
      <w:rFonts w:ascii="Times New Roman"/>
      <w:b/>
      <w:sz w:val="24"/>
      <w:szCs w:val="24"/>
    </w:rPr>
  </w:style>
  <w:style w:type="paragraph" w:customStyle="1" w:styleId="553">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4">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5">
    <w:name w:val="三级大纲"/>
    <w:next w:val="106"/>
    <w:autoRedefine/>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6">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7">
    <w:name w:val="1"/>
    <w:basedOn w:val="43"/>
    <w:autoRedefine/>
    <w:qFormat/>
    <w:uiPriority w:val="0"/>
    <w:pPr>
      <w:pBdr>
        <w:bottom w:val="none" w:color="auto" w:sz="0" w:space="0"/>
      </w:pBdr>
    </w:pPr>
    <w:rPr>
      <w:rFonts w:ascii="Calibri" w:hAnsi="Calibri" w:eastAsia="华文新魏"/>
      <w:kern w:val="0"/>
      <w:sz w:val="21"/>
      <w:szCs w:val="20"/>
    </w:rPr>
  </w:style>
  <w:style w:type="paragraph" w:customStyle="1" w:styleId="558">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9">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561">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56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5">
    <w:name w:val="正文悬挂缩进6"/>
    <w:basedOn w:val="488"/>
    <w:autoRedefine/>
    <w:qFormat/>
    <w:uiPriority w:val="0"/>
    <w:pPr>
      <w:tabs>
        <w:tab w:val="left" w:pos="1259"/>
      </w:tabs>
      <w:ind w:left="600" w:leftChars="600"/>
    </w:pPr>
  </w:style>
  <w:style w:type="paragraph" w:customStyle="1" w:styleId="566">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7">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8">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9">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570">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1">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572">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3">
    <w:name w:val="表3"/>
    <w:basedOn w:val="219"/>
    <w:autoRedefine/>
    <w:qFormat/>
    <w:uiPriority w:val="0"/>
    <w:pPr>
      <w:numPr>
        <w:numId w:val="0"/>
      </w:numPr>
      <w:ind w:left="902" w:hanging="420"/>
    </w:pPr>
  </w:style>
  <w:style w:type="paragraph" w:customStyle="1" w:styleId="574">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5">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76">
    <w:name w:val="Char21"/>
    <w:basedOn w:val="1"/>
    <w:autoRedefine/>
    <w:qFormat/>
    <w:uiPriority w:val="0"/>
  </w:style>
  <w:style w:type="paragraph" w:customStyle="1" w:styleId="577">
    <w:name w:val="正文1"/>
    <w:basedOn w:val="1"/>
    <w:autoRedefine/>
    <w:qFormat/>
    <w:uiPriority w:val="0"/>
    <w:pPr>
      <w:spacing w:line="360" w:lineRule="auto"/>
      <w:ind w:firstLine="200" w:firstLineChars="200"/>
    </w:pPr>
  </w:style>
  <w:style w:type="paragraph" w:customStyle="1" w:styleId="578">
    <w:name w:val="Char1"/>
    <w:basedOn w:val="1"/>
    <w:autoRedefine/>
    <w:qFormat/>
    <w:uiPriority w:val="0"/>
  </w:style>
  <w:style w:type="paragraph" w:customStyle="1" w:styleId="579">
    <w:name w:val="样式 标题 2 + 段前: 0.5 行 段后: 0.5 行1"/>
    <w:basedOn w:val="4"/>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0">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2">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3">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4">
    <w:name w:val="xl3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5">
    <w:name w:val="Char Char Char Char Char Char"/>
    <w:basedOn w:val="22"/>
    <w:autoRedefine/>
    <w:semiHidden/>
    <w:qFormat/>
    <w:uiPriority w:val="0"/>
    <w:pPr>
      <w:spacing w:line="360" w:lineRule="auto"/>
      <w:ind w:firstLine="200" w:firstLineChars="200"/>
      <w:jc w:val="left"/>
    </w:pPr>
    <w:rPr>
      <w:rFonts w:ascii="Tahoma" w:hAnsi="Tahoma" w:cs="Tahoma"/>
      <w:kern w:val="0"/>
      <w:sz w:val="18"/>
    </w:rPr>
  </w:style>
  <w:style w:type="paragraph" w:customStyle="1" w:styleId="586">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7">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0">
    <w:name w:val="样式 标题 1 + 段前: 1 行 段后: 1 行1"/>
    <w:basedOn w:val="3"/>
    <w:autoRedefine/>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1">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2">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3">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5">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7">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598">
    <w:name w:val="样式 标题 5 + 段前: 0.5 行 段后: 0.5 行"/>
    <w:basedOn w:val="9"/>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9">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5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01">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3">
    <w:name w:val="Char"/>
    <w:basedOn w:val="1"/>
    <w:autoRedefine/>
    <w:qFormat/>
    <w:uiPriority w:val="0"/>
    <w:rPr>
      <w:rFonts w:ascii="Tahoma" w:hAnsi="Tahoma" w:cs="仿宋_GB2312"/>
      <w:sz w:val="24"/>
      <w:szCs w:val="28"/>
    </w:rPr>
  </w:style>
  <w:style w:type="paragraph" w:customStyle="1" w:styleId="604">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5">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6">
    <w:name w:val="我的正文格式"/>
    <w:basedOn w:val="1"/>
    <w:next w:val="1"/>
    <w:autoRedefine/>
    <w:qFormat/>
    <w:uiPriority w:val="0"/>
    <w:pPr>
      <w:snapToGrid w:val="0"/>
      <w:spacing w:line="288" w:lineRule="auto"/>
      <w:ind w:left="540" w:hanging="540" w:hangingChars="225"/>
    </w:pPr>
    <w:rPr>
      <w:sz w:val="24"/>
    </w:rPr>
  </w:style>
  <w:style w:type="paragraph" w:customStyle="1" w:styleId="607">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8">
    <w:name w:val="_Style 56"/>
    <w:basedOn w:val="1"/>
    <w:autoRedefine/>
    <w:qFormat/>
    <w:uiPriority w:val="0"/>
    <w:pPr>
      <w:ind w:firstLine="420" w:firstLineChars="200"/>
    </w:pPr>
    <w:rPr>
      <w:rFonts w:ascii="Calibri" w:hAnsi="Calibri"/>
      <w:szCs w:val="22"/>
    </w:rPr>
  </w:style>
  <w:style w:type="paragraph" w:styleId="609">
    <w:name w:val="List Paragraph"/>
    <w:basedOn w:val="1"/>
    <w:link w:val="722"/>
    <w:autoRedefine/>
    <w:qFormat/>
    <w:uiPriority w:val="99"/>
    <w:pPr>
      <w:ind w:firstLine="420" w:firstLineChars="200"/>
    </w:pPr>
    <w:rPr>
      <w:rFonts w:ascii="宋体" w:hAnsi="宋体" w:cs="宋体"/>
      <w:bCs/>
      <w:color w:val="000000"/>
      <w:kern w:val="0"/>
      <w:sz w:val="24"/>
      <w:u w:val="single"/>
    </w:rPr>
  </w:style>
  <w:style w:type="paragraph" w:customStyle="1" w:styleId="610">
    <w:name w:val="Char1 Char Char Char"/>
    <w:basedOn w:val="1"/>
    <w:autoRedefine/>
    <w:qFormat/>
    <w:uiPriority w:val="0"/>
    <w:rPr>
      <w:rFonts w:ascii="Tahoma" w:hAnsi="Tahoma"/>
      <w:sz w:val="24"/>
      <w:szCs w:val="20"/>
    </w:rPr>
  </w:style>
  <w:style w:type="paragraph" w:customStyle="1" w:styleId="611">
    <w:name w:val="Char Char Char Char1"/>
    <w:basedOn w:val="1"/>
    <w:autoRedefine/>
    <w:qFormat/>
    <w:uiPriority w:val="0"/>
    <w:rPr>
      <w:rFonts w:ascii="仿宋_GB2312" w:eastAsia="仿宋_GB2312"/>
      <w:b/>
      <w:sz w:val="32"/>
      <w:szCs w:val="32"/>
    </w:rPr>
  </w:style>
  <w:style w:type="paragraph" w:customStyle="1" w:styleId="612">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4">
    <w:name w:val="标准小四"/>
    <w:basedOn w:val="1"/>
    <w:autoRedefine/>
    <w:qFormat/>
    <w:uiPriority w:val="0"/>
    <w:pPr>
      <w:spacing w:line="360" w:lineRule="auto"/>
      <w:ind w:firstLine="480" w:firstLineChars="200"/>
    </w:pPr>
    <w:rPr>
      <w:rFonts w:ascii="Arial" w:hAnsi="Arial"/>
      <w:sz w:val="24"/>
      <w:szCs w:val="21"/>
    </w:rPr>
  </w:style>
  <w:style w:type="paragraph" w:customStyle="1" w:styleId="615">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6">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7">
    <w:name w:val="Item List in Table"/>
    <w:basedOn w:val="1"/>
    <w:autoRedefine/>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8">
    <w:name w:val="书目11"/>
    <w:basedOn w:val="1"/>
    <w:next w:val="1"/>
    <w:autoRedefine/>
    <w:unhideWhenUsed/>
    <w:qFormat/>
    <w:uiPriority w:val="37"/>
    <w:pPr>
      <w:spacing w:line="360" w:lineRule="auto"/>
      <w:ind w:firstLine="200" w:firstLineChars="200"/>
      <w:jc w:val="left"/>
    </w:pPr>
    <w:rPr>
      <w:sz w:val="24"/>
    </w:rPr>
  </w:style>
  <w:style w:type="paragraph" w:customStyle="1" w:styleId="619">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0">
    <w:name w:val="小标"/>
    <w:basedOn w:val="1"/>
    <w:autoRedefine/>
    <w:qFormat/>
    <w:uiPriority w:val="0"/>
    <w:rPr>
      <w:rFonts w:hint="eastAsia" w:ascii="黑体" w:eastAsia="黑体"/>
      <w:spacing w:val="20"/>
      <w:szCs w:val="20"/>
    </w:rPr>
  </w:style>
  <w:style w:type="paragraph" w:customStyle="1" w:styleId="621">
    <w:name w:val="表格标题3"/>
    <w:basedOn w:val="418"/>
    <w:autoRedefine/>
    <w:qFormat/>
    <w:uiPriority w:val="0"/>
    <w:pPr>
      <w:tabs>
        <w:tab w:val="left" w:pos="570"/>
        <w:tab w:val="left" w:pos="720"/>
        <w:tab w:val="clear" w:pos="1620"/>
      </w:tabs>
      <w:ind w:left="570" w:hanging="570"/>
    </w:pPr>
  </w:style>
  <w:style w:type="paragraph" w:customStyle="1" w:styleId="622">
    <w:name w:val="五级大纲"/>
    <w:next w:val="106"/>
    <w:autoRedefine/>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3">
    <w:name w:val="默认段落字体 Para Char Char Char Char Char Char Char"/>
    <w:basedOn w:val="1"/>
    <w:autoRedefine/>
    <w:qFormat/>
    <w:uiPriority w:val="0"/>
    <w:pPr>
      <w:jc w:val="left"/>
    </w:pPr>
    <w:rPr>
      <w:rFonts w:ascii="Tahoma" w:hAnsi="Tahoma"/>
      <w:sz w:val="24"/>
      <w:szCs w:val="20"/>
    </w:rPr>
  </w:style>
  <w:style w:type="paragraph" w:customStyle="1" w:styleId="624">
    <w:name w:val="默认段落字体 Para Char Char Char Char Char Char Char Char Char Char Char Char Char Char"/>
    <w:basedOn w:val="22"/>
    <w:autoRedefine/>
    <w:qFormat/>
    <w:uiPriority w:val="0"/>
    <w:rPr>
      <w:rFonts w:ascii="Tahoma" w:hAnsi="Tahoma"/>
      <w:sz w:val="24"/>
    </w:rPr>
  </w:style>
  <w:style w:type="paragraph" w:customStyle="1" w:styleId="62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6">
    <w:name w:val="样式 标题 2（x.x）节二级标题H2h2h212Header 2l2Level 2 HeadH2norm..."/>
    <w:basedOn w:val="4"/>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7">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28">
    <w:name w:val="样式 标题 2 + 宋体 小三 段前: 0 磅 段后: 12 磅 行距: 1.5 倍行距"/>
    <w:basedOn w:val="4"/>
    <w:autoRedefine/>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9">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630">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6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2">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3">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4">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5">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6">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7">
    <w:name w:val="样式 标题 1H1Header1h1标题4L1bocLevel 1 Topic Heading标书1Secti..."/>
    <w:basedOn w:val="3"/>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8">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639">
    <w:name w:val="Char Char Char1 Char"/>
    <w:basedOn w:val="22"/>
    <w:autoRedefine/>
    <w:qFormat/>
    <w:uiPriority w:val="0"/>
    <w:pPr>
      <w:adjustRightInd w:val="0"/>
      <w:spacing w:line="436" w:lineRule="exact"/>
      <w:ind w:left="357"/>
      <w:jc w:val="left"/>
      <w:outlineLvl w:val="3"/>
    </w:pPr>
    <w:rPr>
      <w:kern w:val="0"/>
      <w:sz w:val="20"/>
      <w:szCs w:val="20"/>
    </w:rPr>
  </w:style>
  <w:style w:type="paragraph" w:customStyle="1" w:styleId="640">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1">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642">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3">
    <w:name w:val="项目编号2级"/>
    <w:basedOn w:val="496"/>
    <w:autoRedefine/>
    <w:qFormat/>
    <w:uiPriority w:val="0"/>
  </w:style>
  <w:style w:type="paragraph" w:customStyle="1" w:styleId="644">
    <w:name w:val="四级无"/>
    <w:basedOn w:val="271"/>
    <w:autoRedefine/>
    <w:qFormat/>
    <w:uiPriority w:val="0"/>
    <w:pPr>
      <w:tabs>
        <w:tab w:val="left" w:pos="360"/>
      </w:tabs>
      <w:spacing w:beforeLines="0" w:afterLines="0"/>
    </w:pPr>
    <w:rPr>
      <w:rFonts w:ascii="宋体" w:eastAsia="宋体"/>
    </w:rPr>
  </w:style>
  <w:style w:type="paragraph" w:customStyle="1" w:styleId="645">
    <w:name w:val="样式 标题 1 + 非加粗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6">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7">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8">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9">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0">
    <w:name w:val="样式 标题 3H3h3h31第二层条3Bold Headbh章标题1小标题level_3PIM 3Lev...2"/>
    <w:basedOn w:val="7"/>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1">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2">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53">
    <w:name w:val="Default Text"/>
    <w:basedOn w:val="654"/>
    <w:link w:val="70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4">
    <w:name w:val="正文_0"/>
    <w:basedOn w:val="65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5">
    <w:name w:val="正文_1"/>
    <w:basedOn w:val="656"/>
    <w:next w:val="6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6">
    <w:name w:val="正文_2_0"/>
    <w:basedOn w:val="1"/>
    <w:next w:val="657"/>
    <w:autoRedefine/>
    <w:qFormat/>
    <w:uiPriority w:val="0"/>
    <w:rPr>
      <w:rFonts w:ascii="Calibri" w:hAnsi="Calibri" w:eastAsia="黑体"/>
      <w:b/>
      <w:szCs w:val="22"/>
    </w:rPr>
  </w:style>
  <w:style w:type="paragraph" w:customStyle="1" w:styleId="657">
    <w:name w:val="正文文本_0"/>
    <w:basedOn w:val="656"/>
    <w:autoRedefine/>
    <w:qFormat/>
    <w:uiPriority w:val="0"/>
    <w:pPr>
      <w:spacing w:after="120"/>
    </w:pPr>
    <w:rPr>
      <w:kern w:val="0"/>
      <w:sz w:val="20"/>
    </w:rPr>
  </w:style>
  <w:style w:type="paragraph" w:customStyle="1" w:styleId="658">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9">
    <w:name w:val="样式 标题 3H3h3h31第二层条3Bold Headbh章标题1小标题level_3PIM 3Lev...1"/>
    <w:basedOn w:val="7"/>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60">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1">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62">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63">
    <w:name w:val="TOC 标题2"/>
    <w:basedOn w:val="3"/>
    <w:next w:val="1"/>
    <w:autoRedefine/>
    <w:qFormat/>
    <w:uiPriority w:val="39"/>
    <w:pPr>
      <w:adjustRightInd/>
      <w:spacing w:before="340" w:after="330" w:line="578" w:lineRule="auto"/>
      <w:jc w:val="both"/>
      <w:textAlignment w:val="auto"/>
      <w:outlineLvl w:val="9"/>
    </w:pPr>
    <w:rPr>
      <w:bCs/>
      <w:sz w:val="44"/>
      <w:szCs w:val="44"/>
    </w:rPr>
  </w:style>
  <w:style w:type="paragraph" w:customStyle="1" w:styleId="664">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665">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6">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7">
    <w:name w:val="表头"/>
    <w:basedOn w:val="1"/>
    <w:autoRedefine/>
    <w:qFormat/>
    <w:uiPriority w:val="0"/>
    <w:pPr>
      <w:autoSpaceDE w:val="0"/>
      <w:autoSpaceDN w:val="0"/>
      <w:adjustRightInd w:val="0"/>
      <w:jc w:val="center"/>
    </w:pPr>
    <w:rPr>
      <w:rFonts w:ascii="Arial" w:hAnsi="Arial"/>
      <w:kern w:val="0"/>
      <w:sz w:val="18"/>
    </w:rPr>
  </w:style>
  <w:style w:type="paragraph" w:customStyle="1" w:styleId="668">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9">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70">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71">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672">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4">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5">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6">
    <w:name w:val="样式 样式 标题 5 + 段前: 0.5 行 段后: 0.5 行 + 段前: 0.5 行 段后: 0.5 行"/>
    <w:basedOn w:val="598"/>
    <w:autoRedefine/>
    <w:qFormat/>
    <w:uiPriority w:val="0"/>
    <w:rPr>
      <w:bCs w:val="0"/>
    </w:rPr>
  </w:style>
  <w:style w:type="paragraph" w:customStyle="1" w:styleId="6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8">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1">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2">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3">
    <w:name w:val="标书正文"/>
    <w:basedOn w:val="1"/>
    <w:link w:val="745"/>
    <w:autoRedefine/>
    <w:qFormat/>
    <w:uiPriority w:val="0"/>
    <w:pPr>
      <w:spacing w:line="360" w:lineRule="auto"/>
      <w:ind w:firstLine="497" w:firstLineChars="207"/>
    </w:pPr>
    <w:rPr>
      <w:sz w:val="24"/>
      <w:szCs w:val="20"/>
    </w:rPr>
  </w:style>
  <w:style w:type="paragraph" w:customStyle="1" w:styleId="684">
    <w:name w:val="标题3"/>
    <w:basedOn w:val="1"/>
    <w:autoRedefine/>
    <w:qFormat/>
    <w:uiPriority w:val="0"/>
    <w:pPr>
      <w:spacing w:beforeLines="50" w:afterLines="50" w:line="300" w:lineRule="exact"/>
    </w:pPr>
    <w:rPr>
      <w:b/>
      <w:bCs/>
    </w:rPr>
  </w:style>
  <w:style w:type="paragraph" w:customStyle="1" w:styleId="685">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8">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9">
    <w:name w:val="表格(五号)"/>
    <w:basedOn w:val="1"/>
    <w:autoRedefine/>
    <w:qFormat/>
    <w:uiPriority w:val="0"/>
    <w:pPr>
      <w:adjustRightInd w:val="0"/>
      <w:snapToGrid w:val="0"/>
      <w:spacing w:before="60" w:after="60"/>
      <w:ind w:left="11"/>
      <w:jc w:val="center"/>
    </w:pPr>
    <w:rPr>
      <w:kern w:val="0"/>
      <w:szCs w:val="20"/>
    </w:rPr>
  </w:style>
  <w:style w:type="paragraph" w:customStyle="1" w:styleId="690">
    <w:name w:val="表格标题1"/>
    <w:basedOn w:val="597"/>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91">
    <w:name w:val="默认段落字体 Para Char"/>
    <w:basedOn w:val="1"/>
    <w:autoRedefine/>
    <w:qFormat/>
    <w:uiPriority w:val="0"/>
  </w:style>
  <w:style w:type="paragraph" w:customStyle="1" w:styleId="692">
    <w:name w:val="正"/>
    <w:basedOn w:val="1"/>
    <w:autoRedefine/>
    <w:qFormat/>
    <w:uiPriority w:val="0"/>
    <w:pPr>
      <w:ind w:firstLine="525"/>
    </w:pPr>
    <w:rPr>
      <w:spacing w:val="20"/>
      <w:szCs w:val="20"/>
    </w:rPr>
  </w:style>
  <w:style w:type="paragraph" w:customStyle="1" w:styleId="69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4">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6">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7">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8">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9">
    <w:name w:val="无间隔 Char"/>
    <w:basedOn w:val="63"/>
    <w:link w:val="700"/>
    <w:autoRedefine/>
    <w:qFormat/>
    <w:locked/>
    <w:uiPriority w:val="0"/>
    <w:rPr>
      <w:rFonts w:ascii="Calibri" w:hAnsi="Calibri" w:eastAsia="宋体" w:cs="Times New Roman"/>
    </w:rPr>
  </w:style>
  <w:style w:type="paragraph" w:styleId="700">
    <w:name w:val="No Spacing"/>
    <w:basedOn w:val="1"/>
    <w:link w:val="699"/>
    <w:autoRedefine/>
    <w:qFormat/>
    <w:uiPriority w:val="0"/>
    <w:rPr>
      <w:rFonts w:ascii="Calibri" w:hAnsi="Calibri"/>
      <w:szCs w:val="22"/>
    </w:rPr>
  </w:style>
  <w:style w:type="character" w:customStyle="1" w:styleId="701">
    <w:name w:val="short_text"/>
    <w:basedOn w:val="63"/>
    <w:autoRedefine/>
    <w:qFormat/>
    <w:uiPriority w:val="0"/>
  </w:style>
  <w:style w:type="character" w:customStyle="1" w:styleId="702">
    <w:name w:val="未处理的提及1"/>
    <w:basedOn w:val="63"/>
    <w:autoRedefine/>
    <w:semiHidden/>
    <w:unhideWhenUsed/>
    <w:qFormat/>
    <w:uiPriority w:val="99"/>
    <w:rPr>
      <w:color w:val="605E5C"/>
      <w:shd w:val="clear" w:color="auto" w:fill="E1DFDD"/>
    </w:rPr>
  </w:style>
  <w:style w:type="paragraph" w:customStyle="1" w:styleId="703">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4">
    <w:name w:val="未处理的提及2"/>
    <w:basedOn w:val="63"/>
    <w:autoRedefine/>
    <w:semiHidden/>
    <w:unhideWhenUsed/>
    <w:qFormat/>
    <w:uiPriority w:val="99"/>
    <w:rPr>
      <w:color w:val="605E5C"/>
      <w:shd w:val="clear" w:color="auto" w:fill="E1DFDD"/>
    </w:rPr>
  </w:style>
  <w:style w:type="paragraph" w:customStyle="1" w:styleId="705">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06">
    <w:name w:val="Normal_2"/>
    <w:autoRedefine/>
    <w:qFormat/>
    <w:uiPriority w:val="0"/>
    <w:rPr>
      <w:rFonts w:ascii="Calibri" w:hAnsi="Calibri" w:eastAsia="宋体" w:cs="Times New Roman"/>
      <w:sz w:val="24"/>
      <w:szCs w:val="24"/>
      <w:lang w:val="en-US" w:eastAsia="zh-CN" w:bidi="ar-SA"/>
    </w:rPr>
  </w:style>
  <w:style w:type="character" w:customStyle="1" w:styleId="707">
    <w:name w:val="7）页眉页脚"/>
    <w:autoRedefine/>
    <w:qFormat/>
    <w:uiPriority w:val="0"/>
    <w:rPr>
      <w:rFonts w:ascii="仿宋_GB2312" w:eastAsia="仿宋_GB2312"/>
      <w:b/>
      <w:i/>
      <w:sz w:val="18"/>
      <w:vertAlign w:val="baseline"/>
    </w:rPr>
  </w:style>
  <w:style w:type="character" w:customStyle="1" w:styleId="708">
    <w:name w:val="Default Text Char"/>
    <w:link w:val="653"/>
    <w:autoRedefine/>
    <w:qFormat/>
    <w:uiPriority w:val="0"/>
    <w:rPr>
      <w:rFonts w:ascii="Times New Roman" w:hAnsi="Times New Roman"/>
      <w:color w:val="000000"/>
      <w:sz w:val="24"/>
      <w:szCs w:val="24"/>
    </w:rPr>
  </w:style>
  <w:style w:type="paragraph" w:customStyle="1" w:styleId="709">
    <w:name w:val="5）标书正文 首行缩进2字符"/>
    <w:basedOn w:val="1"/>
    <w:autoRedefine/>
    <w:qFormat/>
    <w:uiPriority w:val="0"/>
    <w:pPr>
      <w:spacing w:line="480" w:lineRule="exact"/>
      <w:ind w:firstLine="200" w:firstLineChars="200"/>
    </w:pPr>
    <w:rPr>
      <w:rFonts w:ascii="仿宋_GB2312" w:eastAsia="仿宋_GB2312"/>
      <w:sz w:val="28"/>
      <w:szCs w:val="20"/>
    </w:rPr>
  </w:style>
  <w:style w:type="paragraph" w:customStyle="1" w:styleId="710">
    <w:name w:val="Normal_5"/>
    <w:autoRedefine/>
    <w:qFormat/>
    <w:uiPriority w:val="0"/>
    <w:rPr>
      <w:rFonts w:ascii="黑体" w:hAnsi="黑体" w:eastAsia="黑体" w:cs="Times New Roman"/>
      <w:b/>
      <w:sz w:val="32"/>
      <w:szCs w:val="24"/>
      <w:lang w:val="en-US" w:eastAsia="zh-CN" w:bidi="ar-SA"/>
    </w:rPr>
  </w:style>
  <w:style w:type="paragraph" w:customStyle="1" w:styleId="71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文本缩进_3"/>
    <w:basedOn w:val="711"/>
    <w:link w:val="713"/>
    <w:autoRedefine/>
    <w:qFormat/>
    <w:uiPriority w:val="0"/>
    <w:pPr>
      <w:spacing w:line="500" w:lineRule="exact"/>
      <w:ind w:left="1588" w:leftChars="832" w:firstLine="433" w:firstLineChars="196"/>
    </w:pPr>
    <w:rPr>
      <w:rFonts w:ascii="Calibri" w:hAnsi="Calibri"/>
      <w:sz w:val="24"/>
    </w:rPr>
  </w:style>
  <w:style w:type="character" w:customStyle="1" w:styleId="713">
    <w:name w:val="正文文本缩进 Char_3"/>
    <w:link w:val="712"/>
    <w:autoRedefine/>
    <w:qFormat/>
    <w:uiPriority w:val="0"/>
    <w:rPr>
      <w:kern w:val="2"/>
      <w:sz w:val="24"/>
      <w:szCs w:val="24"/>
      <w:lang w:val="en-US" w:eastAsia="zh-CN"/>
    </w:rPr>
  </w:style>
  <w:style w:type="character" w:customStyle="1" w:styleId="714">
    <w:name w:val="12_hui11"/>
    <w:autoRedefine/>
    <w:qFormat/>
    <w:uiPriority w:val="0"/>
    <w:rPr>
      <w:color w:val="666666"/>
      <w:sz w:val="18"/>
      <w:szCs w:val="18"/>
    </w:rPr>
  </w:style>
  <w:style w:type="character" w:customStyle="1" w:styleId="715">
    <w:name w:val="dy_biao_content1"/>
    <w:autoRedefine/>
    <w:qFormat/>
    <w:uiPriority w:val="0"/>
    <w:rPr>
      <w:rFonts w:hint="eastAsia" w:ascii="宋体" w:hAnsi="宋体" w:eastAsia="宋体"/>
      <w:sz w:val="24"/>
      <w:szCs w:val="24"/>
    </w:rPr>
  </w:style>
  <w:style w:type="paragraph" w:customStyle="1" w:styleId="716">
    <w:name w:val="正文_1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Char3"/>
    <w:basedOn w:val="1"/>
    <w:autoRedefine/>
    <w:qFormat/>
    <w:uiPriority w:val="0"/>
    <w:rPr>
      <w:rFonts w:ascii="Tahoma" w:hAnsi="Tahoma"/>
      <w:sz w:val="24"/>
      <w:szCs w:val="20"/>
    </w:rPr>
  </w:style>
  <w:style w:type="character" w:customStyle="1" w:styleId="718">
    <w:name w:val="脚注文本 Char"/>
    <w:basedOn w:val="63"/>
    <w:autoRedefine/>
    <w:qFormat/>
    <w:uiPriority w:val="0"/>
    <w:rPr>
      <w:lang w:val="de-DE"/>
    </w:rPr>
  </w:style>
  <w:style w:type="character" w:customStyle="1" w:styleId="719">
    <w:name w:val="脚注文本 Char1"/>
    <w:basedOn w:val="63"/>
    <w:link w:val="48"/>
    <w:autoRedefine/>
    <w:qFormat/>
    <w:uiPriority w:val="0"/>
    <w:rPr>
      <w:kern w:val="2"/>
      <w:sz w:val="18"/>
      <w:szCs w:val="18"/>
    </w:rPr>
  </w:style>
  <w:style w:type="paragraph" w:customStyle="1" w:styleId="720">
    <w:name w:val="Char4"/>
    <w:basedOn w:val="1"/>
    <w:autoRedefine/>
    <w:qFormat/>
    <w:uiPriority w:val="0"/>
    <w:rPr>
      <w:rFonts w:ascii="Tahoma" w:hAnsi="Tahoma"/>
      <w:sz w:val="24"/>
      <w:szCs w:val="20"/>
    </w:rPr>
  </w:style>
  <w:style w:type="paragraph" w:customStyle="1" w:styleId="721">
    <w:name w:val="Char1 Char"/>
    <w:basedOn w:val="1"/>
    <w:autoRedefine/>
    <w:qFormat/>
    <w:uiPriority w:val="0"/>
    <w:pPr>
      <w:tabs>
        <w:tab w:val="left" w:pos="360"/>
      </w:tabs>
    </w:pPr>
    <w:rPr>
      <w:kern w:val="0"/>
      <w:sz w:val="20"/>
      <w:szCs w:val="20"/>
    </w:rPr>
  </w:style>
  <w:style w:type="character" w:customStyle="1" w:styleId="722">
    <w:name w:val="列出段落 Char"/>
    <w:link w:val="609"/>
    <w:autoRedefine/>
    <w:qFormat/>
    <w:uiPriority w:val="34"/>
    <w:rPr>
      <w:rFonts w:ascii="宋体" w:hAnsi="宋体" w:cs="宋体"/>
      <w:bCs/>
      <w:color w:val="000000"/>
      <w:sz w:val="24"/>
      <w:szCs w:val="24"/>
      <w:u w:val="single"/>
    </w:rPr>
  </w:style>
  <w:style w:type="paragraph" w:customStyle="1" w:styleId="723">
    <w:name w:val="段落正文"/>
    <w:basedOn w:val="1"/>
    <w:link w:val="724"/>
    <w:autoRedefine/>
    <w:qFormat/>
    <w:uiPriority w:val="0"/>
    <w:pPr>
      <w:spacing w:before="140" w:after="140" w:line="401" w:lineRule="auto"/>
      <w:ind w:firstLine="200" w:firstLineChars="200"/>
    </w:pPr>
    <w:rPr>
      <w:rFonts w:ascii="宋体" w:hAnsi="宋体"/>
    </w:rPr>
  </w:style>
  <w:style w:type="character" w:customStyle="1" w:styleId="724">
    <w:name w:val="段落正文 Char"/>
    <w:link w:val="723"/>
    <w:autoRedefine/>
    <w:qFormat/>
    <w:uiPriority w:val="0"/>
    <w:rPr>
      <w:rFonts w:ascii="宋体" w:hAnsi="宋体"/>
      <w:kern w:val="2"/>
      <w:sz w:val="21"/>
      <w:szCs w:val="24"/>
    </w:rPr>
  </w:style>
  <w:style w:type="paragraph" w:customStyle="1" w:styleId="725">
    <w:name w:val="TOC 标题3"/>
    <w:basedOn w:val="3"/>
    <w:next w:val="1"/>
    <w:autoRedefine/>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66091" w:themeColor="accent1" w:themeShade="BF"/>
      <w:kern w:val="0"/>
      <w:szCs w:val="32"/>
    </w:rPr>
  </w:style>
  <w:style w:type="character" w:customStyle="1" w:styleId="726">
    <w:name w:val="本级2 Char"/>
    <w:link w:val="727"/>
    <w:autoRedefine/>
    <w:qFormat/>
    <w:uiPriority w:val="0"/>
    <w:rPr>
      <w:rFonts w:ascii="仿宋_GB2312" w:hAnsi="仿宋" w:eastAsia="仿宋_GB2312"/>
      <w:b/>
      <w:bCs/>
      <w:sz w:val="32"/>
      <w:szCs w:val="24"/>
    </w:rPr>
  </w:style>
  <w:style w:type="paragraph" w:customStyle="1" w:styleId="727">
    <w:name w:val="本级2"/>
    <w:basedOn w:val="4"/>
    <w:link w:val="726"/>
    <w:autoRedefine/>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8">
    <w:name w:val="标题 3 Char Char"/>
    <w:autoRedefine/>
    <w:qFormat/>
    <w:uiPriority w:val="0"/>
    <w:rPr>
      <w:rFonts w:eastAsia="宋体"/>
      <w:b/>
      <w:bCs/>
      <w:kern w:val="2"/>
      <w:sz w:val="32"/>
      <w:szCs w:val="32"/>
      <w:lang w:val="en-US" w:eastAsia="zh-CN" w:bidi="ar-SA"/>
    </w:rPr>
  </w:style>
  <w:style w:type="paragraph" w:customStyle="1" w:styleId="729">
    <w:name w:val="正文文本缩进2"/>
    <w:basedOn w:val="1"/>
    <w:autoRedefine/>
    <w:qFormat/>
    <w:uiPriority w:val="0"/>
    <w:pPr>
      <w:spacing w:after="120" w:line="480" w:lineRule="exact"/>
      <w:ind w:left="420" w:leftChars="200" w:firstLine="480" w:firstLineChars="200"/>
    </w:pPr>
    <w:rPr>
      <w:rFonts w:ascii="宋体" w:hAnsi="宋体"/>
    </w:rPr>
  </w:style>
  <w:style w:type="paragraph" w:customStyle="1" w:styleId="730">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31">
    <w:name w:val="Table Paragraph"/>
    <w:basedOn w:val="1"/>
    <w:autoRedefine/>
    <w:qFormat/>
    <w:uiPriority w:val="1"/>
    <w:rPr>
      <w:rFonts w:ascii="宋体" w:hAnsi="宋体" w:cs="宋体"/>
      <w:szCs w:val="22"/>
      <w:lang w:val="zh-CN" w:bidi="zh-CN"/>
    </w:rPr>
  </w:style>
  <w:style w:type="paragraph" w:customStyle="1" w:styleId="732">
    <w:name w:val="列表段落1"/>
    <w:basedOn w:val="1"/>
    <w:autoRedefine/>
    <w:qFormat/>
    <w:uiPriority w:val="99"/>
    <w:pPr>
      <w:ind w:firstLine="420" w:firstLineChars="200"/>
    </w:pPr>
    <w:rPr>
      <w:rFonts w:ascii="Calibri" w:hAnsi="Calibri"/>
    </w:rPr>
  </w:style>
  <w:style w:type="paragraph" w:customStyle="1" w:styleId="733">
    <w:name w:val="宋小四正文"/>
    <w:basedOn w:val="1"/>
    <w:autoRedefine/>
    <w:qFormat/>
    <w:uiPriority w:val="0"/>
    <w:pPr>
      <w:spacing w:line="360" w:lineRule="auto"/>
      <w:ind w:firstLine="1446" w:firstLineChars="200"/>
    </w:pPr>
    <w:rPr>
      <w:rFonts w:ascii="Calibri" w:hAnsi="Calibri"/>
      <w:snapToGrid w:val="0"/>
      <w:szCs w:val="22"/>
      <w:lang w:eastAsia="en-US"/>
    </w:rPr>
  </w:style>
  <w:style w:type="paragraph" w:customStyle="1" w:styleId="734">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正文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6">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二级标题_0"/>
    <w:basedOn w:val="1"/>
    <w:next w:val="1"/>
    <w:autoRedefine/>
    <w:qFormat/>
    <w:uiPriority w:val="0"/>
    <w:pPr>
      <w:tabs>
        <w:tab w:val="left" w:pos="360"/>
      </w:tabs>
      <w:spacing w:line="360" w:lineRule="auto"/>
      <w:outlineLvl w:val="1"/>
    </w:pPr>
    <w:rPr>
      <w:rFonts w:ascii="宋体" w:hAnsi="宋体"/>
      <w:b/>
      <w:sz w:val="24"/>
    </w:rPr>
  </w:style>
  <w:style w:type="paragraph" w:customStyle="1" w:styleId="739">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1">
    <w:name w:val="Normal_30"/>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742">
    <w:name w:val="_正文"/>
    <w:basedOn w:val="1"/>
    <w:autoRedefine/>
    <w:qFormat/>
    <w:uiPriority w:val="99"/>
    <w:pPr>
      <w:adjustRightInd w:val="0"/>
      <w:snapToGrid w:val="0"/>
      <w:spacing w:line="360" w:lineRule="auto"/>
      <w:ind w:firstLine="200" w:firstLineChars="200"/>
    </w:pPr>
    <w:rPr>
      <w:rFonts w:ascii="Calibri" w:hAnsi="Calibri"/>
      <w:color w:val="000000"/>
      <w:szCs w:val="20"/>
    </w:rPr>
  </w:style>
  <w:style w:type="paragraph" w:customStyle="1" w:styleId="74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4">
    <w:name w:val="Normal_16"/>
    <w:autoRedefine/>
    <w:qFormat/>
    <w:uiPriority w:val="0"/>
    <w:rPr>
      <w:rFonts w:ascii="黑体" w:hAnsi="黑体" w:eastAsia="黑体" w:cs="Times New Roman"/>
      <w:b/>
      <w:sz w:val="32"/>
      <w:szCs w:val="24"/>
      <w:lang w:val="en-US" w:eastAsia="zh-CN" w:bidi="ar-SA"/>
    </w:rPr>
  </w:style>
  <w:style w:type="character" w:customStyle="1" w:styleId="745">
    <w:name w:val="标书正文 Char2"/>
    <w:link w:val="683"/>
    <w:autoRedefine/>
    <w:qFormat/>
    <w:uiPriority w:val="0"/>
    <w:rPr>
      <w:kern w:val="2"/>
      <w:sz w:val="24"/>
    </w:rPr>
  </w:style>
  <w:style w:type="paragraph" w:customStyle="1" w:styleId="746">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Normal_3"/>
    <w:autoRedefine/>
    <w:qFormat/>
    <w:uiPriority w:val="0"/>
    <w:rPr>
      <w:rFonts w:ascii="黑体" w:hAnsi="黑体" w:eastAsia="黑体" w:cs="Times New Roman"/>
      <w:b/>
      <w:sz w:val="32"/>
      <w:szCs w:val="24"/>
      <w:lang w:val="en-US" w:eastAsia="zh-CN" w:bidi="ar-SA"/>
    </w:rPr>
  </w:style>
  <w:style w:type="paragraph" w:customStyle="1" w:styleId="748">
    <w:name w:val="正文_2"/>
    <w:basedOn w:val="655"/>
    <w:next w:val="1"/>
    <w:autoRedefine/>
    <w:qFormat/>
    <w:uiPriority w:val="0"/>
    <w:rPr>
      <w:szCs w:val="24"/>
    </w:rPr>
  </w:style>
  <w:style w:type="character" w:customStyle="1" w:styleId="749">
    <w:name w:val="fontstyle01"/>
    <w:basedOn w:val="63"/>
    <w:autoRedefine/>
    <w:qFormat/>
    <w:uiPriority w:val="0"/>
    <w:rPr>
      <w:rFonts w:hint="default" w:ascii="MicrosoftYaHei" w:hAnsi="MicrosoftYaHei"/>
      <w:color w:val="000000"/>
      <w:sz w:val="20"/>
      <w:szCs w:val="20"/>
    </w:rPr>
  </w:style>
  <w:style w:type="paragraph" w:customStyle="1" w:styleId="750">
    <w:name w:val="正文3"/>
    <w:autoRedefine/>
    <w:qFormat/>
    <w:uiPriority w:val="0"/>
    <w:pPr>
      <w:widowControl w:val="0"/>
      <w:jc w:val="both"/>
    </w:pPr>
    <w:rPr>
      <w:rFonts w:ascii="Calibri" w:hAnsi="Calibri" w:eastAsia="Times New Roman" w:cs="Times New Roman"/>
      <w:lang w:val="en-US" w:eastAsia="zh-CN" w:bidi="ar-SA"/>
    </w:rPr>
  </w:style>
  <w:style w:type="paragraph" w:customStyle="1" w:styleId="751">
    <w:name w:val="正文_0_1"/>
    <w:next w:val="3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2">
    <w:name w:val="Body Text_0"/>
    <w:basedOn w:val="1"/>
    <w:autoRedefine/>
    <w:qFormat/>
    <w:uiPriority w:val="0"/>
    <w:pPr>
      <w:spacing w:after="120"/>
    </w:pPr>
    <w:rPr>
      <w:rFonts w:ascii="Calibri" w:hAnsi="Calibri"/>
      <w:szCs w:val="22"/>
    </w:rPr>
  </w:style>
  <w:style w:type="character" w:customStyle="1" w:styleId="753">
    <w:name w:val="fontstyle21"/>
    <w:basedOn w:val="63"/>
    <w:autoRedefine/>
    <w:qFormat/>
    <w:uiPriority w:val="0"/>
    <w:rPr>
      <w:rFonts w:hint="default" w:ascii="TimesNewRomanPSMT" w:hAnsi="TimesNewRomanPSMT"/>
      <w:color w:val="000000"/>
      <w:sz w:val="22"/>
      <w:szCs w:val="22"/>
    </w:rPr>
  </w:style>
  <w:style w:type="character" w:customStyle="1" w:styleId="754">
    <w:name w:val="标书正文 Char Char"/>
    <w:autoRedefine/>
    <w:qFormat/>
    <w:uiPriority w:val="0"/>
    <w:rPr>
      <w:rFonts w:ascii="仿宋_GB2312" w:eastAsia="仿宋_GB2312"/>
      <w:b/>
      <w:kern w:val="2"/>
      <w:sz w:val="36"/>
      <w:lang w:val="en-US" w:eastAsia="zh-CN" w:bidi="ar-SA"/>
    </w:rPr>
  </w:style>
  <w:style w:type="paragraph" w:customStyle="1" w:styleId="755">
    <w:name w:val="UserStyle_69"/>
    <w:autoRedefine/>
    <w:qFormat/>
    <w:uiPriority w:val="0"/>
    <w:pPr>
      <w:textAlignment w:val="baseline"/>
    </w:pPr>
    <w:rPr>
      <w:rFonts w:ascii="Times New Roman" w:hAnsi="Times New Roman" w:eastAsia="Times New Roman" w:cs="Times New Roman"/>
      <w:sz w:val="24"/>
      <w:szCs w:val="24"/>
      <w:lang w:val="en-US" w:eastAsia="zh-CN" w:bidi="ar-SA"/>
    </w:rPr>
  </w:style>
  <w:style w:type="paragraph" w:customStyle="1" w:styleId="756">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757">
    <w:name w:val="?y??"/>
    <w:autoRedefine/>
    <w:qFormat/>
    <w:uiPriority w:val="3"/>
    <w:pPr>
      <w:widowControl w:val="0"/>
      <w:spacing w:line="357" w:lineRule="atLeast"/>
      <w:jc w:val="both"/>
    </w:pPr>
    <w:rPr>
      <w:rFonts w:ascii="Times New Roman" w:hAnsi="Times New Roman" w:eastAsia="宋体" w:cs="Times New Roman"/>
      <w:color w:val="000000"/>
      <w:sz w:val="21"/>
      <w:lang w:val="en-US" w:eastAsia="zh-CN" w:bidi="ar-SA"/>
    </w:rPr>
  </w:style>
  <w:style w:type="paragraph" w:customStyle="1" w:styleId="758">
    <w:name w:val="Normal_20"/>
    <w:autoRedefine/>
    <w:qFormat/>
    <w:uiPriority w:val="0"/>
    <w:rPr>
      <w:rFonts w:ascii="黑体" w:hAnsi="黑体" w:eastAsia="黑体" w:cs="Times New Roman"/>
      <w:b/>
      <w:sz w:val="32"/>
      <w:szCs w:val="24"/>
      <w:lang w:val="en-US" w:eastAsia="zh-CN" w:bidi="ar-SA"/>
    </w:rPr>
  </w:style>
  <w:style w:type="paragraph" w:customStyle="1" w:styleId="759">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760">
    <w:name w:val="正文_1_0"/>
    <w:basedOn w:val="761"/>
    <w:next w:val="767"/>
    <w:autoRedefine/>
    <w:qFormat/>
    <w:uiPriority w:val="0"/>
    <w:rPr>
      <w:szCs w:val="24"/>
    </w:rPr>
  </w:style>
  <w:style w:type="paragraph" w:customStyle="1" w:styleId="761">
    <w:name w:val="正文_2_0_0"/>
    <w:basedOn w:val="762"/>
    <w:next w:val="763"/>
    <w:autoRedefine/>
    <w:qFormat/>
    <w:uiPriority w:val="0"/>
    <w:rPr>
      <w:rFonts w:ascii="Calibri" w:hAnsi="Calibri"/>
      <w:szCs w:val="22"/>
    </w:rPr>
  </w:style>
  <w:style w:type="paragraph" w:customStyle="1" w:styleId="762">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3">
    <w:name w:val="正文文本_0_1"/>
    <w:basedOn w:val="764"/>
    <w:autoRedefine/>
    <w:qFormat/>
    <w:uiPriority w:val="0"/>
    <w:pPr>
      <w:spacing w:after="120"/>
    </w:pPr>
    <w:rPr>
      <w:rFonts w:ascii="Calibri" w:hAnsi="Calibri"/>
      <w:kern w:val="0"/>
      <w:sz w:val="20"/>
    </w:rPr>
  </w:style>
  <w:style w:type="paragraph" w:customStyle="1" w:styleId="764">
    <w:name w:val="正文_2_2"/>
    <w:next w:val="76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首行缩进 2_0"/>
    <w:basedOn w:val="766"/>
    <w:autoRedefine/>
    <w:qFormat/>
    <w:uiPriority w:val="0"/>
    <w:pPr>
      <w:ind w:firstLine="420" w:firstLineChars="200"/>
    </w:pPr>
  </w:style>
  <w:style w:type="paragraph" w:customStyle="1" w:styleId="766">
    <w:name w:val="正文文本缩进_0_1"/>
    <w:basedOn w:val="762"/>
    <w:autoRedefine/>
    <w:qFormat/>
    <w:uiPriority w:val="0"/>
    <w:pPr>
      <w:spacing w:line="500" w:lineRule="exact"/>
      <w:ind w:left="1588" w:leftChars="832" w:firstLine="433" w:firstLineChars="196"/>
    </w:pPr>
    <w:rPr>
      <w:rFonts w:ascii="Calibri" w:hAnsi="Calibri"/>
      <w:sz w:val="24"/>
    </w:rPr>
  </w:style>
  <w:style w:type="paragraph" w:customStyle="1" w:styleId="767">
    <w:name w:val="正文首行缩进1"/>
    <w:basedOn w:val="768"/>
    <w:autoRedefine/>
    <w:unhideWhenUsed/>
    <w:qFormat/>
    <w:uiPriority w:val="99"/>
    <w:pPr>
      <w:ind w:firstLine="201" w:firstLineChars="100"/>
      <w:jc w:val="left"/>
    </w:pPr>
    <w:rPr>
      <w:rFonts w:ascii="仿宋" w:hAnsi="仿宋" w:eastAsia="仿宋"/>
      <w:b/>
      <w:color w:val="0000FF"/>
      <w:szCs w:val="22"/>
    </w:rPr>
  </w:style>
  <w:style w:type="paragraph" w:customStyle="1" w:styleId="768">
    <w:name w:val="正文文本_0_0"/>
    <w:basedOn w:val="769"/>
    <w:autoRedefine/>
    <w:qFormat/>
    <w:uiPriority w:val="0"/>
    <w:pPr>
      <w:spacing w:after="120"/>
    </w:pPr>
    <w:rPr>
      <w:rFonts w:ascii="Calibri" w:hAnsi="Calibri"/>
      <w:kern w:val="0"/>
      <w:sz w:val="20"/>
    </w:rPr>
  </w:style>
  <w:style w:type="paragraph" w:customStyle="1" w:styleId="769">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1">
    <w:name w:val="标题 3_0_0"/>
    <w:basedOn w:val="743"/>
    <w:next w:val="743"/>
    <w:autoRedefine/>
    <w:qFormat/>
    <w:uiPriority w:val="0"/>
    <w:pPr>
      <w:autoSpaceDE w:val="0"/>
      <w:autoSpaceDN w:val="0"/>
      <w:adjustRightInd w:val="0"/>
      <w:jc w:val="center"/>
      <w:outlineLvl w:val="2"/>
    </w:pPr>
    <w:rPr>
      <w:rFonts w:ascii="宋体" w:hAnsi="宋体"/>
      <w:b/>
      <w:szCs w:val="28"/>
    </w:rPr>
  </w:style>
  <w:style w:type="paragraph" w:customStyle="1" w:styleId="772">
    <w:name w:val="正文_0_0_1"/>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7" textRotate="1"/>
    <customShpInfo spid="_x0000_s2057" textRotate="1"/>
    <customShpInfo spid="_x0000_s2054" textRotate="1"/>
    <customShpInfo spid="_x0000_s2053" textRotate="1"/>
    <customShpInfo spid="_x0000_s2060" textRotate="1"/>
    <customShpInfo spid="_x0000_s2061" textRotate="1"/>
    <customShpInfo spid="_x0000_s2062" textRotate="1"/>
    <customShpInfo spid="_x0000_s2063" textRotate="1"/>
    <customShpInfo spid="_x0000_s2068" textRotate="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86BB2-7786-4B31-BF94-F7C28716BD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29781</Words>
  <Characters>31158</Characters>
  <Lines>239</Lines>
  <Paragraphs>67</Paragraphs>
  <TotalTime>11</TotalTime>
  <ScaleCrop>false</ScaleCrop>
  <LinksUpToDate>false</LinksUpToDate>
  <CharactersWithSpaces>32532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2023-11-22T10:23:00Z</dcterms:created>
  <dc:creator>China</dc:creator>
  <cp:lastModifiedBy>董蕊</cp:lastModifiedBy>
  <cp:lastPrinted>2023-05-04T04:22:00Z</cp:lastPrinted>
  <dcterms:modified xsi:type="dcterms:W3CDTF">2026-04-30T08:46:49Z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C989E37BD65D41EBB7C2351DEB287E5C</vt:lpwstr>
  </property>
  <property fmtid="{D5CDD505-2E9C-101B-9397-08002B2CF9AE}" pid="4" name="KSOTemplateDocerSaveRecord">
    <vt:lpwstr>eyJoZGlkIjoiMDI1ZTQwYTJiN2E3ZGM3OGUwY2ZkOGY0ZDA3NzFjM2MiLCJ1c2VySWQiOiI5MzYwMTg3NTYifQ==</vt:lpwstr>
  </property>
</Properties>
</file>