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hint="eastAsia" w:ascii="黑体" w:hAnsi="黑体" w:eastAsia="黑体"/>
          <w:color w:val="auto"/>
          <w:sz w:val="32"/>
          <w:szCs w:val="32"/>
          <w:highlight w:val="none"/>
          <w:lang w:eastAsia="zh-CN"/>
        </w:rPr>
      </w:pPr>
    </w:p>
    <w:p w14:paraId="7E039B8B">
      <w:pPr>
        <w:jc w:val="center"/>
        <w:rPr>
          <w:rFonts w:hint="eastAsia" w:ascii="黑体" w:hAnsi="黑体" w:eastAsia="黑体"/>
          <w:color w:val="auto"/>
          <w:spacing w:val="5760"/>
          <w:w w:val="100"/>
          <w:kern w:val="0"/>
          <w:sz w:val="36"/>
          <w:szCs w:val="36"/>
          <w:highlight w:val="none"/>
          <w:fitText w:val="6120" w:id="-1002138880"/>
          <w:lang w:val="en-US" w:eastAsia="zh-CN"/>
        </w:rPr>
      </w:pPr>
    </w:p>
    <w:p w14:paraId="09F4BBF5">
      <w:pPr>
        <w:pageBreakBefore w:val="0"/>
        <w:kinsoku/>
        <w:wordWrap/>
        <w:overflowPunct/>
        <w:topLinePunct w:val="0"/>
        <w:bidi w:val="0"/>
        <w:spacing w:line="360" w:lineRule="auto"/>
        <w:rPr>
          <w:rFonts w:hint="eastAsia" w:ascii="宋体" w:hAnsi="宋体" w:eastAsia="宋体" w:cs="宋体"/>
          <w:color w:val="auto"/>
          <w:highlight w:val="none"/>
        </w:rPr>
      </w:pPr>
      <w:bookmarkStart w:id="0" w:name="_Hlk83600134"/>
      <w:bookmarkEnd w:id="0"/>
    </w:p>
    <w:p w14:paraId="36965ED0">
      <w:pPr>
        <w:pageBreakBefore w:val="0"/>
        <w:kinsoku/>
        <w:wordWrap/>
        <w:overflowPunct/>
        <w:topLinePunct w:val="0"/>
        <w:bidi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color w:val="auto"/>
          <w:highlight w:val="none"/>
        </w:rPr>
        <w:drawing>
          <wp:anchor distT="0" distB="0" distL="114300" distR="114300" simplePos="0" relativeHeight="251660288" behindDoc="0" locked="0" layoutInCell="1" allowOverlap="1">
            <wp:simplePos x="0" y="0"/>
            <wp:positionH relativeFrom="column">
              <wp:posOffset>2189480</wp:posOffset>
            </wp:positionH>
            <wp:positionV relativeFrom="paragraph">
              <wp:posOffset>359410</wp:posOffset>
            </wp:positionV>
            <wp:extent cx="1350010" cy="1701165"/>
            <wp:effectExtent l="0" t="0" r="10160" b="444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350010" cy="1701165"/>
                    </a:xfrm>
                    <a:prstGeom prst="rect">
                      <a:avLst/>
                    </a:prstGeom>
                    <a:noFill/>
                    <a:ln w="12700">
                      <a:noFill/>
                    </a:ln>
                  </pic:spPr>
                </pic:pic>
              </a:graphicData>
            </a:graphic>
          </wp:anchor>
        </w:drawing>
      </w:r>
    </w:p>
    <w:p w14:paraId="77C1F09E">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7BFB1F5F">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2CD6A483">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p>
    <w:p w14:paraId="66AAED57">
      <w:pPr>
        <w:pageBreakBefore w:val="0"/>
        <w:tabs>
          <w:tab w:val="left" w:pos="180"/>
        </w:tabs>
        <w:kinsoku/>
        <w:wordWrap/>
        <w:overflowPunct/>
        <w:topLinePunct w:val="0"/>
        <w:bidi w:val="0"/>
        <w:spacing w:line="360" w:lineRule="auto"/>
        <w:ind w:right="-1"/>
        <w:jc w:val="center"/>
        <w:rPr>
          <w:rFonts w:hint="eastAsia" w:ascii="宋体" w:hAnsi="宋体" w:eastAsia="宋体" w:cs="宋体"/>
          <w:b/>
          <w:color w:val="auto"/>
          <w:sz w:val="72"/>
          <w:highlight w:val="none"/>
        </w:rPr>
      </w:pPr>
      <w:r>
        <w:rPr>
          <w:rFonts w:hint="eastAsia" w:cs="宋体"/>
          <w:b/>
          <w:color w:val="auto"/>
          <w:sz w:val="72"/>
          <w:highlight w:val="none"/>
          <w:lang w:val="en-US" w:eastAsia="zh-CN"/>
        </w:rPr>
        <w:t xml:space="preserve">  </w:t>
      </w:r>
      <w:r>
        <w:rPr>
          <w:rFonts w:hint="eastAsia" w:ascii="宋体" w:hAnsi="宋体" w:eastAsia="宋体" w:cs="宋体"/>
          <w:b/>
          <w:color w:val="auto"/>
          <w:sz w:val="72"/>
          <w:highlight w:val="none"/>
          <w:lang w:val="en-US" w:eastAsia="zh-CN"/>
        </w:rPr>
        <w:t>招 标 文 件</w:t>
      </w:r>
      <w:r>
        <w:rPr>
          <w:rFonts w:hint="eastAsia" w:ascii="宋体" w:hAnsi="宋体" w:eastAsia="宋体" w:cs="宋体"/>
          <w:b/>
          <w:color w:val="auto"/>
          <w:sz w:val="72"/>
          <w:highlight w:val="none"/>
        </w:rPr>
        <w:br w:type="textWrapping"/>
      </w:r>
    </w:p>
    <w:p w14:paraId="0FC817B9">
      <w:pPr>
        <w:pStyle w:val="10"/>
        <w:rPr>
          <w:rFonts w:hint="eastAsia"/>
          <w:color w:val="auto"/>
          <w:highlight w:val="none"/>
        </w:rPr>
      </w:pPr>
    </w:p>
    <w:p w14:paraId="669A44E3">
      <w:pPr>
        <w:rPr>
          <w:rFonts w:hint="eastAsia"/>
          <w:color w:val="auto"/>
          <w:highlight w:val="none"/>
        </w:rPr>
      </w:pPr>
    </w:p>
    <w:p w14:paraId="795120B3">
      <w:pPr>
        <w:widowControl w:val="0"/>
        <w:adjustRightInd w:val="0"/>
        <w:snapToGrid w:val="0"/>
        <w:spacing w:line="480" w:lineRule="auto"/>
        <w:ind w:left="2124" w:leftChars="104" w:right="-413" w:rightChars="-172" w:hanging="1874" w:hangingChars="778"/>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项目编号：</w:t>
      </w:r>
      <w:r>
        <w:rPr>
          <w:rFonts w:hint="eastAsia" w:cs="宋体"/>
          <w:b/>
          <w:bCs/>
          <w:color w:val="auto"/>
          <w:sz w:val="24"/>
          <w:highlight w:val="none"/>
          <w:lang w:val="en-US" w:eastAsia="zh-CN"/>
        </w:rPr>
        <w:t>TC269H092</w:t>
      </w:r>
    </w:p>
    <w:p w14:paraId="34CF95B5">
      <w:pPr>
        <w:widowControl w:val="0"/>
        <w:adjustRightInd w:val="0"/>
        <w:snapToGrid w:val="0"/>
        <w:spacing w:line="480" w:lineRule="auto"/>
        <w:ind w:left="1455" w:leftChars="104" w:right="-413" w:rightChars="-172" w:hanging="1205" w:hangingChars="5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 xml:space="preserve">项目名称: </w:t>
      </w:r>
      <w:r>
        <w:rPr>
          <w:rFonts w:hint="eastAsia" w:cs="宋体"/>
          <w:b/>
          <w:bCs/>
          <w:color w:val="auto"/>
          <w:sz w:val="24"/>
          <w:highlight w:val="none"/>
          <w:lang w:eastAsia="zh-CN"/>
        </w:rPr>
        <w:t>新疆某单位移动执法系统运维服务项目</w:t>
      </w:r>
    </w:p>
    <w:p w14:paraId="5C77FE04">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采 购 人（盖章）：</w:t>
      </w:r>
      <w:r>
        <w:rPr>
          <w:rFonts w:hint="eastAsia" w:cs="宋体"/>
          <w:b/>
          <w:bCs/>
          <w:color w:val="auto"/>
          <w:sz w:val="24"/>
          <w:highlight w:val="none"/>
          <w:lang w:eastAsia="zh-CN"/>
        </w:rPr>
        <w:t>新疆某单位</w:t>
      </w:r>
    </w:p>
    <w:p w14:paraId="7685D833">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8255" b="9525"/>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AtZWvz5AQAA5gMAAA4AAABkcnMvZTJvRG9jLnhtbK1TzY7TMBC+&#10;I/EOlu80adF22ajpHrYsFwSVgAeY2k5iyX/yuE37ErwAEjc4ceTO27A8BuOk24Xl0gM5OGPP+Jv5&#10;vhkvrvfWsJ2KqL2r+XRScqac8FK7tuYf3t8+e8EZJnASjHeq5geF/Hr59MmiD5Wa+c4bqSIjEIdV&#10;H2repRSqokDRKQs48UE5cjY+Wki0jW0hI/SEbk0xK8t50fsoQ/RCIdLpanTyI2I8B9A3jRZq5cXW&#10;KpdG1KgMJKKEnQ7Il0O1TaNEets0qBIzNSemaVgpCdmbvBbLBVRthNBpcSwBzinhEScL2lHSE9QK&#10;ErBt1P9AWS2iR9+kifC2GIkMihCLaflIm3cdBDVwIakxnETH/wcr3uzWkWlZ8yvOHFhq+N2n7z8/&#10;fvn14zOtd9++sqssUh+wotgbt47HHYZ1zIz3TbT5T1zYfhD2cBJW7RMTdHgxn80vn19wJu59xcPF&#10;EDG9Ut6ybNTcaJc5QwW715goGYXeh+Rj41hPczu7LKmHAmgCG+o8mTYQC3TtcBm90fJWG5OvYGw3&#10;NyayHeQpGL7MiYD/CstZVoDdGIcHXPk0DkinQL50kqVDIIEcvQuei7BKcmYUPaNsESJUCbQ5J5Jy&#10;G0clZF1HJbO18fJA7diGqNuOtJgOZWYPtX8o+Diqeb7+3A9ID8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wOvA0wAAAAgBAAAPAAAAAAAAAAEAIAAAACIAAABkcnMvZG93bnJldi54bWxQSwEC&#10;FAAUAAAACACHTuJAC1la/PkBAADmAwAADgAAAAAAAAABACAAAAAiAQAAZHJzL2Uyb0RvYy54bWxQ&#10;SwUGAAAAAAYABgBZAQAAjQUAAAAA&#10;">
                <v:fill on="f" focussize="0,0"/>
                <v:stroke weight="1pt" color="#000000" joinstyle="round" dashstyle="1 1"/>
                <v:imagedata o:title=""/>
                <o:lock v:ext="edit" aspectratio="f"/>
              </v:line>
            </w:pict>
          </mc:Fallback>
        </mc:AlternateContent>
      </w:r>
    </w:p>
    <w:p w14:paraId="44A2988D">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采购代理机构（盖章）：</w:t>
      </w:r>
      <w:r>
        <w:rPr>
          <w:rFonts w:hint="eastAsia" w:ascii="宋体" w:hAnsi="宋体" w:eastAsia="宋体" w:cs="宋体"/>
          <w:b/>
          <w:bCs/>
          <w:color w:val="auto"/>
          <w:sz w:val="24"/>
          <w:highlight w:val="none"/>
          <w:lang w:val="en-US" w:eastAsia="zh-CN"/>
        </w:rPr>
        <w:t>中招国际招标有限公司</w:t>
      </w:r>
    </w:p>
    <w:p w14:paraId="5A77C73E">
      <w:pPr>
        <w:widowControl w:val="0"/>
        <w:adjustRightInd w:val="0"/>
        <w:snapToGrid w:val="0"/>
        <w:spacing w:line="480" w:lineRule="auto"/>
        <w:ind w:left="2124" w:leftChars="104" w:right="-413" w:rightChars="-172" w:hanging="1874" w:hangingChars="778"/>
        <w:rPr>
          <w:rFonts w:hint="default" w:ascii="宋体" w:hAnsi="宋体" w:eastAsia="宋体" w:cs="宋体"/>
          <w:b/>
          <w:bCs/>
          <w:color w:val="auto"/>
          <w:sz w:val="24"/>
          <w:highlight w:val="none"/>
          <w:lang w:val="en-US"/>
        </w:rPr>
      </w:pPr>
      <w:r>
        <w:rPr>
          <w:rFonts w:hint="eastAsia" w:ascii="宋体" w:hAnsi="宋体" w:eastAsia="宋体" w:cs="宋体"/>
          <w:b/>
          <w:bCs/>
          <w:color w:val="auto"/>
          <w:sz w:val="24"/>
          <w:highlight w:val="none"/>
        </w:rPr>
        <w:t>项目联系人：</w:t>
      </w:r>
      <w:r>
        <w:rPr>
          <w:rFonts w:hint="eastAsia" w:cs="宋体"/>
          <w:b/>
          <w:bCs/>
          <w:color w:val="auto"/>
          <w:sz w:val="24"/>
          <w:highlight w:val="none"/>
          <w:lang w:val="en-US" w:eastAsia="zh-CN"/>
        </w:rPr>
        <w:t>师翠婷、程建军、杨芳、杨泽艺</w:t>
      </w:r>
    </w:p>
    <w:p w14:paraId="46A6F629">
      <w:pPr>
        <w:widowControl w:val="0"/>
        <w:adjustRightInd w:val="0"/>
        <w:snapToGrid w:val="0"/>
        <w:spacing w:line="480" w:lineRule="auto"/>
        <w:ind w:left="2124" w:leftChars="104" w:right="-413" w:rightChars="-172" w:hanging="1874" w:hangingChars="778"/>
        <w:rPr>
          <w:rFonts w:hint="default" w:cs="宋体"/>
          <w:b/>
          <w:bCs/>
          <w:color w:val="auto"/>
          <w:sz w:val="24"/>
          <w:highlight w:val="none"/>
          <w:lang w:val="en-US" w:eastAsia="zh-CN"/>
        </w:rPr>
      </w:pPr>
      <w:r>
        <w:rPr>
          <w:rFonts w:hint="eastAsia" w:ascii="宋体" w:hAnsi="宋体" w:eastAsia="宋体" w:cs="宋体"/>
          <w:b/>
          <w:bCs/>
          <w:color w:val="auto"/>
          <w:sz w:val="24"/>
          <w:highlight w:val="none"/>
          <w:lang w:val="en-US" w:eastAsia="zh-CN"/>
        </w:rPr>
        <w:t>联系方式：</w:t>
      </w:r>
      <w:r>
        <w:rPr>
          <w:rFonts w:hint="eastAsia" w:cs="宋体"/>
          <w:b/>
          <w:bCs/>
          <w:color w:val="auto"/>
          <w:sz w:val="24"/>
          <w:highlight w:val="none"/>
          <w:lang w:val="en-US" w:eastAsia="zh-CN"/>
        </w:rPr>
        <w:t>18690633633、13699387229</w:t>
      </w:r>
    </w:p>
    <w:p w14:paraId="4CF7A4EF">
      <w:pPr>
        <w:widowControl w:val="0"/>
        <w:adjustRightInd w:val="0"/>
        <w:snapToGrid w:val="0"/>
        <w:spacing w:line="480" w:lineRule="auto"/>
        <w:ind w:left="2124" w:leftChars="104" w:right="-413" w:rightChars="-172" w:hanging="1874" w:hangingChars="77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详细地址：乌鲁木齐市水磨沟区南湖北路486号南湖明珠大厦南区8楼</w:t>
      </w:r>
    </w:p>
    <w:p w14:paraId="0A835D3F">
      <w:pPr>
        <w:pStyle w:val="38"/>
        <w:rPr>
          <w:rFonts w:hint="eastAsia" w:ascii="黑体" w:hAnsi="黑体" w:eastAsia="黑体"/>
          <w:color w:val="auto"/>
          <w:sz w:val="72"/>
          <w:szCs w:val="72"/>
          <w:highlight w:val="none"/>
        </w:rPr>
        <w:sectPr>
          <w:headerReference r:id="rId5" w:type="default"/>
          <w:pgSz w:w="11906" w:h="16838"/>
          <w:pgMar w:top="1440" w:right="1800" w:bottom="1440" w:left="1800" w:header="851" w:footer="879"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14:paraId="7FD7999F">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bookmarkStart w:id="1" w:name="_Toc155185859"/>
      <w:bookmarkStart w:id="2" w:name="_Toc10815"/>
      <w:bookmarkStart w:id="3" w:name="_Hlk130458318"/>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TOC \o "1-2" \h \u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_Toc11922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第一章 </w:t>
      </w:r>
      <w:r>
        <w:rPr>
          <w:rFonts w:hint="eastAsia" w:ascii="宋体" w:hAnsi="宋体" w:eastAsia="宋体" w:cs="宋体"/>
          <w:color w:val="auto"/>
          <w:sz w:val="24"/>
          <w:szCs w:val="24"/>
          <w:highlight w:val="none"/>
          <w:lang w:val="en-US" w:eastAsia="zh-CN"/>
        </w:rPr>
        <w:t>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_Toc11922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1FDE347">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_Toc32500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_Toc32500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201687B1">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_Toc1168 </w:instrText>
      </w:r>
      <w:r>
        <w:rPr>
          <w:rFonts w:hint="eastAsia" w:ascii="宋体" w:hAnsi="宋体" w:eastAsia="宋体" w:cs="宋体"/>
          <w:caps w:val="0"/>
          <w:smallCaps w:val="0"/>
          <w:color w:val="auto"/>
          <w:spacing w:val="0"/>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一、投标人须知前附表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_Toc1168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E8B1BD8">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_Toc27559 </w:instrText>
      </w:r>
      <w:r>
        <w:rPr>
          <w:rFonts w:hint="eastAsia" w:ascii="宋体" w:hAnsi="宋体" w:eastAsia="宋体" w:cs="宋体"/>
          <w:caps w:val="0"/>
          <w:smallCaps w:val="0"/>
          <w:color w:val="auto"/>
          <w:spacing w:val="0"/>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二、投标人须知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_Toc27559 \h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4746736B">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_Toc32401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第三章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_Toc32401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27B3BC53">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_Toc7544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第四章 资格审查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_Toc7544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2452B597">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_Toc26947 </w:instrText>
      </w:r>
      <w:r>
        <w:rPr>
          <w:rFonts w:hint="eastAsia" w:ascii="宋体" w:hAnsi="宋体" w:eastAsia="宋体" w:cs="宋体"/>
          <w:caps w:val="0"/>
          <w:smallCaps w:val="0"/>
          <w:color w:val="auto"/>
          <w:spacing w:val="0"/>
          <w:sz w:val="24"/>
          <w:szCs w:val="24"/>
          <w:highlight w:val="none"/>
        </w:rPr>
        <w:fldChar w:fldCharType="separate"/>
      </w:r>
      <w:r>
        <w:rPr>
          <w:rFonts w:hint="eastAsia"/>
          <w:color w:val="auto"/>
          <w:sz w:val="24"/>
          <w:szCs w:val="24"/>
          <w:highlight w:val="none"/>
          <w:lang w:val="en-US" w:eastAsia="zh-CN"/>
        </w:rPr>
        <w:t>一、资格审查程序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_Toc26947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2A9AA85D">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_Toc15886 </w:instrText>
      </w:r>
      <w:r>
        <w:rPr>
          <w:rFonts w:hint="eastAsia" w:ascii="宋体" w:hAnsi="宋体" w:eastAsia="宋体" w:cs="宋体"/>
          <w:caps w:val="0"/>
          <w:smallCaps w:val="0"/>
          <w:color w:val="auto"/>
          <w:spacing w:val="0"/>
          <w:sz w:val="24"/>
          <w:szCs w:val="24"/>
          <w:highlight w:val="none"/>
        </w:rPr>
        <w:fldChar w:fldCharType="separate"/>
      </w:r>
      <w:r>
        <w:rPr>
          <w:rFonts w:hint="eastAsia"/>
          <w:color w:val="auto"/>
          <w:sz w:val="24"/>
          <w:szCs w:val="24"/>
          <w:highlight w:val="none"/>
          <w:lang w:val="en-US" w:eastAsia="zh-CN"/>
        </w:rPr>
        <w:t>二、资格审查要求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_Toc15886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2F4AC75B">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_Toc28158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第五章 评标方法及标准(综合评分法)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_Toc28158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790DA00">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_Toc17592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color w:val="auto"/>
          <w:sz w:val="24"/>
          <w:szCs w:val="24"/>
          <w:highlight w:val="none"/>
          <w:lang w:val="zh-CN" w:eastAsia="zh-CN"/>
        </w:rPr>
        <w:t>一、评标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lang w:val="zh-CN" w:eastAsia="zh-CN"/>
        </w:rPr>
        <w:t>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_Toc17592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1A72A385">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_Toc27095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zh-CN" w:eastAsia="zh-CN"/>
        </w:rPr>
        <w:t>、评标程序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_Toc27095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AE775DF">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_Toc5253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color w:val="auto"/>
          <w:sz w:val="24"/>
          <w:szCs w:val="24"/>
          <w:highlight w:val="none"/>
          <w:lang w:val="zh-CN" w:eastAsia="zh-CN"/>
        </w:rPr>
        <w:t>三、评标</w:t>
      </w:r>
      <w:r>
        <w:rPr>
          <w:rFonts w:hint="eastAsia" w:ascii="宋体" w:hAnsi="宋体" w:eastAsia="宋体" w:cs="宋体"/>
          <w:color w:val="auto"/>
          <w:sz w:val="24"/>
          <w:szCs w:val="24"/>
          <w:highlight w:val="none"/>
          <w:lang w:val="en-US" w:eastAsia="zh-CN"/>
        </w:rPr>
        <w:t>其他要求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_Toc5253 \h </w:instrText>
      </w:r>
      <w:r>
        <w:rPr>
          <w:color w:val="auto"/>
          <w:sz w:val="24"/>
          <w:szCs w:val="24"/>
          <w:highlight w:val="none"/>
        </w:rPr>
        <w:fldChar w:fldCharType="separate"/>
      </w:r>
      <w:r>
        <w:rPr>
          <w:color w:val="auto"/>
          <w:sz w:val="24"/>
          <w:szCs w:val="24"/>
          <w:highlight w:val="none"/>
        </w:rPr>
        <w:t>61</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7DB5213B">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_Toc17549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eastAsia="zh-CN"/>
        </w:rPr>
        <w:t>、评标标准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_Toc17549 \h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06CF536">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_Toc1640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zh-CN" w:eastAsia="zh-CN" w:bidi="ar-SA"/>
        </w:rPr>
        <w:t>第六章 合同草案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_Toc1640 \h </w:instrText>
      </w:r>
      <w:r>
        <w:rPr>
          <w:color w:val="auto"/>
          <w:sz w:val="24"/>
          <w:szCs w:val="24"/>
          <w:highlight w:val="none"/>
        </w:rPr>
        <w:fldChar w:fldCharType="separate"/>
      </w:r>
      <w:r>
        <w:rPr>
          <w:color w:val="auto"/>
          <w:sz w:val="24"/>
          <w:szCs w:val="24"/>
          <w:highlight w:val="none"/>
        </w:rPr>
        <w:t>67</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6A9A025B">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_Toc20007 </w:instrText>
      </w:r>
      <w:r>
        <w:rPr>
          <w:rFonts w:hint="eastAsia" w:ascii="宋体" w:hAnsi="宋体" w:eastAsia="宋体" w:cs="宋体"/>
          <w:caps w:val="0"/>
          <w:smallCaps w:val="0"/>
          <w:color w:val="auto"/>
          <w:spacing w:val="0"/>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第七章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_Toc20007 \h </w:instrText>
      </w:r>
      <w:r>
        <w:rPr>
          <w:color w:val="auto"/>
          <w:sz w:val="24"/>
          <w:szCs w:val="24"/>
          <w:highlight w:val="none"/>
        </w:rPr>
        <w:fldChar w:fldCharType="separate"/>
      </w:r>
      <w:r>
        <w:rPr>
          <w:color w:val="auto"/>
          <w:sz w:val="24"/>
          <w:szCs w:val="24"/>
          <w:highlight w:val="none"/>
        </w:rPr>
        <w:t>72</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388F318D">
      <w:pPr>
        <w:pStyle w:val="23"/>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_Toc20344 </w:instrText>
      </w:r>
      <w:r>
        <w:rPr>
          <w:rFonts w:hint="eastAsia" w:ascii="宋体" w:hAnsi="宋体" w:eastAsia="宋体" w:cs="宋体"/>
          <w:caps w:val="0"/>
          <w:smallCaps w:val="0"/>
          <w:color w:val="auto"/>
          <w:spacing w:val="0"/>
          <w:sz w:val="24"/>
          <w:szCs w:val="24"/>
          <w:highlight w:val="none"/>
        </w:rPr>
        <w:fldChar w:fldCharType="separate"/>
      </w:r>
      <w:r>
        <w:rPr>
          <w:rFonts w:hint="eastAsia"/>
          <w:color w:val="auto"/>
          <w:sz w:val="24"/>
          <w:szCs w:val="24"/>
          <w:highlight w:val="none"/>
        </w:rPr>
        <w:t>投标文件</w:t>
      </w:r>
      <w:r>
        <w:rPr>
          <w:rFonts w:hint="eastAsia" w:ascii="宋体" w:hAnsi="宋体" w:eastAsia="宋体" w:cs="宋体"/>
          <w:caps w:val="0"/>
          <w:smallCaps w:val="0"/>
          <w:color w:val="auto"/>
          <w:spacing w:val="0"/>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begin"/>
      </w:r>
      <w:r>
        <w:rPr>
          <w:rFonts w:hint="eastAsia" w:ascii="宋体" w:hAnsi="宋体" w:eastAsia="宋体" w:cs="宋体"/>
          <w:caps w:val="0"/>
          <w:smallCaps w:val="0"/>
          <w:color w:val="auto"/>
          <w:spacing w:val="0"/>
          <w:sz w:val="24"/>
          <w:szCs w:val="24"/>
          <w:highlight w:val="none"/>
        </w:rPr>
        <w:instrText xml:space="preserve"> HYPERLINK \l _Toc17637 </w:instrText>
      </w:r>
      <w:r>
        <w:rPr>
          <w:rFonts w:hint="eastAsia" w:ascii="宋体" w:hAnsi="宋体" w:eastAsia="宋体" w:cs="宋体"/>
          <w:caps w:val="0"/>
          <w:smallCaps w:val="0"/>
          <w:color w:val="auto"/>
          <w:spacing w:val="0"/>
          <w:sz w:val="24"/>
          <w:szCs w:val="24"/>
          <w:highlight w:val="none"/>
        </w:rPr>
        <w:fldChar w:fldCharType="separate"/>
      </w:r>
      <w:r>
        <w:rPr>
          <w:rFonts w:hint="eastAsia"/>
          <w:color w:val="auto"/>
          <w:sz w:val="24"/>
          <w:szCs w:val="24"/>
          <w:highlight w:val="none"/>
        </w:rPr>
        <w:t>资格证明文件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_Toc17637 \h </w:instrText>
      </w:r>
      <w:r>
        <w:rPr>
          <w:color w:val="auto"/>
          <w:sz w:val="24"/>
          <w:szCs w:val="24"/>
          <w:highlight w:val="none"/>
        </w:rPr>
        <w:fldChar w:fldCharType="separate"/>
      </w:r>
      <w:r>
        <w:rPr>
          <w:color w:val="auto"/>
          <w:sz w:val="24"/>
          <w:szCs w:val="24"/>
          <w:highlight w:val="none"/>
        </w:rPr>
        <w:t>73</w:t>
      </w:r>
      <w:r>
        <w:rPr>
          <w:color w:val="auto"/>
          <w:sz w:val="24"/>
          <w:szCs w:val="24"/>
          <w:highlight w:val="none"/>
        </w:rPr>
        <w:fldChar w:fldCharType="end"/>
      </w:r>
      <w:r>
        <w:rPr>
          <w:rFonts w:hint="eastAsia" w:ascii="宋体" w:hAnsi="宋体" w:eastAsia="宋体" w:cs="宋体"/>
          <w:caps w:val="0"/>
          <w:smallCaps w:val="0"/>
          <w:color w:val="auto"/>
          <w:spacing w:val="0"/>
          <w:sz w:val="24"/>
          <w:szCs w:val="24"/>
          <w:highlight w:val="none"/>
        </w:rPr>
        <w:fldChar w:fldCharType="end"/>
      </w:r>
    </w:p>
    <w:p w14:paraId="73F75779">
      <w:pPr>
        <w:pStyle w:val="27"/>
        <w:keepNext w:val="0"/>
        <w:keepLines w:val="0"/>
        <w:pageBreakBefore w:val="0"/>
        <w:widowControl w:val="0"/>
        <w:tabs>
          <w:tab w:val="right" w:leader="dot" w:pos="8306"/>
        </w:tabs>
        <w:kinsoku/>
        <w:wordWrap/>
        <w:overflowPunct/>
        <w:topLinePunct w:val="0"/>
        <w:autoSpaceDE/>
        <w:autoSpaceDN/>
        <w:bidi w:val="0"/>
        <w:adjustRightInd/>
        <w:snapToGrid/>
        <w:spacing w:line="400" w:lineRule="exact"/>
        <w:jc w:val="both"/>
        <w:textAlignment w:val="auto"/>
        <w:rPr>
          <w:color w:val="auto"/>
          <w:sz w:val="24"/>
          <w:szCs w:val="24"/>
          <w:highlight w:val="none"/>
        </w:rPr>
      </w:pPr>
    </w:p>
    <w:p w14:paraId="0374DAF0">
      <w:pPr>
        <w:keepNext w:val="0"/>
        <w:keepLines w:val="0"/>
        <w:pageBreakBefore w:val="0"/>
        <w:widowControl w:val="0"/>
        <w:kinsoku/>
        <w:wordWrap/>
        <w:overflowPunct/>
        <w:topLinePunct w:val="0"/>
        <w:autoSpaceDE/>
        <w:autoSpaceDN/>
        <w:bidi w:val="0"/>
        <w:adjustRightInd/>
        <w:snapToGrid/>
        <w:spacing w:before="0" w:after="0" w:line="400" w:lineRule="exact"/>
        <w:textAlignment w:val="auto"/>
        <w:rPr>
          <w:color w:val="auto"/>
          <w:highlight w:val="none"/>
        </w:rPr>
      </w:pPr>
      <w:r>
        <w:rPr>
          <w:rFonts w:hint="eastAsia" w:ascii="宋体" w:hAnsi="宋体" w:eastAsia="宋体" w:cs="宋体"/>
          <w:caps w:val="0"/>
          <w:smallCaps w:val="0"/>
          <w:color w:val="auto"/>
          <w:spacing w:val="0"/>
          <w:sz w:val="24"/>
          <w:szCs w:val="24"/>
          <w:highlight w:val="none"/>
        </w:rPr>
        <w:fldChar w:fldCharType="end"/>
      </w:r>
    </w:p>
    <w:p w14:paraId="70197432">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9DD1FC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4" w:name="_Toc11922"/>
      <w:r>
        <w:rPr>
          <w:rFonts w:hint="eastAsia" w:ascii="宋体" w:hAnsi="宋体" w:eastAsia="宋体" w:cs="宋体"/>
          <w:b/>
          <w:bCs/>
          <w:color w:val="auto"/>
          <w:kern w:val="44"/>
          <w:sz w:val="36"/>
          <w:szCs w:val="36"/>
          <w:highlight w:val="none"/>
          <w:lang w:val="en-US" w:eastAsia="zh-CN" w:bidi="ar-SA"/>
        </w:rPr>
        <w:t xml:space="preserve">第一章 </w:t>
      </w:r>
      <w:bookmarkEnd w:id="1"/>
      <w:r>
        <w:rPr>
          <w:rFonts w:hint="eastAsia" w:ascii="宋体" w:hAnsi="宋体" w:eastAsia="宋体" w:cs="宋体"/>
          <w:color w:val="auto"/>
          <w:sz w:val="36"/>
          <w:szCs w:val="36"/>
          <w:highlight w:val="none"/>
          <w:lang w:val="en-US" w:eastAsia="zh-CN"/>
        </w:rPr>
        <w:t>招标公告</w:t>
      </w:r>
      <w:bookmarkEnd w:id="2"/>
      <w:bookmarkEnd w:id="4"/>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12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5" w:name="_Toc1899"/>
            <w:bookmarkStart w:id="6" w:name="_Toc9180"/>
            <w:bookmarkStart w:id="7" w:name="_Toc10915"/>
            <w:bookmarkStart w:id="8" w:name="_Toc27552"/>
            <w:bookmarkStart w:id="9" w:name="_Toc27128"/>
            <w:bookmarkStart w:id="10" w:name="_Toc35393798"/>
            <w:bookmarkStart w:id="11" w:name="_Toc28359012"/>
            <w:bookmarkStart w:id="12" w:name="_Toc44583628"/>
            <w:bookmarkStart w:id="13" w:name="_Toc28359089"/>
            <w:bookmarkStart w:id="14" w:name="_Toc109900248"/>
            <w:bookmarkStart w:id="15" w:name="_Toc155185860"/>
            <w:bookmarkStart w:id="16" w:name="_Toc140132745"/>
            <w:bookmarkStart w:id="17" w:name="_Toc109899410"/>
            <w:bookmarkStart w:id="18" w:name="_Toc109899829"/>
            <w:bookmarkStart w:id="19" w:name="_Toc35393629"/>
            <w:r>
              <w:rPr>
                <w:rFonts w:hint="eastAsia"/>
                <w:color w:val="auto"/>
                <w:sz w:val="24"/>
                <w:szCs w:val="24"/>
                <w:highlight w:val="none"/>
                <w:lang w:val="en-US" w:eastAsia="zh-CN"/>
              </w:rPr>
              <w:t>项目概况：</w:t>
            </w:r>
            <w:bookmarkEnd w:id="5"/>
            <w:bookmarkEnd w:id="6"/>
            <w:bookmarkEnd w:id="7"/>
            <w:bookmarkEnd w:id="8"/>
            <w:bookmarkEnd w:id="9"/>
          </w:p>
          <w:p w14:paraId="42E3A809">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cstheme="minorBidi"/>
                <w:iCs/>
                <w:color w:val="auto"/>
                <w:kern w:val="2"/>
                <w:sz w:val="24"/>
                <w:szCs w:val="24"/>
                <w:highlight w:val="none"/>
                <w:u w:val="single"/>
                <w:shd w:val="clear" w:color="auto" w:fill="FFFFFF" w:themeFill="background1"/>
                <w:lang w:val="hr-HR" w:eastAsia="zh-CN" w:bidi="ar-SA"/>
              </w:rPr>
              <w:t>新疆某单位移动执法系统运维服务项目</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（地址）</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年</w:t>
            </w:r>
            <w:r>
              <w:rPr>
                <w:rFonts w:hint="eastAsia" w:cstheme="minorBidi"/>
                <w:iCs/>
                <w:color w:val="auto"/>
                <w:kern w:val="2"/>
                <w:sz w:val="24"/>
                <w:szCs w:val="24"/>
                <w:highlight w:val="none"/>
                <w:u w:val="single"/>
                <w:shd w:val="clear" w:color="auto" w:fill="FFFFFF" w:themeFill="background1"/>
                <w:lang w:val="en-US" w:eastAsia="zh-CN" w:bidi="ar-SA"/>
              </w:rPr>
              <w:t>5</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月</w:t>
            </w:r>
            <w:r>
              <w:rPr>
                <w:rFonts w:hint="eastAsia" w:cstheme="minorBidi"/>
                <w:iCs/>
                <w:color w:val="auto"/>
                <w:kern w:val="2"/>
                <w:sz w:val="24"/>
                <w:szCs w:val="24"/>
                <w:highlight w:val="none"/>
                <w:u w:val="single"/>
                <w:shd w:val="clear" w:color="auto" w:fill="FFFFFF" w:themeFill="background1"/>
                <w:lang w:val="en-US" w:eastAsia="zh-CN" w:bidi="ar-SA"/>
              </w:rPr>
              <w:t>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日</w:t>
            </w:r>
            <w:r>
              <w:rPr>
                <w:rFonts w:hint="eastAsia" w:cstheme="minorBidi"/>
                <w:iCs/>
                <w:color w:val="auto"/>
                <w:kern w:val="2"/>
                <w:sz w:val="24"/>
                <w:szCs w:val="24"/>
                <w:highlight w:val="none"/>
                <w:u w:val="single"/>
                <w:shd w:val="clear" w:color="auto" w:fill="FFFFFF" w:themeFill="background1"/>
                <w:lang w:val="en-US" w:eastAsia="zh-CN" w:bidi="ar-SA"/>
              </w:rPr>
              <w:t>11时00</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0" w:name="_Toc6854"/>
      <w:bookmarkStart w:id="21" w:name="_Toc21391"/>
      <w:bookmarkStart w:id="22" w:name="_Toc25986"/>
      <w:bookmarkStart w:id="23" w:name="_Toc4038"/>
      <w:r>
        <w:rPr>
          <w:rFonts w:hint="eastAsia" w:ascii="宋体" w:hAnsi="宋体" w:eastAsia="宋体" w:cs="宋体"/>
          <w:b/>
          <w:bCs/>
          <w:color w:val="auto"/>
          <w:kern w:val="2"/>
          <w:sz w:val="24"/>
          <w:szCs w:val="24"/>
          <w:highlight w:val="none"/>
          <w:lang w:val="hr-HR" w:eastAsia="zh-CN" w:bidi="ar-SA"/>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590E39A6">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hr-HR"/>
        </w:rPr>
        <w:t>1.项目编号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single"/>
        </w:rPr>
        <w:t>TC269H092</w:t>
      </w:r>
      <w:r>
        <w:rPr>
          <w:rFonts w:hint="eastAsia" w:ascii="宋体" w:hAnsi="宋体" w:eastAsia="宋体" w:cs="宋体"/>
          <w:color w:val="auto"/>
          <w:sz w:val="24"/>
          <w:szCs w:val="24"/>
          <w:highlight w:val="none"/>
          <w:u w:val="single"/>
          <w:lang w:val="hr-HR"/>
        </w:rPr>
        <w:t xml:space="preserve"> </w:t>
      </w:r>
    </w:p>
    <w:p w14:paraId="055043BE">
      <w:pPr>
        <w:pStyle w:val="39"/>
        <w:spacing w:line="360" w:lineRule="auto"/>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.项目名称：</w:t>
      </w:r>
      <w:r>
        <w:rPr>
          <w:rFonts w:hint="eastAsia" w:cs="宋体"/>
          <w:color w:val="auto"/>
          <w:sz w:val="24"/>
          <w:szCs w:val="24"/>
          <w:highlight w:val="none"/>
          <w:lang w:val="hr-HR" w:eastAsia="zh-CN"/>
        </w:rPr>
        <w:t>新疆某单位移动执法系统运维服务项目</w:t>
      </w:r>
    </w:p>
    <w:p w14:paraId="3CE35A7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.采购方式：公开招标</w:t>
      </w:r>
    </w:p>
    <w:p w14:paraId="78A90596">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hr-HR"/>
        </w:rPr>
        <w:t>预算金额：</w:t>
      </w:r>
      <w:r>
        <w:rPr>
          <w:rFonts w:hint="eastAsia" w:cs="宋体"/>
          <w:color w:val="auto"/>
          <w:sz w:val="24"/>
          <w:szCs w:val="24"/>
          <w:highlight w:val="none"/>
          <w:lang w:val="hr-HR" w:eastAsia="zh-CN"/>
        </w:rPr>
        <w:t xml:space="preserve"> </w:t>
      </w:r>
      <w:r>
        <w:rPr>
          <w:rFonts w:hint="eastAsia" w:cs="宋体"/>
          <w:color w:val="auto"/>
          <w:sz w:val="24"/>
          <w:szCs w:val="24"/>
          <w:highlight w:val="none"/>
          <w:lang w:val="en-US" w:eastAsia="zh-CN"/>
        </w:rPr>
        <w:t>1440000</w:t>
      </w:r>
      <w:r>
        <w:rPr>
          <w:rFonts w:hint="eastAsia" w:cs="宋体"/>
          <w:color w:val="auto"/>
          <w:sz w:val="24"/>
          <w:szCs w:val="24"/>
          <w:highlight w:val="none"/>
          <w:lang w:val="hr-HR" w:eastAsia="zh-CN"/>
        </w:rPr>
        <w:t>元</w:t>
      </w:r>
    </w:p>
    <w:p w14:paraId="7851BE2C">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val="hr-HR"/>
        </w:rPr>
        <w:t>：</w:t>
      </w:r>
      <w:r>
        <w:rPr>
          <w:rFonts w:hint="eastAsia" w:cs="宋体"/>
          <w:color w:val="auto"/>
          <w:sz w:val="24"/>
          <w:szCs w:val="24"/>
          <w:highlight w:val="none"/>
          <w:lang w:val="en-US" w:eastAsia="zh-CN"/>
        </w:rPr>
        <w:t>1377012</w:t>
      </w:r>
      <w:r>
        <w:rPr>
          <w:rFonts w:hint="eastAsia" w:cs="宋体"/>
          <w:color w:val="auto"/>
          <w:sz w:val="24"/>
          <w:szCs w:val="24"/>
          <w:highlight w:val="none"/>
          <w:lang w:val="hr-HR" w:eastAsia="zh-CN"/>
        </w:rPr>
        <w:t>元</w:t>
      </w:r>
    </w:p>
    <w:p w14:paraId="07B93564">
      <w:pPr>
        <w:tabs>
          <w:tab w:val="left" w:pos="90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hr-HR"/>
        </w:rPr>
        <w:t>.采购需求：</w:t>
      </w:r>
      <w:r>
        <w:rPr>
          <w:rFonts w:hint="eastAsia" w:ascii="宋体" w:hAnsi="宋体" w:eastAsia="宋体" w:cs="宋体"/>
          <w:sz w:val="24"/>
          <w:szCs w:val="24"/>
          <w:highlight w:val="none"/>
        </w:rPr>
        <w:t>本次运行维护服务内容主要包括四部分，分别是移动执法终端的运行保障及维修替换服务、管理平台运维服务、应用功能提升完善服务、安全管控能力服务。</w:t>
      </w:r>
    </w:p>
    <w:p w14:paraId="242750DC">
      <w:pPr>
        <w:pStyle w:val="39"/>
        <w:spacing w:line="360" w:lineRule="auto"/>
        <w:rPr>
          <w:rFonts w:hint="default" w:ascii="宋体" w:hAnsi="宋体" w:eastAsia="宋体" w:cs="宋体"/>
          <w:color w:val="auto"/>
          <w:sz w:val="24"/>
          <w:szCs w:val="24"/>
          <w:highlight w:val="none"/>
          <w:u w:val="single"/>
          <w:lang w:val="en-US"/>
        </w:rPr>
      </w:pPr>
      <w:r>
        <w:rPr>
          <w:rFonts w:hint="eastAsia" w:ascii="宋体" w:hAnsi="宋体" w:eastAsia="宋体" w:cs="宋体"/>
          <w:sz w:val="24"/>
          <w:szCs w:val="24"/>
          <w:highlight w:val="none"/>
        </w:rPr>
        <w:t>其中移动执法终端的运行保障及维修替换服务包括移动执法终端的维护服务；管理平台运维服务包括但不限于移终端启用管理、终端应用管理、终端内容管理、终端网络管控、终端文件传输管控、终端通讯管控、终端定位管控、终端端口管理、终端状态管理、终端其他安全管控、模式管控、策略管理、人员组织管理、系统管理、系统监控、报表管理、运维支撑；应用功能提升完善服务包含但不限于：应用商店、通讯录、</w:t>
      </w:r>
      <w:r>
        <w:rPr>
          <w:rFonts w:hint="eastAsia" w:ascii="宋体" w:hAnsi="宋体" w:eastAsia="宋体" w:cs="宋体"/>
          <w:sz w:val="24"/>
          <w:szCs w:val="24"/>
          <w:highlight w:val="none"/>
          <w:lang w:eastAsia="zh-CN"/>
        </w:rPr>
        <w:t>安全身份认证、</w:t>
      </w:r>
      <w:r>
        <w:rPr>
          <w:rFonts w:hint="eastAsia" w:ascii="宋体" w:hAnsi="宋体" w:eastAsia="宋体" w:cs="宋体"/>
          <w:sz w:val="24"/>
          <w:szCs w:val="24"/>
          <w:highlight w:val="none"/>
        </w:rPr>
        <w:t>语音输入法、学习手册、人脸特征值算法、一键报警、执法取证、指挥调度</w:t>
      </w:r>
      <w:r>
        <w:rPr>
          <w:rFonts w:hint="eastAsia" w:ascii="宋体" w:hAnsi="宋体" w:eastAsia="宋体" w:cs="宋体"/>
          <w:sz w:val="24"/>
          <w:szCs w:val="24"/>
          <w:highlight w:val="none"/>
          <w:lang w:eastAsia="zh-CN"/>
        </w:rPr>
        <w:t>、日历、警务拍、数字对讲、即时通讯</w:t>
      </w:r>
      <w:r>
        <w:rPr>
          <w:rFonts w:hint="eastAsia" w:ascii="宋体" w:hAnsi="宋体" w:eastAsia="宋体" w:cs="宋体"/>
          <w:sz w:val="24"/>
          <w:szCs w:val="24"/>
          <w:highlight w:val="none"/>
        </w:rPr>
        <w:t>等；安全管控能力服务包括但不限于防火墙、请求交换节点、视频交换节点、网闸等、安全管理中心等运维服务内容。</w:t>
      </w:r>
      <w:r>
        <w:rPr>
          <w:rFonts w:hint="eastAsia" w:cs="宋体"/>
          <w:color w:val="auto"/>
          <w:sz w:val="24"/>
          <w:szCs w:val="24"/>
          <w:highlight w:val="none"/>
          <w:lang w:val="en-US" w:eastAsia="zh-CN"/>
        </w:rPr>
        <w:t>（详见采购需求）</w:t>
      </w:r>
    </w:p>
    <w:p w14:paraId="56FBF6DA">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履行期</w:t>
      </w:r>
      <w:r>
        <w:rPr>
          <w:rFonts w:hint="eastAsia" w:ascii="宋体" w:hAnsi="宋体" w:eastAsia="宋体" w:cs="宋体"/>
          <w:color w:val="auto"/>
          <w:sz w:val="24"/>
          <w:szCs w:val="24"/>
          <w:highlight w:val="none"/>
          <w:lang w:val="en-US" w:eastAsia="zh-CN"/>
        </w:rPr>
        <w:t>限：本项目服务期限为一年；本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一次采购三年使用，合同一年一签；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度和服务质量情况、售后情况等进行综合评估，对出现的服务质量问题、投诉、服务态度恶劣、售后响应服务不及时、不配合采购单位工作等情况，采购单位有权终止签订后续服务年份的服务合同）。</w:t>
      </w:r>
      <w:r>
        <w:rPr>
          <w:rFonts w:hint="eastAsia" w:ascii="宋体" w:hAnsi="宋体" w:eastAsia="宋体" w:cs="宋体"/>
          <w:color w:val="auto"/>
          <w:sz w:val="24"/>
          <w:szCs w:val="24"/>
          <w:highlight w:val="none"/>
          <w:lang w:val="hr-HR" w:eastAsia="zh-CN"/>
        </w:rPr>
        <w:t xml:space="preserve"> </w:t>
      </w:r>
    </w:p>
    <w:p w14:paraId="4B098642">
      <w:pPr>
        <w:pStyle w:val="39"/>
        <w:spacing w:line="360" w:lineRule="auto"/>
        <w:rPr>
          <w:rFonts w:hint="eastAsia" w:ascii="宋体" w:hAnsi="宋体" w:eastAsia="宋体" w:cs="宋体"/>
          <w:color w:val="auto"/>
          <w:sz w:val="24"/>
          <w:szCs w:val="24"/>
          <w:highlight w:val="none"/>
          <w:lang w:val="en-US" w:eastAsia="zh-CN"/>
        </w:rPr>
      </w:pPr>
      <w:bookmarkStart w:id="24" w:name="_Toc28359013"/>
      <w:bookmarkStart w:id="25" w:name="_Toc35393799"/>
      <w:bookmarkStart w:id="26" w:name="_Toc28359090"/>
      <w:bookmarkStart w:id="27" w:name="_Toc44583629"/>
      <w:bookmarkStart w:id="28" w:name="_Toc35393630"/>
      <w:r>
        <w:rPr>
          <w:rFonts w:hint="eastAsia" w:ascii="宋体" w:hAnsi="宋体" w:eastAsia="宋体" w:cs="宋体"/>
          <w:color w:val="auto"/>
          <w:sz w:val="24"/>
          <w:szCs w:val="24"/>
          <w:highlight w:val="none"/>
          <w:lang w:val="en-US" w:eastAsia="zh-CN"/>
        </w:rPr>
        <w:t>8.</w:t>
      </w:r>
      <w:bookmarkStart w:id="29" w:name="_Hlk162011358"/>
      <w:r>
        <w:rPr>
          <w:rFonts w:hint="eastAsia" w:ascii="宋体" w:hAnsi="宋体" w:eastAsia="宋体" w:cs="宋体"/>
          <w:color w:val="auto"/>
          <w:sz w:val="24"/>
          <w:szCs w:val="24"/>
          <w:highlight w:val="none"/>
          <w:lang w:val="en-US" w:eastAsia="zh-CN"/>
        </w:rPr>
        <w:t>本项目是否接受联合体投标：□是</w:t>
      </w:r>
      <w:bookmarkEnd w:id="29"/>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否</w:t>
      </w:r>
    </w:p>
    <w:p w14:paraId="1EEB162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0" w:name="_Toc140132746"/>
      <w:bookmarkStart w:id="31" w:name="_Toc109899830"/>
      <w:bookmarkStart w:id="32" w:name="_Toc109899411"/>
      <w:bookmarkStart w:id="33" w:name="_Toc17328"/>
      <w:bookmarkStart w:id="34" w:name="_Toc109900249"/>
      <w:bookmarkStart w:id="35" w:name="_Toc15695"/>
      <w:bookmarkStart w:id="36" w:name="_Toc14552"/>
      <w:bookmarkStart w:id="37" w:name="_Toc17974"/>
      <w:bookmarkStart w:id="38" w:name="_Toc15518586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24"/>
      <w:bookmarkEnd w:id="25"/>
      <w:bookmarkEnd w:id="26"/>
      <w:bookmarkEnd w:id="27"/>
      <w:bookmarkEnd w:id="28"/>
      <w:bookmarkEnd w:id="30"/>
      <w:bookmarkEnd w:id="31"/>
      <w:bookmarkEnd w:id="32"/>
      <w:bookmarkEnd w:id="33"/>
      <w:bookmarkEnd w:id="34"/>
      <w:bookmarkEnd w:id="35"/>
      <w:bookmarkEnd w:id="36"/>
      <w:bookmarkEnd w:id="37"/>
      <w:bookmarkEnd w:id="38"/>
    </w:p>
    <w:p w14:paraId="4A6A8664">
      <w:pPr>
        <w:spacing w:line="360" w:lineRule="auto"/>
        <w:ind w:firstLine="480" w:firstLineChars="200"/>
        <w:rPr>
          <w:rFonts w:hint="eastAsia" w:ascii="宋体" w:hAnsi="宋体" w:eastAsia="宋体" w:cs="宋体"/>
          <w:color w:val="auto"/>
          <w:sz w:val="24"/>
          <w:szCs w:val="24"/>
          <w:highlight w:val="none"/>
          <w:lang w:val="en-US" w:eastAsia="zh-CN"/>
        </w:rPr>
      </w:pPr>
      <w:bookmarkStart w:id="39" w:name="_Hlk89807755"/>
      <w:bookmarkStart w:id="40" w:name="_Toc35393631"/>
      <w:bookmarkStart w:id="41" w:name="_Toc28359091"/>
      <w:bookmarkStart w:id="42" w:name="_Toc44583630"/>
      <w:bookmarkStart w:id="43" w:name="_Toc28359014"/>
      <w:bookmarkStart w:id="44" w:name="_Toc35393800"/>
      <w:r>
        <w:rPr>
          <w:rFonts w:hint="eastAsia" w:ascii="宋体" w:hAnsi="宋体" w:eastAsia="宋体" w:cs="宋体"/>
          <w:color w:val="auto"/>
          <w:sz w:val="24"/>
          <w:szCs w:val="24"/>
          <w:highlight w:val="none"/>
          <w:lang w:val="en-US" w:eastAsia="zh-CN"/>
        </w:rPr>
        <w:t>1.满足《中华人民共和国政府采购法》第二十二条规定；</w:t>
      </w:r>
    </w:p>
    <w:p w14:paraId="363272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2.落实政府采购政策需满足的资格要求：本项目不专门面向中小企业预留采购份</w:t>
      </w:r>
      <w:r>
        <w:rPr>
          <w:rFonts w:hint="eastAsia" w:ascii="宋体" w:hAnsi="宋体" w:eastAsia="宋体" w:cs="宋体"/>
          <w:color w:val="auto"/>
          <w:sz w:val="24"/>
          <w:szCs w:val="24"/>
          <w:highlight w:val="none"/>
          <w:u w:val="none"/>
          <w:lang w:val="en-US" w:eastAsia="zh-CN"/>
        </w:rPr>
        <w:t>额；</w:t>
      </w:r>
    </w:p>
    <w:p w14:paraId="5AC8ADF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r>
        <w:rPr>
          <w:rFonts w:hint="eastAsia" w:ascii="宋体" w:hAnsi="宋体" w:eastAsia="宋体" w:cs="宋体"/>
          <w:b/>
          <w:bCs/>
          <w:color w:val="auto"/>
          <w:sz w:val="24"/>
          <w:szCs w:val="24"/>
          <w:highlight w:val="none"/>
          <w:u w:val="single"/>
          <w:lang w:val="en-US" w:eastAsia="zh-CN"/>
        </w:rPr>
        <w:t>基础电信业务经营许可证</w:t>
      </w:r>
      <w:r>
        <w:rPr>
          <w:rFonts w:hint="eastAsia" w:ascii="宋体" w:hAnsi="宋体" w:eastAsia="宋体" w:cs="宋体"/>
          <w:color w:val="auto"/>
          <w:sz w:val="24"/>
          <w:szCs w:val="24"/>
          <w:highlight w:val="none"/>
          <w:u w:val="single"/>
          <w:lang w:val="en-US" w:eastAsia="zh-CN"/>
        </w:rPr>
        <w:t>。</w:t>
      </w:r>
    </w:p>
    <w:p w14:paraId="69D2AB04">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 其他资格要求：</w:t>
      </w:r>
    </w:p>
    <w:p w14:paraId="040E7358">
      <w:pPr>
        <w:pStyle w:val="39"/>
        <w:spacing w:line="360" w:lineRule="auto"/>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hr-HR"/>
        </w:rPr>
        <w:t>法定代表人或</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hr-HR"/>
        </w:rPr>
        <w:t>负责人为同一人或者存在</w:t>
      </w:r>
      <w:r>
        <w:rPr>
          <w:rFonts w:hint="eastAsia" w:ascii="宋体" w:hAnsi="宋体" w:eastAsia="宋体" w:cs="宋体"/>
          <w:color w:val="auto"/>
          <w:sz w:val="24"/>
          <w:szCs w:val="24"/>
          <w:highlight w:val="none"/>
          <w:lang w:val="en-US" w:eastAsia="zh-CN"/>
        </w:rPr>
        <w:t>直接</w:t>
      </w:r>
      <w:r>
        <w:rPr>
          <w:rFonts w:hint="eastAsia" w:ascii="宋体" w:hAnsi="宋体" w:eastAsia="宋体" w:cs="宋体"/>
          <w:color w:val="auto"/>
          <w:sz w:val="24"/>
          <w:szCs w:val="24"/>
          <w:highlight w:val="none"/>
          <w:lang w:val="hr-HR"/>
        </w:rPr>
        <w:t>控股、管理关系的</w:t>
      </w:r>
      <w:r>
        <w:rPr>
          <w:rFonts w:hint="eastAsia" w:ascii="宋体" w:hAnsi="宋体" w:eastAsia="宋体" w:cs="宋体"/>
          <w:color w:val="auto"/>
          <w:sz w:val="24"/>
          <w:szCs w:val="24"/>
          <w:highlight w:val="none"/>
          <w:lang w:val="en-US" w:eastAsia="zh-CN"/>
        </w:rPr>
        <w:t>不同供应商</w:t>
      </w:r>
      <w:r>
        <w:rPr>
          <w:rFonts w:hint="eastAsia" w:ascii="宋体" w:hAnsi="宋体" w:eastAsia="宋体" w:cs="宋体"/>
          <w:color w:val="auto"/>
          <w:sz w:val="24"/>
          <w:szCs w:val="24"/>
          <w:highlight w:val="none"/>
          <w:lang w:val="hr-HR"/>
        </w:rPr>
        <w:t>，不得参加同一合同项下的政府采购活动。</w:t>
      </w:r>
    </w:p>
    <w:p w14:paraId="68099EEC">
      <w:pPr>
        <w:pStyle w:val="39"/>
        <w:spacing w:line="360" w:lineRule="auto"/>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除单一来源采购项目外，为采购项目提供整体设计、规范编制或者项目管理、监理、检测等服务的供应商，不得再参加该采购项目的其他采购活动。</w:t>
      </w:r>
    </w:p>
    <w:p w14:paraId="1F555688">
      <w:pPr>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hr-HR"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hr-HR"/>
        </w:rPr>
        <w:t>供应商的信用行为</w:t>
      </w:r>
      <w:r>
        <w:rPr>
          <w:rFonts w:hint="eastAsia" w:ascii="宋体" w:hAnsi="宋体" w:eastAsia="宋体" w:cs="宋体"/>
          <w:color w:val="auto"/>
          <w:sz w:val="24"/>
          <w:szCs w:val="24"/>
          <w:highlight w:val="none"/>
          <w:lang w:val="hr-HR" w:eastAsia="zh-CN"/>
        </w:rPr>
        <w:t>：</w:t>
      </w:r>
      <w:r>
        <w:rPr>
          <w:rFonts w:hint="eastAsia" w:ascii="宋体" w:hAnsi="宋体" w:eastAsia="宋体" w:cs="宋体"/>
          <w:color w:val="auto"/>
          <w:sz w:val="24"/>
          <w:szCs w:val="24"/>
          <w:highlight w:val="none"/>
          <w:lang w:val="hr-HR"/>
        </w:rPr>
        <w:t>在</w:t>
      </w:r>
      <w:r>
        <w:rPr>
          <w:rFonts w:hint="eastAsia" w:ascii="宋体" w:hAnsi="宋体" w:eastAsia="宋体" w:cs="宋体"/>
          <w:color w:val="auto"/>
          <w:sz w:val="24"/>
          <w:szCs w:val="24"/>
          <w:highlight w:val="none"/>
          <w:lang w:val="en-US" w:eastAsia="zh-CN"/>
        </w:rPr>
        <w:t>资格审查阶段经查询，未被列入“失信被执行人”、“重大税收违法失信主体”、“政府采购严重违法失信行为记录名单”其中之一</w:t>
      </w:r>
      <w:r>
        <w:rPr>
          <w:rFonts w:hint="eastAsia" w:ascii="宋体" w:hAnsi="宋体" w:eastAsia="宋体" w:cs="宋体"/>
          <w:color w:val="auto"/>
          <w:sz w:val="24"/>
          <w:szCs w:val="24"/>
          <w:highlight w:val="none"/>
          <w:lang w:val="hr-HR"/>
        </w:rPr>
        <w:t>。如有以上不良信用记录</w:t>
      </w:r>
      <w:r>
        <w:rPr>
          <w:rFonts w:hint="eastAsia" w:ascii="宋体" w:hAnsi="宋体" w:eastAsia="宋体" w:cs="宋体"/>
          <w:color w:val="auto"/>
          <w:sz w:val="24"/>
          <w:szCs w:val="24"/>
          <w:highlight w:val="none"/>
          <w:lang w:val="en-US" w:eastAsia="zh-CN"/>
        </w:rPr>
        <w:t>之一的，</w:t>
      </w:r>
      <w:r>
        <w:rPr>
          <w:rFonts w:hint="eastAsia" w:ascii="宋体" w:hAnsi="宋体" w:eastAsia="宋体" w:cs="宋体"/>
          <w:color w:val="auto"/>
          <w:sz w:val="24"/>
          <w:szCs w:val="24"/>
          <w:highlight w:val="none"/>
          <w:lang w:val="hr-HR"/>
        </w:rPr>
        <w:t>其</w:t>
      </w:r>
      <w:r>
        <w:rPr>
          <w:rFonts w:hint="eastAsia" w:ascii="宋体" w:hAnsi="宋体" w:eastAsia="宋体" w:cs="宋体"/>
          <w:b/>
          <w:bCs/>
          <w:color w:val="auto"/>
          <w:sz w:val="24"/>
          <w:szCs w:val="24"/>
          <w:highlight w:val="none"/>
          <w:lang w:val="hr-HR"/>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none"/>
          <w:lang w:val="en-US" w:eastAsia="zh-CN"/>
        </w:rPr>
        <w:t xml:space="preserve">              </w:t>
      </w:r>
    </w:p>
    <w:bookmarkEnd w:id="39"/>
    <w:p w14:paraId="17F1ED4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5" w:name="_Toc10741"/>
      <w:bookmarkStart w:id="46" w:name="_Toc140132747"/>
      <w:bookmarkStart w:id="47" w:name="_Toc16687"/>
      <w:bookmarkStart w:id="48" w:name="_Toc13473"/>
      <w:bookmarkStart w:id="49" w:name="_Toc109899412"/>
      <w:bookmarkStart w:id="50" w:name="_Toc155185862"/>
      <w:bookmarkStart w:id="51" w:name="_Toc109900250"/>
      <w:bookmarkStart w:id="52" w:name="_Toc109899831"/>
      <w:bookmarkStart w:id="53" w:name="_Toc24509"/>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40"/>
      <w:bookmarkEnd w:id="41"/>
      <w:bookmarkEnd w:id="42"/>
      <w:bookmarkEnd w:id="43"/>
      <w:bookmarkEnd w:id="44"/>
      <w:bookmarkEnd w:id="45"/>
      <w:bookmarkEnd w:id="46"/>
      <w:bookmarkEnd w:id="47"/>
      <w:bookmarkEnd w:id="48"/>
      <w:bookmarkEnd w:id="49"/>
      <w:bookmarkEnd w:id="50"/>
      <w:bookmarkEnd w:id="51"/>
      <w:bookmarkEnd w:id="52"/>
      <w:bookmarkEnd w:id="53"/>
      <w:r>
        <w:rPr>
          <w:rFonts w:hint="eastAsia" w:ascii="宋体" w:hAnsi="宋体" w:eastAsia="宋体" w:cs="宋体"/>
          <w:b/>
          <w:bCs/>
          <w:color w:val="auto"/>
          <w:kern w:val="2"/>
          <w:sz w:val="24"/>
          <w:szCs w:val="24"/>
          <w:highlight w:val="none"/>
          <w:lang w:val="hr-HR" w:eastAsia="zh-CN" w:bidi="ar-SA"/>
        </w:rPr>
        <w:t xml:space="preserve"> </w:t>
      </w:r>
    </w:p>
    <w:p w14:paraId="7F0135DE">
      <w:pPr>
        <w:pStyle w:val="39"/>
        <w:spacing w:line="360" w:lineRule="auto"/>
        <w:rPr>
          <w:rFonts w:hint="eastAsia" w:ascii="宋体" w:hAnsi="宋体" w:eastAsia="宋体" w:cs="宋体"/>
          <w:color w:val="auto"/>
          <w:sz w:val="24"/>
          <w:szCs w:val="24"/>
          <w:highlight w:val="none"/>
          <w:lang w:val="hr-HR"/>
        </w:rPr>
      </w:pPr>
      <w:bookmarkStart w:id="54" w:name="_Hlk130457234"/>
      <w:bookmarkStart w:id="55" w:name="_Toc28359092"/>
      <w:bookmarkStart w:id="56" w:name="_Hlk130457327"/>
      <w:bookmarkStart w:id="57" w:name="_Toc28359015"/>
      <w:bookmarkStart w:id="58" w:name="_Hlk130457261"/>
      <w:bookmarkStart w:id="59" w:name="_Toc35393632"/>
      <w:bookmarkStart w:id="60" w:name="_Toc35393801"/>
      <w:r>
        <w:rPr>
          <w:rFonts w:hint="eastAsia" w:ascii="宋体" w:hAnsi="宋体" w:eastAsia="宋体" w:cs="宋体"/>
          <w:color w:val="auto"/>
          <w:sz w:val="24"/>
          <w:szCs w:val="24"/>
          <w:highlight w:val="none"/>
          <w:lang w:val="hr-HR"/>
        </w:rPr>
        <w:t>1.时间：</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时</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lang w:val="hr-HR"/>
        </w:rPr>
        <w:t>至</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17</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24</w:t>
      </w:r>
      <w:r>
        <w:rPr>
          <w:rFonts w:hint="eastAsia" w:ascii="宋体" w:hAnsi="宋体" w:eastAsia="宋体" w:cs="宋体"/>
          <w:color w:val="auto"/>
          <w:sz w:val="24"/>
          <w:szCs w:val="24"/>
          <w:highlight w:val="none"/>
          <w:u w:val="single"/>
        </w:rPr>
        <w:t>时</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lang w:val="hr-HR"/>
        </w:rPr>
        <w:t>（北京时间）。</w:t>
      </w:r>
    </w:p>
    <w:bookmarkEnd w:id="54"/>
    <w:p w14:paraId="34FD69C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hr-HR"/>
        </w:rPr>
        <w:t>2.</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hr-HR"/>
        </w:rPr>
        <w:t>：</w:t>
      </w:r>
      <w:bookmarkStart w:id="61" w:name="_Hlk89807779"/>
      <w:r>
        <w:rPr>
          <w:rFonts w:hint="eastAsia" w:cs="宋体"/>
          <w:color w:val="auto"/>
          <w:sz w:val="24"/>
          <w:szCs w:val="24"/>
          <w:highlight w:val="none"/>
          <w:lang w:val="en-US" w:eastAsia="zh-CN"/>
        </w:rPr>
        <w:t>政采云平台线上（网址：https://www.zcygov.cn/）</w:t>
      </w:r>
      <w:r>
        <w:rPr>
          <w:rFonts w:hint="eastAsia" w:ascii="宋体" w:hAnsi="宋体" w:eastAsia="宋体" w:cs="宋体"/>
          <w:color w:val="auto"/>
          <w:sz w:val="24"/>
          <w:szCs w:val="24"/>
          <w:highlight w:val="none"/>
        </w:rPr>
        <w:t>。</w:t>
      </w:r>
      <w:bookmarkEnd w:id="61"/>
    </w:p>
    <w:p w14:paraId="5DDD414F">
      <w:pPr>
        <w:pStyle w:val="39"/>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hr-HR"/>
        </w:rPr>
        <w:t>3.</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投标供应商登录政采云平台</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lang w:val="en-US"/>
        </w:rPr>
        <w:t>在线申请</w:t>
      </w:r>
      <w:r>
        <w:rPr>
          <w:rFonts w:hint="eastAsia" w:ascii="宋体" w:hAnsi="宋体" w:eastAsia="宋体" w:cs="宋体"/>
          <w:color w:val="auto"/>
          <w:sz w:val="24"/>
          <w:szCs w:val="24"/>
          <w:highlight w:val="none"/>
          <w:lang w:val="en-US" w:eastAsia="zh-CN"/>
        </w:rPr>
        <w:t>，免费</w:t>
      </w:r>
      <w:r>
        <w:rPr>
          <w:rFonts w:hint="eastAsia" w:ascii="宋体" w:hAnsi="宋体" w:eastAsia="宋体" w:cs="宋体"/>
          <w:color w:val="auto"/>
          <w:sz w:val="24"/>
          <w:szCs w:val="24"/>
          <w:highlight w:val="none"/>
          <w:lang w:val="en-US"/>
        </w:rPr>
        <w:t>获取</w:t>
      </w:r>
      <w:r>
        <w:rPr>
          <w:rFonts w:hint="eastAsia" w:ascii="宋体" w:hAnsi="宋体" w:eastAsia="宋体" w:cs="宋体"/>
          <w:color w:val="auto"/>
          <w:sz w:val="24"/>
          <w:szCs w:val="24"/>
          <w:highlight w:val="none"/>
          <w:lang w:val="en-US" w:eastAsia="zh-CN"/>
        </w:rPr>
        <w:t>电子</w:t>
      </w:r>
      <w:r>
        <w:rPr>
          <w:rFonts w:hint="eastAsia" w:ascii="宋体" w:hAnsi="宋体" w:eastAsia="宋体" w:cs="宋体"/>
          <w:color w:val="auto"/>
          <w:sz w:val="24"/>
          <w:szCs w:val="24"/>
          <w:highlight w:val="none"/>
          <w:lang w:val="en-US"/>
        </w:rPr>
        <w:t>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进入</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项目采购</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应用</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在获取采购文件菜单中选择项目</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申请获取采购文件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w:t>
      </w:r>
    </w:p>
    <w:p w14:paraId="42A40251">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4.售价：0元。</w:t>
      </w:r>
      <w:r>
        <w:rPr>
          <w:rFonts w:hint="eastAsia" w:ascii="宋体" w:hAnsi="宋体" w:eastAsia="宋体" w:cs="宋体"/>
          <w:color w:val="auto"/>
          <w:sz w:val="24"/>
          <w:szCs w:val="24"/>
          <w:highlight w:val="none"/>
          <w:lang w:val="hr-HR"/>
        </w:rPr>
        <w:t xml:space="preserve"> </w:t>
      </w:r>
    </w:p>
    <w:bookmarkEnd w:id="55"/>
    <w:bookmarkEnd w:id="56"/>
    <w:bookmarkEnd w:id="57"/>
    <w:bookmarkEnd w:id="58"/>
    <w:bookmarkEnd w:id="59"/>
    <w:bookmarkEnd w:id="60"/>
    <w:p w14:paraId="62F5362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2" w:name="_Toc109900251"/>
      <w:bookmarkStart w:id="63" w:name="_Toc155185863"/>
      <w:bookmarkStart w:id="64" w:name="_Toc109899832"/>
      <w:bookmarkStart w:id="65" w:name="_Toc140132748"/>
      <w:bookmarkStart w:id="66" w:name="_Toc109899413"/>
      <w:bookmarkStart w:id="67" w:name="_Toc11313"/>
      <w:bookmarkStart w:id="68" w:name="_Toc5152"/>
      <w:bookmarkStart w:id="69" w:name="_Toc30285"/>
      <w:bookmarkStart w:id="70" w:name="_Toc25593"/>
      <w:bookmarkStart w:id="71" w:name="_Hlk130457395"/>
      <w:bookmarkStart w:id="72" w:name="_Toc28359094"/>
      <w:bookmarkStart w:id="73" w:name="_Toc44583633"/>
      <w:bookmarkStart w:id="74" w:name="_Toc28359017"/>
      <w:bookmarkStart w:id="75" w:name="_Toc35393634"/>
      <w:bookmarkStart w:id="76" w:name="_Toc35393803"/>
      <w:r>
        <w:rPr>
          <w:rFonts w:hint="eastAsia" w:ascii="宋体" w:hAnsi="宋体" w:eastAsia="宋体" w:cs="宋体"/>
          <w:b/>
          <w:bCs/>
          <w:color w:val="auto"/>
          <w:kern w:val="2"/>
          <w:sz w:val="24"/>
          <w:szCs w:val="24"/>
          <w:highlight w:val="none"/>
          <w:lang w:val="en-US" w:eastAsia="zh-CN" w:bidi="ar-SA"/>
        </w:rPr>
        <w:t>四、</w:t>
      </w:r>
      <w:bookmarkEnd w:id="62"/>
      <w:bookmarkEnd w:id="63"/>
      <w:bookmarkEnd w:id="64"/>
      <w:bookmarkEnd w:id="65"/>
      <w:bookmarkEnd w:id="66"/>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67"/>
      <w:bookmarkEnd w:id="68"/>
      <w:bookmarkEnd w:id="69"/>
      <w:bookmarkEnd w:id="70"/>
    </w:p>
    <w:p w14:paraId="2D110B47">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1.截止时间</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开标时间：</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日</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时</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p w14:paraId="51B173F3">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2.递交方式：</w:t>
      </w:r>
      <w:bookmarkStart w:id="77" w:name="_Hlk89807823"/>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政采云平台线上（网址：https://www.zcygov.cn/）</w:t>
      </w:r>
      <w:r>
        <w:rPr>
          <w:rFonts w:hint="eastAsia" w:ascii="宋体" w:hAnsi="宋体" w:eastAsia="宋体" w:cs="宋体"/>
          <w:color w:val="auto"/>
          <w:sz w:val="24"/>
          <w:szCs w:val="24"/>
          <w:highlight w:val="none"/>
        </w:rPr>
        <w:t>进入“项目采购”应用，在投标文件上传菜单中选择项目进行上传。</w:t>
      </w:r>
      <w:bookmarkEnd w:id="77"/>
    </w:p>
    <w:p w14:paraId="276D3E17">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3.开标</w:t>
      </w:r>
      <w:r>
        <w:rPr>
          <w:rFonts w:hint="eastAsia" w:ascii="宋体" w:hAnsi="宋体" w:eastAsia="宋体" w:cs="宋体"/>
          <w:color w:val="auto"/>
          <w:sz w:val="24"/>
          <w:szCs w:val="24"/>
          <w:highlight w:val="none"/>
          <w:lang w:val="en-US"/>
        </w:rPr>
        <w:t>地点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lang w:val="en-US"/>
        </w:rPr>
        <w:t>登录政采云平台https</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//www.zcygov.cn/，进入项目采购</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开</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rPr>
        <w:t>评标</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右边选择对应项目点击“进入项目”进入开标大厅</w:t>
      </w:r>
      <w:r>
        <w:rPr>
          <w:rFonts w:hint="eastAsia" w:ascii="宋体" w:hAnsi="宋体" w:eastAsia="宋体" w:cs="宋体"/>
          <w:color w:val="auto"/>
          <w:sz w:val="24"/>
          <w:szCs w:val="24"/>
          <w:highlight w:val="none"/>
        </w:rPr>
        <w:t>。</w:t>
      </w:r>
    </w:p>
    <w:bookmarkEnd w:id="71"/>
    <w:p w14:paraId="679A69E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8" w:name="_Toc5825"/>
      <w:bookmarkStart w:id="79" w:name="_Toc27965"/>
      <w:bookmarkStart w:id="80" w:name="_Toc109899833"/>
      <w:bookmarkStart w:id="81" w:name="_Toc109900252"/>
      <w:bookmarkStart w:id="82" w:name="_Toc155185864"/>
      <w:bookmarkStart w:id="83" w:name="_Toc22987"/>
      <w:bookmarkStart w:id="84" w:name="_Toc109899414"/>
      <w:bookmarkStart w:id="85" w:name="_Toc140132749"/>
      <w:bookmarkStart w:id="86" w:name="_Toc22506"/>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72"/>
      <w:bookmarkEnd w:id="73"/>
      <w:bookmarkEnd w:id="74"/>
      <w:bookmarkEnd w:id="75"/>
      <w:bookmarkEnd w:id="76"/>
      <w:bookmarkEnd w:id="78"/>
      <w:bookmarkEnd w:id="79"/>
      <w:bookmarkEnd w:id="80"/>
      <w:bookmarkEnd w:id="81"/>
      <w:bookmarkEnd w:id="82"/>
      <w:bookmarkEnd w:id="83"/>
      <w:bookmarkEnd w:id="84"/>
      <w:bookmarkEnd w:id="85"/>
      <w:bookmarkEnd w:id="86"/>
    </w:p>
    <w:p w14:paraId="32028F42">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自招标公告发布之日起5个工作日。</w:t>
      </w:r>
    </w:p>
    <w:p w14:paraId="20DD1AA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7" w:name="_Toc32450"/>
      <w:bookmarkStart w:id="88" w:name="_Toc109899415"/>
      <w:bookmarkStart w:id="89" w:name="_Toc10290"/>
      <w:bookmarkStart w:id="90" w:name="_Toc299"/>
      <w:bookmarkStart w:id="91" w:name="_Toc44583634"/>
      <w:bookmarkStart w:id="92" w:name="_Toc35393804"/>
      <w:bookmarkStart w:id="93" w:name="_Toc35393635"/>
      <w:bookmarkStart w:id="94" w:name="_Toc19698"/>
      <w:bookmarkStart w:id="95" w:name="_Toc140132750"/>
      <w:bookmarkStart w:id="96" w:name="_Toc109900253"/>
      <w:bookmarkStart w:id="97" w:name="_Toc155185865"/>
      <w:bookmarkStart w:id="98" w:name="_Toc109899834"/>
      <w:bookmarkStart w:id="99" w:name="_Toc28359019"/>
      <w:bookmarkStart w:id="100" w:name="_Toc35393806"/>
      <w:bookmarkStart w:id="101" w:name="_Toc35393637"/>
      <w:bookmarkStart w:id="102" w:name="_Toc28359096"/>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87"/>
      <w:bookmarkEnd w:id="88"/>
      <w:bookmarkEnd w:id="89"/>
      <w:bookmarkEnd w:id="90"/>
      <w:bookmarkEnd w:id="91"/>
      <w:bookmarkEnd w:id="92"/>
      <w:bookmarkEnd w:id="93"/>
      <w:bookmarkEnd w:id="94"/>
      <w:bookmarkEnd w:id="95"/>
      <w:bookmarkEnd w:id="96"/>
      <w:bookmarkEnd w:id="97"/>
      <w:bookmarkEnd w:id="98"/>
    </w:p>
    <w:p w14:paraId="73AD0EAC">
      <w:pPr>
        <w:widowControl/>
        <w:spacing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1、本项目实行网上投标，采用电子投标文件。</w:t>
      </w:r>
    </w:p>
    <w:p w14:paraId="3168A066">
      <w:pPr>
        <w:widowControl/>
        <w:spacing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167DE9A">
      <w:pPr>
        <w:widowControl/>
        <w:spacing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3、供应商将政采云电子交易客户端下载、安装完成后，可通过账号密码或CA登录客户端进行投标文件的制作。在使用政采云投标客户端时，建议使用WIN7及以上操作系统。</w:t>
      </w:r>
    </w:p>
    <w:p w14:paraId="55A61C80">
      <w:pPr>
        <w:widowControl/>
        <w:spacing w:line="360" w:lineRule="auto"/>
        <w:ind w:firstLine="480" w:firstLineChars="200"/>
        <w:jc w:val="left"/>
        <w:rPr>
          <w:rFonts w:hint="eastAsia"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4、其他事项：①</w:t>
      </w:r>
      <w:r>
        <w:rPr>
          <w:rFonts w:hint="eastAsia" w:ascii="宋体" w:hAnsi="宋体" w:eastAsia="宋体" w:cs="宋体"/>
          <w:color w:val="auto"/>
          <w:kern w:val="0"/>
          <w:sz w:val="24"/>
          <w:szCs w:val="24"/>
          <w:highlight w:val="none"/>
          <w:lang w:eastAsia="zh-CN"/>
        </w:rPr>
        <w:t>如需咨询，</w:t>
      </w:r>
      <w:r>
        <w:rPr>
          <w:rFonts w:hint="eastAsia" w:ascii="宋体" w:hAnsi="宋体" w:eastAsia="宋体" w:cs="宋体"/>
          <w:color w:val="auto"/>
          <w:kern w:val="0"/>
          <w:sz w:val="24"/>
          <w:szCs w:val="24"/>
          <w:highlight w:val="none"/>
          <w:lang w:val="en-US" w:eastAsia="zh-CN"/>
        </w:rPr>
        <w:t>可</w:t>
      </w:r>
      <w:r>
        <w:rPr>
          <w:rFonts w:hint="eastAsia" w:ascii="宋体" w:hAnsi="宋体" w:eastAsia="宋体" w:cs="宋体"/>
          <w:color w:val="auto"/>
          <w:kern w:val="0"/>
          <w:sz w:val="24"/>
          <w:szCs w:val="24"/>
          <w:highlight w:val="none"/>
          <w:lang w:eastAsia="zh-CN"/>
        </w:rPr>
        <w:t>联系新疆CA服务热线 0991-2819290；</w:t>
      </w:r>
      <w:r>
        <w:rPr>
          <w:rFonts w:hint="eastAsia" w:ascii="宋体" w:hAnsi="宋体" w:eastAsia="宋体" w:cs="宋体"/>
          <w:color w:val="auto"/>
          <w:kern w:val="0"/>
          <w:sz w:val="24"/>
          <w:szCs w:val="24"/>
          <w:highlight w:val="none"/>
          <w:lang w:val="en-US" w:eastAsia="zh-CN"/>
        </w:rPr>
        <w:t>②供应商须注意事项：</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本项目实行电子招投标，供应商须登录政采云平台https://www.zcygov.cn/申请获取招标文件，并通过政采云电子投标客户端制作响应文件，同时自行承担与投标有关的一切费用</w:t>
      </w:r>
      <w:r>
        <w:rPr>
          <w:rFonts w:hint="eastAsia" w:cs="宋体"/>
          <w:color w:val="auto"/>
          <w:kern w:val="0"/>
          <w:sz w:val="24"/>
          <w:szCs w:val="24"/>
          <w:highlight w:val="none"/>
          <w:lang w:val="en-US" w:eastAsia="zh-CN"/>
        </w:rPr>
        <w:t>；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26A1228">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特别提示：</w:t>
      </w:r>
    </w:p>
    <w:p w14:paraId="3E8999CD">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1、采购限额标准以上，200万元以下的货物和服务采购项目、400万元以下的工程采购项目，适宜由中小企业提供的，采购人应当专门面向中小企业采购。</w:t>
      </w:r>
    </w:p>
    <w:p w14:paraId="4E90F4FA">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2、超过200万元的货物和服务采购项目，预留该部分采购项目预算总额的30%以上专门面向中小企业采购，其中预留给小微企业的比例不低于60%。</w:t>
      </w:r>
    </w:p>
    <w:p w14:paraId="6A9B5080">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3、超过400万元的工程采购项目中适宜由中小企业提供的，预留该部分采购项目预算总额的40%以上专门面向中小企业采购，其中预留给小微企业的比例不低于60%。</w:t>
      </w:r>
    </w:p>
    <w:p w14:paraId="3CA7BF03">
      <w:pPr>
        <w:pStyle w:val="8"/>
        <w:keepNext w:val="0"/>
        <w:keepLines w:val="0"/>
        <w:widowControl/>
        <w:suppressLineNumbers w:val="0"/>
        <w:wordWrap w:val="0"/>
        <w:spacing w:before="50" w:beforeAutospacing="0" w:after="50" w:afterAutospacing="0"/>
        <w:ind w:left="0" w:right="0" w:firstLine="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C4EFAFF">
      <w:pPr>
        <w:pStyle w:val="8"/>
        <w:keepNext w:val="0"/>
        <w:keepLines w:val="0"/>
        <w:widowControl/>
        <w:suppressLineNumbers w:val="0"/>
        <w:wordWrap w:val="0"/>
        <w:spacing w:before="50" w:beforeAutospacing="0" w:after="50" w:afterAutospacing="0"/>
        <w:ind w:left="0" w:right="0" w:firstLine="0"/>
        <w:rPr>
          <w:rFonts w:hint="eastAsia"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bookmarkEnd w:id="3"/>
    <w:bookmarkEnd w:id="99"/>
    <w:bookmarkEnd w:id="100"/>
    <w:bookmarkEnd w:id="101"/>
    <w:bookmarkEnd w:id="102"/>
    <w:p w14:paraId="723251BD">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103" w:name="_Toc109899416"/>
      <w:bookmarkStart w:id="104" w:name="_Toc28359018"/>
      <w:bookmarkStart w:id="105" w:name="_Toc35393805"/>
      <w:bookmarkStart w:id="106" w:name="_Toc140132751"/>
      <w:bookmarkStart w:id="107" w:name="_Toc109900254"/>
      <w:bookmarkStart w:id="108" w:name="_Toc109899835"/>
      <w:bookmarkStart w:id="109" w:name="_Toc155185866"/>
      <w:bookmarkStart w:id="110" w:name="_Toc44583635"/>
      <w:bookmarkStart w:id="111" w:name="_Toc28359095"/>
      <w:bookmarkStart w:id="112" w:name="_Toc35393636"/>
      <w:bookmarkStart w:id="113" w:name="_Toc17135"/>
      <w:bookmarkStart w:id="114" w:name="_Toc22952"/>
      <w:bookmarkStart w:id="115" w:name="_Toc15605"/>
      <w:bookmarkStart w:id="116" w:name="_Toc10776"/>
      <w:r>
        <w:rPr>
          <w:rFonts w:hint="eastAsia" w:ascii="宋体" w:hAnsi="宋体" w:eastAsia="宋体" w:cs="宋体"/>
          <w:b/>
          <w:bCs/>
          <w:color w:val="auto"/>
          <w:kern w:val="2"/>
          <w:sz w:val="24"/>
          <w:szCs w:val="24"/>
          <w:highlight w:val="none"/>
          <w:lang w:val="en-US" w:eastAsia="zh-CN" w:bidi="ar-SA"/>
        </w:rPr>
        <w:t>七、</w:t>
      </w:r>
      <w:bookmarkEnd w:id="103"/>
      <w:bookmarkEnd w:id="104"/>
      <w:bookmarkEnd w:id="105"/>
      <w:bookmarkEnd w:id="106"/>
      <w:bookmarkEnd w:id="107"/>
      <w:bookmarkEnd w:id="108"/>
      <w:bookmarkEnd w:id="109"/>
      <w:bookmarkEnd w:id="110"/>
      <w:bookmarkEnd w:id="111"/>
      <w:bookmarkEnd w:id="11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113"/>
      <w:bookmarkEnd w:id="114"/>
      <w:bookmarkEnd w:id="115"/>
      <w:bookmarkEnd w:id="116"/>
    </w:p>
    <w:p w14:paraId="4CF14641">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1.采购人信息</w:t>
      </w:r>
    </w:p>
    <w:p w14:paraId="555302F6">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r>
        <w:rPr>
          <w:rFonts w:hint="eastAsia" w:cs="宋体"/>
          <w:color w:val="auto"/>
          <w:sz w:val="24"/>
          <w:szCs w:val="24"/>
          <w:highlight w:val="none"/>
          <w:lang w:val="en-US" w:eastAsia="zh-CN"/>
        </w:rPr>
        <w:t>新疆某单位</w:t>
      </w:r>
    </w:p>
    <w:p w14:paraId="035733D2">
      <w:pPr>
        <w:pStyle w:val="39"/>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w:t>
      </w:r>
      <w:r>
        <w:rPr>
          <w:rFonts w:hint="eastAsia" w:cs="宋体"/>
          <w:color w:val="auto"/>
          <w:sz w:val="24"/>
          <w:szCs w:val="24"/>
          <w:highlight w:val="none"/>
          <w:lang w:val="en-US" w:eastAsia="zh-CN"/>
        </w:rPr>
        <w:t>新疆维吾尔自治区乌鲁木齐市新市区</w:t>
      </w:r>
    </w:p>
    <w:p w14:paraId="094E1937">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eastAsia" w:cs="宋体"/>
          <w:color w:val="auto"/>
          <w:sz w:val="24"/>
          <w:szCs w:val="24"/>
          <w:highlight w:val="none"/>
          <w:lang w:val="en-US" w:eastAsia="zh-CN"/>
        </w:rPr>
        <w:t>杨先生</w:t>
      </w:r>
      <w:r>
        <w:rPr>
          <w:rFonts w:hint="eastAsia" w:ascii="宋体" w:hAnsi="宋体" w:eastAsia="宋体" w:cs="宋体"/>
          <w:color w:val="auto"/>
          <w:sz w:val="24"/>
          <w:szCs w:val="24"/>
          <w:highlight w:val="none"/>
          <w:lang w:val="en-US" w:eastAsia="zh-CN"/>
        </w:rPr>
        <w:t xml:space="preserve"> </w:t>
      </w:r>
    </w:p>
    <w:p w14:paraId="605766FA">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cs="宋体"/>
          <w:color w:val="auto"/>
          <w:sz w:val="24"/>
          <w:szCs w:val="24"/>
          <w:highlight w:val="none"/>
          <w:lang w:val="en-US" w:eastAsia="zh-CN"/>
        </w:rPr>
        <w:t>0991-6615509</w:t>
      </w:r>
      <w:r>
        <w:rPr>
          <w:rFonts w:hint="eastAsia" w:ascii="宋体" w:hAnsi="宋体" w:eastAsia="宋体" w:cs="宋体"/>
          <w:color w:val="auto"/>
          <w:sz w:val="24"/>
          <w:szCs w:val="24"/>
          <w:highlight w:val="none"/>
          <w:lang w:val="en-US" w:eastAsia="zh-CN"/>
        </w:rPr>
        <w:t xml:space="preserve"> </w:t>
      </w:r>
    </w:p>
    <w:p w14:paraId="31406D8E">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2.采购代理机构信息</w:t>
      </w:r>
    </w:p>
    <w:p w14:paraId="317B1903">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名称：中招国际招标有限公司</w:t>
      </w:r>
    </w:p>
    <w:p w14:paraId="0F6D9D66">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地址：乌鲁木齐市水磨沟区南湖北路486号南湖明珠大厦南区8楼</w:t>
      </w:r>
    </w:p>
    <w:p w14:paraId="114E23BB">
      <w:pPr>
        <w:pStyle w:val="39"/>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eastAsia" w:cs="宋体"/>
          <w:color w:val="auto"/>
          <w:sz w:val="24"/>
          <w:szCs w:val="24"/>
          <w:highlight w:val="none"/>
          <w:lang w:val="en-US" w:eastAsia="zh-CN"/>
        </w:rPr>
        <w:t>18690633633</w:t>
      </w:r>
      <w:r>
        <w:rPr>
          <w:rFonts w:hint="eastAsia" w:ascii="宋体" w:hAnsi="宋体" w:eastAsia="宋体" w:cs="宋体"/>
          <w:color w:val="auto"/>
          <w:sz w:val="24"/>
          <w:szCs w:val="24"/>
          <w:highlight w:val="none"/>
          <w:lang w:val="en-US" w:eastAsia="zh-CN"/>
        </w:rPr>
        <w:t>、13699387229</w:t>
      </w:r>
    </w:p>
    <w:p w14:paraId="3AC437B8">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项目联系人：程建军、师翠婷、徐中凤、张辉</w:t>
      </w:r>
    </w:p>
    <w:p w14:paraId="682113AF">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588A0E96">
      <w:pPr>
        <w:rPr>
          <w:rFonts w:hint="eastAsia" w:ascii="宋体" w:hAnsi="宋体" w:eastAsia="宋体" w:cs="宋体"/>
          <w:b/>
          <w:bCs/>
          <w:color w:val="auto"/>
          <w:kern w:val="44"/>
          <w:sz w:val="36"/>
          <w:szCs w:val="36"/>
          <w:highlight w:val="none"/>
          <w:lang w:val="en-US" w:eastAsia="zh-CN" w:bidi="ar-SA"/>
        </w:rPr>
      </w:pPr>
      <w:bookmarkStart w:id="117" w:name="_Toc26793"/>
      <w:bookmarkStart w:id="118" w:name="_Toc155185867"/>
      <w:bookmarkStart w:id="119" w:name="_Toc32500"/>
      <w:r>
        <w:rPr>
          <w:rFonts w:hint="eastAsia" w:ascii="宋体" w:hAnsi="宋体" w:eastAsia="宋体" w:cs="宋体"/>
          <w:b/>
          <w:bCs/>
          <w:color w:val="auto"/>
          <w:kern w:val="44"/>
          <w:sz w:val="36"/>
          <w:szCs w:val="36"/>
          <w:highlight w:val="none"/>
          <w:lang w:val="en-US" w:eastAsia="zh-CN" w:bidi="ar-SA"/>
        </w:rPr>
        <w:br w:type="page"/>
      </w:r>
      <w:bookmarkStart w:id="530" w:name="_GoBack"/>
      <w:bookmarkEnd w:id="530"/>
    </w:p>
    <w:p w14:paraId="6A56ADB8">
      <w:pPr>
        <w:pStyle w:val="2"/>
        <w:keepNext/>
        <w:keepLines/>
        <w:pageBreakBefore w:val="0"/>
        <w:widowControl w:val="0"/>
        <w:numPr>
          <w:ilvl w:val="0"/>
          <w:numId w:val="0"/>
        </w:numPr>
        <w:kinsoku/>
        <w:wordWrap/>
        <w:overflowPunct/>
        <w:topLinePunct w:val="0"/>
        <w:autoSpaceDE/>
        <w:autoSpaceDN/>
        <w:bidi w:val="0"/>
        <w:adjustRightInd/>
        <w:snapToGrid/>
        <w:spacing w:before="220" w:after="220" w:line="36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第二章 投标人须知</w:t>
      </w:r>
      <w:bookmarkEnd w:id="117"/>
      <w:bookmarkEnd w:id="118"/>
      <w:bookmarkEnd w:id="119"/>
    </w:p>
    <w:p w14:paraId="75B79534">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20" w:name="_Toc155185868"/>
      <w:bookmarkStart w:id="121" w:name="_Toc2970"/>
      <w:bookmarkStart w:id="122" w:name="_Toc11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20"/>
      <w:bookmarkEnd w:id="121"/>
      <w:bookmarkEnd w:id="122"/>
    </w:p>
    <w:p w14:paraId="7F3ACB7A">
      <w:pPr>
        <w:pStyle w:val="39"/>
        <w:keepNext w:val="0"/>
        <w:keepLines w:val="0"/>
        <w:pageBreakBefore w:val="0"/>
        <w:widowControl w:val="0"/>
        <w:kinsoku/>
        <w:overflowPunct/>
        <w:topLinePunct w:val="0"/>
        <w:autoSpaceDE/>
        <w:autoSpaceDN/>
        <w:bidi w:val="0"/>
        <w:adjustRightInd/>
        <w:snapToGrid/>
        <w:textAlignment w:val="auto"/>
        <w:rPr>
          <w:rFonts w:hint="default" w:eastAsia="宋体"/>
          <w:color w:val="auto"/>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r>
        <w:rPr>
          <w:rFonts w:hint="eastAsia" w:ascii="宋体" w:hAnsi="宋体" w:eastAsia="宋体"/>
          <w:color w:val="auto"/>
          <w:highlight w:val="none"/>
          <w:lang w:val="en-US" w:eastAsia="zh-CN"/>
        </w:rPr>
        <w:t>。</w:t>
      </w:r>
    </w:p>
    <w:tbl>
      <w:tblPr>
        <w:tblStyle w:val="31"/>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60441C76">
            <w:pPr>
              <w:pStyle w:val="51"/>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w:t>
            </w:r>
          </w:p>
        </w:tc>
        <w:tc>
          <w:tcPr>
            <w:tcW w:w="1738" w:type="dxa"/>
            <w:shd w:val="clear" w:color="auto" w:fill="auto"/>
            <w:vAlign w:val="center"/>
          </w:tcPr>
          <w:p w14:paraId="3D9DB5F0">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w:t>
            </w:r>
          </w:p>
        </w:tc>
        <w:tc>
          <w:tcPr>
            <w:tcW w:w="6700" w:type="dxa"/>
            <w:shd w:val="clear" w:color="auto" w:fill="auto"/>
            <w:vAlign w:val="center"/>
          </w:tcPr>
          <w:p w14:paraId="1C514CED">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名    称：</w:t>
            </w:r>
            <w:r>
              <w:rPr>
                <w:rFonts w:hint="eastAsia" w:cs="宋体"/>
                <w:color w:val="auto"/>
                <w:kern w:val="2"/>
                <w:sz w:val="24"/>
                <w:szCs w:val="24"/>
                <w:highlight w:val="none"/>
                <w:lang w:val="en-US" w:eastAsia="zh-CN" w:bidi="ar-SA"/>
              </w:rPr>
              <w:t>新疆某单位</w:t>
            </w:r>
          </w:p>
          <w:p w14:paraId="53D4BFE6">
            <w:pPr>
              <w:pStyle w:val="51"/>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址：新疆乌鲁木齐市</w:t>
            </w:r>
            <w:r>
              <w:rPr>
                <w:rFonts w:hint="eastAsia" w:cs="宋体"/>
                <w:color w:val="auto"/>
                <w:kern w:val="2"/>
                <w:sz w:val="24"/>
                <w:szCs w:val="24"/>
                <w:highlight w:val="none"/>
                <w:lang w:val="en-US" w:eastAsia="zh-CN" w:bidi="ar-SA"/>
              </w:rPr>
              <w:t>新市区</w:t>
            </w:r>
          </w:p>
          <w:p w14:paraId="72303B05">
            <w:pPr>
              <w:pStyle w:val="51"/>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 系 人：</w:t>
            </w:r>
            <w:r>
              <w:rPr>
                <w:rFonts w:hint="eastAsia" w:cs="宋体"/>
                <w:color w:val="auto"/>
                <w:kern w:val="2"/>
                <w:sz w:val="24"/>
                <w:szCs w:val="24"/>
                <w:highlight w:val="none"/>
                <w:lang w:val="en-US" w:eastAsia="zh-CN" w:bidi="ar-SA"/>
              </w:rPr>
              <w:t>杨先生</w:t>
            </w:r>
          </w:p>
          <w:p w14:paraId="6A0C3D8A">
            <w:pPr>
              <w:pStyle w:val="51"/>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联系电话：</w:t>
            </w:r>
            <w:r>
              <w:rPr>
                <w:rFonts w:hint="eastAsia" w:cs="宋体"/>
                <w:color w:val="auto"/>
                <w:kern w:val="2"/>
                <w:sz w:val="24"/>
                <w:szCs w:val="24"/>
                <w:highlight w:val="none"/>
                <w:lang w:val="en-US" w:eastAsia="zh-CN" w:bidi="ar-SA"/>
              </w:rPr>
              <w:t xml:space="preserve"> 0991-6615509</w:t>
            </w:r>
          </w:p>
        </w:tc>
      </w:tr>
      <w:tr w14:paraId="22746C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6B1219FC">
            <w:pPr>
              <w:pStyle w:val="51"/>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w:t>
            </w:r>
          </w:p>
        </w:tc>
        <w:tc>
          <w:tcPr>
            <w:tcW w:w="1738" w:type="dxa"/>
            <w:shd w:val="clear" w:color="auto" w:fill="auto"/>
            <w:vAlign w:val="center"/>
          </w:tcPr>
          <w:p w14:paraId="3107C3B8">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采购代理机构</w:t>
            </w:r>
          </w:p>
        </w:tc>
        <w:tc>
          <w:tcPr>
            <w:tcW w:w="6700" w:type="dxa"/>
            <w:shd w:val="clear" w:color="auto" w:fill="auto"/>
            <w:vAlign w:val="center"/>
          </w:tcPr>
          <w:p w14:paraId="58FF043C">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名    称：中招国际招标有限公司</w:t>
            </w:r>
          </w:p>
          <w:p w14:paraId="6BC246E0">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址：乌鲁木齐市水磨沟区南湖北路486号南湖明珠大厦南区8楼</w:t>
            </w:r>
          </w:p>
          <w:p w14:paraId="174907A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 系 人：师翠婷、程建军、徐中凤、张辉</w:t>
            </w:r>
          </w:p>
          <w:p w14:paraId="32472EC3">
            <w:pPr>
              <w:pStyle w:val="51"/>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联系电话：</w:t>
            </w:r>
            <w:r>
              <w:rPr>
                <w:rFonts w:hint="eastAsia" w:cs="宋体"/>
                <w:color w:val="auto"/>
                <w:kern w:val="2"/>
                <w:sz w:val="24"/>
                <w:szCs w:val="24"/>
                <w:highlight w:val="none"/>
                <w:lang w:val="en-US" w:eastAsia="zh-CN" w:bidi="ar-SA"/>
              </w:rPr>
              <w:t>18690633633</w:t>
            </w:r>
            <w:r>
              <w:rPr>
                <w:rFonts w:hint="eastAsia" w:ascii="宋体" w:hAnsi="宋体" w:eastAsia="宋体" w:cs="宋体"/>
                <w:color w:val="auto"/>
                <w:kern w:val="2"/>
                <w:sz w:val="24"/>
                <w:szCs w:val="24"/>
                <w:highlight w:val="none"/>
                <w:lang w:val="en-US" w:eastAsia="zh-CN" w:bidi="ar-SA"/>
              </w:rPr>
              <w:t>、13699387229</w:t>
            </w:r>
          </w:p>
          <w:p w14:paraId="7F4013BA">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电子邮件：</w:t>
            </w:r>
            <w:r>
              <w:rPr>
                <w:rFonts w:hint="eastAsia" w:cs="宋体"/>
                <w:color w:val="auto"/>
                <w:kern w:val="2"/>
                <w:sz w:val="24"/>
                <w:szCs w:val="24"/>
                <w:highlight w:val="none"/>
                <w:lang w:val="en-US" w:eastAsia="zh-CN" w:bidi="ar-SA"/>
              </w:rPr>
              <w:t>yuanjinlin</w:t>
            </w:r>
            <w:r>
              <w:rPr>
                <w:rFonts w:hint="eastAsia" w:ascii="宋体" w:hAnsi="宋体" w:eastAsia="宋体" w:cs="宋体"/>
                <w:color w:val="auto"/>
                <w:kern w:val="2"/>
                <w:sz w:val="24"/>
                <w:szCs w:val="24"/>
                <w:highlight w:val="none"/>
                <w:lang w:val="en-US" w:eastAsia="zh-CN" w:bidi="ar-SA"/>
              </w:rPr>
              <w:t>@cntcitc.com.cn</w:t>
            </w:r>
          </w:p>
        </w:tc>
      </w:tr>
      <w:tr w14:paraId="2B121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shd w:val="clear" w:color="auto" w:fill="auto"/>
            <w:vAlign w:val="center"/>
          </w:tcPr>
          <w:p w14:paraId="61ABC88B">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2.5</w:t>
            </w:r>
          </w:p>
        </w:tc>
        <w:tc>
          <w:tcPr>
            <w:tcW w:w="1738" w:type="dxa"/>
            <w:shd w:val="clear" w:color="auto" w:fill="auto"/>
            <w:vAlign w:val="center"/>
          </w:tcPr>
          <w:p w14:paraId="1B54350F">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服务包含的内容</w:t>
            </w:r>
          </w:p>
        </w:tc>
        <w:tc>
          <w:tcPr>
            <w:tcW w:w="6700" w:type="dxa"/>
            <w:shd w:val="clear" w:color="auto" w:fill="auto"/>
            <w:vAlign w:val="center"/>
          </w:tcPr>
          <w:p w14:paraId="6681D639">
            <w:pPr>
              <w:pStyle w:val="51"/>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主要内容：</w:t>
            </w:r>
            <w:r>
              <w:rPr>
                <w:rFonts w:hint="eastAsia" w:ascii="宋体" w:hAnsi="宋体" w:eastAsia="宋体" w:cs="宋体"/>
                <w:color w:val="auto"/>
                <w:sz w:val="24"/>
                <w:szCs w:val="24"/>
                <w:highlight w:val="none"/>
                <w:u w:val="single"/>
                <w:lang w:val="en-US" w:eastAsia="zh-CN"/>
              </w:rPr>
              <w:t>移动执法终端的运行保障及维修替换服务、管理平台运维服务、应用功能提升完善服务、安全管控能力服务</w:t>
            </w:r>
            <w:r>
              <w:rPr>
                <w:rFonts w:hint="eastAsia" w:ascii="宋体" w:hAnsi="宋体" w:eastAsia="宋体" w:cs="宋体"/>
                <w:color w:val="auto"/>
                <w:sz w:val="24"/>
                <w:szCs w:val="24"/>
                <w:highlight w:val="none"/>
                <w:lang w:val="en-US" w:eastAsia="zh-CN"/>
              </w:rPr>
              <w:t xml:space="preserve">。 </w:t>
            </w:r>
          </w:p>
          <w:p w14:paraId="751FA732">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□其他内容：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88" w:hRule="atLeast"/>
        </w:trPr>
        <w:tc>
          <w:tcPr>
            <w:tcW w:w="970" w:type="dxa"/>
            <w:vAlign w:val="center"/>
          </w:tcPr>
          <w:p w14:paraId="3A136892">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1"/>
              <w:rPr>
                <w:rFonts w:hint="eastAsia" w:ascii="宋体" w:hAnsi="宋体" w:eastAsia="宋体" w:cs="宋体"/>
                <w:color w:val="auto"/>
                <w:sz w:val="24"/>
                <w:szCs w:val="24"/>
                <w:highlight w:val="none"/>
              </w:rPr>
            </w:pPr>
            <w:bookmarkStart w:id="123" w:name="_Hlk143529175"/>
            <w:r>
              <w:rPr>
                <w:rFonts w:hint="eastAsia" w:ascii="宋体" w:hAnsi="宋体" w:eastAsia="宋体" w:cs="宋体"/>
                <w:color w:val="auto"/>
                <w:sz w:val="24"/>
                <w:szCs w:val="24"/>
                <w:highlight w:val="none"/>
              </w:rPr>
              <w:t>现场考察</w:t>
            </w:r>
            <w:bookmarkEnd w:id="123"/>
          </w:p>
        </w:tc>
        <w:tc>
          <w:tcPr>
            <w:tcW w:w="6700" w:type="dxa"/>
            <w:vAlign w:val="center"/>
          </w:tcPr>
          <w:p w14:paraId="36549596">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r>
              <w:rPr>
                <w:rFonts w:hint="eastAsia" w:ascii="宋体" w:hAnsi="宋体" w:eastAsia="宋体" w:cs="宋体"/>
                <w:color w:val="auto"/>
                <w:sz w:val="24"/>
                <w:szCs w:val="24"/>
                <w:highlight w:val="none"/>
                <w:lang w:eastAsia="zh-CN"/>
              </w:rPr>
              <w:t>。</w:t>
            </w:r>
          </w:p>
          <w:p w14:paraId="70F719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938D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24" w:hRule="atLeast"/>
        </w:trPr>
        <w:tc>
          <w:tcPr>
            <w:tcW w:w="970" w:type="dxa"/>
            <w:shd w:val="clear" w:color="auto" w:fill="auto"/>
            <w:vAlign w:val="center"/>
          </w:tcPr>
          <w:p w14:paraId="72B7B10E">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9.5</w:t>
            </w:r>
          </w:p>
        </w:tc>
        <w:tc>
          <w:tcPr>
            <w:tcW w:w="1738" w:type="dxa"/>
            <w:shd w:val="clear" w:color="auto" w:fill="auto"/>
            <w:vAlign w:val="center"/>
          </w:tcPr>
          <w:p w14:paraId="5202195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答疑会</w:t>
            </w:r>
          </w:p>
        </w:tc>
        <w:tc>
          <w:tcPr>
            <w:tcW w:w="6700" w:type="dxa"/>
            <w:shd w:val="clear" w:color="auto" w:fill="auto"/>
            <w:vAlign w:val="center"/>
          </w:tcPr>
          <w:p w14:paraId="632E2EEB">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6646290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7A836479">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8CC81D0">
            <w:pPr>
              <w:pStyle w:val="51"/>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询问</w:t>
            </w:r>
          </w:p>
        </w:tc>
        <w:tc>
          <w:tcPr>
            <w:tcW w:w="6700" w:type="dxa"/>
            <w:vAlign w:val="center"/>
          </w:tcPr>
          <w:p w14:paraId="54FE1DAF">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p>
          <w:p w14:paraId="5C7617AF">
            <w:pPr>
              <w:pStyle w:val="51"/>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客户端中按照格式填写询问函，并在生成询问函后加盖电子印章提交</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电话</w:t>
            </w:r>
            <w:r>
              <w:rPr>
                <w:rFonts w:hint="eastAsia" w:cs="宋体"/>
                <w:i w:val="0"/>
                <w:iCs w:val="0"/>
                <w:color w:val="auto"/>
                <w:sz w:val="24"/>
                <w:szCs w:val="24"/>
                <w:highlight w:val="none"/>
                <w:u w:val="single"/>
                <w:lang w:val="en-US" w:eastAsia="zh-CN"/>
              </w:rPr>
              <w:t>咨询</w:t>
            </w:r>
            <w:r>
              <w:rPr>
                <w:rFonts w:hint="eastAsia" w:ascii="宋体" w:hAnsi="宋体" w:eastAsia="宋体" w:cs="宋体"/>
                <w:i w:val="0"/>
                <w:iCs w:val="0"/>
                <w:color w:val="auto"/>
                <w:sz w:val="24"/>
                <w:szCs w:val="24"/>
                <w:highlight w:val="none"/>
              </w:rPr>
              <w:t>。</w:t>
            </w:r>
          </w:p>
          <w:p w14:paraId="5AA3681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每天上午</w:t>
            </w:r>
            <w:r>
              <w:rPr>
                <w:rFonts w:hint="eastAsia" w:ascii="宋体" w:hAnsi="宋体" w:eastAsia="宋体" w:cs="宋体"/>
                <w:i w:val="0"/>
                <w:iCs w:val="0"/>
                <w:color w:val="auto"/>
                <w:sz w:val="24"/>
                <w:szCs w:val="24"/>
                <w:highlight w:val="none"/>
                <w:u w:val="single"/>
                <w:lang w:val="en-US" w:eastAsia="zh-CN"/>
              </w:rPr>
              <w:t>1</w:t>
            </w:r>
            <w:r>
              <w:rPr>
                <w:rFonts w:hint="eastAsia" w:ascii="宋体" w:hAnsi="宋体" w:eastAsia="宋体" w:cs="宋体"/>
                <w:i w:val="0"/>
                <w:iCs w:val="0"/>
                <w:color w:val="auto"/>
                <w:sz w:val="24"/>
                <w:szCs w:val="24"/>
                <w:highlight w:val="none"/>
                <w:u w:val="single"/>
              </w:rPr>
              <w:t>0:00 至1</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0，下午</w:t>
            </w:r>
            <w:r>
              <w:rPr>
                <w:rFonts w:hint="eastAsia" w:ascii="宋体" w:hAnsi="宋体" w:eastAsia="宋体" w:cs="宋体"/>
                <w:i w:val="0"/>
                <w:iCs w:val="0"/>
                <w:color w:val="auto"/>
                <w:sz w:val="24"/>
                <w:szCs w:val="24"/>
                <w:highlight w:val="none"/>
                <w:u w:val="single"/>
                <w:lang w:val="en-US" w:eastAsia="zh-CN"/>
              </w:rPr>
              <w:t>15</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rPr>
              <w:t>0至</w:t>
            </w:r>
            <w:r>
              <w:rPr>
                <w:rFonts w:hint="eastAsia" w:ascii="宋体" w:hAnsi="宋体" w:eastAsia="宋体" w:cs="宋体"/>
                <w:i w:val="0"/>
                <w:iCs w:val="0"/>
                <w:color w:val="auto"/>
                <w:sz w:val="24"/>
                <w:szCs w:val="24"/>
                <w:highlight w:val="none"/>
                <w:u w:val="single"/>
                <w:lang w:val="en-US" w:eastAsia="zh-CN"/>
              </w:rPr>
              <w:t>19</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single"/>
              </w:rPr>
              <w:t xml:space="preserve">（北京时间，法定节假日除外）  </w:t>
            </w:r>
            <w:r>
              <w:rPr>
                <w:rFonts w:hint="eastAsia" w:ascii="宋体" w:hAnsi="宋体" w:eastAsia="宋体" w:cs="宋体"/>
                <w:i w:val="0"/>
                <w:iCs w:val="0"/>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DB59B05">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3C88417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BD0D88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5559D2C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34F4AD6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20000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4A8F5A6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28B7763F">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5D768E72">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收取单位：</w:t>
            </w:r>
            <w:r>
              <w:rPr>
                <w:rFonts w:hint="eastAsia" w:ascii="宋体" w:hAnsi="宋体" w:cs="宋体"/>
                <w:color w:val="auto"/>
                <w:kern w:val="0"/>
                <w:sz w:val="24"/>
                <w:szCs w:val="24"/>
                <w:highlight w:val="none"/>
              </w:rPr>
              <w:t>中招国际招标有限公司新疆分公司</w:t>
            </w:r>
            <w:r>
              <w:rPr>
                <w:rFonts w:hint="eastAsia" w:ascii="宋体" w:hAnsi="宋体" w:eastAsia="宋体" w:cs="宋体"/>
                <w:color w:val="auto"/>
                <w:sz w:val="24"/>
                <w:szCs w:val="24"/>
                <w:highlight w:val="none"/>
              </w:rPr>
              <w:t xml:space="preserve">                            </w:t>
            </w:r>
          </w:p>
          <w:p w14:paraId="07866961">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cs="宋体"/>
                <w:color w:val="auto"/>
                <w:kern w:val="0"/>
                <w:sz w:val="24"/>
                <w:szCs w:val="24"/>
                <w:highlight w:val="none"/>
              </w:rPr>
              <w:t>3002 0128 1910 0057 504</w:t>
            </w:r>
            <w:r>
              <w:rPr>
                <w:rFonts w:hint="eastAsia" w:ascii="宋体" w:hAnsi="宋体" w:eastAsia="宋体" w:cs="宋体"/>
                <w:color w:val="auto"/>
                <w:sz w:val="24"/>
                <w:szCs w:val="24"/>
                <w:highlight w:val="none"/>
              </w:rPr>
              <w:t xml:space="preserve">              </w:t>
            </w:r>
          </w:p>
          <w:p w14:paraId="17DF33CB">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退还时间：</w:t>
            </w:r>
            <w:r>
              <w:rPr>
                <w:rFonts w:hint="eastAsia" w:ascii="宋体" w:hAnsi="宋体" w:cs="宋体"/>
                <w:color w:val="auto"/>
                <w:kern w:val="0"/>
                <w:sz w:val="24"/>
                <w:szCs w:val="24"/>
                <w:highlight w:val="none"/>
              </w:rPr>
              <w:t>中国工商银行股份有限公司南湖北路支行</w:t>
            </w:r>
            <w:r>
              <w:rPr>
                <w:rFonts w:hint="eastAsia" w:ascii="宋体" w:hAnsi="宋体" w:eastAsia="宋体" w:cs="宋体"/>
                <w:color w:val="auto"/>
                <w:sz w:val="24"/>
                <w:szCs w:val="24"/>
                <w:highlight w:val="none"/>
              </w:rPr>
              <w:t xml:space="preserve">              </w:t>
            </w:r>
          </w:p>
          <w:p w14:paraId="327EF0E4">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61AE35B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3FCC627E">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37" w:hRule="atLeast"/>
        </w:trPr>
        <w:tc>
          <w:tcPr>
            <w:tcW w:w="970" w:type="dxa"/>
            <w:vAlign w:val="center"/>
          </w:tcPr>
          <w:p w14:paraId="0FAEE6C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1"/>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1"/>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1.样品制作的标准和要求：</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w:t>
            </w:r>
          </w:p>
          <w:p w14:paraId="636410A9">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2.是否需要随样品提交相关检测报告： </w:t>
            </w:r>
          </w:p>
          <w:p w14:paraId="4042F79A">
            <w:pPr>
              <w:pStyle w:val="51"/>
              <w:keepNext w:val="0"/>
              <w:keepLines w:val="0"/>
              <w:pageBreakBefore w:val="0"/>
              <w:widowControl w:val="0"/>
              <w:kinsoku/>
              <w:wordWrap/>
              <w:overflowPunct/>
              <w:topLinePunct w:val="0"/>
              <w:autoSpaceDE/>
              <w:autoSpaceDN/>
              <w:bidi w:val="0"/>
              <w:adjustRightInd/>
              <w:snapToGrid/>
              <w:spacing w:line="24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1"/>
              <w:keepNext w:val="0"/>
              <w:keepLines w:val="0"/>
              <w:pageBreakBefore w:val="0"/>
              <w:widowControl w:val="0"/>
              <w:kinsoku/>
              <w:wordWrap/>
              <w:overflowPunct/>
              <w:topLinePunct w:val="0"/>
              <w:autoSpaceDE/>
              <w:autoSpaceDN/>
              <w:bidi w:val="0"/>
              <w:adjustRightInd/>
              <w:snapToGrid/>
              <w:spacing w:line="24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4.未中标人样品退还：</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 xml:space="preserve">； </w:t>
            </w:r>
          </w:p>
          <w:p w14:paraId="2FA55552">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5.中标人样品保管、封存及退还：</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w:t>
            </w:r>
          </w:p>
          <w:p w14:paraId="5F60BBB0">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6.其他要求（如有）：</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2.进行远程线上演示，投标人应提前自行准备好演示的软硬配置环境和网络环境，做好演示的各项准备工作。因投标人自身原因无法演示或者演示效果不理想的，导致的后果由投标人自行承担；</w:t>
            </w:r>
          </w:p>
          <w:p w14:paraId="34ED7966">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CE72DC4">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4C7DC32D">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r>
              <w:rPr>
                <w:rFonts w:hint="eastAsia" w:ascii="宋体" w:hAnsi="宋体" w:eastAsia="宋体" w:cs="宋体"/>
                <w:color w:val="auto"/>
                <w:sz w:val="24"/>
                <w:szCs w:val="24"/>
                <w:highlight w:val="none"/>
              </w:rPr>
              <w:t>。</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trPr>
        <w:tc>
          <w:tcPr>
            <w:tcW w:w="970" w:type="dxa"/>
            <w:vAlign w:val="center"/>
          </w:tcPr>
          <w:p w14:paraId="23FC94CD">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1"/>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trPr>
        <w:tc>
          <w:tcPr>
            <w:tcW w:w="970" w:type="dxa"/>
            <w:vAlign w:val="center"/>
          </w:tcPr>
          <w:p w14:paraId="42D57B39">
            <w:pPr>
              <w:pStyle w:val="5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EEEE9B4">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1"/>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16D85F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shd w:val="clear" w:color="auto" w:fill="auto"/>
            <w:vAlign w:val="center"/>
          </w:tcPr>
          <w:p w14:paraId="1B46F00E">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shd w:val="clear" w:color="auto" w:fill="auto"/>
            <w:vAlign w:val="center"/>
          </w:tcPr>
          <w:p w14:paraId="2789643E">
            <w:pPr>
              <w:pStyle w:val="51"/>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700" w:type="dxa"/>
            <w:shd w:val="clear" w:color="auto" w:fill="auto"/>
            <w:vAlign w:val="center"/>
          </w:tcPr>
          <w:p w14:paraId="6976A72E">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446453BE">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4858B73">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合同价的 </w:t>
            </w:r>
            <w:r>
              <w:rPr>
                <w:rFonts w:hint="eastAsia" w:cs="宋体"/>
                <w:color w:val="auto"/>
                <w:sz w:val="24"/>
                <w:szCs w:val="24"/>
                <w:highlight w:val="none"/>
                <w:lang w:val="en-US" w:eastAsia="zh-CN"/>
              </w:rPr>
              <w:t>/</w:t>
            </w:r>
          </w:p>
          <w:p w14:paraId="2795CC0D">
            <w:pPr>
              <w:pStyle w:val="51"/>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0CEDF721">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700B777E">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3.保函有效期：自合同生效之日起至合同约定的中标或成交供应商主要义务履行完毕  </w:t>
            </w:r>
          </w:p>
          <w:p w14:paraId="782BC737">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4.缴纳时间：中标或成交供应商应在合同签订前3个工作日内向采购人提交履约保证金；                          </w:t>
            </w:r>
          </w:p>
          <w:p w14:paraId="221565EA">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5.退还时间：中标或成交供应商合同主要义务履行完毕后，采购人按合同约定及时退还 </w:t>
            </w:r>
            <w:r>
              <w:rPr>
                <w:rFonts w:hint="eastAsia" w:ascii="宋体" w:hAnsi="宋体" w:eastAsia="宋体" w:cs="宋体"/>
                <w:color w:val="auto"/>
                <w:sz w:val="24"/>
                <w:szCs w:val="24"/>
                <w:highlight w:val="none"/>
              </w:rPr>
              <w:t xml:space="preserve">             </w:t>
            </w:r>
          </w:p>
          <w:p w14:paraId="41B3BE7D">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 xml:space="preserve">退还时间：              </w:t>
            </w:r>
          </w:p>
          <w:p w14:paraId="32E52EF0">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1033F0D6">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57AE723">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p w14:paraId="1B6EA85A">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p>
          <w:p w14:paraId="4FA5C033">
            <w:pPr>
              <w:pStyle w:val="5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r>
              <w:rPr>
                <w:rFonts w:hint="eastAsia" w:cs="宋体"/>
                <w:color w:val="auto"/>
                <w:sz w:val="24"/>
                <w:szCs w:val="24"/>
                <w:highlight w:val="none"/>
                <w:lang w:val="en-US" w:eastAsia="zh-CN"/>
              </w:rPr>
              <w:t>。</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2" w:hRule="atLeast"/>
        </w:trPr>
        <w:tc>
          <w:tcPr>
            <w:tcW w:w="970" w:type="dxa"/>
            <w:vAlign w:val="center"/>
          </w:tcPr>
          <w:p w14:paraId="600814BC">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1.可以分包履行的具体内容：_____； </w:t>
            </w:r>
          </w:p>
          <w:p w14:paraId="71BE067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2.允许分包的金额或者比例：_____； </w:t>
            </w:r>
          </w:p>
          <w:p w14:paraId="2F04DF9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3.其他要求：_____。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1"/>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质疑</w:t>
            </w:r>
          </w:p>
        </w:tc>
        <w:tc>
          <w:tcPr>
            <w:tcW w:w="6700" w:type="dxa"/>
            <w:vAlign w:val="center"/>
          </w:tcPr>
          <w:p w14:paraId="4BF00E52">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eastAsia="宋体" w:cs="宋体"/>
                <w:color w:val="auto"/>
                <w:sz w:val="24"/>
                <w:highlight w:val="none"/>
              </w:rPr>
              <w:t>纸质版盖章</w:t>
            </w:r>
            <w:r>
              <w:rPr>
                <w:rFonts w:hint="eastAsia" w:ascii="宋体" w:eastAsia="宋体" w:cs="宋体"/>
                <w:color w:val="auto"/>
                <w:sz w:val="24"/>
                <w:highlight w:val="none"/>
                <w:lang w:val="en-US" w:eastAsia="zh-CN"/>
              </w:rPr>
              <w:t>质疑</w:t>
            </w:r>
            <w:r>
              <w:rPr>
                <w:rFonts w:hint="eastAsia" w:ascii="宋体" w:eastAsia="宋体" w:cs="宋体"/>
                <w:color w:val="auto"/>
                <w:sz w:val="24"/>
                <w:highlight w:val="none"/>
              </w:rPr>
              <w:t>函</w:t>
            </w:r>
            <w:r>
              <w:rPr>
                <w:rFonts w:hint="eastAsia" w:ascii="宋体" w:eastAsia="宋体" w:cs="宋体"/>
                <w:color w:val="auto"/>
                <w:sz w:val="24"/>
                <w:highlight w:val="none"/>
                <w:lang w:val="en-US" w:eastAsia="zh-CN"/>
              </w:rPr>
              <w:t>原件</w:t>
            </w:r>
            <w:r>
              <w:rPr>
                <w:rFonts w:hint="eastAsia" w:ascii="宋体" w:eastAsia="宋体" w:cs="宋体"/>
                <w:color w:val="auto"/>
                <w:sz w:val="24"/>
                <w:highlight w:val="none"/>
              </w:rPr>
              <w:t>递交至采购代理公司</w:t>
            </w:r>
            <w:r>
              <w:rPr>
                <w:rFonts w:hint="eastAsia" w:ascii="宋体" w:hAnsi="宋体" w:eastAsia="宋体" w:cs="宋体"/>
                <w:i w:val="0"/>
                <w:iCs w:val="0"/>
                <w:color w:val="auto"/>
                <w:kern w:val="2"/>
                <w:sz w:val="24"/>
                <w:szCs w:val="24"/>
                <w:highlight w:val="none"/>
                <w:lang w:val="zh-CN" w:eastAsia="zh-CN" w:bidi="ar-SA"/>
              </w:rPr>
              <w:t xml:space="preserve">              </w:t>
            </w:r>
          </w:p>
          <w:p w14:paraId="04E24026">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cs="宋体"/>
                <w:i w:val="0"/>
                <w:iCs w:val="0"/>
                <w:color w:val="auto"/>
                <w:sz w:val="24"/>
                <w:szCs w:val="24"/>
                <w:highlight w:val="none"/>
                <w:u w:val="single"/>
                <w:lang w:val="en-US" w:eastAsia="zh-CN"/>
              </w:rPr>
              <w:t>中招国际招标有限公司新疆分公司</w:t>
            </w:r>
            <w:r>
              <w:rPr>
                <w:rFonts w:hint="eastAsia" w:ascii="宋体" w:hAnsi="宋体" w:eastAsia="宋体" w:cs="宋体"/>
                <w:i w:val="0"/>
                <w:iCs w:val="0"/>
                <w:color w:val="auto"/>
                <w:kern w:val="2"/>
                <w:sz w:val="24"/>
                <w:szCs w:val="24"/>
                <w:highlight w:val="none"/>
                <w:lang w:val="zh-CN" w:eastAsia="zh-CN" w:bidi="ar-SA"/>
              </w:rPr>
              <w:t xml:space="preserve">              </w:t>
            </w:r>
          </w:p>
          <w:p w14:paraId="36D81911">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宋体" w:hAnsi="宋体" w:cs="宋体"/>
                <w:i w:val="0"/>
                <w:iCs w:val="0"/>
                <w:color w:val="auto"/>
                <w:kern w:val="2"/>
                <w:sz w:val="24"/>
                <w:szCs w:val="24"/>
                <w:highlight w:val="none"/>
                <w:lang w:val="en-US" w:eastAsia="zh-CN" w:bidi="ar-SA"/>
              </w:rPr>
              <w:t>18690633633</w:t>
            </w:r>
            <w:r>
              <w:rPr>
                <w:rFonts w:hint="eastAsia" w:ascii="宋体" w:hAnsi="宋体" w:eastAsia="宋体" w:cs="宋体"/>
                <w:i w:val="0"/>
                <w:iCs w:val="0"/>
                <w:color w:val="auto"/>
                <w:kern w:val="2"/>
                <w:sz w:val="24"/>
                <w:szCs w:val="24"/>
                <w:highlight w:val="none"/>
                <w:lang w:val="zh-CN" w:eastAsia="zh-CN" w:bidi="ar-SA"/>
              </w:rPr>
              <w:t xml:space="preserve">         </w:t>
            </w:r>
          </w:p>
          <w:p w14:paraId="3971C153">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ascii="宋体" w:hAnsi="宋体" w:eastAsia="宋体" w:cs="宋体"/>
                <w:color w:val="auto"/>
                <w:kern w:val="0"/>
                <w:sz w:val="24"/>
                <w:szCs w:val="24"/>
                <w:highlight w:val="none"/>
              </w:rPr>
              <w:t>新疆乌鲁木齐市486号南湖明珠二期十四栋商业写字楼8楼</w:t>
            </w:r>
            <w:r>
              <w:rPr>
                <w:rFonts w:hint="eastAsia" w:ascii="宋体" w:hAnsi="宋体" w:eastAsia="宋体" w:cs="宋体"/>
                <w:i w:val="0"/>
                <w:iCs w:val="0"/>
                <w:color w:val="auto"/>
                <w:kern w:val="2"/>
                <w:sz w:val="24"/>
                <w:szCs w:val="24"/>
                <w:highlight w:val="none"/>
                <w:lang w:val="zh-CN" w:eastAsia="zh-CN" w:bidi="ar-SA"/>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80" w:hRule="atLeast"/>
        </w:trPr>
        <w:tc>
          <w:tcPr>
            <w:tcW w:w="970" w:type="dxa"/>
            <w:vAlign w:val="center"/>
          </w:tcPr>
          <w:p w14:paraId="422A3CDD">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72A09A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38A3F65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标准：中标人须向采购代理机构缴纳招标代理服务费，招标代理服务费的计算基数是中标人投标报价的总金额，即中标通知书载明的中标金额。参照国家计委计价格〔2002〕1980号文标准下浮</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0%计算：</w:t>
            </w:r>
          </w:p>
          <w:p w14:paraId="1368AF2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时间：领取中标通知书前</w:t>
            </w:r>
          </w:p>
          <w:p w14:paraId="7638458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方式：电汇，由中标人一次性支付或由招标代理直接在投标保证金中扣</w:t>
            </w:r>
          </w:p>
        </w:tc>
      </w:tr>
      <w:tr w14:paraId="29A915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shd w:val="clear" w:color="auto" w:fill="auto"/>
            <w:vAlign w:val="center"/>
          </w:tcPr>
          <w:p w14:paraId="7FA1EFB0">
            <w:pPr>
              <w:pStyle w:val="51"/>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41.1</w:t>
            </w:r>
          </w:p>
        </w:tc>
        <w:tc>
          <w:tcPr>
            <w:tcW w:w="1738" w:type="dxa"/>
            <w:shd w:val="clear" w:color="auto" w:fill="auto"/>
            <w:vAlign w:val="center"/>
          </w:tcPr>
          <w:p w14:paraId="3DC8B9BB">
            <w:pPr>
              <w:pStyle w:val="51"/>
              <w:jc w:val="center"/>
              <w:rPr>
                <w:rFonts w:hint="eastAsia" w:ascii="宋体" w:hAnsi="宋体" w:eastAsia="宋体" w:cs="宋体"/>
                <w:color w:val="auto"/>
                <w:kern w:val="2"/>
                <w:sz w:val="24"/>
                <w:szCs w:val="24"/>
                <w:highlight w:val="none"/>
                <w:lang w:val="zh-CN" w:eastAsia="zh-CN" w:bidi="ar-SA"/>
              </w:rPr>
            </w:pPr>
            <w:r>
              <w:rPr>
                <w:rFonts w:hint="eastAsia" w:cs="宋体"/>
                <w:color w:val="auto"/>
                <w:sz w:val="24"/>
                <w:szCs w:val="24"/>
                <w:highlight w:val="none"/>
                <w:lang w:eastAsia="zh-CN"/>
              </w:rPr>
              <w:t>支持本国产品政策</w:t>
            </w:r>
          </w:p>
        </w:tc>
        <w:tc>
          <w:tcPr>
            <w:tcW w:w="6700" w:type="dxa"/>
            <w:shd w:val="clear" w:color="auto" w:fill="auto"/>
            <w:vAlign w:val="center"/>
          </w:tcPr>
          <w:p w14:paraId="7671BCB4">
            <w:pPr>
              <w:pStyle w:val="72"/>
              <w:widowControl w:val="0"/>
              <w:spacing w:before="0" w:beforeAutospacing="0" w:after="0" w:afterAutospacing="0" w:line="240" w:lineRule="auto"/>
              <w:jc w:val="both"/>
              <w:rPr>
                <w:rFonts w:hint="eastAsia" w:ascii="宋体" w:hAnsi="宋体" w:eastAsia="宋体" w:cs="宋体"/>
                <w:b/>
                <w:bCs/>
                <w:color w:val="auto"/>
                <w:kern w:val="0"/>
                <w:sz w:val="24"/>
                <w:szCs w:val="24"/>
                <w:highlight w:val="none"/>
                <w:lang w:val="en-US" w:eastAsia="zh-CN" w:bidi="ar-SA"/>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vAlign w:val="center"/>
          </w:tcPr>
          <w:p w14:paraId="6F1BF374">
            <w:pPr>
              <w:pStyle w:val="5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2</w:t>
            </w:r>
          </w:p>
        </w:tc>
        <w:tc>
          <w:tcPr>
            <w:tcW w:w="1738" w:type="dxa"/>
            <w:vAlign w:val="center"/>
          </w:tcPr>
          <w:p w14:paraId="5D860FC6">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4" w:hRule="atLeast"/>
        </w:trPr>
        <w:tc>
          <w:tcPr>
            <w:tcW w:w="970" w:type="dxa"/>
            <w:vAlign w:val="center"/>
          </w:tcPr>
          <w:p w14:paraId="06648806">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736B9D94">
            <w:pPr>
              <w:pStyle w:val="72"/>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10%</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3A14D5AD">
            <w:pPr>
              <w:pStyle w:val="72"/>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72"/>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72"/>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B996B16">
            <w:pPr>
              <w:pStyle w:val="72"/>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78" w:hRule="atLeast"/>
        </w:trPr>
        <w:tc>
          <w:tcPr>
            <w:tcW w:w="970" w:type="dxa"/>
            <w:vAlign w:val="center"/>
          </w:tcPr>
          <w:p w14:paraId="3AAFC5B3">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1"/>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1824"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245"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BD03589">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w:t>
                  </w:r>
                </w:p>
              </w:tc>
              <w:tc>
                <w:tcPr>
                  <w:tcW w:w="1824"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sz w:val="24"/>
                      <w:szCs w:val="24"/>
                      <w:highlight w:val="none"/>
                    </w:rPr>
                    <w:t>移动执法系统运维服务</w:t>
                  </w:r>
                </w:p>
              </w:tc>
              <w:tc>
                <w:tcPr>
                  <w:tcW w:w="3245" w:type="dxa"/>
                  <w:vAlign w:val="center"/>
                </w:tcPr>
                <w:p w14:paraId="6A9C8731">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sz w:val="24"/>
                      <w:szCs w:val="24"/>
                      <w:highlight w:val="none"/>
                      <w:lang w:val="en-US" w:eastAsia="zh-CN"/>
                    </w:rPr>
                    <w:t>软件和信息技术服务业</w:t>
                  </w:r>
                </w:p>
              </w:tc>
            </w:tr>
          </w:tbl>
          <w:p w14:paraId="56AC7DD6">
            <w:pPr>
              <w:pStyle w:val="51"/>
              <w:rPr>
                <w:rFonts w:hint="eastAsia" w:ascii="宋体" w:hAnsi="宋体" w:eastAsia="宋体" w:cs="宋体"/>
                <w:color w:val="auto"/>
                <w:sz w:val="24"/>
                <w:szCs w:val="24"/>
                <w:highlight w:val="none"/>
              </w:rPr>
            </w:pPr>
          </w:p>
        </w:tc>
      </w:tr>
      <w:tr w14:paraId="4C8E5A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72" w:hRule="atLeast"/>
        </w:trPr>
        <w:tc>
          <w:tcPr>
            <w:tcW w:w="970" w:type="dxa"/>
            <w:shd w:val="clear" w:color="auto" w:fill="auto"/>
            <w:vAlign w:val="center"/>
          </w:tcPr>
          <w:p w14:paraId="213F4586">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7C0C8321">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1D89079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产品纳入创新产品应用示范推荐目录内企业、所</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产品获得节能产品或环境标志产品认证证书的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74" w:hRule="atLeast"/>
        </w:trPr>
        <w:tc>
          <w:tcPr>
            <w:tcW w:w="970" w:type="dxa"/>
            <w:tcBorders>
              <w:right w:val="single" w:color="auto" w:sz="4" w:space="0"/>
            </w:tcBorders>
            <w:vAlign w:val="center"/>
          </w:tcPr>
          <w:p w14:paraId="08D3F63A">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350155C0">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政府采购</w:t>
            </w:r>
          </w:p>
          <w:p w14:paraId="313A5750">
            <w:pPr>
              <w:pStyle w:val="51"/>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t>合同融资政策</w:t>
            </w:r>
          </w:p>
        </w:tc>
        <w:tc>
          <w:tcPr>
            <w:tcW w:w="6700" w:type="dxa"/>
            <w:tcBorders>
              <w:left w:val="single" w:color="auto" w:sz="4" w:space="0"/>
            </w:tcBorders>
            <w:vAlign w:val="center"/>
          </w:tcPr>
          <w:p w14:paraId="1322700D">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54B89A9B">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i w:val="0"/>
                <w:iCs w:val="0"/>
                <w:color w:val="auto"/>
                <w:sz w:val="24"/>
                <w:szCs w:val="24"/>
                <w:highlight w:val="none"/>
              </w:rPr>
              <w:t>。</w:t>
            </w:r>
          </w:p>
          <w:p w14:paraId="1420BF81">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为支持和促进中小企业发展，进一步发挥政府采购政策功能，本采购项目适用于政府采购融资优惠、政采贷、电子保函相关政策，鼓励</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使用电子保函代替现金缴纳各类保证金，在线完成保函的申请、审核、开票、出函等环节，投标企业注意区分办理保函类型，并确认投标有效期，</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若想了解或使用相关金融服务，可登录【政府采购网】-顶部通栏【信用融资】、【办事指南】模块查看</w:t>
            </w:r>
            <w:r>
              <w:rPr>
                <w:rFonts w:hint="eastAsia" w:ascii="宋体" w:hAnsi="宋体" w:eastAsia="宋体" w:cs="宋体"/>
                <w:i w:val="0"/>
                <w:iCs w:val="0"/>
                <w:color w:val="auto"/>
                <w:sz w:val="24"/>
                <w:szCs w:val="24"/>
                <w:highlight w:val="none"/>
                <w:lang w:eastAsia="zh-CN"/>
              </w:rPr>
              <w:t>。</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46" w:hRule="atLeast"/>
        </w:trPr>
        <w:tc>
          <w:tcPr>
            <w:tcW w:w="970" w:type="dxa"/>
            <w:tcBorders>
              <w:right w:val="single" w:color="auto" w:sz="4" w:space="0"/>
            </w:tcBorders>
            <w:vAlign w:val="center"/>
          </w:tcPr>
          <w:p w14:paraId="59449E7E">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7068A1E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7E947903">
            <w:pPr>
              <w:pStyle w:val="77"/>
              <w:spacing w:line="240" w:lineRule="auto"/>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注意事项：</w:t>
            </w:r>
          </w:p>
          <w:p w14:paraId="4281DE13">
            <w:pPr>
              <w:pStyle w:val="77"/>
              <w:numPr>
                <w:ilvl w:val="0"/>
                <w:numId w:val="4"/>
              </w:numPr>
              <w:spacing w:line="240" w:lineRule="auto"/>
              <w:jc w:val="both"/>
              <w:rPr>
                <w:rFonts w:hint="eastAsia" w:ascii="宋体" w:hAnsi="宋体" w:cs="宋体"/>
                <w:b/>
                <w:color w:val="auto"/>
                <w:kern w:val="1"/>
                <w:sz w:val="24"/>
                <w:szCs w:val="24"/>
                <w:highlight w:val="none"/>
              </w:rPr>
            </w:pPr>
            <w:r>
              <w:rPr>
                <w:rFonts w:hint="eastAsia" w:ascii="宋体" w:hAnsi="宋体" w:cs="宋体"/>
                <w:b/>
                <w:color w:val="auto"/>
                <w:kern w:val="1"/>
                <w:sz w:val="24"/>
                <w:szCs w:val="24"/>
                <w:highlight w:val="none"/>
              </w:rPr>
              <w:t>电子标书加盖印章的两种方式:一种为电子章；另一种为纸质版盖章后扫描，两种方式的任意一种在评审时均予认可。</w:t>
            </w:r>
          </w:p>
          <w:p w14:paraId="07D44883">
            <w:pPr>
              <w:pStyle w:val="51"/>
              <w:numPr>
                <w:ilvl w:val="0"/>
                <w:numId w:val="4"/>
              </w:numPr>
              <w:spacing w:line="24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cs="宋体"/>
                <w:b/>
                <w:bCs/>
                <w:color w:val="auto"/>
                <w:kern w:val="2"/>
                <w:sz w:val="24"/>
                <w:szCs w:val="24"/>
                <w:highlight w:val="none"/>
              </w:rPr>
              <w:t>供应商在上传电子响应文件时，需在“商务技术响应文件”中按响应文件格式要求上传完整的响应文件（从封面开始至最后一页）。</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546D276C">
      <w:pPr>
        <w:rPr>
          <w:color w:val="auto"/>
          <w:highlight w:val="none"/>
        </w:rPr>
      </w:pPr>
      <w:r>
        <w:rPr>
          <w:color w:val="auto"/>
          <w:highlight w:val="none"/>
        </w:rPr>
        <w:br w:type="page"/>
      </w:r>
    </w:p>
    <w:p w14:paraId="47A4E42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24" w:name="_Toc27559"/>
      <w:bookmarkStart w:id="125" w:name="_Toc9440"/>
      <w:bookmarkStart w:id="126" w:name="_Toc155185869"/>
      <w:r>
        <w:rPr>
          <w:rFonts w:hint="eastAsia" w:ascii="宋体" w:hAnsi="宋体" w:eastAsia="宋体" w:cs="宋体"/>
          <w:b/>
          <w:bCs/>
          <w:color w:val="auto"/>
          <w:kern w:val="44"/>
          <w:sz w:val="36"/>
          <w:szCs w:val="36"/>
          <w:highlight w:val="none"/>
          <w:lang w:val="en-US" w:eastAsia="zh-CN" w:bidi="ar-SA"/>
        </w:rPr>
        <w:t>第三章 采购需求</w:t>
      </w:r>
    </w:p>
    <w:p w14:paraId="7E3BAAA8">
      <w:pPr>
        <w:pStyle w:val="39"/>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 xml:space="preserve">说明： </w:t>
      </w:r>
    </w:p>
    <w:p w14:paraId="209E568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 当采购项目涉及数据中心相关设备、运维服务时，采购需求应当符合《绿色数据中心政府采购需求标准（试行）》（财库〔</w:t>
      </w:r>
      <w:r>
        <w:rPr>
          <w:rFonts w:hint="default"/>
          <w:snapToGrid w:val="0"/>
          <w:color w:val="auto"/>
          <w:sz w:val="24"/>
          <w:szCs w:val="24"/>
          <w:highlight w:val="none"/>
          <w:lang w:val="en-US" w:eastAsia="zh-CN"/>
        </w:rPr>
        <w:t>2023</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7 </w:t>
      </w:r>
      <w:r>
        <w:rPr>
          <w:rFonts w:hint="eastAsia"/>
          <w:snapToGrid w:val="0"/>
          <w:color w:val="auto"/>
          <w:sz w:val="24"/>
          <w:szCs w:val="24"/>
          <w:highlight w:val="none"/>
          <w:lang w:val="en-US" w:eastAsia="zh-CN"/>
        </w:rPr>
        <w:t xml:space="preserve">号）的有关要求。 </w:t>
      </w:r>
    </w:p>
    <w:p w14:paraId="5E370FF7">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当采购项目涉及政务信息系统时，采购需求应当符合《政务信息系统政府采购管理暂行办法》（财库〔</w:t>
      </w:r>
      <w:r>
        <w:rPr>
          <w:rFonts w:hint="default"/>
          <w:snapToGrid w:val="0"/>
          <w:color w:val="auto"/>
          <w:sz w:val="24"/>
          <w:szCs w:val="24"/>
          <w:highlight w:val="none"/>
          <w:lang w:val="en-US" w:eastAsia="zh-CN"/>
        </w:rPr>
        <w:t>2017</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210 </w:t>
      </w:r>
      <w:r>
        <w:rPr>
          <w:rFonts w:hint="eastAsia"/>
          <w:snapToGrid w:val="0"/>
          <w:color w:val="auto"/>
          <w:sz w:val="24"/>
          <w:szCs w:val="24"/>
          <w:highlight w:val="none"/>
          <w:lang w:val="en-US" w:eastAsia="zh-CN"/>
        </w:rPr>
        <w:t xml:space="preserve">号）的相关要求。 </w:t>
      </w:r>
    </w:p>
    <w:p w14:paraId="7FCCA8E6">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 xml:space="preserve">一、采购标的 </w:t>
      </w:r>
    </w:p>
    <w:p w14:paraId="37E14F05">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 xml:space="preserve">采购标的（服务需求一览表或简要服务内容及数量） </w:t>
      </w:r>
    </w:p>
    <w:p w14:paraId="49A4BF3D">
      <w:pPr>
        <w:tabs>
          <w:tab w:val="left" w:pos="90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本次运行维护服务内容主要包括四部分，分别是移动执法终端的运行保障及维修替换服务、管理平台运维服务、应用功能提升完善服务、安全管控能力服务。</w:t>
      </w:r>
    </w:p>
    <w:p w14:paraId="1B5BCABF">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ascii="宋体" w:hAnsi="宋体" w:eastAsia="宋体" w:cs="宋体"/>
          <w:sz w:val="24"/>
          <w:szCs w:val="24"/>
          <w:highlight w:val="none"/>
        </w:rPr>
        <w:t>其中移动执法终端的运行保障及维修替换服务包括移动执法终端的维护服务；管理平台运维服务包括但不限于移动终端启用管理、终端应用管理、终端内容管理、终端网络管控、终端文件传输管控、终端通讯管控、终端定位管控、终端端口管理、终端状态管理、终端其他安全管控、模式管控、策略管理、人员组织管理、系统管理、系统监控、报表管理、运维支撑；应用功能提升完善服务包含但不限于：应用商店、通讯录、</w:t>
      </w:r>
      <w:r>
        <w:rPr>
          <w:rFonts w:hint="eastAsia" w:ascii="宋体" w:hAnsi="宋体" w:eastAsia="宋体" w:cs="宋体"/>
          <w:sz w:val="24"/>
          <w:szCs w:val="24"/>
          <w:highlight w:val="none"/>
          <w:lang w:eastAsia="zh-CN"/>
        </w:rPr>
        <w:t>安全身份认证、</w:t>
      </w:r>
      <w:r>
        <w:rPr>
          <w:rFonts w:hint="eastAsia" w:ascii="宋体" w:hAnsi="宋体" w:eastAsia="宋体" w:cs="宋体"/>
          <w:sz w:val="24"/>
          <w:szCs w:val="24"/>
          <w:highlight w:val="none"/>
        </w:rPr>
        <w:t>语音输入法、学习手册、人脸特征值算法、一键报警、执法取证、指挥调度</w:t>
      </w:r>
      <w:r>
        <w:rPr>
          <w:rFonts w:hint="eastAsia" w:ascii="宋体" w:hAnsi="宋体" w:eastAsia="宋体" w:cs="宋体"/>
          <w:sz w:val="24"/>
          <w:szCs w:val="24"/>
          <w:highlight w:val="none"/>
          <w:lang w:eastAsia="zh-CN"/>
        </w:rPr>
        <w:t>、日历、警务拍、数字对讲、即时通讯</w:t>
      </w:r>
      <w:r>
        <w:rPr>
          <w:rFonts w:hint="eastAsia" w:ascii="宋体" w:hAnsi="宋体" w:eastAsia="宋体" w:cs="宋体"/>
          <w:sz w:val="24"/>
          <w:szCs w:val="24"/>
          <w:highlight w:val="none"/>
        </w:rPr>
        <w:t>等；安全管控能力服务包括但不限于防火墙、请求交换节点、视频交换节点、网闸等、安全管理中心等运维服务内容。</w:t>
      </w:r>
    </w:p>
    <w:p w14:paraId="50E150DB">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二、商务要求</w:t>
      </w:r>
    </w:p>
    <w:p w14:paraId="3906B506">
      <w:pPr>
        <w:pStyle w:val="78"/>
        <w:keepNext w:val="0"/>
        <w:keepLines w:val="0"/>
        <w:pageBreakBefore w:val="0"/>
        <w:widowControl/>
        <w:kinsoku/>
        <w:wordWrap/>
        <w:overflowPunct/>
        <w:topLinePunct w:val="0"/>
        <w:autoSpaceDE/>
        <w:autoSpaceDN/>
        <w:bidi w:val="0"/>
        <w:adjustRightInd/>
        <w:snapToGrid/>
        <w:spacing w:line="520" w:lineRule="exact"/>
        <w:ind w:left="0" w:firstLine="482" w:firstLineChars="200"/>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1.合同履约期：</w:t>
      </w:r>
      <w:r>
        <w:rPr>
          <w:rFonts w:hint="eastAsia" w:ascii="宋体" w:hAnsi="宋体" w:eastAsia="宋体" w:cs="宋体"/>
          <w:color w:val="auto"/>
          <w:sz w:val="24"/>
          <w:szCs w:val="24"/>
          <w:highlight w:val="none"/>
          <w:lang w:val="en-US" w:eastAsia="zh-CN"/>
        </w:rPr>
        <w:t>本项目服务期限为一年；本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一次采购三年使用，合同一年一签；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度和服务质量情况、售后情况等进行综合评估，对出现的服务质量问题、投诉、服务态度恶劣、售后响应服务不及时、不配合采购单位工作等情况，采购单位有权终止签订后续服务年份的服务合同）。</w:t>
      </w:r>
      <w:r>
        <w:rPr>
          <w:rFonts w:hint="eastAsia" w:ascii="宋体" w:hAnsi="宋体" w:eastAsia="宋体" w:cs="宋体"/>
          <w:color w:val="auto"/>
          <w:sz w:val="24"/>
          <w:szCs w:val="24"/>
          <w:highlight w:val="none"/>
          <w:lang w:val="hr-HR" w:eastAsia="zh-CN"/>
        </w:rPr>
        <w:t xml:space="preserve"> </w:t>
      </w:r>
    </w:p>
    <w:p w14:paraId="17E912D4">
      <w:pPr>
        <w:pStyle w:val="78"/>
        <w:keepNext w:val="0"/>
        <w:keepLines w:val="0"/>
        <w:pageBreakBefore w:val="0"/>
        <w:widowControl/>
        <w:kinsoku/>
        <w:wordWrap/>
        <w:overflowPunct/>
        <w:topLinePunct w:val="0"/>
        <w:autoSpaceDE/>
        <w:autoSpaceDN/>
        <w:bidi w:val="0"/>
        <w:adjustRightInd/>
        <w:snapToGrid/>
        <w:spacing w:line="520" w:lineRule="exact"/>
        <w:ind w:left="0" w:firstLine="480" w:firstLineChars="200"/>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 服务方式：现场服务。</w:t>
      </w:r>
    </w:p>
    <w:p w14:paraId="3A592890">
      <w:pPr>
        <w:pStyle w:val="78"/>
        <w:keepNext w:val="0"/>
        <w:keepLines w:val="0"/>
        <w:pageBreakBefore w:val="0"/>
        <w:widowControl/>
        <w:kinsoku/>
        <w:wordWrap/>
        <w:overflowPunct/>
        <w:topLinePunct w:val="0"/>
        <w:autoSpaceDE/>
        <w:autoSpaceDN/>
        <w:bidi w:val="0"/>
        <w:adjustRightInd/>
        <w:snapToGrid/>
        <w:spacing w:line="520" w:lineRule="exact"/>
        <w:ind w:left="0" w:firstLine="482" w:firstLineChars="200"/>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3 服务地点：</w:t>
      </w:r>
      <w:r>
        <w:rPr>
          <w:rFonts w:hint="eastAsia" w:ascii="宋体" w:hAnsi="宋体" w:eastAsia="宋体" w:cs="宋体"/>
          <w:sz w:val="24"/>
          <w:szCs w:val="24"/>
          <w:highlight w:val="none"/>
        </w:rPr>
        <w:t>采购人指定</w:t>
      </w:r>
      <w:r>
        <w:rPr>
          <w:rFonts w:hint="eastAsia" w:ascii="宋体" w:hAnsi="宋体" w:eastAsia="宋体" w:cs="宋体"/>
          <w:b w:val="0"/>
          <w:bCs w:val="0"/>
          <w:color w:val="auto"/>
          <w:sz w:val="24"/>
          <w:szCs w:val="24"/>
          <w:highlight w:val="none"/>
          <w:lang w:val="en-US" w:eastAsia="zh-CN"/>
        </w:rPr>
        <w:t>。</w:t>
      </w:r>
    </w:p>
    <w:p w14:paraId="57710729">
      <w:pPr>
        <w:pStyle w:val="78"/>
        <w:keepNext w:val="0"/>
        <w:keepLines w:val="0"/>
        <w:pageBreakBefore w:val="0"/>
        <w:widowControl/>
        <w:kinsoku/>
        <w:wordWrap/>
        <w:overflowPunct/>
        <w:topLinePunct w:val="0"/>
        <w:autoSpaceDE/>
        <w:autoSpaceDN/>
        <w:bidi w:val="0"/>
        <w:adjustRightInd/>
        <w:snapToGrid/>
        <w:spacing w:line="520" w:lineRule="exact"/>
        <w:ind w:left="0" w:firstLine="442" w:firstLineChars="200"/>
        <w:textAlignment w:val="baseline"/>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w:t>
      </w:r>
      <w:r>
        <w:rPr>
          <w:rFonts w:hint="eastAsia" w:ascii="宋体" w:hAnsi="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lang w:val="en-US" w:eastAsia="zh-CN"/>
        </w:rPr>
        <w:t>．</w:t>
      </w:r>
      <w:r>
        <w:rPr>
          <w:rFonts w:hint="eastAsia" w:ascii="宋体" w:hAnsi="宋体" w:cs="宋体"/>
          <w:b w:val="0"/>
          <w:bCs w:val="0"/>
          <w:color w:val="auto"/>
          <w:sz w:val="22"/>
          <w:szCs w:val="22"/>
          <w:highlight w:val="none"/>
          <w:lang w:val="en-US" w:eastAsia="zh-CN"/>
        </w:rPr>
        <w:t>付款方式及进度</w:t>
      </w:r>
    </w:p>
    <w:p w14:paraId="6B6377E1">
      <w:pPr>
        <w:pStyle w:val="18"/>
        <w:snapToGrid w:val="0"/>
        <w:spacing w:before="156" w:after="156" w:line="240" w:lineRule="auto"/>
        <w:ind w:right="26" w:firstLine="440" w:firstLineChars="200"/>
        <w:rPr>
          <w:rFonts w:hint="eastAsia" w:ascii="宋体" w:hAnsi="宋体" w:eastAsia="宋体" w:cs="宋体"/>
          <w:b w:val="0"/>
          <w:bCs w:val="0"/>
          <w:color w:val="auto"/>
          <w:kern w:val="0"/>
          <w:sz w:val="22"/>
          <w:szCs w:val="22"/>
          <w:highlight w:val="none"/>
          <w:lang w:val="en-US" w:eastAsia="zh-CN" w:bidi="ar-SA"/>
        </w:rPr>
      </w:pPr>
      <w:r>
        <w:rPr>
          <w:rFonts w:hint="eastAsia" w:hAnsi="宋体" w:cs="宋体"/>
          <w:b w:val="0"/>
          <w:bCs w:val="0"/>
          <w:color w:val="auto"/>
          <w:kern w:val="0"/>
          <w:sz w:val="22"/>
          <w:szCs w:val="22"/>
          <w:highlight w:val="none"/>
          <w:lang w:val="en-US" w:eastAsia="zh-CN" w:bidi="ar-SA"/>
        </w:rPr>
        <w:t>4</w:t>
      </w:r>
      <w:r>
        <w:rPr>
          <w:rFonts w:hint="eastAsia" w:ascii="宋体" w:hAnsi="宋体" w:eastAsia="宋体" w:cs="宋体"/>
          <w:b w:val="0"/>
          <w:bCs w:val="0"/>
          <w:color w:val="auto"/>
          <w:kern w:val="0"/>
          <w:sz w:val="22"/>
          <w:szCs w:val="22"/>
          <w:highlight w:val="none"/>
          <w:lang w:val="en-US" w:eastAsia="zh-CN" w:bidi="ar-SA"/>
        </w:rPr>
        <w:t>.1 第一次付款：签订合同后，支付合同金额的</w:t>
      </w:r>
      <w:r>
        <w:rPr>
          <w:rFonts w:hint="eastAsia" w:hAnsi="宋体" w:cs="宋体"/>
          <w:b w:val="0"/>
          <w:bCs w:val="0"/>
          <w:color w:val="auto"/>
          <w:kern w:val="0"/>
          <w:sz w:val="22"/>
          <w:szCs w:val="22"/>
          <w:highlight w:val="none"/>
          <w:lang w:val="en-US" w:eastAsia="zh-CN" w:bidi="ar-SA"/>
        </w:rPr>
        <w:t>8</w:t>
      </w:r>
      <w:r>
        <w:rPr>
          <w:rFonts w:hint="eastAsia" w:ascii="宋体" w:hAnsi="宋体" w:eastAsia="宋体" w:cs="宋体"/>
          <w:b w:val="0"/>
          <w:bCs w:val="0"/>
          <w:color w:val="auto"/>
          <w:kern w:val="0"/>
          <w:sz w:val="22"/>
          <w:szCs w:val="22"/>
          <w:highlight w:val="none"/>
          <w:lang w:val="en-US" w:eastAsia="zh-CN" w:bidi="ar-SA"/>
        </w:rPr>
        <w:t>0%的预付款。</w:t>
      </w:r>
    </w:p>
    <w:p w14:paraId="1BAE6887">
      <w:pPr>
        <w:pStyle w:val="78"/>
        <w:keepNext w:val="0"/>
        <w:keepLines w:val="0"/>
        <w:pageBreakBefore w:val="0"/>
        <w:widowControl/>
        <w:kinsoku/>
        <w:wordWrap/>
        <w:overflowPunct/>
        <w:topLinePunct w:val="0"/>
        <w:autoSpaceDE/>
        <w:autoSpaceDN/>
        <w:bidi w:val="0"/>
        <w:adjustRightInd/>
        <w:snapToGrid/>
        <w:spacing w:line="240" w:lineRule="auto"/>
        <w:ind w:left="0" w:firstLine="440" w:firstLineChars="200"/>
        <w:textAlignment w:val="baseline"/>
        <w:rPr>
          <w:rFonts w:hint="eastAsia" w:ascii="宋体" w:hAnsi="宋体" w:eastAsia="宋体" w:cs="宋体"/>
          <w:b/>
          <w:bCs/>
          <w:color w:val="auto"/>
          <w:sz w:val="22"/>
          <w:szCs w:val="22"/>
          <w:highlight w:val="none"/>
          <w:lang w:val="en-US" w:eastAsia="zh-CN"/>
        </w:rPr>
      </w:pPr>
      <w:r>
        <w:rPr>
          <w:rFonts w:hint="eastAsia" w:ascii="宋体" w:hAnsi="宋体" w:cs="宋体"/>
          <w:b w:val="0"/>
          <w:bCs w:val="0"/>
          <w:color w:val="auto"/>
          <w:kern w:val="0"/>
          <w:sz w:val="22"/>
          <w:szCs w:val="22"/>
          <w:highlight w:val="none"/>
          <w:lang w:val="en-US" w:eastAsia="zh-CN" w:bidi="ar-SA"/>
        </w:rPr>
        <w:t>4</w:t>
      </w:r>
      <w:r>
        <w:rPr>
          <w:rFonts w:hint="eastAsia" w:ascii="宋体" w:hAnsi="宋体" w:eastAsia="宋体" w:cs="宋体"/>
          <w:b w:val="0"/>
          <w:bCs w:val="0"/>
          <w:color w:val="auto"/>
          <w:kern w:val="0"/>
          <w:sz w:val="22"/>
          <w:szCs w:val="22"/>
          <w:highlight w:val="none"/>
          <w:lang w:val="en-US" w:eastAsia="zh-CN" w:bidi="ar-SA"/>
        </w:rPr>
        <w:t>.2 第二次付款：根据甲方内部管理规定，满足终验条件，乙方提交全部验收材料，通过甲方组织的验收后，支付至合同金额的 100%。</w:t>
      </w:r>
    </w:p>
    <w:p w14:paraId="3A246368">
      <w:pPr>
        <w:pStyle w:val="39"/>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p>
    <w:p w14:paraId="48A9C1B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5. </w:t>
      </w:r>
      <w:r>
        <w:rPr>
          <w:rFonts w:hint="eastAsia"/>
          <w:snapToGrid w:val="0"/>
          <w:color w:val="auto"/>
          <w:sz w:val="24"/>
          <w:szCs w:val="24"/>
          <w:highlight w:val="none"/>
          <w:lang w:val="en-US" w:eastAsia="zh-CN"/>
        </w:rPr>
        <w:t xml:space="preserve">保险【如适用】 </w:t>
      </w:r>
    </w:p>
    <w:p w14:paraId="58DDC29D">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6.其他要求【如有】</w:t>
      </w:r>
    </w:p>
    <w:p w14:paraId="38BE1D8A">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 xml:space="preserve">三、技术要求 </w:t>
      </w:r>
    </w:p>
    <w:tbl>
      <w:tblPr>
        <w:tblStyle w:val="3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8"/>
        <w:gridCol w:w="2029"/>
        <w:gridCol w:w="392"/>
        <w:gridCol w:w="4418"/>
        <w:gridCol w:w="455"/>
        <w:gridCol w:w="666"/>
      </w:tblGrid>
      <w:tr w14:paraId="1419E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blHeader/>
        </w:trPr>
        <w:tc>
          <w:tcPr>
            <w:tcW w:w="333" w:type="pct"/>
            <w:tcBorders>
              <w:bottom w:val="single" w:color="000000" w:sz="4" w:space="0"/>
              <w:right w:val="single" w:color="000000" w:sz="4" w:space="0"/>
            </w:tcBorders>
            <w:noWrap/>
            <w:vAlign w:val="center"/>
          </w:tcPr>
          <w:p w14:paraId="7404BC59">
            <w:pPr>
              <w:keepNext w:val="0"/>
              <w:keepLines w:val="0"/>
              <w:widowControl/>
              <w:suppressLineNumbers w:val="0"/>
              <w:jc w:val="center"/>
              <w:textAlignment w:val="center"/>
              <w:rPr>
                <w:rFonts w:hint="default" w:ascii="Nimbus Roman No9 L" w:hAnsi="Nimbus Roman No9 L" w:eastAsia="宋体" w:cs="Nimbus Roman No9 L"/>
                <w:b/>
                <w:bCs/>
                <w:i w:val="0"/>
                <w:iCs w:val="0"/>
                <w:color w:val="000000"/>
                <w:sz w:val="20"/>
                <w:szCs w:val="20"/>
                <w:highlight w:val="none"/>
                <w:u w:val="none"/>
              </w:rPr>
            </w:pPr>
            <w:r>
              <w:rPr>
                <w:rFonts w:hint="default" w:ascii="Nimbus Roman No9 L" w:hAnsi="Nimbus Roman No9 L" w:eastAsia="宋体" w:cs="Nimbus Roman No9 L"/>
                <w:b/>
                <w:bCs/>
                <w:i w:val="0"/>
                <w:iCs w:val="0"/>
                <w:color w:val="000000"/>
                <w:kern w:val="0"/>
                <w:sz w:val="20"/>
                <w:szCs w:val="20"/>
                <w:highlight w:val="none"/>
                <w:u w:val="none"/>
                <w:lang w:val="en-US" w:eastAsia="zh-CN" w:bidi="ar"/>
              </w:rPr>
              <w:t>序号</w:t>
            </w:r>
          </w:p>
        </w:tc>
        <w:tc>
          <w:tcPr>
            <w:tcW w:w="1419" w:type="pct"/>
            <w:gridSpan w:val="2"/>
            <w:tcBorders>
              <w:left w:val="single" w:color="000000" w:sz="4" w:space="0"/>
              <w:bottom w:val="single" w:color="000000" w:sz="4" w:space="0"/>
              <w:right w:val="single" w:color="000000" w:sz="4" w:space="0"/>
            </w:tcBorders>
            <w:noWrap/>
            <w:vAlign w:val="center"/>
          </w:tcPr>
          <w:p w14:paraId="3CFA35D0">
            <w:pPr>
              <w:keepNext w:val="0"/>
              <w:keepLines w:val="0"/>
              <w:widowControl/>
              <w:suppressLineNumbers w:val="0"/>
              <w:jc w:val="center"/>
              <w:textAlignment w:val="center"/>
              <w:rPr>
                <w:rFonts w:hint="default" w:ascii="Nimbus Roman No9 L" w:hAnsi="Nimbus Roman No9 L" w:eastAsia="宋体" w:cs="Nimbus Roman No9 L"/>
                <w:b/>
                <w:bCs/>
                <w:i w:val="0"/>
                <w:iCs w:val="0"/>
                <w:color w:val="000000"/>
                <w:sz w:val="20"/>
                <w:szCs w:val="20"/>
                <w:highlight w:val="none"/>
                <w:u w:val="none"/>
              </w:rPr>
            </w:pPr>
            <w:r>
              <w:rPr>
                <w:rFonts w:hint="default" w:ascii="Nimbus Roman No9 L" w:hAnsi="Nimbus Roman No9 L" w:eastAsia="宋体" w:cs="Nimbus Roman No9 L"/>
                <w:b/>
                <w:bCs/>
                <w:i w:val="0"/>
                <w:iCs w:val="0"/>
                <w:color w:val="000000"/>
                <w:kern w:val="0"/>
                <w:sz w:val="20"/>
                <w:szCs w:val="20"/>
                <w:highlight w:val="none"/>
                <w:u w:val="none"/>
                <w:lang w:val="en-US" w:eastAsia="zh-CN" w:bidi="ar"/>
              </w:rPr>
              <w:t>设备名称</w:t>
            </w:r>
          </w:p>
        </w:tc>
        <w:tc>
          <w:tcPr>
            <w:tcW w:w="2590" w:type="pct"/>
            <w:tcBorders>
              <w:left w:val="single" w:color="000000" w:sz="4" w:space="0"/>
              <w:bottom w:val="single" w:color="000000" w:sz="4" w:space="0"/>
              <w:right w:val="single" w:color="000000" w:sz="4" w:space="0"/>
            </w:tcBorders>
            <w:noWrap w:val="0"/>
            <w:vAlign w:val="center"/>
          </w:tcPr>
          <w:p w14:paraId="34EA2476">
            <w:pPr>
              <w:keepNext w:val="0"/>
              <w:keepLines w:val="0"/>
              <w:widowControl/>
              <w:suppressLineNumbers w:val="0"/>
              <w:jc w:val="left"/>
              <w:textAlignment w:val="center"/>
              <w:rPr>
                <w:rFonts w:hint="default" w:ascii="Nimbus Roman No9 L" w:hAnsi="Nimbus Roman No9 L" w:eastAsia="宋体" w:cs="Nimbus Roman No9 L"/>
                <w:b/>
                <w:bCs/>
                <w:i w:val="0"/>
                <w:iCs w:val="0"/>
                <w:color w:val="000000"/>
                <w:sz w:val="20"/>
                <w:szCs w:val="20"/>
                <w:highlight w:val="none"/>
                <w:u w:val="none"/>
              </w:rPr>
            </w:pPr>
            <w:r>
              <w:rPr>
                <w:rFonts w:hint="default" w:ascii="Nimbus Roman No9 L" w:hAnsi="Nimbus Roman No9 L" w:eastAsia="宋体" w:cs="Nimbus Roman No9 L"/>
                <w:b/>
                <w:bCs/>
                <w:i w:val="0"/>
                <w:iCs w:val="0"/>
                <w:color w:val="000000"/>
                <w:kern w:val="0"/>
                <w:sz w:val="20"/>
                <w:szCs w:val="20"/>
                <w:highlight w:val="none"/>
                <w:u w:val="none"/>
                <w:lang w:val="en-US" w:eastAsia="zh-CN" w:bidi="ar"/>
              </w:rPr>
              <w:t>运维服务内容</w:t>
            </w:r>
          </w:p>
        </w:tc>
        <w:tc>
          <w:tcPr>
            <w:tcW w:w="266" w:type="pct"/>
            <w:tcBorders>
              <w:left w:val="single" w:color="000000" w:sz="4" w:space="0"/>
              <w:bottom w:val="single" w:color="000000" w:sz="4" w:space="0"/>
              <w:right w:val="single" w:color="000000" w:sz="4" w:space="0"/>
            </w:tcBorders>
            <w:noWrap w:val="0"/>
            <w:vAlign w:val="center"/>
          </w:tcPr>
          <w:p w14:paraId="19C426C2">
            <w:pPr>
              <w:keepNext w:val="0"/>
              <w:keepLines w:val="0"/>
              <w:widowControl/>
              <w:suppressLineNumbers w:val="0"/>
              <w:jc w:val="center"/>
              <w:textAlignment w:val="center"/>
              <w:rPr>
                <w:rFonts w:hint="default" w:ascii="Nimbus Roman No9 L" w:hAnsi="Nimbus Roman No9 L" w:eastAsia="宋体" w:cs="Nimbus Roman No9 L"/>
                <w:b/>
                <w:bCs/>
                <w:i w:val="0"/>
                <w:iCs w:val="0"/>
                <w:color w:val="000000"/>
                <w:sz w:val="20"/>
                <w:szCs w:val="20"/>
                <w:highlight w:val="none"/>
                <w:u w:val="none"/>
              </w:rPr>
            </w:pPr>
            <w:r>
              <w:rPr>
                <w:rFonts w:hint="default" w:ascii="Nimbus Roman No9 L" w:hAnsi="Nimbus Roman No9 L" w:eastAsia="宋体" w:cs="Nimbus Roman No9 L"/>
                <w:b/>
                <w:bCs/>
                <w:i w:val="0"/>
                <w:iCs w:val="0"/>
                <w:color w:val="000000"/>
                <w:kern w:val="0"/>
                <w:sz w:val="20"/>
                <w:szCs w:val="20"/>
                <w:highlight w:val="none"/>
                <w:u w:val="none"/>
                <w:lang w:val="en-US" w:eastAsia="zh-CN" w:bidi="ar"/>
              </w:rPr>
              <w:t>单位</w:t>
            </w:r>
          </w:p>
        </w:tc>
        <w:tc>
          <w:tcPr>
            <w:tcW w:w="390" w:type="pct"/>
            <w:tcBorders>
              <w:left w:val="single" w:color="000000" w:sz="4" w:space="0"/>
              <w:bottom w:val="single" w:color="000000" w:sz="4" w:space="0"/>
            </w:tcBorders>
            <w:noWrap w:val="0"/>
            <w:vAlign w:val="center"/>
          </w:tcPr>
          <w:p w14:paraId="6684B3EF">
            <w:pPr>
              <w:keepNext w:val="0"/>
              <w:keepLines w:val="0"/>
              <w:widowControl/>
              <w:suppressLineNumbers w:val="0"/>
              <w:jc w:val="center"/>
              <w:textAlignment w:val="center"/>
              <w:rPr>
                <w:rFonts w:hint="default" w:ascii="Nimbus Roman No9 L" w:hAnsi="Nimbus Roman No9 L" w:eastAsia="宋体" w:cs="Nimbus Roman No9 L"/>
                <w:b/>
                <w:bCs/>
                <w:i w:val="0"/>
                <w:iCs w:val="0"/>
                <w:color w:val="000000"/>
                <w:sz w:val="20"/>
                <w:szCs w:val="20"/>
                <w:highlight w:val="none"/>
                <w:u w:val="none"/>
              </w:rPr>
            </w:pPr>
            <w:r>
              <w:rPr>
                <w:rFonts w:hint="default" w:ascii="Nimbus Roman No9 L" w:hAnsi="Nimbus Roman No9 L" w:eastAsia="宋体" w:cs="Nimbus Roman No9 L"/>
                <w:b/>
                <w:bCs/>
                <w:i w:val="0"/>
                <w:iCs w:val="0"/>
                <w:color w:val="000000"/>
                <w:kern w:val="0"/>
                <w:sz w:val="20"/>
                <w:szCs w:val="20"/>
                <w:highlight w:val="none"/>
                <w:u w:val="none"/>
                <w:lang w:val="en-US" w:eastAsia="zh-CN" w:bidi="ar"/>
              </w:rPr>
              <w:t>数量</w:t>
            </w:r>
          </w:p>
        </w:tc>
      </w:tr>
      <w:tr w14:paraId="09690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noWrap/>
            <w:vAlign w:val="center"/>
          </w:tcPr>
          <w:p w14:paraId="35F35D3D">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1</w:t>
            </w:r>
          </w:p>
        </w:tc>
        <w:tc>
          <w:tcPr>
            <w:tcW w:w="1419" w:type="pct"/>
            <w:gridSpan w:val="2"/>
            <w:tcBorders>
              <w:top w:val="single" w:color="000000" w:sz="4" w:space="0"/>
              <w:left w:val="single" w:color="000000" w:sz="4" w:space="0"/>
              <w:bottom w:val="single" w:color="000000" w:sz="4" w:space="0"/>
              <w:right w:val="single" w:color="000000" w:sz="4" w:space="0"/>
            </w:tcBorders>
            <w:noWrap w:val="0"/>
            <w:vAlign w:val="center"/>
          </w:tcPr>
          <w:p w14:paraId="659C61A4">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移动执法终端的运行保障及维修替换服务</w:t>
            </w:r>
          </w:p>
        </w:tc>
        <w:tc>
          <w:tcPr>
            <w:tcW w:w="2590" w:type="pct"/>
            <w:tcBorders>
              <w:top w:val="single" w:color="000000" w:sz="4" w:space="0"/>
              <w:left w:val="single" w:color="000000" w:sz="4" w:space="0"/>
              <w:bottom w:val="single" w:color="000000" w:sz="4" w:space="0"/>
              <w:right w:val="single" w:color="000000" w:sz="4" w:space="0"/>
            </w:tcBorders>
            <w:noWrap w:val="0"/>
            <w:vAlign w:val="center"/>
          </w:tcPr>
          <w:p w14:paraId="6EEAA425">
            <w:pPr>
              <w:keepNext w:val="0"/>
              <w:keepLines w:val="0"/>
              <w:widowControl/>
              <w:numPr>
                <w:ilvl w:val="0"/>
                <w:numId w:val="0"/>
              </w:numPr>
              <w:suppressLineNumbers w:val="0"/>
              <w:jc w:val="both"/>
              <w:textAlignment w:val="center"/>
              <w:rPr>
                <w:rFonts w:hint="default" w:ascii="Nimbus Roman No9 L" w:hAnsi="Nimbus Roman No9 L" w:eastAsia="宋体" w:cs="Nimbus Roman No9 L"/>
                <w:b w:val="0"/>
                <w:bCs w:val="0"/>
                <w:i/>
                <w:iCs/>
                <w:color w:val="auto"/>
                <w:sz w:val="20"/>
                <w:szCs w:val="20"/>
                <w:highlight w:val="none"/>
                <w:u w:val="single"/>
              </w:rPr>
            </w:pPr>
            <w:r>
              <w:rPr>
                <w:rFonts w:hint="eastAsia" w:ascii="Nimbus Roman No9 L" w:hAnsi="Nimbus Roman No9 L" w:eastAsia="宋体" w:cs="Nimbus Roman No9 L"/>
                <w:i/>
                <w:iCs/>
                <w:color w:val="auto"/>
                <w:kern w:val="0"/>
                <w:sz w:val="20"/>
                <w:szCs w:val="20"/>
                <w:highlight w:val="none"/>
                <w:u w:val="single"/>
                <w:lang w:val="en-US" w:eastAsia="zh-CN" w:bidi="ar"/>
              </w:rPr>
              <w:t>1.1、</w:t>
            </w:r>
            <w:r>
              <w:rPr>
                <w:rFonts w:hint="default" w:ascii="Nimbus Roman No9 L" w:hAnsi="Nimbus Roman No9 L" w:eastAsia="宋体" w:cs="Nimbus Roman No9 L"/>
                <w:i/>
                <w:iCs/>
                <w:color w:val="auto"/>
                <w:kern w:val="0"/>
                <w:sz w:val="20"/>
                <w:szCs w:val="20"/>
                <w:highlight w:val="none"/>
                <w:u w:val="single"/>
                <w:lang w:val="en-US" w:eastAsia="zh-CN" w:bidi="ar"/>
              </w:rPr>
              <w:t>处理器 国产高性能CPU，满足信息产品国产化要求</w:t>
            </w:r>
            <w:r>
              <w:rPr>
                <w:rFonts w:hint="eastAsia" w:ascii="Nimbus Roman No9 L" w:hAnsi="Nimbus Roman No9 L" w:eastAsia="宋体" w:cs="Nimbus Roman No9 L"/>
                <w:i/>
                <w:iCs/>
                <w:color w:val="auto"/>
                <w:kern w:val="0"/>
                <w:sz w:val="20"/>
                <w:szCs w:val="20"/>
                <w:highlight w:val="none"/>
                <w:u w:val="single"/>
                <w:lang w:val="en-US" w:eastAsia="zh-CN" w:bidi="ar"/>
              </w:rPr>
              <w:t>，处理器不低于12核，主频不低于2.4GHz。</w:t>
            </w:r>
            <w:r>
              <w:rPr>
                <w:rFonts w:hint="default" w:ascii="Nimbus Roman No9 L" w:hAnsi="Nimbus Roman No9 L" w:eastAsia="宋体" w:cs="Nimbus Roman No9 L"/>
                <w:i/>
                <w:iCs/>
                <w:color w:val="auto"/>
                <w:kern w:val="0"/>
                <w:sz w:val="20"/>
                <w:szCs w:val="20"/>
                <w:highlight w:val="none"/>
                <w:u w:val="none"/>
                <w:lang w:val="en-US" w:eastAsia="zh-CN" w:bidi="ar"/>
              </w:rPr>
              <w:br w:type="textWrapping"/>
            </w:r>
            <w:r>
              <w:rPr>
                <w:rFonts w:hint="eastAsia" w:ascii="Nimbus Roman No9 L" w:hAnsi="Nimbus Roman No9 L" w:eastAsia="宋体" w:cs="Nimbus Roman No9 L"/>
                <w:i/>
                <w:iCs/>
                <w:color w:val="auto"/>
                <w:kern w:val="0"/>
                <w:sz w:val="20"/>
                <w:szCs w:val="20"/>
                <w:highlight w:val="none"/>
                <w:u w:val="single"/>
                <w:lang w:val="en-US" w:eastAsia="zh-CN" w:bidi="ar"/>
              </w:rPr>
              <w:t>1.2、</w:t>
            </w:r>
            <w:r>
              <w:rPr>
                <w:rFonts w:hint="default" w:ascii="Nimbus Roman No9 L" w:hAnsi="Nimbus Roman No9 L" w:eastAsia="宋体" w:cs="Nimbus Roman No9 L"/>
                <w:i/>
                <w:iCs/>
                <w:color w:val="auto"/>
                <w:kern w:val="0"/>
                <w:sz w:val="20"/>
                <w:szCs w:val="20"/>
                <w:highlight w:val="none"/>
                <w:u w:val="single"/>
                <w:lang w:val="en-US" w:eastAsia="zh-CN" w:bidi="ar"/>
              </w:rPr>
              <w:t>操作系统 采用国产操作系统，符合系统国产化要求</w:t>
            </w:r>
            <w:r>
              <w:rPr>
                <w:rFonts w:hint="eastAsia" w:ascii="Nimbus Roman No9 L" w:hAnsi="Nimbus Roman No9 L" w:eastAsia="宋体" w:cs="Nimbus Roman No9 L"/>
                <w:i/>
                <w:iCs/>
                <w:color w:val="auto"/>
                <w:kern w:val="0"/>
                <w:sz w:val="20"/>
                <w:szCs w:val="20"/>
                <w:highlight w:val="none"/>
                <w:u w:val="single"/>
                <w:lang w:val="en-US" w:eastAsia="zh-CN" w:bidi="ar"/>
              </w:rPr>
              <w:t>，提供中国电子技术标准化研究院、中国信息安全测评中心、中国信息通讯研究院等国家级权威机构出具检测报告或测评证书。</w:t>
            </w:r>
            <w:r>
              <w:rPr>
                <w:rFonts w:hint="default" w:ascii="Nimbus Roman No9 L" w:hAnsi="Nimbus Roman No9 L" w:eastAsia="宋体" w:cs="Nimbus Roman No9 L"/>
                <w:i/>
                <w:iCs/>
                <w:color w:val="auto"/>
                <w:kern w:val="0"/>
                <w:sz w:val="20"/>
                <w:szCs w:val="20"/>
                <w:highlight w:val="none"/>
                <w:u w:val="single"/>
                <w:lang w:val="en-US" w:eastAsia="zh-CN" w:bidi="ar"/>
              </w:rPr>
              <w:br w:type="textWrapping"/>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1.3、</w:t>
            </w:r>
            <w:r>
              <w:rPr>
                <w:rFonts w:hint="eastAsia" w:ascii="宋体" w:hAnsi="宋体" w:eastAsia="宋体" w:cs="宋体"/>
                <w:color w:val="auto"/>
                <w:kern w:val="0"/>
                <w:sz w:val="24"/>
                <w:szCs w:val="24"/>
                <w:highlight w:val="none"/>
                <w:lang w:val="en-US" w:eastAsia="zh-CN" w:bidi="ar-SA"/>
              </w:rPr>
              <w:t>▲</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运行内存 运行内存≥12G，存储空间≥256G</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p>
          <w:p w14:paraId="3143DF37">
            <w:pPr>
              <w:keepNext w:val="0"/>
              <w:keepLines w:val="0"/>
              <w:widowControl/>
              <w:numPr>
                <w:ilvl w:val="0"/>
                <w:numId w:val="0"/>
              </w:numPr>
              <w:suppressLineNumbers w:val="0"/>
              <w:jc w:val="both"/>
              <w:textAlignment w:val="center"/>
              <w:rPr>
                <w:rFonts w:hint="default" w:ascii="Nimbus Roman No9 L" w:hAnsi="Nimbus Roman No9 L" w:eastAsia="宋体" w:cs="Nimbus Roman No9 L"/>
                <w:b w:val="0"/>
                <w:bCs w:val="0"/>
                <w:i/>
                <w:iCs/>
                <w:color w:val="auto"/>
                <w:kern w:val="0"/>
                <w:sz w:val="20"/>
                <w:szCs w:val="20"/>
                <w:highlight w:val="none"/>
                <w:u w:val="single"/>
                <w:lang w:val="en-US" w:eastAsia="zh-CN" w:bidi="ar"/>
              </w:rPr>
            </w:pPr>
            <w:r>
              <w:rPr>
                <w:rFonts w:hint="eastAsia" w:ascii="Nimbus Roman No9 L" w:hAnsi="Nimbus Roman No9 L" w:eastAsia="宋体" w:cs="Nimbus Roman No9 L"/>
                <w:b/>
                <w:bCs/>
                <w:i/>
                <w:iCs/>
                <w:color w:val="auto"/>
                <w:kern w:val="0"/>
                <w:sz w:val="20"/>
                <w:szCs w:val="20"/>
                <w:highlight w:val="none"/>
                <w:u w:val="single"/>
                <w:lang w:val="en-US" w:eastAsia="zh-CN" w:bidi="ar"/>
              </w:rPr>
              <w:t>1.4、</w:t>
            </w:r>
            <w:r>
              <w:rPr>
                <w:rFonts w:hint="default" w:ascii="Nimbus Roman No9 L" w:hAnsi="Nimbus Roman No9 L" w:eastAsia="宋体" w:cs="Nimbus Roman No9 L"/>
                <w:b/>
                <w:bCs/>
                <w:i/>
                <w:iCs/>
                <w:color w:val="auto"/>
                <w:kern w:val="0"/>
                <w:sz w:val="20"/>
                <w:szCs w:val="20"/>
                <w:highlight w:val="none"/>
                <w:u w:val="single"/>
                <w:lang w:val="en-US" w:eastAsia="zh-CN" w:bidi="ar"/>
              </w:rPr>
              <w:t>▲</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电池 电池容量≥5200mAh。支持无线快充</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p>
          <w:p w14:paraId="589147FE">
            <w:pPr>
              <w:keepNext w:val="0"/>
              <w:keepLines w:val="0"/>
              <w:widowControl/>
              <w:numPr>
                <w:ilvl w:val="0"/>
                <w:numId w:val="0"/>
              </w:numPr>
              <w:suppressLineNumbers w:val="0"/>
              <w:jc w:val="both"/>
              <w:textAlignment w:val="center"/>
              <w:rPr>
                <w:rFonts w:hint="eastAsia" w:ascii="Nimbus Roman No9 L" w:hAnsi="Nimbus Roman No9 L" w:eastAsia="宋体" w:cs="Nimbus Roman No9 L"/>
                <w:b w:val="0"/>
                <w:bCs w:val="0"/>
                <w:i/>
                <w:iCs/>
                <w:color w:val="auto"/>
                <w:kern w:val="0"/>
                <w:sz w:val="20"/>
                <w:szCs w:val="20"/>
                <w:highlight w:val="none"/>
                <w:u w:val="single"/>
                <w:lang w:val="en-US" w:eastAsia="zh-CN" w:bidi="ar"/>
              </w:rPr>
            </w:pPr>
            <w:r>
              <w:rPr>
                <w:rFonts w:hint="default" w:ascii="Nimbus Roman No9 L" w:hAnsi="Nimbus Roman No9 L" w:eastAsia="宋体" w:cs="Nimbus Roman No9 L"/>
                <w:b w:val="0"/>
                <w:bCs w:val="0"/>
                <w:i/>
                <w:iCs/>
                <w:color w:val="auto"/>
                <w:kern w:val="0"/>
                <w:sz w:val="20"/>
                <w:szCs w:val="20"/>
                <w:highlight w:val="none"/>
                <w:u w:val="single"/>
                <w:lang w:val="en-US" w:eastAsia="zh-CN" w:bidi="ar"/>
              </w:rPr>
              <w:t>大于5200mAh为正偏离</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1.5 、</w:t>
            </w:r>
            <w:r>
              <w:rPr>
                <w:rFonts w:hint="default" w:ascii="Nimbus Roman No9 L" w:hAnsi="Nimbus Roman No9 L" w:eastAsia="宋体" w:cs="Nimbus Roman No9 L"/>
                <w:i w:val="0"/>
                <w:iCs w:val="0"/>
                <w:color w:val="000000"/>
                <w:kern w:val="0"/>
                <w:sz w:val="20"/>
                <w:szCs w:val="20"/>
                <w:highlight w:val="none"/>
                <w:u w:val="none"/>
                <w:lang w:val="en-US" w:eastAsia="zh-CN" w:bidi="ar"/>
              </w:rPr>
              <w:t>NFC 内置NFC模块，支持读卡器模式，卡模拟模式</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1.6</w:t>
            </w:r>
            <w:r>
              <w:rPr>
                <w:rFonts w:hint="default" w:ascii="Nimbus Roman No9 L" w:hAnsi="Nimbus Roman No9 L" w:eastAsia="宋体" w:cs="Nimbus Roman No9 L"/>
                <w:i w:val="0"/>
                <w:iCs w:val="0"/>
                <w:color w:val="000000"/>
                <w:kern w:val="0"/>
                <w:sz w:val="20"/>
                <w:szCs w:val="20"/>
                <w:highlight w:val="none"/>
                <w:u w:val="none"/>
                <w:lang w:val="en-US" w:eastAsia="zh-CN" w:bidi="ar"/>
              </w:rPr>
              <w:t>、防护能力 支持在GB/T 4208-2017（国内）标准下达到 IP68级防护</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1.</w:t>
            </w:r>
            <w:r>
              <w:rPr>
                <w:rFonts w:hint="default" w:ascii="Nimbus Roman No9 L" w:hAnsi="Nimbus Roman No9 L" w:eastAsia="宋体" w:cs="Nimbus Roman No9 L"/>
                <w:i w:val="0"/>
                <w:iCs w:val="0"/>
                <w:color w:val="auto"/>
                <w:kern w:val="0"/>
                <w:sz w:val="20"/>
                <w:szCs w:val="20"/>
                <w:highlight w:val="none"/>
                <w:u w:val="none"/>
                <w:lang w:val="en-US" w:eastAsia="zh-CN" w:bidi="ar"/>
              </w:rPr>
              <w:t>7、服务网点</w:t>
            </w:r>
            <w:r>
              <w:rPr>
                <w:rFonts w:hint="eastAsia" w:ascii="Nimbus Roman No9 L" w:hAnsi="Nimbus Roman No9 L" w:eastAsia="宋体" w:cs="Nimbus Roman No9 L"/>
                <w:i w:val="0"/>
                <w:iCs w:val="0"/>
                <w:color w:val="auto"/>
                <w:kern w:val="0"/>
                <w:sz w:val="20"/>
                <w:szCs w:val="20"/>
                <w:highlight w:val="none"/>
                <w:u w:val="none"/>
                <w:lang w:val="en-US" w:eastAsia="zh-CN" w:bidi="ar"/>
              </w:rPr>
              <w:t>，</w:t>
            </w:r>
            <w:r>
              <w:rPr>
                <w:rFonts w:hint="default" w:ascii="Nimbus Roman No9 L" w:hAnsi="Nimbus Roman No9 L" w:eastAsia="宋体" w:cs="Nimbus Roman No9 L"/>
                <w:i w:val="0"/>
                <w:iCs w:val="0"/>
                <w:color w:val="auto"/>
                <w:kern w:val="0"/>
                <w:sz w:val="20"/>
                <w:szCs w:val="20"/>
                <w:highlight w:val="none"/>
                <w:u w:val="none"/>
                <w:lang w:val="en-US" w:eastAsia="zh-CN" w:bidi="ar"/>
              </w:rPr>
              <w:t xml:space="preserve"> 有售后服务网点，并在所投产品生产商官网可查询。提供终端生产厂家官网截图，并出具移动警务终端售后承诺函并加盖公章</w:t>
            </w:r>
            <w:r>
              <w:rPr>
                <w:rFonts w:hint="eastAsia" w:ascii="Nimbus Roman No9 L" w:hAnsi="Nimbus Roman No9 L" w:eastAsia="宋体" w:cs="Nimbus Roman No9 L"/>
                <w:i w:val="0"/>
                <w:iCs w:val="0"/>
                <w:color w:val="auto"/>
                <w:kern w:val="0"/>
                <w:sz w:val="20"/>
                <w:szCs w:val="20"/>
                <w:highlight w:val="none"/>
                <w:u w:val="none"/>
                <w:lang w:val="en-US" w:eastAsia="zh-CN" w:bidi="ar"/>
              </w:rPr>
              <w:t>。</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1.</w:t>
            </w:r>
            <w:r>
              <w:rPr>
                <w:rFonts w:hint="default" w:ascii="Nimbus Roman No9 L" w:hAnsi="Nimbus Roman No9 L" w:eastAsia="宋体" w:cs="Nimbus Roman No9 L"/>
                <w:i w:val="0"/>
                <w:iCs w:val="0"/>
                <w:color w:val="auto"/>
                <w:kern w:val="0"/>
                <w:sz w:val="20"/>
                <w:szCs w:val="20"/>
                <w:highlight w:val="none"/>
                <w:u w:val="none"/>
                <w:lang w:val="en-US" w:eastAsia="zh-CN" w:bidi="ar"/>
              </w:rPr>
              <w:t xml:space="preserve">8、系统隔离 </w:t>
            </w:r>
            <w:r>
              <w:rPr>
                <w:rFonts w:hint="eastAsia" w:ascii="Nimbus Roman No9 L" w:hAnsi="Nimbus Roman No9 L" w:eastAsia="宋体" w:cs="Nimbus Roman No9 L"/>
                <w:i w:val="0"/>
                <w:iCs w:val="0"/>
                <w:color w:val="auto"/>
                <w:kern w:val="0"/>
                <w:sz w:val="20"/>
                <w:szCs w:val="20"/>
                <w:highlight w:val="none"/>
                <w:u w:val="none"/>
                <w:lang w:val="en-US" w:eastAsia="zh-CN" w:bidi="ar"/>
              </w:rPr>
              <w:t>符合</w:t>
            </w:r>
            <w:r>
              <w:rPr>
                <w:rFonts w:hint="default" w:ascii="Nimbus Roman No9 L" w:hAnsi="Nimbus Roman No9 L" w:eastAsia="宋体" w:cs="Nimbus Roman No9 L"/>
                <w:i w:val="0"/>
                <w:iCs w:val="0"/>
                <w:color w:val="auto"/>
                <w:kern w:val="0"/>
                <w:sz w:val="20"/>
                <w:szCs w:val="20"/>
                <w:highlight w:val="none"/>
                <w:u w:val="none"/>
                <w:lang w:val="en-US" w:eastAsia="zh-CN" w:bidi="ar"/>
              </w:rPr>
              <w:t>《司法行政移动执法系统技术规范》（SF/T 0049—2020）</w:t>
            </w:r>
            <w:r>
              <w:rPr>
                <w:rFonts w:hint="eastAsia" w:ascii="Nimbus Roman No9 L" w:hAnsi="Nimbus Roman No9 L" w:eastAsia="宋体" w:cs="Nimbus Roman No9 L"/>
                <w:i w:val="0"/>
                <w:iCs w:val="0"/>
                <w:color w:val="auto"/>
                <w:kern w:val="0"/>
                <w:sz w:val="20"/>
                <w:szCs w:val="20"/>
                <w:highlight w:val="none"/>
                <w:u w:val="none"/>
                <w:lang w:val="en-US" w:eastAsia="zh-CN" w:bidi="ar"/>
              </w:rPr>
              <w:t>第五部分 关于双系统隔离的要求。</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1.</w:t>
            </w:r>
            <w:r>
              <w:rPr>
                <w:rFonts w:hint="default" w:ascii="Nimbus Roman No9 L" w:hAnsi="Nimbus Roman No9 L" w:eastAsia="宋体" w:cs="Nimbus Roman No9 L"/>
                <w:i w:val="0"/>
                <w:iCs w:val="0"/>
                <w:color w:val="auto"/>
                <w:kern w:val="0"/>
                <w:sz w:val="20"/>
                <w:szCs w:val="20"/>
                <w:highlight w:val="none"/>
                <w:u w:val="none"/>
                <w:lang w:val="en-US" w:eastAsia="zh-CN" w:bidi="ar"/>
              </w:rPr>
              <w:t>9、双卡双在线 支持两张卡分别同时接入公共APN和专属APN，业务同时在线。切换工作模式后，禁用生活SIM卡。</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1.</w:t>
            </w:r>
            <w:r>
              <w:rPr>
                <w:rFonts w:hint="default" w:ascii="Nimbus Roman No9 L" w:hAnsi="Nimbus Roman No9 L" w:eastAsia="宋体" w:cs="Nimbus Roman No9 L"/>
                <w:i w:val="0"/>
                <w:iCs w:val="0"/>
                <w:color w:val="auto"/>
                <w:kern w:val="0"/>
                <w:sz w:val="20"/>
                <w:szCs w:val="20"/>
                <w:highlight w:val="none"/>
                <w:u w:val="none"/>
                <w:lang w:val="en-US" w:eastAsia="zh-CN" w:bidi="ar"/>
              </w:rPr>
              <w:t>10、安全水印 支持系统级全局水印功能，防止偷拍屏幕造成信息泄露，同时支持防截屏、防录屏</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1.</w:t>
            </w:r>
            <w:r>
              <w:rPr>
                <w:rFonts w:hint="default" w:ascii="Nimbus Roman No9 L" w:hAnsi="Nimbus Roman No9 L" w:eastAsia="宋体" w:cs="Nimbus Roman No9 L"/>
                <w:i w:val="0"/>
                <w:iCs w:val="0"/>
                <w:color w:val="auto"/>
                <w:kern w:val="0"/>
                <w:sz w:val="20"/>
                <w:szCs w:val="20"/>
                <w:highlight w:val="none"/>
                <w:u w:val="none"/>
                <w:lang w:val="en-US" w:eastAsia="zh-CN" w:bidi="ar"/>
              </w:rPr>
              <w:t>11、产品授权 所投产品，须提供手机硬件生产厂家及系统定制厂家针对本项目的在有效期内的授权</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1.</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12</w:t>
            </w:r>
            <w:r>
              <w:rPr>
                <w:rFonts w:hint="default" w:ascii="Nimbus Roman No9 L" w:hAnsi="Nimbus Roman No9 L" w:eastAsia="宋体" w:cs="Nimbus Roman No9 L"/>
                <w:b/>
                <w:bCs/>
                <w:i/>
                <w:iCs/>
                <w:color w:val="auto"/>
                <w:kern w:val="0"/>
                <w:sz w:val="20"/>
                <w:szCs w:val="20"/>
                <w:highlight w:val="none"/>
                <w:u w:val="single"/>
                <w:lang w:val="en-US" w:eastAsia="zh-CN" w:bidi="ar"/>
              </w:rPr>
              <w:t>、</w:t>
            </w:r>
            <w:r>
              <w:rPr>
                <w:rFonts w:hint="default" w:ascii="Nimbus Roman No9 L" w:hAnsi="Nimbus Roman No9 L" w:eastAsia="宋体" w:cs="Nimbus Roman No9 L"/>
                <w:i/>
                <w:iCs/>
                <w:color w:val="auto"/>
                <w:kern w:val="0"/>
                <w:sz w:val="20"/>
                <w:szCs w:val="20"/>
                <w:highlight w:val="none"/>
                <w:u w:val="single"/>
                <w:lang w:val="en-US" w:eastAsia="zh-CN" w:bidi="ar"/>
              </w:rPr>
              <w:t>安全认证 终端须满足《司法行政移动执法系统技术规范》（SF/T 0049—2020）中第五部分：终端技术要求，并提供具备CNAS标识的检测报告。</w:t>
            </w:r>
            <w:r>
              <w:rPr>
                <w:rFonts w:hint="default" w:ascii="Nimbus Roman No9 L" w:hAnsi="Nimbus Roman No9 L" w:eastAsia="宋体" w:cs="Nimbus Roman No9 L"/>
                <w:i w:val="0"/>
                <w:iCs w:val="0"/>
                <w:color w:val="auto"/>
                <w:kern w:val="0"/>
                <w:sz w:val="20"/>
                <w:szCs w:val="20"/>
                <w:highlight w:val="none"/>
                <w:u w:val="none"/>
                <w:lang w:val="en-US" w:eastAsia="zh-CN" w:bidi="ar"/>
              </w:rPr>
              <w:br w:type="textWrapping"/>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1.</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13</w:t>
            </w:r>
            <w:r>
              <w:rPr>
                <w:rFonts w:hint="default" w:ascii="Nimbus Roman No9 L" w:hAnsi="Nimbus Roman No9 L" w:eastAsia="宋体" w:cs="Nimbus Roman No9 L"/>
                <w:b/>
                <w:bCs/>
                <w:i/>
                <w:iCs/>
                <w:color w:val="auto"/>
                <w:kern w:val="0"/>
                <w:sz w:val="20"/>
                <w:szCs w:val="20"/>
                <w:highlight w:val="none"/>
                <w:u w:val="single"/>
                <w:lang w:val="en-US" w:eastAsia="zh-CN" w:bidi="ar"/>
              </w:rPr>
              <w:t>、</w:t>
            </w:r>
            <w:r>
              <w:rPr>
                <w:rFonts w:hint="default" w:ascii="Nimbus Roman No9 L" w:hAnsi="Nimbus Roman No9 L" w:eastAsia="宋体" w:cs="Nimbus Roman No9 L"/>
                <w:i/>
                <w:iCs/>
                <w:color w:val="auto"/>
                <w:kern w:val="0"/>
                <w:sz w:val="20"/>
                <w:szCs w:val="20"/>
                <w:highlight w:val="none"/>
                <w:u w:val="single"/>
                <w:lang w:val="en-US" w:eastAsia="zh-CN" w:bidi="ar"/>
              </w:rPr>
              <w:t>执行标准</w:t>
            </w:r>
            <w:r>
              <w:rPr>
                <w:rFonts w:hint="eastAsia" w:ascii="Nimbus Roman No9 L" w:hAnsi="Nimbus Roman No9 L" w:eastAsia="宋体" w:cs="Nimbus Roman No9 L"/>
                <w:i/>
                <w:iCs/>
                <w:color w:val="auto"/>
                <w:kern w:val="0"/>
                <w:sz w:val="20"/>
                <w:szCs w:val="20"/>
                <w:highlight w:val="none"/>
                <w:u w:val="single"/>
                <w:lang w:val="en-US" w:eastAsia="zh-CN" w:bidi="ar"/>
              </w:rPr>
              <w:t xml:space="preserve"> </w:t>
            </w:r>
            <w:r>
              <w:rPr>
                <w:rFonts w:hint="default" w:ascii="Nimbus Roman No9 L" w:hAnsi="Nimbus Roman No9 L" w:eastAsia="宋体" w:cs="Nimbus Roman No9 L"/>
                <w:i/>
                <w:iCs/>
                <w:color w:val="auto"/>
                <w:kern w:val="0"/>
                <w:sz w:val="20"/>
                <w:szCs w:val="20"/>
                <w:highlight w:val="none"/>
                <w:u w:val="single"/>
                <w:lang w:val="en-US" w:eastAsia="zh-CN" w:bidi="ar"/>
              </w:rPr>
              <w:t xml:space="preserve">满足《智能手机型移动警务终端 第1部分：技术要求》（GA/T </w:t>
            </w:r>
            <w:r>
              <w:rPr>
                <w:rFonts w:hint="eastAsia" w:ascii="Nimbus Roman No9 L" w:hAnsi="Nimbus Roman No9 L" w:cs="Nimbus Roman No9 L"/>
                <w:i/>
                <w:iCs/>
                <w:color w:val="auto"/>
                <w:kern w:val="0"/>
                <w:sz w:val="20"/>
                <w:szCs w:val="20"/>
                <w:highlight w:val="none"/>
                <w:u w:val="single"/>
                <w:lang w:val="en-US" w:eastAsia="zh-CN" w:bidi="ar"/>
              </w:rPr>
              <w:t>144</w:t>
            </w:r>
            <w:r>
              <w:rPr>
                <w:rFonts w:hint="default" w:ascii="Nimbus Roman No9 L" w:hAnsi="Nimbus Roman No9 L" w:eastAsia="宋体" w:cs="Nimbus Roman No9 L"/>
                <w:i/>
                <w:iCs/>
                <w:color w:val="auto"/>
                <w:kern w:val="0"/>
                <w:sz w:val="20"/>
                <w:szCs w:val="20"/>
                <w:highlight w:val="none"/>
                <w:u w:val="single"/>
                <w:lang w:val="en-US" w:eastAsia="zh-CN" w:bidi="ar"/>
              </w:rPr>
              <w:t>6.1-2018）并出具的检测报告</w:t>
            </w:r>
            <w:r>
              <w:rPr>
                <w:rFonts w:hint="default" w:ascii="Nimbus Roman No9 L" w:hAnsi="Nimbus Roman No9 L" w:eastAsia="宋体" w:cs="Nimbus Roman No9 L"/>
                <w:i/>
                <w:iCs/>
                <w:color w:val="auto"/>
                <w:kern w:val="0"/>
                <w:sz w:val="20"/>
                <w:szCs w:val="20"/>
                <w:highlight w:val="none"/>
                <w:u w:val="single"/>
                <w:lang w:val="en-US" w:eastAsia="zh-CN" w:bidi="ar"/>
              </w:rPr>
              <w:br w:type="textWrapping"/>
            </w:r>
            <w:r>
              <w:rPr>
                <w:rFonts w:hint="default" w:ascii="Nimbus Roman No9 L" w:hAnsi="Nimbus Roman No9 L" w:eastAsia="东文宋体" w:cs="Nimbus Roman No9 L"/>
                <w:b w:val="0"/>
                <w:bCs w:val="0"/>
                <w:i/>
                <w:iCs/>
                <w:color w:val="auto"/>
                <w:kern w:val="0"/>
                <w:sz w:val="20"/>
                <w:szCs w:val="20"/>
                <w:highlight w:val="none"/>
                <w:u w:val="single"/>
                <w:lang w:val="en-US" w:eastAsia="zh-CN" w:bidi="ar"/>
              </w:rPr>
              <w:t>▲</w:t>
            </w:r>
            <w:r>
              <w:rPr>
                <w:rFonts w:hint="eastAsia" w:ascii="Nimbus Roman No9 L" w:hAnsi="Nimbus Roman No9 L" w:eastAsia="东文宋体" w:cs="Nimbus Roman No9 L"/>
                <w:b w:val="0"/>
                <w:bCs w:val="0"/>
                <w:i/>
                <w:iCs/>
                <w:color w:val="auto"/>
                <w:kern w:val="0"/>
                <w:sz w:val="20"/>
                <w:szCs w:val="20"/>
                <w:highlight w:val="none"/>
                <w:u w:val="single"/>
                <w:lang w:val="en-US" w:eastAsia="zh-CN" w:bidi="ar"/>
              </w:rPr>
              <w:t>1.</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14、需提供移动警务终端所需通话、流量、短信服务同网网内通话免费（不限长短号），通话时长≥2000分钟，互联网流量≥100G，专网流量≥50G，</w:t>
            </w:r>
            <w:r>
              <w:rPr>
                <w:rFonts w:hint="default" w:ascii="Nimbus Roman No9 L" w:hAnsi="Nimbus Roman No9 L" w:eastAsia="宋体" w:cs="Nimbus Roman No9 L"/>
                <w:b w:val="0"/>
                <w:bCs w:val="0"/>
                <w:i/>
                <w:iCs/>
                <w:color w:val="000000"/>
                <w:kern w:val="0"/>
                <w:sz w:val="20"/>
                <w:szCs w:val="20"/>
                <w:highlight w:val="none"/>
                <w:u w:val="single"/>
                <w:lang w:val="en-US" w:eastAsia="zh-CN" w:bidi="ar"/>
              </w:rPr>
              <w:t>短信≥100条</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以上套餐通话时长≥2</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2</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00分钟，为正偏离</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p>
          <w:p w14:paraId="363ECB9D">
            <w:pPr>
              <w:keepNext w:val="0"/>
              <w:keepLines w:val="0"/>
              <w:widowControl/>
              <w:numPr>
                <w:ilvl w:val="0"/>
                <w:numId w:val="0"/>
              </w:numPr>
              <w:suppressLineNumbers w:val="0"/>
              <w:jc w:val="both"/>
              <w:textAlignment w:val="center"/>
              <w:rPr>
                <w:rFonts w:hint="default" w:ascii="Nimbus Roman No9 L" w:hAnsi="Nimbus Roman No9 L" w:eastAsia="宋体" w:cs="Nimbus Roman No9 L"/>
                <w:i w:val="0"/>
                <w:iCs w:val="0"/>
                <w:color w:val="000000"/>
                <w:sz w:val="20"/>
                <w:szCs w:val="20"/>
                <w:highlight w:val="none"/>
                <w:u w:val="none"/>
                <w:lang w:val="en-US"/>
              </w:rPr>
            </w:pPr>
            <w:r>
              <w:rPr>
                <w:rFonts w:hint="default" w:ascii="Nimbus Roman No9 L" w:hAnsi="Nimbus Roman No9 L" w:eastAsia="宋体" w:cs="Nimbus Roman No9 L"/>
                <w:b w:val="0"/>
                <w:bCs w:val="0"/>
                <w:i/>
                <w:iCs/>
                <w:color w:val="auto"/>
                <w:kern w:val="0"/>
                <w:sz w:val="20"/>
                <w:szCs w:val="20"/>
                <w:highlight w:val="none"/>
                <w:u w:val="single"/>
                <w:lang w:val="en-US" w:eastAsia="zh-CN" w:bidi="ar"/>
              </w:rPr>
              <w:t>互联网流量≥1</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1</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0G，专网流量≥5</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5</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G，短信≥1</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1</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0条，为正偏离。</w:t>
            </w:r>
          </w:p>
        </w:tc>
        <w:tc>
          <w:tcPr>
            <w:tcW w:w="266" w:type="pct"/>
            <w:tcBorders>
              <w:top w:val="single" w:color="000000" w:sz="4" w:space="0"/>
              <w:left w:val="single" w:color="000000" w:sz="4" w:space="0"/>
              <w:bottom w:val="single" w:color="000000" w:sz="4" w:space="0"/>
              <w:right w:val="single" w:color="000000" w:sz="4" w:space="0"/>
            </w:tcBorders>
            <w:noWrap w:val="0"/>
            <w:vAlign w:val="center"/>
          </w:tcPr>
          <w:p w14:paraId="716A9B5C">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户</w:t>
            </w:r>
          </w:p>
        </w:tc>
        <w:tc>
          <w:tcPr>
            <w:tcW w:w="390" w:type="pct"/>
            <w:tcBorders>
              <w:top w:val="single" w:color="000000" w:sz="4" w:space="0"/>
              <w:left w:val="single" w:color="000000" w:sz="4" w:space="0"/>
              <w:bottom w:val="single" w:color="000000" w:sz="4" w:space="0"/>
            </w:tcBorders>
            <w:noWrap/>
            <w:vAlign w:val="center"/>
          </w:tcPr>
          <w:p w14:paraId="28FE9BBD">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lang w:val="en-US"/>
              </w:rPr>
            </w:pPr>
            <w:r>
              <w:rPr>
                <w:rFonts w:hint="default" w:ascii="Nimbus Roman No9 L" w:hAnsi="Nimbus Roman No9 L" w:eastAsia="宋体" w:cs="Nimbus Roman No9 L"/>
                <w:i w:val="0"/>
                <w:iCs w:val="0"/>
                <w:color w:val="000000"/>
                <w:kern w:val="0"/>
                <w:sz w:val="20"/>
                <w:szCs w:val="20"/>
                <w:highlight w:val="none"/>
                <w:u w:val="none"/>
                <w:lang w:val="en-US" w:eastAsia="zh-CN" w:bidi="ar"/>
              </w:rPr>
              <w:t>6</w:t>
            </w:r>
            <w:r>
              <w:rPr>
                <w:rFonts w:hint="eastAsia" w:ascii="Nimbus Roman No9 L" w:hAnsi="Nimbus Roman No9 L" w:cs="Nimbus Roman No9 L"/>
                <w:i w:val="0"/>
                <w:iCs w:val="0"/>
                <w:color w:val="000000"/>
                <w:kern w:val="0"/>
                <w:sz w:val="20"/>
                <w:szCs w:val="20"/>
                <w:highlight w:val="none"/>
                <w:u w:val="none"/>
                <w:lang w:val="en-US" w:eastAsia="zh-CN" w:bidi="ar"/>
              </w:rPr>
              <w:t>79</w:t>
            </w:r>
          </w:p>
        </w:tc>
      </w:tr>
      <w:tr w14:paraId="1004B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noWrap/>
            <w:vAlign w:val="center"/>
          </w:tcPr>
          <w:p w14:paraId="79C21918">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2</w:t>
            </w:r>
          </w:p>
        </w:tc>
        <w:tc>
          <w:tcPr>
            <w:tcW w:w="1419" w:type="pct"/>
            <w:gridSpan w:val="2"/>
            <w:tcBorders>
              <w:top w:val="single" w:color="000000" w:sz="4" w:space="0"/>
              <w:left w:val="single" w:color="000000" w:sz="4" w:space="0"/>
              <w:bottom w:val="single" w:color="000000" w:sz="4" w:space="0"/>
              <w:right w:val="single" w:color="000000" w:sz="4" w:space="0"/>
            </w:tcBorders>
            <w:noWrap/>
            <w:vAlign w:val="center"/>
          </w:tcPr>
          <w:p w14:paraId="64364C5D">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管控平台运维服务</w:t>
            </w:r>
          </w:p>
        </w:tc>
        <w:tc>
          <w:tcPr>
            <w:tcW w:w="2590" w:type="pct"/>
            <w:tcBorders>
              <w:top w:val="single" w:color="000000" w:sz="4" w:space="0"/>
              <w:left w:val="single" w:color="000000" w:sz="4" w:space="0"/>
              <w:bottom w:val="single" w:color="000000" w:sz="4" w:space="0"/>
              <w:right w:val="single" w:color="000000" w:sz="4" w:space="0"/>
            </w:tcBorders>
            <w:noWrap w:val="0"/>
            <w:vAlign w:val="center"/>
          </w:tcPr>
          <w:p w14:paraId="1A6E6465">
            <w:pPr>
              <w:keepNext w:val="0"/>
              <w:keepLines w:val="0"/>
              <w:widowControl/>
              <w:numPr>
                <w:ilvl w:val="0"/>
                <w:numId w:val="0"/>
              </w:numPr>
              <w:suppressLineNumbers w:val="0"/>
              <w:jc w:val="both"/>
              <w:textAlignment w:val="center"/>
              <w:rPr>
                <w:rFonts w:hint="default" w:ascii="Nimbus Roman No9 L" w:hAnsi="Nimbus Roman No9 L" w:eastAsia="宋体" w:cs="Nimbus Roman No9 L"/>
                <w:b/>
                <w:bCs/>
                <w:i/>
                <w:iCs/>
                <w:color w:val="auto"/>
                <w:kern w:val="0"/>
                <w:sz w:val="20"/>
                <w:szCs w:val="20"/>
                <w:highlight w:val="none"/>
                <w:u w:val="single"/>
                <w:lang w:val="en-US" w:eastAsia="zh-CN" w:bidi="ar"/>
              </w:rPr>
            </w:pPr>
            <w:r>
              <w:rPr>
                <w:rFonts w:hint="default" w:ascii="Nimbus Roman No9 L" w:hAnsi="Nimbus Roman No9 L" w:eastAsia="宋体" w:cs="Nimbus Roman No9 L"/>
                <w:i w:val="0"/>
                <w:iCs w:val="0"/>
                <w:color w:val="000000"/>
                <w:kern w:val="0"/>
                <w:sz w:val="20"/>
                <w:szCs w:val="20"/>
                <w:highlight w:val="none"/>
                <w:u w:val="none"/>
                <w:lang w:val="en-US" w:eastAsia="zh-CN" w:bidi="ar"/>
              </w:rPr>
              <w:t>应用软件符合《司法行政移动执法系统技术规范》（SF/T0049-2020）要求。</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default" w:ascii="Nimbus Roman No9 L" w:hAnsi="Nimbus Roman No9 L" w:eastAsia="东文宋体" w:cs="Nimbus Roman No9 L"/>
                <w:b w:val="0"/>
                <w:bCs w:val="0"/>
                <w:i w:val="0"/>
                <w:iCs w:val="0"/>
                <w:color w:val="000000"/>
                <w:kern w:val="0"/>
                <w:sz w:val="20"/>
                <w:szCs w:val="20"/>
                <w:highlight w:val="none"/>
                <w:u w:val="none"/>
                <w:lang w:val="en-US" w:eastAsia="zh-CN" w:bidi="ar"/>
              </w:rPr>
              <w:t>▲</w:t>
            </w:r>
            <w:r>
              <w:rPr>
                <w:rFonts w:hint="eastAsia" w:ascii="Nimbus Roman No9 L" w:hAnsi="Nimbus Roman No9 L" w:eastAsia="东文宋体" w:cs="Nimbus Roman No9 L"/>
                <w:b w:val="0"/>
                <w:bCs w:val="0"/>
                <w:i/>
                <w:iCs/>
                <w:color w:val="000000"/>
                <w:kern w:val="0"/>
                <w:sz w:val="20"/>
                <w:szCs w:val="20"/>
                <w:highlight w:val="none"/>
                <w:u w:val="single"/>
                <w:lang w:val="en-US" w:eastAsia="zh-CN" w:bidi="ar"/>
              </w:rPr>
              <w:t>2.</w:t>
            </w:r>
            <w:r>
              <w:rPr>
                <w:rFonts w:hint="eastAsia" w:ascii="Nimbus Roman No9 L" w:hAnsi="Nimbus Roman No9 L" w:eastAsia="宋体" w:cs="Nimbus Roman No9 L"/>
                <w:b w:val="0"/>
                <w:bCs w:val="0"/>
                <w:i/>
                <w:iCs/>
                <w:color w:val="000000"/>
                <w:kern w:val="0"/>
                <w:sz w:val="20"/>
                <w:szCs w:val="20"/>
                <w:highlight w:val="none"/>
                <w:u w:val="single"/>
                <w:lang w:val="en-US" w:eastAsia="zh-CN" w:bidi="ar"/>
              </w:rPr>
              <w:t>1、</w:t>
            </w:r>
            <w:r>
              <w:rPr>
                <w:rFonts w:hint="default" w:ascii="Nimbus Roman No9 L" w:hAnsi="Nimbus Roman No9 L" w:eastAsia="宋体" w:cs="Nimbus Roman No9 L"/>
                <w:b w:val="0"/>
                <w:bCs w:val="0"/>
                <w:i/>
                <w:iCs/>
                <w:color w:val="000000"/>
                <w:kern w:val="0"/>
                <w:sz w:val="20"/>
                <w:szCs w:val="20"/>
                <w:highlight w:val="none"/>
                <w:u w:val="single"/>
                <w:lang w:val="en-US" w:eastAsia="zh-CN" w:bidi="ar"/>
              </w:rPr>
              <w:t>平台具备终端管理功能、应用商店功能和内容管理功能。平台可实现对移动终端的集中安全管控，实现设备遗失后全程锁定、擦除数据等，保证移</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动终端高效安全的使用，需提供不少于</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w:t>
            </w:r>
            <w:r>
              <w:rPr>
                <w:rFonts w:hint="default" w:ascii="Nimbus Roman No9 L" w:hAnsi="Nimbus Roman No9 L" w:eastAsia="宋体" w:cs="Nimbus Roman No9 L"/>
                <w:i/>
                <w:iCs/>
                <w:color w:val="auto"/>
                <w:kern w:val="0"/>
                <w:sz w:val="20"/>
                <w:szCs w:val="20"/>
                <w:highlight w:val="none"/>
                <w:u w:val="single"/>
                <w:lang w:val="en-US" w:eastAsia="zh-CN" w:bidi="ar"/>
              </w:rPr>
              <w:t>移动执法终端的运行保障及维修替换服务</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”终端数量的</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授权。</w:t>
            </w:r>
          </w:p>
          <w:p w14:paraId="5386A19C">
            <w:pPr>
              <w:keepNext w:val="0"/>
              <w:keepLines w:val="0"/>
              <w:widowControl/>
              <w:numPr>
                <w:ilvl w:val="0"/>
                <w:numId w:val="0"/>
              </w:numPr>
              <w:suppressLineNumbers w:val="0"/>
              <w:jc w:val="both"/>
              <w:textAlignment w:val="center"/>
              <w:rPr>
                <w:rFonts w:hint="default" w:ascii="Nimbus Roman No9 L" w:hAnsi="Nimbus Roman No9 L" w:eastAsia="宋体" w:cs="Nimbus Roman No9 L"/>
                <w:b w:val="0"/>
                <w:bCs w:val="0"/>
                <w:i/>
                <w:iCs/>
                <w:color w:val="auto"/>
                <w:kern w:val="0"/>
                <w:sz w:val="20"/>
                <w:szCs w:val="20"/>
                <w:highlight w:val="none"/>
                <w:u w:val="single"/>
                <w:lang w:val="en-US" w:eastAsia="zh-CN" w:bidi="ar"/>
              </w:rPr>
            </w:pPr>
            <w:r>
              <w:rPr>
                <w:rFonts w:hint="default" w:ascii="Nimbus Roman No9 L" w:hAnsi="Nimbus Roman No9 L" w:eastAsia="宋体" w:cs="Nimbus Roman No9 L"/>
                <w:b w:val="0"/>
                <w:bCs w:val="0"/>
                <w:i/>
                <w:iCs/>
                <w:color w:val="auto"/>
                <w:kern w:val="0"/>
                <w:sz w:val="20"/>
                <w:szCs w:val="20"/>
                <w:highlight w:val="none"/>
                <w:u w:val="single"/>
                <w:lang w:val="en-US" w:eastAsia="zh-CN" w:bidi="ar"/>
              </w:rPr>
              <w:t>能够提供终端数据的统计分析，综合性看板的为正偏离。</w:t>
            </w:r>
            <w:r>
              <w:rPr>
                <w:rFonts w:hint="default" w:ascii="Nimbus Roman No9 L" w:hAnsi="Nimbus Roman No9 L" w:eastAsia="宋体" w:cs="Nimbus Roman No9 L"/>
                <w:i/>
                <w:iCs/>
                <w:color w:val="auto"/>
                <w:kern w:val="0"/>
                <w:sz w:val="20"/>
                <w:szCs w:val="20"/>
                <w:highlight w:val="none"/>
                <w:u w:val="single"/>
                <w:lang w:val="en-US" w:eastAsia="zh-CN" w:bidi="ar"/>
              </w:rPr>
              <w:br w:type="textWrapping"/>
            </w:r>
            <w:r>
              <w:rPr>
                <w:rFonts w:hint="default" w:ascii="Nimbus Roman No9 L" w:hAnsi="Nimbus Roman No9 L" w:eastAsia="东文宋体" w:cs="Nimbus Roman No9 L"/>
                <w:b w:val="0"/>
                <w:bCs w:val="0"/>
                <w:i w:val="0"/>
                <w:iCs w:val="0"/>
                <w:color w:val="auto"/>
                <w:kern w:val="0"/>
                <w:sz w:val="20"/>
                <w:szCs w:val="20"/>
                <w:highlight w:val="none"/>
                <w:u w:val="none"/>
                <w:lang w:val="en-US" w:eastAsia="zh-CN" w:bidi="ar"/>
              </w:rPr>
              <w:t>▲</w:t>
            </w:r>
            <w:r>
              <w:rPr>
                <w:rFonts w:hint="eastAsia" w:ascii="Nimbus Roman No9 L" w:hAnsi="Nimbus Roman No9 L" w:eastAsia="东文宋体" w:cs="Nimbus Roman No9 L"/>
                <w:b w:val="0"/>
                <w:bCs w:val="0"/>
                <w:i/>
                <w:iCs/>
                <w:color w:val="auto"/>
                <w:kern w:val="0"/>
                <w:sz w:val="20"/>
                <w:szCs w:val="20"/>
                <w:highlight w:val="none"/>
                <w:u w:val="single"/>
                <w:lang w:val="en-US" w:eastAsia="zh-CN" w:bidi="ar"/>
              </w:rPr>
              <w:t>2.</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2、</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终端可以通过平台、NFC设备、</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门禁联动、</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蓝牙信标、电子地理围栏和手动进行生活、备勤、执勤三模式切换。提供较为精准的定位与轨迹</w:t>
            </w:r>
            <w:r>
              <w:rPr>
                <w:rFonts w:hint="eastAsia" w:ascii="Nimbus Roman No9 L" w:hAnsi="Nimbus Roman No9 L" w:eastAsia="宋体" w:cs="Nimbus Roman No9 L"/>
                <w:b w:val="0"/>
                <w:bCs w:val="0"/>
                <w:i/>
                <w:iCs/>
                <w:color w:val="auto"/>
                <w:kern w:val="0"/>
                <w:sz w:val="20"/>
                <w:szCs w:val="20"/>
                <w:highlight w:val="none"/>
                <w:u w:val="single"/>
                <w:lang w:val="en-US" w:eastAsia="zh-CN" w:bidi="ar"/>
              </w:rPr>
              <w:t>（定位偏差小于100米）</w:t>
            </w:r>
            <w:r>
              <w:rPr>
                <w:rFonts w:hint="default" w:ascii="Nimbus Roman No9 L" w:hAnsi="Nimbus Roman No9 L" w:eastAsia="宋体" w:cs="Nimbus Roman No9 L"/>
                <w:b w:val="0"/>
                <w:bCs w:val="0"/>
                <w:i/>
                <w:iCs/>
                <w:color w:val="auto"/>
                <w:kern w:val="0"/>
                <w:sz w:val="20"/>
                <w:szCs w:val="20"/>
                <w:highlight w:val="none"/>
                <w:u w:val="single"/>
                <w:lang w:val="en-US" w:eastAsia="zh-CN" w:bidi="ar"/>
              </w:rPr>
              <w:t>。</w:t>
            </w:r>
          </w:p>
          <w:p w14:paraId="6136E4C6">
            <w:pPr>
              <w:keepNext w:val="0"/>
              <w:keepLines w:val="0"/>
              <w:widowControl/>
              <w:numPr>
                <w:ilvl w:val="0"/>
                <w:numId w:val="0"/>
              </w:numPr>
              <w:suppressLineNumbers w:val="0"/>
              <w:jc w:val="left"/>
              <w:textAlignment w:val="center"/>
              <w:rPr>
                <w:rFonts w:hint="default" w:ascii="Nimbus Roman No9 L" w:hAnsi="Nimbus Roman No9 L" w:eastAsia="宋体" w:cs="Nimbus Roman No9 L"/>
                <w:i w:val="0"/>
                <w:iCs w:val="0"/>
                <w:color w:val="000000"/>
                <w:kern w:val="0"/>
                <w:sz w:val="20"/>
                <w:szCs w:val="20"/>
                <w:highlight w:val="none"/>
                <w:u w:val="none"/>
                <w:lang w:val="en-US" w:eastAsia="zh-CN" w:bidi="ar"/>
              </w:rPr>
            </w:pPr>
            <w:r>
              <w:rPr>
                <w:rFonts w:hint="default" w:ascii="Nimbus Roman No9 L" w:hAnsi="Nimbus Roman No9 L" w:eastAsia="宋体" w:cs="Nimbus Roman No9 L"/>
                <w:b w:val="0"/>
                <w:bCs w:val="0"/>
                <w:i/>
                <w:iCs/>
                <w:color w:val="000000"/>
                <w:kern w:val="0"/>
                <w:sz w:val="20"/>
                <w:szCs w:val="20"/>
                <w:highlight w:val="none"/>
                <w:u w:val="single"/>
                <w:lang w:val="en-US" w:eastAsia="zh-CN" w:bidi="ar"/>
              </w:rPr>
              <w:t>满足以上需求并能提供其他切换方式为正偏离项。</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2.3、</w:t>
            </w:r>
            <w:r>
              <w:rPr>
                <w:rFonts w:hint="default" w:ascii="Nimbus Roman No9 L" w:hAnsi="Nimbus Roman No9 L" w:eastAsia="宋体" w:cs="Nimbus Roman No9 L"/>
                <w:i w:val="0"/>
                <w:iCs w:val="0"/>
                <w:color w:val="000000"/>
                <w:kern w:val="0"/>
                <w:sz w:val="20"/>
                <w:szCs w:val="20"/>
                <w:highlight w:val="none"/>
                <w:u w:val="none"/>
                <w:lang w:val="en-US" w:eastAsia="zh-CN" w:bidi="ar"/>
              </w:rPr>
              <w:t>提供系统软件平台运维服务，进行系统调试和优化，确保系统正常运行。</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2.4、</w:t>
            </w:r>
            <w:r>
              <w:rPr>
                <w:rFonts w:hint="default" w:ascii="Nimbus Roman No9 L" w:hAnsi="Nimbus Roman No9 L" w:eastAsia="宋体" w:cs="Nimbus Roman No9 L"/>
                <w:i w:val="0"/>
                <w:iCs w:val="0"/>
                <w:color w:val="000000"/>
                <w:kern w:val="0"/>
                <w:sz w:val="20"/>
                <w:szCs w:val="20"/>
                <w:highlight w:val="none"/>
                <w:u w:val="none"/>
                <w:lang w:val="en-US" w:eastAsia="zh-CN" w:bidi="ar"/>
              </w:rPr>
              <w:t>提供系统数据配置服务，对业务系统进行数据参数配置，满足移动执法终端平稳运行，保证各系统单元间的访问和数据交互顺畅。</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2.5、</w:t>
            </w:r>
            <w:r>
              <w:rPr>
                <w:rFonts w:hint="default" w:ascii="Nimbus Roman No9 L" w:hAnsi="Nimbus Roman No9 L" w:eastAsia="宋体" w:cs="Nimbus Roman No9 L"/>
                <w:i w:val="0"/>
                <w:iCs w:val="0"/>
                <w:color w:val="000000"/>
                <w:kern w:val="0"/>
                <w:sz w:val="20"/>
                <w:szCs w:val="20"/>
                <w:highlight w:val="none"/>
                <w:u w:val="none"/>
                <w:lang w:val="en-US" w:eastAsia="zh-CN" w:bidi="ar"/>
              </w:rPr>
              <w:t>对应用软件平台提供软件升级、更新等服务，定期开展巡检维护，保证应用在线正常运行。</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2.6、</w:t>
            </w:r>
            <w:r>
              <w:rPr>
                <w:rFonts w:hint="default" w:ascii="Nimbus Roman No9 L" w:hAnsi="Nimbus Roman No9 L" w:eastAsia="宋体" w:cs="Nimbus Roman No9 L"/>
                <w:i w:val="0"/>
                <w:iCs w:val="0"/>
                <w:color w:val="000000"/>
                <w:kern w:val="0"/>
                <w:sz w:val="20"/>
                <w:szCs w:val="20"/>
                <w:highlight w:val="none"/>
                <w:u w:val="none"/>
                <w:lang w:val="en-US" w:eastAsia="zh-CN" w:bidi="ar"/>
              </w:rPr>
              <w:t>面向客户开展系统使用培训，讲解系统操作以及应用，并提供相关培训材料。</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auto"/>
                <w:kern w:val="0"/>
                <w:sz w:val="20"/>
                <w:szCs w:val="20"/>
                <w:highlight w:val="none"/>
                <w:u w:val="none"/>
                <w:lang w:val="en-US" w:eastAsia="zh-CN" w:bidi="ar"/>
              </w:rPr>
              <w:t>2.7、在4G或5G环境下，终端所处位置RSRP≥-90dBm，</w:t>
            </w:r>
            <w:r>
              <w:rPr>
                <w:rFonts w:hint="default" w:ascii="Nimbus Roman No9 L" w:hAnsi="Nimbus Roman No9 L" w:eastAsia="宋体" w:cs="Nimbus Roman No9 L"/>
                <w:i w:val="0"/>
                <w:iCs w:val="0"/>
                <w:color w:val="000000"/>
                <w:kern w:val="0"/>
                <w:sz w:val="20"/>
                <w:szCs w:val="20"/>
                <w:highlight w:val="none"/>
                <w:u w:val="none"/>
                <w:lang w:val="en-US" w:eastAsia="zh-CN" w:bidi="ar"/>
              </w:rPr>
              <w:t>平台下发指令实时同步终端,同步延迟小于5秒。</w:t>
            </w:r>
            <w:r>
              <w:rPr>
                <w:rFonts w:hint="default" w:ascii="Nimbus Roman No9 L" w:hAnsi="Nimbus Roman No9 L" w:eastAsia="宋体" w:cs="Nimbus Roman No9 L"/>
                <w:i w:val="0"/>
                <w:iCs w:val="0"/>
                <w:color w:val="000000"/>
                <w:kern w:val="0"/>
                <w:sz w:val="20"/>
                <w:szCs w:val="20"/>
                <w:highlight w:val="none"/>
                <w:u w:val="none"/>
                <w:lang w:val="en-US" w:eastAsia="zh-CN" w:bidi="ar"/>
              </w:rPr>
              <w:br w:type="textWrapping"/>
            </w:r>
            <w:r>
              <w:rPr>
                <w:rFonts w:hint="eastAsia" w:ascii="Nimbus Roman No9 L" w:hAnsi="Nimbus Roman No9 L" w:eastAsia="宋体" w:cs="Nimbus Roman No9 L"/>
                <w:i w:val="0"/>
                <w:iCs w:val="0"/>
                <w:color w:val="000000"/>
                <w:kern w:val="0"/>
                <w:sz w:val="20"/>
                <w:szCs w:val="20"/>
                <w:highlight w:val="none"/>
                <w:u w:val="none"/>
                <w:lang w:val="en-US" w:eastAsia="zh-CN" w:bidi="ar"/>
              </w:rPr>
              <w:t>2.8、</w:t>
            </w:r>
            <w:r>
              <w:rPr>
                <w:rFonts w:hint="default" w:ascii="Nimbus Roman No9 L" w:hAnsi="Nimbus Roman No9 L" w:eastAsia="宋体" w:cs="Nimbus Roman No9 L"/>
                <w:i w:val="0"/>
                <w:iCs w:val="0"/>
                <w:color w:val="000000"/>
                <w:kern w:val="0"/>
                <w:sz w:val="20"/>
                <w:szCs w:val="20"/>
                <w:highlight w:val="none"/>
                <w:u w:val="none"/>
                <w:lang w:val="en-US" w:eastAsia="zh-CN" w:bidi="ar"/>
              </w:rPr>
              <w:t>平台获取终端的状态要准确,状态描述要清楚表现出终端所处的工作模式,开关机状态,是否刷机等。</w:t>
            </w:r>
          </w:p>
          <w:p w14:paraId="066D4FD0">
            <w:pPr>
              <w:keepNext w:val="0"/>
              <w:keepLines w:val="0"/>
              <w:widowControl/>
              <w:numPr>
                <w:ilvl w:val="0"/>
                <w:numId w:val="0"/>
              </w:numPr>
              <w:suppressLineNumbers w:val="0"/>
              <w:jc w:val="left"/>
              <w:textAlignment w:val="center"/>
              <w:rPr>
                <w:rFonts w:hint="default" w:ascii="Nimbus Roman No9 L" w:hAnsi="Nimbus Roman No9 L" w:cs="Nimbus Roman No9 L"/>
                <w:highlight w:val="none"/>
                <w:lang w:val="en-US"/>
              </w:rPr>
            </w:pPr>
            <w:r>
              <w:rPr>
                <w:rFonts w:hint="eastAsia" w:ascii="Nimbus Roman No9 L" w:hAnsi="Nimbus Roman No9 L" w:eastAsia="宋体" w:cs="Nimbus Roman No9 L"/>
                <w:i w:val="0"/>
                <w:iCs w:val="0"/>
                <w:color w:val="000000"/>
                <w:kern w:val="0"/>
                <w:sz w:val="20"/>
                <w:szCs w:val="20"/>
                <w:highlight w:val="none"/>
                <w:u w:val="none"/>
                <w:lang w:val="en-US" w:eastAsia="zh-CN" w:bidi="ar"/>
              </w:rPr>
              <w:t>2.9</w:t>
            </w:r>
            <w:r>
              <w:rPr>
                <w:rFonts w:hint="default" w:ascii="Nimbus Roman No9 L" w:hAnsi="Nimbus Roman No9 L" w:eastAsia="宋体" w:cs="Nimbus Roman No9 L"/>
                <w:i w:val="0"/>
                <w:iCs w:val="0"/>
                <w:color w:val="000000"/>
                <w:kern w:val="0"/>
                <w:sz w:val="20"/>
                <w:szCs w:val="20"/>
                <w:highlight w:val="none"/>
                <w:u w:val="none"/>
                <w:lang w:val="en-US" w:eastAsia="zh-CN" w:bidi="ar"/>
              </w:rPr>
              <w:t>平台在服务期间内需提供至少一人的驻场服务。</w:t>
            </w:r>
          </w:p>
        </w:tc>
        <w:tc>
          <w:tcPr>
            <w:tcW w:w="266" w:type="pct"/>
            <w:tcBorders>
              <w:top w:val="single" w:color="000000" w:sz="4" w:space="0"/>
              <w:left w:val="single" w:color="000000" w:sz="4" w:space="0"/>
              <w:bottom w:val="single" w:color="000000" w:sz="4" w:space="0"/>
              <w:right w:val="single" w:color="000000" w:sz="4" w:space="0"/>
            </w:tcBorders>
            <w:noWrap w:val="0"/>
            <w:vAlign w:val="center"/>
          </w:tcPr>
          <w:p w14:paraId="70D29CFF">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户</w:t>
            </w:r>
          </w:p>
        </w:tc>
        <w:tc>
          <w:tcPr>
            <w:tcW w:w="390" w:type="pct"/>
            <w:tcBorders>
              <w:top w:val="single" w:color="000000" w:sz="4" w:space="0"/>
              <w:left w:val="single" w:color="000000" w:sz="4" w:space="0"/>
              <w:bottom w:val="single" w:color="000000" w:sz="4" w:space="0"/>
            </w:tcBorders>
            <w:noWrap/>
            <w:vAlign w:val="center"/>
          </w:tcPr>
          <w:p w14:paraId="5303C24E">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lang w:val="en-US"/>
              </w:rPr>
            </w:pPr>
            <w:r>
              <w:rPr>
                <w:rFonts w:hint="default" w:ascii="Nimbus Roman No9 L" w:hAnsi="Nimbus Roman No9 L" w:eastAsia="宋体" w:cs="Nimbus Roman No9 L"/>
                <w:i w:val="0"/>
                <w:iCs w:val="0"/>
                <w:color w:val="000000"/>
                <w:kern w:val="0"/>
                <w:sz w:val="20"/>
                <w:szCs w:val="20"/>
                <w:highlight w:val="none"/>
                <w:u w:val="none"/>
                <w:lang w:val="en-US" w:eastAsia="zh-CN" w:bidi="ar"/>
              </w:rPr>
              <w:t>6</w:t>
            </w:r>
            <w:r>
              <w:rPr>
                <w:rFonts w:hint="eastAsia" w:ascii="Nimbus Roman No9 L" w:hAnsi="Nimbus Roman No9 L" w:cs="Nimbus Roman No9 L"/>
                <w:i w:val="0"/>
                <w:iCs w:val="0"/>
                <w:color w:val="000000"/>
                <w:kern w:val="0"/>
                <w:sz w:val="20"/>
                <w:szCs w:val="20"/>
                <w:highlight w:val="none"/>
                <w:u w:val="none"/>
                <w:lang w:val="en-US" w:eastAsia="zh-CN" w:bidi="ar"/>
              </w:rPr>
              <w:t>79</w:t>
            </w:r>
          </w:p>
        </w:tc>
      </w:tr>
      <w:tr w14:paraId="1C72C8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3273EDE7">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3.1</w:t>
            </w:r>
          </w:p>
        </w:tc>
        <w:tc>
          <w:tcPr>
            <w:tcW w:w="1189" w:type="pct"/>
            <w:vMerge w:val="restart"/>
            <w:tcBorders>
              <w:top w:val="single" w:color="000000" w:sz="4" w:space="0"/>
              <w:left w:val="single" w:color="000000" w:sz="4" w:space="0"/>
              <w:bottom w:val="nil"/>
              <w:right w:val="single" w:color="000000" w:sz="4" w:space="0"/>
            </w:tcBorders>
            <w:shd w:val="clear" w:color="auto" w:fill="auto"/>
            <w:noWrap/>
            <w:vAlign w:val="center"/>
          </w:tcPr>
          <w:p w14:paraId="269CEC49">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应用功能提升完善服务</w:t>
            </w: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FFAE7">
            <w:pPr>
              <w:keepNext w:val="0"/>
              <w:keepLines w:val="0"/>
              <w:widowControl/>
              <w:suppressLineNumbers w:val="0"/>
              <w:jc w:val="center"/>
              <w:textAlignment w:val="center"/>
              <w:rPr>
                <w:rFonts w:hint="default" w:ascii="Nimbus Roman No9 L" w:hAnsi="Nimbus Roman No9 L" w:eastAsia="宋体" w:cs="Nimbus Roman No9 L"/>
                <w:b w:val="0"/>
                <w:bCs w:val="0"/>
                <w:i w:val="0"/>
                <w:iCs w:val="0"/>
                <w:color w:val="000000"/>
                <w:sz w:val="20"/>
                <w:szCs w:val="20"/>
                <w:highlight w:val="none"/>
                <w:u w:val="none"/>
              </w:rPr>
            </w:pPr>
            <w:r>
              <w:rPr>
                <w:rFonts w:hint="default" w:ascii="Nimbus Roman No9 L" w:hAnsi="Nimbus Roman No9 L" w:eastAsia="宋体" w:cs="Nimbus Roman No9 L"/>
                <w:b w:val="0"/>
                <w:bCs w:val="0"/>
                <w:i w:val="0"/>
                <w:iCs w:val="0"/>
                <w:color w:val="000000"/>
                <w:kern w:val="0"/>
                <w:sz w:val="20"/>
                <w:szCs w:val="20"/>
                <w:highlight w:val="none"/>
                <w:u w:val="none"/>
                <w:lang w:val="en-US" w:eastAsia="zh-CN" w:bidi="ar"/>
              </w:rPr>
              <w:t>语音输入法</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A16F38">
            <w:pPr>
              <w:keepNext w:val="0"/>
              <w:keepLines w:val="0"/>
              <w:widowControl/>
              <w:suppressLineNumbers w:val="0"/>
              <w:jc w:val="both"/>
              <w:textAlignment w:val="center"/>
              <w:rPr>
                <w:rFonts w:hint="default" w:ascii="Nimbus Roman No9 L" w:hAnsi="Nimbus Roman No9 L" w:eastAsia="宋体" w:cs="Nimbus Roman No9 L"/>
                <w:b w:val="0"/>
                <w:bCs w:val="0"/>
                <w:i/>
                <w:iCs/>
                <w:color w:val="000000"/>
                <w:sz w:val="20"/>
                <w:szCs w:val="20"/>
                <w:highlight w:val="none"/>
                <w:u w:val="single"/>
              </w:rPr>
            </w:pPr>
            <w:r>
              <w:rPr>
                <w:rFonts w:hint="default" w:ascii="Nimbus Roman No9 L" w:hAnsi="Nimbus Roman No9 L" w:eastAsia="宋体" w:cs="Nimbus Roman No9 L"/>
                <w:b w:val="0"/>
                <w:bCs w:val="0"/>
                <w:i/>
                <w:iCs/>
                <w:color w:val="000000"/>
                <w:kern w:val="0"/>
                <w:sz w:val="20"/>
                <w:szCs w:val="20"/>
                <w:highlight w:val="none"/>
                <w:u w:val="single"/>
                <w:lang w:val="en-US" w:eastAsia="zh-CN" w:bidi="ar"/>
              </w:rPr>
              <w:t>系统软件运维服务内容如下：</w:t>
            </w:r>
            <w:r>
              <w:rPr>
                <w:rFonts w:hint="default" w:ascii="Nimbus Roman No9 L" w:hAnsi="Nimbus Roman No9 L" w:eastAsia="宋体" w:cs="Nimbus Roman No9 L"/>
                <w:b w:val="0"/>
                <w:bCs w:val="0"/>
                <w:i/>
                <w:iCs/>
                <w:color w:val="000000"/>
                <w:kern w:val="0"/>
                <w:sz w:val="20"/>
                <w:szCs w:val="20"/>
                <w:highlight w:val="none"/>
                <w:u w:val="single"/>
                <w:lang w:val="en-US" w:eastAsia="zh-CN" w:bidi="ar"/>
              </w:rPr>
              <w:br w:type="textWrapping"/>
            </w:r>
            <w:r>
              <w:rPr>
                <w:rFonts w:hint="default" w:ascii="Nimbus Roman No9 L" w:hAnsi="Nimbus Roman No9 L" w:eastAsia="宋体" w:cs="Nimbus Roman No9 L"/>
                <w:b w:val="0"/>
                <w:bCs w:val="0"/>
                <w:i/>
                <w:iCs/>
                <w:color w:val="000000"/>
                <w:kern w:val="0"/>
                <w:sz w:val="20"/>
                <w:szCs w:val="20"/>
                <w:highlight w:val="none"/>
                <w:u w:val="single"/>
                <w:lang w:val="en-US" w:eastAsia="zh-CN" w:bidi="ar"/>
              </w:rPr>
              <w:t>在监狱管理局私有化部署语音识别引擎，用户通过移动执法设备端访问私有化部署的语音输入应用，普通话识别率达到98%以上。私有化部署可以更好地保护数据安全性，将用户语音数据存储在私有化服务器上，可以确保数据不会被其他人访问或滥用。提供系统软件平台运维服务，进行系统调试和优化，确保系统正常运行。</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E7C86">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rPr>
            </w:pPr>
            <w:r>
              <w:rPr>
                <w:rFonts w:hint="default" w:ascii="Nimbus Roman No9 L" w:hAnsi="Nimbus Roman No9 L" w:eastAsia="宋体" w:cs="Nimbus Roman No9 L"/>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noWrap/>
            <w:vAlign w:val="center"/>
          </w:tcPr>
          <w:p w14:paraId="325751D4">
            <w:pPr>
              <w:keepNext w:val="0"/>
              <w:keepLines w:val="0"/>
              <w:widowControl/>
              <w:suppressLineNumbers w:val="0"/>
              <w:jc w:val="center"/>
              <w:textAlignment w:val="center"/>
              <w:rPr>
                <w:rFonts w:hint="default" w:ascii="Nimbus Roman No9 L" w:hAnsi="Nimbus Roman No9 L" w:eastAsia="宋体" w:cs="Nimbus Roman No9 L"/>
                <w:i w:val="0"/>
                <w:iCs w:val="0"/>
                <w:color w:val="000000"/>
                <w:sz w:val="20"/>
                <w:szCs w:val="20"/>
                <w:highlight w:val="none"/>
                <w:u w:val="none"/>
                <w:lang w:val="en-US" w:eastAsia="zh-CN"/>
              </w:rPr>
            </w:pPr>
            <w:r>
              <w:rPr>
                <w:rFonts w:hint="default" w:ascii="Nimbus Roman No9 L" w:hAnsi="Nimbus Roman No9 L" w:eastAsia="宋体" w:cs="Nimbus Roman No9 L"/>
                <w:i w:val="0"/>
                <w:iCs w:val="0"/>
                <w:color w:val="000000"/>
                <w:sz w:val="20"/>
                <w:szCs w:val="20"/>
                <w:highlight w:val="none"/>
                <w:u w:val="none"/>
                <w:lang w:val="en-US" w:eastAsia="zh-CN"/>
              </w:rPr>
              <w:t>6</w:t>
            </w:r>
            <w:r>
              <w:rPr>
                <w:rFonts w:hint="eastAsia" w:ascii="Nimbus Roman No9 L" w:hAnsi="Nimbus Roman No9 L" w:cs="Nimbus Roman No9 L"/>
                <w:i w:val="0"/>
                <w:iCs w:val="0"/>
                <w:color w:val="000000"/>
                <w:sz w:val="20"/>
                <w:szCs w:val="20"/>
                <w:highlight w:val="none"/>
                <w:u w:val="none"/>
                <w:lang w:val="en-US" w:eastAsia="zh-CN"/>
              </w:rPr>
              <w:t>79</w:t>
            </w:r>
          </w:p>
        </w:tc>
      </w:tr>
      <w:tr w14:paraId="7EF42F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12C93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9B1DA96">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FE8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人脸特征值算法</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99D6C">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iCs/>
                <w:color w:val="000000"/>
                <w:kern w:val="0"/>
                <w:sz w:val="20"/>
                <w:szCs w:val="20"/>
                <w:highlight w:val="none"/>
                <w:u w:val="single"/>
                <w:lang w:val="en-US" w:eastAsia="zh-CN" w:bidi="ar"/>
              </w:rPr>
              <w:t>系统软件运维服务内容如下：</w:t>
            </w:r>
            <w:r>
              <w:rPr>
                <w:rFonts w:hint="eastAsia" w:ascii="宋体" w:hAnsi="宋体" w:eastAsia="宋体" w:cs="宋体"/>
                <w:i/>
                <w:iCs/>
                <w:color w:val="000000"/>
                <w:kern w:val="0"/>
                <w:sz w:val="20"/>
                <w:szCs w:val="20"/>
                <w:highlight w:val="none"/>
                <w:u w:val="single"/>
                <w:lang w:val="en-US" w:eastAsia="zh-CN" w:bidi="ar"/>
              </w:rPr>
              <w:br w:type="textWrapping"/>
            </w:r>
            <w:r>
              <w:rPr>
                <w:rFonts w:hint="eastAsia" w:ascii="宋体" w:hAnsi="宋体" w:eastAsia="宋体" w:cs="宋体"/>
                <w:b w:val="0"/>
                <w:bCs w:val="0"/>
                <w:i/>
                <w:iCs/>
                <w:color w:val="000000"/>
                <w:kern w:val="0"/>
                <w:sz w:val="20"/>
                <w:szCs w:val="20"/>
                <w:highlight w:val="none"/>
                <w:u w:val="single"/>
                <w:lang w:val="en-US" w:eastAsia="zh-CN" w:bidi="ar"/>
              </w:rPr>
              <w:t>为现有民警谈话、工作点名应用提供脱密化人脸算法仓。为保护民警、罪犯隐私，脱密化人脸算法在特征提取完成之后，对人脸进行特征屏蔽，将除人脸主要特征以外的信息进行模糊处理或者完全屏蔽，确保个人隐私数据不被泄露。需配合第三方应用软件进行人脸认证兼容，提供系统软件平台运维服务，进行系统调试和优化，确保系统正常运行。</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CF4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noWrap/>
            <w:vAlign w:val="center"/>
          </w:tcPr>
          <w:p w14:paraId="451277F5">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default" w:ascii="宋体" w:hAnsi="宋体" w:eastAsia="宋体" w:cs="宋体"/>
                <w:i w:val="0"/>
                <w:iCs w:val="0"/>
                <w:color w:val="000000"/>
                <w:kern w:val="0"/>
                <w:sz w:val="20"/>
                <w:szCs w:val="20"/>
                <w:highlight w:val="none"/>
                <w:u w:val="none"/>
                <w:lang w:val="en-US" w:eastAsia="zh-CN" w:bidi="ar"/>
              </w:rPr>
              <w:t>6</w:t>
            </w:r>
            <w:r>
              <w:rPr>
                <w:rFonts w:hint="eastAsia" w:cs="宋体"/>
                <w:i w:val="0"/>
                <w:iCs w:val="0"/>
                <w:color w:val="000000"/>
                <w:kern w:val="0"/>
                <w:sz w:val="20"/>
                <w:szCs w:val="20"/>
                <w:highlight w:val="none"/>
                <w:u w:val="none"/>
                <w:lang w:val="en-US" w:eastAsia="zh-CN" w:bidi="ar"/>
              </w:rPr>
              <w:t>79</w:t>
            </w:r>
          </w:p>
        </w:tc>
      </w:tr>
      <w:tr w14:paraId="22829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05"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61A3EA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68710C1">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249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安全管控身份认证</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B447C">
            <w:pPr>
              <w:keepNext w:val="0"/>
              <w:keepLines w:val="0"/>
              <w:widowControl/>
              <w:suppressLineNumbers w:val="0"/>
              <w:jc w:val="left"/>
              <w:textAlignment w:val="center"/>
              <w:rPr>
                <w:rFonts w:hint="eastAsia" w:ascii="宋体" w:hAnsi="宋体" w:eastAsia="宋体" w:cs="宋体"/>
                <w:b w:val="0"/>
                <w:bCs w:val="0"/>
                <w:i/>
                <w:iCs/>
                <w:color w:val="auto"/>
                <w:kern w:val="0"/>
                <w:sz w:val="20"/>
                <w:szCs w:val="20"/>
                <w:highlight w:val="none"/>
                <w:u w:val="single"/>
                <w:lang w:val="en-US" w:eastAsia="zh-CN" w:bidi="ar"/>
              </w:rPr>
            </w:pPr>
            <w:r>
              <w:rPr>
                <w:rFonts w:hint="eastAsia" w:ascii="东文宋体" w:hAnsi="东文宋体" w:eastAsia="东文宋体" w:cs="东文宋体"/>
                <w:b w:val="0"/>
                <w:bCs w:val="0"/>
                <w:i/>
                <w:iCs/>
                <w:color w:val="auto"/>
                <w:kern w:val="0"/>
                <w:sz w:val="20"/>
                <w:szCs w:val="20"/>
                <w:highlight w:val="none"/>
                <w:u w:val="single"/>
                <w:lang w:val="en-US" w:eastAsia="zh-CN" w:bidi="ar"/>
              </w:rPr>
              <w:t>▲</w:t>
            </w:r>
            <w:r>
              <w:rPr>
                <w:rFonts w:hint="eastAsia" w:ascii="宋体" w:hAnsi="宋体" w:eastAsia="宋体" w:cs="宋体"/>
                <w:b w:val="0"/>
                <w:bCs w:val="0"/>
                <w:i/>
                <w:iCs/>
                <w:color w:val="auto"/>
                <w:kern w:val="0"/>
                <w:sz w:val="20"/>
                <w:szCs w:val="20"/>
                <w:highlight w:val="none"/>
                <w:u w:val="single"/>
                <w:lang w:val="en-US" w:eastAsia="zh-CN" w:bidi="ar"/>
              </w:rPr>
              <w:t>满足GB/T 39786—2021《信息安全技术信息系统密码应用基本要求》第二级或以上要求，能够为移动端提供包括对称密钥与非对称密钥的生成、存储、分发、销毁等一系列密钥生命周期的操作，以及证书的申请、签发、更新、吊销等管理功能，为移动互联网提供了密码运算支撑能力，可用于身份认证、数据保护等，提供国密SM相关算法密钥分片、协同运算服务，为软件环境的密钥安全和算法运算提供安全保障，防止密钥泄露。</w:t>
            </w:r>
          </w:p>
          <w:p w14:paraId="70A0A75E">
            <w:pPr>
              <w:keepNext w:val="0"/>
              <w:keepLines w:val="0"/>
              <w:widowControl/>
              <w:suppressLineNumbers w:val="0"/>
              <w:jc w:val="left"/>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iCs/>
                <w:color w:val="auto"/>
                <w:kern w:val="0"/>
                <w:sz w:val="20"/>
                <w:szCs w:val="20"/>
                <w:highlight w:val="none"/>
                <w:u w:val="single"/>
                <w:lang w:val="en-US" w:eastAsia="zh-CN" w:bidi="ar"/>
              </w:rPr>
              <w:t>在满足以上认证方式的同时，满足通过人脸、指纹、虹膜等任意一种认证方式为正偏离。</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181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noWrap/>
            <w:vAlign w:val="center"/>
          </w:tcPr>
          <w:p w14:paraId="20869A82">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cs="宋体"/>
                <w:i w:val="0"/>
                <w:iCs w:val="0"/>
                <w:color w:val="000000"/>
                <w:sz w:val="20"/>
                <w:szCs w:val="20"/>
                <w:highlight w:val="none"/>
                <w:u w:val="none"/>
                <w:lang w:val="en-US" w:eastAsia="zh-CN"/>
              </w:rPr>
              <w:t>679</w:t>
            </w:r>
          </w:p>
        </w:tc>
      </w:tr>
      <w:tr w14:paraId="60649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1BBFB5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DBBCA95">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66F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应用商店</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54F03E">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应用商店为用户提供应用浏览与搜索、下载与安装、更新管理、用户评价、应用详情、分类推荐、账户管理等功能。</w:t>
            </w:r>
          </w:p>
          <w:p w14:paraId="7ADCAA3E">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提供系统软件平台运维服务，进行系统调试和优化，确保系统正常运行。</w:t>
            </w:r>
          </w:p>
        </w:tc>
        <w:tc>
          <w:tcPr>
            <w:tcW w:w="266" w:type="pct"/>
            <w:vMerge w:val="restart"/>
            <w:tcBorders>
              <w:top w:val="single" w:color="000000" w:sz="4" w:space="0"/>
              <w:left w:val="single" w:color="000000" w:sz="4" w:space="0"/>
              <w:right w:val="single" w:color="000000" w:sz="4" w:space="0"/>
            </w:tcBorders>
            <w:shd w:val="clear" w:color="auto" w:fill="FFFFFF"/>
            <w:noWrap/>
            <w:vAlign w:val="center"/>
          </w:tcPr>
          <w:p w14:paraId="25AE84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390" w:type="pct"/>
            <w:vMerge w:val="restart"/>
            <w:tcBorders>
              <w:top w:val="single" w:color="000000" w:sz="4" w:space="0"/>
              <w:left w:val="single" w:color="000000" w:sz="4" w:space="0"/>
            </w:tcBorders>
            <w:noWrap/>
            <w:vAlign w:val="center"/>
          </w:tcPr>
          <w:p w14:paraId="2A942E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07F9C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79E53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C88E80E">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56D9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通讯录</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E314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通讯录可实现每个人的可视范围有权限控制，可以按照部门进行权限分配，比如领导的通讯录只有某些组织的人可以看，其他人不能查看。</w:t>
            </w:r>
          </w:p>
          <w:p w14:paraId="5C0FC621">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ign w:val="center"/>
          </w:tcPr>
          <w:p w14:paraId="1EA468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0C4DFE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1EA9F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A86BC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1A213A7">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BC25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学习手册</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A31C8">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移动警务终端资源之上，结合监狱的实际业务特点，利用专网VPN，构建网络安全、学习便捷的学习手册APP应用。将各类学习知识进行分类分级组织管理，通过对接、导入、录入等方式获取业务知识，针对业务知识类型和业务科室进行分类分级，形成监狱系统各级学习知识资源目录，通过资源目录进行统一管理和服务应用。</w:t>
            </w:r>
          </w:p>
          <w:p w14:paraId="1A311788">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提供系统软件平台运维服务，进行系统调试和优化，确保系统正常运行。</w:t>
            </w:r>
          </w:p>
          <w:p w14:paraId="35052269">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包含党建理论学习、法律法规学习等。</w:t>
            </w:r>
          </w:p>
        </w:tc>
        <w:tc>
          <w:tcPr>
            <w:tcW w:w="266" w:type="pct"/>
            <w:vMerge w:val="continue"/>
            <w:tcBorders>
              <w:left w:val="single" w:color="000000" w:sz="4" w:space="0"/>
              <w:right w:val="single" w:color="000000" w:sz="4" w:space="0"/>
            </w:tcBorders>
            <w:shd w:val="clear" w:color="auto" w:fill="FFFFFF"/>
            <w:noWrap/>
            <w:vAlign w:val="center"/>
          </w:tcPr>
          <w:p w14:paraId="4BD28C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7AFE9F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85FC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30E51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096C848">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DE28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执法取证</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043EC">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在监狱管理局部署执法取证应用，以确保监狱的安全、高效管理和应急响应能力。</w:t>
            </w:r>
          </w:p>
          <w:p w14:paraId="6C33244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应用具有普通用户和管理员操作模式，执法人员利用移动执法终端可实现取证、执法查证登录、查看、编辑、删除等功能。</w:t>
            </w:r>
          </w:p>
          <w:p w14:paraId="56434783">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ign w:val="center"/>
          </w:tcPr>
          <w:p w14:paraId="109397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0EAC18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0D5B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1DD9B6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6C0B647">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EED8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指挥调度</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73774">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在监狱管理局部署指挥调度应用，由管理后台、PC端调度台、手机端应用程序组成。可实现在JY区域乃至全自治区、全国范围内的实时群呼、组呼、单呼功能,</w:t>
            </w:r>
          </w:p>
          <w:p w14:paraId="26EFDDBD">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根据用户权限可限制终端间互通,支持PC调度台单呼、群呼手机终端。提供系统软件平台运维服务，进行系统调试和优化，确保系统正常运行。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ign w:val="center"/>
          </w:tcPr>
          <w:p w14:paraId="51AFB8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3973CC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22DFC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F5E1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81C2039">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2F1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日历</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0F21A">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系统软件运维服务内容如下：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按照公历显示日期，提供系统软件平台运维服务，进行系统调试和优化，确保系统正常运行。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ign w:val="center"/>
          </w:tcPr>
          <w:p w14:paraId="39B111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7F4AF0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EC6B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57A41B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4B974FA">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F58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一键报警</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91134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系统软件运维服务内容如下：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应用软件符合《司法行政移动执法系统技术规范》（SF/T0049-2020）要求。</w:t>
            </w:r>
          </w:p>
          <w:p w14:paraId="4763751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通过一键报警APP实现紧急情况下的一键报警，实时显示位置信息。触发报警后可联动指挥中心大屏弹窗报警信息，同步接通现场语音对讲。</w:t>
            </w:r>
          </w:p>
          <w:p w14:paraId="33F9364D">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0"/>
            <w:vAlign w:val="center"/>
          </w:tcPr>
          <w:p w14:paraId="4AB4A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35F195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5952C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97CA4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3.11</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E83A392">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1F81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数字对讲</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7E628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系统软件运维服务内容如下：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应用软件符合《司法行政移动执法系统技术规范》（SF/T0049-2020）要求。</w:t>
            </w:r>
          </w:p>
          <w:p w14:paraId="6105A6C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通过在移动执法终端上部署数字对讲应用模块，能够终端之间、PC与终端之间的集群组呼与单呼，并实现呼叫权限控制，基本实现原有数字对讲系统同类功能。</w:t>
            </w:r>
          </w:p>
          <w:p w14:paraId="37CEBA0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提供系统软件平台运维服务，进行系统调试和优化，确保系统正常运行。</w:t>
            </w:r>
          </w:p>
        </w:tc>
        <w:tc>
          <w:tcPr>
            <w:tcW w:w="266" w:type="pct"/>
            <w:vMerge w:val="continue"/>
            <w:tcBorders>
              <w:left w:val="single" w:color="000000" w:sz="4" w:space="0"/>
              <w:right w:val="single" w:color="000000" w:sz="4" w:space="0"/>
            </w:tcBorders>
            <w:shd w:val="clear" w:color="auto" w:fill="FFFFFF"/>
            <w:noWrap w:val="0"/>
            <w:vAlign w:val="center"/>
          </w:tcPr>
          <w:p w14:paraId="272160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1992B0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58B32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56956C2">
            <w:pPr>
              <w:jc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3.12</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F901792">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6E33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警务拍</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0F73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系统软件运维服务内容如下：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应用软件符合《司法行政移动执法系统技术规范》（SF/T0049-2020）要求。</w:t>
            </w:r>
          </w:p>
          <w:p w14:paraId="39D4C57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通过在移动执法终端上部署警务拍应用，为日常安全隐患排查，罪犯违规违纪，提供信息化便捷支撑能力。</w:t>
            </w:r>
          </w:p>
          <w:p w14:paraId="11565E47">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民警发现问题后通过移动警务终端，直接拍照上传，系统根据情况自动记录时间、地点等并将问题进行推送，同时对事件的处理进行闭环管理。</w:t>
            </w:r>
          </w:p>
        </w:tc>
        <w:tc>
          <w:tcPr>
            <w:tcW w:w="266" w:type="pct"/>
            <w:vMerge w:val="continue"/>
            <w:tcBorders>
              <w:left w:val="single" w:color="000000" w:sz="4" w:space="0"/>
              <w:right w:val="single" w:color="000000" w:sz="4" w:space="0"/>
            </w:tcBorders>
            <w:shd w:val="clear" w:color="auto" w:fill="FFFFFF"/>
            <w:noWrap w:val="0"/>
            <w:vAlign w:val="center"/>
          </w:tcPr>
          <w:p w14:paraId="2A70C3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tcBorders>
            <w:noWrap/>
            <w:vAlign w:val="center"/>
          </w:tcPr>
          <w:p w14:paraId="40EEAD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0E04E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6D169FC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3.13</w:t>
            </w:r>
          </w:p>
        </w:tc>
        <w:tc>
          <w:tcPr>
            <w:tcW w:w="1189"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103A29C">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F3B8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即时通讯</w:t>
            </w:r>
          </w:p>
        </w:tc>
        <w:tc>
          <w:tcPr>
            <w:tcW w:w="25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954E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系统软件运维服务内容如下：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应用软件符合《司法行政移动执法系统技术规范》（SF/T0049-2020）要求。</w:t>
            </w:r>
          </w:p>
          <w:p w14:paraId="409E07A7">
            <w:pPr>
              <w:keepNext w:val="0"/>
              <w:keepLines w:val="0"/>
              <w:widowControl/>
              <w:suppressLineNumbers w:val="0"/>
              <w:jc w:val="left"/>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通过在移动执法终端上部署即时通讯应用，结合监狱特殊场景定制化开发，以安全、高效为核心，满足民警日常语音通讯，群组通讯等。适应监狱在应急指挥处置、日常巡查、日常人员分配等事务性工作中存在的工作安排。系统内置敏感字智能识别和屏蔽，从源头上规避泄露监狱风险的可能性。</w:t>
            </w:r>
          </w:p>
        </w:tc>
        <w:tc>
          <w:tcPr>
            <w:tcW w:w="266" w:type="pct"/>
            <w:vMerge w:val="continue"/>
            <w:tcBorders>
              <w:left w:val="single" w:color="000000" w:sz="4" w:space="0"/>
              <w:bottom w:val="single" w:color="000000" w:sz="4" w:space="0"/>
              <w:right w:val="single" w:color="000000" w:sz="4" w:space="0"/>
            </w:tcBorders>
            <w:shd w:val="clear" w:color="auto" w:fill="FFFFFF"/>
            <w:noWrap w:val="0"/>
            <w:vAlign w:val="center"/>
          </w:tcPr>
          <w:p w14:paraId="6EE22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390" w:type="pct"/>
            <w:vMerge w:val="continue"/>
            <w:tcBorders>
              <w:left w:val="single" w:color="000000" w:sz="4" w:space="0"/>
              <w:bottom w:val="single" w:color="000000" w:sz="4" w:space="0"/>
            </w:tcBorders>
            <w:noWrap/>
            <w:vAlign w:val="center"/>
          </w:tcPr>
          <w:p w14:paraId="4B1BC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3E6DB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29B94B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1189" w:type="pct"/>
            <w:vMerge w:val="restart"/>
            <w:tcBorders>
              <w:top w:val="single" w:color="000000" w:sz="4" w:space="0"/>
              <w:left w:val="single" w:color="000000" w:sz="4" w:space="0"/>
              <w:bottom w:val="nil"/>
              <w:right w:val="single" w:color="000000" w:sz="4" w:space="0"/>
            </w:tcBorders>
            <w:shd w:val="clear" w:color="auto" w:fill="FFFFFF"/>
            <w:noWrap w:val="0"/>
            <w:vAlign w:val="center"/>
          </w:tcPr>
          <w:p w14:paraId="53BBA5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安全管控能力服务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0D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交换请求服务运维服务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C754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b w:val="0"/>
                <w:bCs w:val="0"/>
                <w:i/>
                <w:iCs/>
                <w:color w:val="auto"/>
                <w:kern w:val="0"/>
                <w:sz w:val="20"/>
                <w:szCs w:val="20"/>
                <w:highlight w:val="none"/>
                <w:u w:val="single"/>
                <w:lang w:val="en-US" w:eastAsia="zh-CN" w:bidi="ar"/>
              </w:rPr>
              <w:t>数据安全交换请求服务运维，服务要求提供并发数量≥90000个；交换能力≥12000Mbps；最大支持服务≥180个。并满足以下服务需求：支持SOAP协议、XML-RPC协议和REST协议。支持请求转文件（XML文件）和应答转文件（XML文件）。支持各种Web Service接口。支持移动应用系统访问。支持多级分布式部署、多节点非对称部署。接收管理中心的统一配置管理；向管理中心统一上报状态、业务运行情况。</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B88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00FE6F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75335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701BA6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5EAB638B">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6F8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文件数据库交换运维服务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C37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cs="宋体"/>
                <w:i/>
                <w:iCs/>
                <w:color w:val="auto"/>
                <w:kern w:val="0"/>
                <w:sz w:val="20"/>
                <w:szCs w:val="20"/>
                <w:highlight w:val="none"/>
                <w:u w:val="single"/>
                <w:lang w:val="en-US" w:eastAsia="zh-CN" w:bidi="ar"/>
              </w:rPr>
              <w:t>1、</w:t>
            </w:r>
            <w:r>
              <w:rPr>
                <w:rFonts w:hint="eastAsia" w:ascii="宋体" w:hAnsi="宋体" w:eastAsia="宋体" w:cs="宋体"/>
                <w:i/>
                <w:iCs/>
                <w:color w:val="auto"/>
                <w:kern w:val="0"/>
                <w:sz w:val="20"/>
                <w:szCs w:val="20"/>
                <w:highlight w:val="none"/>
                <w:u w:val="single"/>
                <w:lang w:val="en-US" w:eastAsia="zh-CN" w:bidi="ar"/>
              </w:rPr>
              <w:t xml:space="preserve">安全交换文件国产数据库交换运维，服务要求提供交换能力≥600Mbps；最大支持服务≥60个。并满足以下服务需求：1、支持主流数据库交换，包括：Oracle、SQL Server、DB2、SYBASE、MYSQL。2、支持各种数据库之间的异构数据转换。3、支持共享、客户端、FTP等多种模式的文件同步服务，支持文件实时同步。4、支持对传输数据进行加密。5、支持多级分布式部署、多节点非对称部署。6、接收管理中心的统一配置管理；向管理中心统一上报状态、业务运行情况。  </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4F8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5C307E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37D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46E238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410ED8A6">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437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视频交换运维服务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6BE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iCs/>
                <w:color w:val="auto"/>
                <w:kern w:val="0"/>
                <w:sz w:val="20"/>
                <w:szCs w:val="20"/>
                <w:highlight w:val="none"/>
                <w:u w:val="single"/>
                <w:lang w:val="en-US" w:eastAsia="zh-CN" w:bidi="ar"/>
              </w:rPr>
              <w:t>数据安全交换视频交换运维，服务要求提供系统吞吐量8Gbps以上。并满足以下服务需求：1、支持主流视频协议类型包括：GB28181,DB33,海康,大华,宇视,立元,信产,科达 ,互信互通，华为等；2、能够直接识别MP4、AVI、WMV、MKV、FLV等主流视频格式，仅允许合法的视频数据通过；3、对视频接入对象进行合法性认证；4、支持多级分布式部署、多节点非对称部署。5、接收管理中心的统一配置管理；向管理中心统一上报状态、业务运行情况。</w:t>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D97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1BF9B9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1F912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67759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5E8D57ED">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E17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安全隔离与信息交换服务 </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19A3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数据安全交换运维，服务包含：包括文件交换、FTP访问、数据库交换、邮件传输、安全浏览、安全传输、消息传输模块。</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9C4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176E5F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773E5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325A4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1737E809">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EFB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双向管理中心运维服务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A7B5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数据安全交换双向管理中心运维服务需求：</w:t>
            </w:r>
          </w:p>
          <w:p w14:paraId="228B325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支持节点管理功能，统一配置、管理各个节点。</w:t>
            </w:r>
          </w:p>
          <w:p w14:paraId="2D6ACA4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支持根据内部负载算法来感知不同节点的负载情况，实现动态负载。支持根据负载情况动态分配任务到各个不同的节点，对节点进行统一调度；节点故障能够及时切换业务 。</w:t>
            </w:r>
          </w:p>
          <w:p w14:paraId="0683CF70">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支持对节点设备的运行状态信息、业务运行状况进行感知，实现统一监控。</w:t>
            </w:r>
          </w:p>
          <w:p w14:paraId="7CA32D5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支持对各个节点日志进行统一查询、展示功能。节点管理:通过授权进行统一管理，管理40个节点以上。</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C29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18E785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1BF34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52D552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4682BF99">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619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网络层安全防护运维服务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6F4C9">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网络层防护运维，服务要求吞吐量≥48G ； 并发连接数≥2900万  每秒新建连接数≥25万、并提供以下服务：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支持持IPv6地址、地址组配置。支持静态路由，动态路由（OSPF、RIP、BGP、ISIS等），VLAN间路由，单臂路由，组播路由等。支持多出口路由情况下的默认路由备份、负载均衡。必须支持基于应用、WEB地址URL、文件类型等的策略路由，可实现为不同的应用类型智能选择相应的智能链路选路；支持ISP路由，支持联通、电信、教育网、移动等ISP服务商地址列表，列表可导出及导入，可通过Web界面选择不同的ISP服务商实现快速切换；支持链路聚合功能，支持802.3ad和静态轮询、热备等多种模式，MAC、MAC&amp;IP、IP&amp;Port多种聚合负载算法；系统内置多系统（≥2）设置可在Web界面完成全部操作，可任意设置系统启动systemA或systemB；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支持一体化安全策略配置，可以通过一条策略实现用户认证、IPS、AV、URL过滤、协议控制、流量控制、并发限制、新建限制、垃圾邮件过滤、审计等功能,简化用户管理；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针对策略中的源、目的地址进行新建限制，可以针对单IP(或地址范围)进行新建控制。支持策略命中数显示，并支持通过安全策略命中数范围查询。支持根据规则序号、规则名、源地址、目的地址、入侵防护策略、服务、认证用户、认证用户组、所属策略组、备注进行规则查询。支持服务器负载均衡支持10种算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外发信息的控制，可实现对BBS发帖的限制和关键字过滤；可实现发送微博信息的限制和关键字过滤；可实现对WEB邮件的收发限制和关键字过滤，要求支持5种以上的web邮件系统。；支持入侵场景保留，可记录入侵行为相关的网络数据报文，报文可保存至U盘或某台内网服务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支持工业协议控制，支持协议的完整性检查，支持协议分片的控制；支持工业动态协议的NAT和访问控制。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流量呈现增加接口流量统计、新建连接、并发连接统计，支持实时、日、周、月显示；支持内置或外置数据存储介质；支持根据存储时间或硬盘使用率发送告警邮件；支持智能优化存储空间，保证近期数据的可追溯性，且必须支持手动删除保存时间较长的数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支持对识别SQL Server、MySQL、Oracle、DB2等主流数据库基于用户的细粒度权限控制，支持禁止数据库登录，并可对数据库的Create、alter、insert、update、delete、select、drop等语句进行识别，支持用户名\SQL指令黑白名单，数据库操作可基于用户、sql命令、执行结果记录日志；支持协议命令进行识别和控制，支持针对网页正文关键字、附件文件名、恶意JavaScript代码、BBS关键字、微博内容及附件关键字等信息进行细粒度控制实现对数据库服务器的保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支持主流ICMPFLOOD\SYNFLOOD\ACKFLOOD\SYNACKFLOOD\UDPFLOOD攻击防护，采用专业高效的攻击防护算法，非采用简单的阈值进行攻击防护。支持包括后门、服务探测、文件共享、Windows系统补丁、认证等主动式扫描。</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E2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430BDF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3FF99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bottom w:val="single" w:color="000000" w:sz="4" w:space="0"/>
              <w:right w:val="single" w:color="000000" w:sz="4" w:space="0"/>
            </w:tcBorders>
            <w:shd w:val="clear" w:color="auto" w:fill="FFFFFF"/>
            <w:noWrap w:val="0"/>
            <w:vAlign w:val="center"/>
          </w:tcPr>
          <w:p w14:paraId="62E93E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1189" w:type="pct"/>
            <w:vMerge w:val="continue"/>
            <w:tcBorders>
              <w:top w:val="single" w:color="000000" w:sz="4" w:space="0"/>
              <w:left w:val="single" w:color="000000" w:sz="4" w:space="0"/>
              <w:bottom w:val="nil"/>
              <w:right w:val="single" w:color="000000" w:sz="4" w:space="0"/>
            </w:tcBorders>
            <w:shd w:val="clear" w:color="auto" w:fill="FFFFFF"/>
            <w:noWrap w:val="0"/>
            <w:vAlign w:val="center"/>
          </w:tcPr>
          <w:p w14:paraId="2D51879C">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F4F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入侵检测运维服务</w:t>
            </w:r>
          </w:p>
        </w:tc>
        <w:tc>
          <w:tcPr>
            <w:tcW w:w="25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DF67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入侵检测服务要求：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支持发现资产的类型，包括终端、视频设备、办公设备、网络设备、服务器、安全设备、工控设备等；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kafka外发方式支持开启/关闭安全认证，支持的加密套件包括PLAIN、SSL、SASL_SSL方式；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支持程序具备AI引擎自动对攻击进行威胁情报云查，页面自动呈现情报云查信息，查询结果至少包含：威胁等级、标签、威胁类型、IP地址、IP类型、活跃时间、发现时间、国家、地区、运营商、恶意端口等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自定义规则，自定义模式支持基础模式和专家模式；可结合用户业务进行深度检测，自定义内容包括源IP、源端口、目的IP、目的端口、协议、事件威胁等级、主机状态、事件类型、检测方向、攻击阶段、攻击结果、攻击手段；支持关联规则分析，进行双向检测规则编写，页面支持下载自定义规则编写说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系统支持通过web页面导入pcap包离线回放检测功能，支持导入pcap数量不少于100个；导入方式包括：导入单个文件、批量导入多个文件、导入文件夹；支持对导入的pcap单独回放或批量回放；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外发日志类型不少于8种，支持在界面上独立设置每种日志类型的外发选项至少包含：事件告警外发、异常连接告警外发、威胁情报告警外发、流数据外发、协议元数据外发、资产数据外发、审计日志外发、导流插件状态外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支持设备系统管理，可通过页面下发诊断对设备关键进程进行监测，同时可一键恢复关键进程，增强设备易用性与运维便捷度。</w:t>
            </w:r>
          </w:p>
        </w:tc>
        <w:tc>
          <w:tcPr>
            <w:tcW w:w="26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EC6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bottom w:val="single" w:color="000000" w:sz="4" w:space="0"/>
            </w:tcBorders>
            <w:shd w:val="clear" w:color="auto" w:fill="FFFFFF"/>
            <w:noWrap/>
            <w:vAlign w:val="center"/>
          </w:tcPr>
          <w:p w14:paraId="1E4279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r w14:paraId="21A3A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33" w:type="pct"/>
            <w:tcBorders>
              <w:top w:val="single" w:color="000000" w:sz="4" w:space="0"/>
              <w:right w:val="single" w:color="000000" w:sz="4" w:space="0"/>
            </w:tcBorders>
            <w:shd w:val="clear" w:color="auto" w:fill="FFFFFF"/>
            <w:noWrap w:val="0"/>
            <w:vAlign w:val="center"/>
          </w:tcPr>
          <w:p w14:paraId="20391A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1189" w:type="pct"/>
            <w:vMerge w:val="continue"/>
            <w:tcBorders>
              <w:top w:val="single" w:color="000000" w:sz="4" w:space="0"/>
              <w:left w:val="single" w:color="000000" w:sz="4" w:space="0"/>
              <w:right w:val="single" w:color="000000" w:sz="4" w:space="0"/>
            </w:tcBorders>
            <w:shd w:val="clear" w:color="auto" w:fill="FFFFFF"/>
            <w:noWrap w:val="0"/>
            <w:vAlign w:val="center"/>
          </w:tcPr>
          <w:p w14:paraId="5DC0AC1F">
            <w:pPr>
              <w:jc w:val="center"/>
              <w:rPr>
                <w:rFonts w:hint="eastAsia" w:ascii="宋体" w:hAnsi="宋体" w:eastAsia="宋体" w:cs="宋体"/>
                <w:i w:val="0"/>
                <w:iCs w:val="0"/>
                <w:color w:val="000000"/>
                <w:sz w:val="20"/>
                <w:szCs w:val="20"/>
                <w:highlight w:val="none"/>
                <w:u w:val="none"/>
              </w:rPr>
            </w:pPr>
          </w:p>
        </w:tc>
        <w:tc>
          <w:tcPr>
            <w:tcW w:w="230" w:type="pct"/>
            <w:tcBorders>
              <w:top w:val="single" w:color="000000" w:sz="4" w:space="0"/>
              <w:left w:val="single" w:color="000000" w:sz="4" w:space="0"/>
              <w:right w:val="single" w:color="000000" w:sz="4" w:space="0"/>
            </w:tcBorders>
            <w:shd w:val="clear" w:color="auto" w:fill="auto"/>
            <w:noWrap w:val="0"/>
            <w:vAlign w:val="center"/>
          </w:tcPr>
          <w:p w14:paraId="27921F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应用层安全防护运维服务</w:t>
            </w:r>
          </w:p>
        </w:tc>
        <w:tc>
          <w:tcPr>
            <w:tcW w:w="2590" w:type="pct"/>
            <w:tcBorders>
              <w:top w:val="single" w:color="000000" w:sz="4" w:space="0"/>
              <w:left w:val="single" w:color="000000" w:sz="4" w:space="0"/>
              <w:right w:val="single" w:color="000000" w:sz="4" w:space="0"/>
            </w:tcBorders>
            <w:shd w:val="clear" w:color="auto" w:fill="auto"/>
            <w:noWrap w:val="0"/>
            <w:vAlign w:val="center"/>
          </w:tcPr>
          <w:p w14:paraId="69AD62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应用层安全防护，服务要求网络吞吐量≥60 Gbps，TCP最大并发连接数：≥1500万。并提供以下服务：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支持DHCP功能，包括DHCP服务器和DHCP中继功能。并可以作为客户端获得IP地址，满足客户自动化管理的需要。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支持自定义事件升级内容。针对新增加的事件特征，针对不同级别的事件，用户可以选择是否自动升级到自定义策略中。升级界面中至少包含高中低三种级别事件的升级启用选项。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系统应支持弱口令检测功能，需支持至少不小于8种网络协议并支持至少不小于7种弱口令检测元素，并文字说明支持的网络协议和定义弱口令的检测元素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需具有多种防web扫描能力，防止攻击者通过扫描发现Web网站中的缺陷从而发起精确攻击，至少包括如下能力：防爬虫、防止CGI和漏洞扫描等，并支持阻断扫描行为和并记录日志，系统支持设置至少4个级别的扫描容忍度/扫描敏感度，方便安全管理者采用不同安全级别的行为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提供在线管理员数目限制和管理员唯一性检查功能，提高系统管理的安全性。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系统应支持威胁分析功能，通过与威胁情报、NFT全流取证、网络负载、内置解码工具、事件处理流程、事件性质判定等信息综合对威胁进行分析判断。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系统应内置不少于5种日志外发模板，至少兼容能源行业和全国信息安全标准化技术委员会发布的网络安全产品互联互通告警信息格式，应支持自定义日志发送格式，包括自定义分隔符、连字符，字段名称等。</w:t>
            </w:r>
          </w:p>
        </w:tc>
        <w:tc>
          <w:tcPr>
            <w:tcW w:w="266" w:type="pct"/>
            <w:tcBorders>
              <w:top w:val="single" w:color="000000" w:sz="4" w:space="0"/>
              <w:left w:val="single" w:color="000000" w:sz="4" w:space="0"/>
              <w:right w:val="single" w:color="000000" w:sz="4" w:space="0"/>
            </w:tcBorders>
            <w:shd w:val="clear" w:color="auto" w:fill="FFFFFF"/>
            <w:noWrap/>
            <w:vAlign w:val="center"/>
          </w:tcPr>
          <w:p w14:paraId="0A2E50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390" w:type="pct"/>
            <w:tcBorders>
              <w:top w:val="single" w:color="000000" w:sz="4" w:space="0"/>
              <w:left w:val="single" w:color="000000" w:sz="4" w:space="0"/>
            </w:tcBorders>
            <w:shd w:val="clear" w:color="auto" w:fill="FFFFFF"/>
            <w:noWrap/>
            <w:vAlign w:val="center"/>
          </w:tcPr>
          <w:p w14:paraId="5131D6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r>
    </w:tbl>
    <w:p w14:paraId="1C5C19A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bCs/>
          <w:color w:val="auto"/>
          <w:sz w:val="24"/>
          <w:szCs w:val="24"/>
          <w:highlight w:val="none"/>
        </w:rPr>
      </w:pPr>
    </w:p>
    <w:p w14:paraId="01A4BA5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bCs/>
          <w:color w:val="auto"/>
          <w:sz w:val="24"/>
          <w:szCs w:val="24"/>
          <w:highlight w:val="none"/>
        </w:rPr>
      </w:pPr>
    </w:p>
    <w:p w14:paraId="14075935">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ascii="宋体" w:hAnsi="宋体" w:eastAsia="宋体" w:cs="宋体"/>
          <w:b/>
          <w:bCs/>
          <w:color w:val="auto"/>
          <w:sz w:val="24"/>
          <w:szCs w:val="24"/>
          <w:highlight w:val="none"/>
        </w:rPr>
        <w:br w:type="page"/>
      </w:r>
    </w:p>
    <w:p w14:paraId="410914FC">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both"/>
        <w:textAlignment w:val="auto"/>
        <w:rPr>
          <w:rFonts w:hint="eastAsia" w:eastAsia="宋体" w:asciiTheme="majorHAnsi" w:hAnsiTheme="majorHAnsi" w:cstheme="majorBidi"/>
          <w:b/>
          <w:bCs/>
          <w:color w:val="auto"/>
          <w:kern w:val="2"/>
          <w:sz w:val="28"/>
          <w:szCs w:val="28"/>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t>二、投标人须知</w:t>
      </w:r>
      <w:bookmarkEnd w:id="124"/>
      <w:bookmarkEnd w:id="125"/>
      <w:bookmarkEnd w:id="126"/>
    </w:p>
    <w:p w14:paraId="604D77A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27" w:name="_Toc155185870"/>
      <w:bookmarkStart w:id="128" w:name="_Toc22384"/>
      <w:bookmarkStart w:id="129" w:name="_Toc163492822"/>
      <w:r>
        <w:rPr>
          <w:rFonts w:hint="eastAsia" w:ascii="宋体" w:hAnsi="宋体" w:eastAsia="宋体" w:cs="宋体"/>
          <w:b/>
          <w:bCs/>
          <w:color w:val="auto"/>
          <w:kern w:val="2"/>
          <w:sz w:val="24"/>
          <w:szCs w:val="24"/>
          <w:highlight w:val="none"/>
          <w:lang w:val="en-US" w:eastAsia="zh-CN" w:bidi="ar-SA"/>
        </w:rPr>
        <w:t>（一）总则</w:t>
      </w:r>
      <w:bookmarkEnd w:id="127"/>
      <w:bookmarkEnd w:id="128"/>
      <w:bookmarkEnd w:id="129"/>
    </w:p>
    <w:p w14:paraId="788765C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30" w:name="_Toc109899631"/>
      <w:bookmarkStart w:id="131" w:name="_Toc30340"/>
      <w:bookmarkStart w:id="132" w:name="_Toc163492823"/>
      <w:bookmarkStart w:id="133" w:name="_Toc109900469"/>
      <w:bookmarkStart w:id="134" w:name="_Toc31233"/>
      <w:bookmarkStart w:id="135" w:name="_Toc109897532"/>
      <w:bookmarkStart w:id="136" w:name="_Toc109900050"/>
      <w:bookmarkStart w:id="137" w:name="_Toc155095689"/>
      <w:r>
        <w:rPr>
          <w:rFonts w:hint="eastAsia" w:ascii="宋体" w:hAnsi="宋体" w:eastAsia="宋体" w:cs="宋体"/>
          <w:b/>
          <w:bCs/>
          <w:color w:val="auto"/>
          <w:kern w:val="2"/>
          <w:sz w:val="24"/>
          <w:szCs w:val="24"/>
          <w:highlight w:val="none"/>
          <w:lang w:val="en-US" w:eastAsia="zh-CN" w:bidi="ar-SA"/>
        </w:rPr>
        <w:t>1.适用范围</w:t>
      </w:r>
      <w:bookmarkEnd w:id="130"/>
      <w:bookmarkEnd w:id="131"/>
      <w:bookmarkEnd w:id="132"/>
      <w:bookmarkEnd w:id="133"/>
      <w:bookmarkEnd w:id="134"/>
      <w:bookmarkEnd w:id="135"/>
      <w:bookmarkEnd w:id="136"/>
      <w:bookmarkEnd w:id="137"/>
    </w:p>
    <w:p w14:paraId="3896363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1.1本招标文件仅适用于本项目的采购活动。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38" w:name="_Toc163492824"/>
      <w:bookmarkStart w:id="139" w:name="_Toc7979"/>
      <w:r>
        <w:rPr>
          <w:rFonts w:hint="eastAsia" w:ascii="宋体" w:hAnsi="宋体" w:eastAsia="宋体" w:cs="宋体"/>
          <w:b/>
          <w:bCs/>
          <w:color w:val="auto"/>
          <w:kern w:val="2"/>
          <w:sz w:val="24"/>
          <w:szCs w:val="24"/>
          <w:highlight w:val="none"/>
          <w:lang w:val="en-US" w:eastAsia="zh-CN" w:bidi="ar-SA"/>
        </w:rPr>
        <w:t>2.基本定义</w:t>
      </w:r>
      <w:bookmarkEnd w:id="138"/>
      <w:bookmarkEnd w:id="139"/>
    </w:p>
    <w:p w14:paraId="768D70C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lang w:val="en-US" w:eastAsia="zh-CN"/>
        </w:rPr>
        <w:t>委托的采购代理机构</w:t>
      </w:r>
      <w:r>
        <w:rPr>
          <w:rFonts w:hint="eastAsia" w:ascii="宋体" w:hAnsi="宋体" w:eastAsia="宋体" w:cs="宋体"/>
          <w:color w:val="auto"/>
          <w:sz w:val="24"/>
          <w:szCs w:val="24"/>
          <w:highlight w:val="none"/>
        </w:rPr>
        <w:t>。</w:t>
      </w:r>
    </w:p>
    <w:p w14:paraId="26D5074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 服务包含的内容见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w:t>
      </w:r>
    </w:p>
    <w:p w14:paraId="214DD75F">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shd w:val="clear" w:color="auto" w:fill="FFFFFF" w:themeFill="background1"/>
        </w:rPr>
        <w:t>2.6投标人（也称“供应商”、“申请人”）：指向采购人提供货物、工程或者服务的法人、其他组织或者自然人。</w:t>
      </w:r>
      <w:r>
        <w:rPr>
          <w:rFonts w:hint="eastAsia" w:ascii="宋体" w:hAnsi="宋体" w:eastAsia="宋体" w:cs="宋体"/>
          <w:color w:val="auto"/>
          <w:sz w:val="24"/>
          <w:szCs w:val="24"/>
          <w:highlight w:val="none"/>
        </w:rPr>
        <w:t>分支机构不得参加政府采购活动，但银行、保险、石油石化、电力、电信等</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行业特殊</w:t>
      </w:r>
      <w:r>
        <w:rPr>
          <w:rFonts w:hint="eastAsia" w:ascii="宋体" w:hAnsi="宋体" w:eastAsia="宋体" w:cs="宋体"/>
          <w:color w:val="auto"/>
          <w:sz w:val="24"/>
          <w:szCs w:val="24"/>
          <w:highlight w:val="none"/>
          <w:lang w:val="en-US" w:eastAsia="zh-CN"/>
        </w:rPr>
        <w:t>情况的</w:t>
      </w:r>
      <w:r>
        <w:rPr>
          <w:rFonts w:hint="eastAsia" w:ascii="宋体" w:hAnsi="宋体" w:eastAsia="宋体" w:cs="宋体"/>
          <w:color w:val="auto"/>
          <w:sz w:val="24"/>
          <w:szCs w:val="24"/>
          <w:highlight w:val="none"/>
        </w:rPr>
        <w:t>除外。本项目的投标人须满足以下条件：</w:t>
      </w:r>
    </w:p>
    <w:p w14:paraId="2518C535">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2.6.1具备《中华人民共和国政府采购法》第二十二条规定的条件，遵守本项目采购人本级和上级财政部门政府采购的有关规定。</w:t>
      </w:r>
    </w:p>
    <w:p w14:paraId="76745163">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2.6.2以招标公告中发布的方式依法获得了本项目的招标文件。</w:t>
      </w:r>
    </w:p>
    <w:p w14:paraId="0DE24F0D">
      <w:p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2.6.3符合本招标文件规定并参加投标的供应商。</w:t>
      </w:r>
    </w:p>
    <w:p w14:paraId="5FC27D1B">
      <w:pPr>
        <w:pStyle w:val="39"/>
        <w:keepNext w:val="0"/>
        <w:keepLines w:val="0"/>
        <w:pageBreakBefore w:val="0"/>
        <w:widowControl w:val="0"/>
        <w:kinsoku/>
        <w:overflowPunct/>
        <w:topLinePunct w:val="0"/>
        <w:autoSpaceDE/>
        <w:autoSpaceDN/>
        <w:bidi w:val="0"/>
        <w:adjustRightInd/>
        <w:ind w:left="0" w:lef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iCs/>
          <w:color w:val="auto"/>
          <w:sz w:val="24"/>
          <w:szCs w:val="24"/>
          <w:highlight w:val="none"/>
          <w:shd w:val="clear" w:color="auto" w:fill="FFFFFF" w:themeFill="background1"/>
        </w:rPr>
        <w:t>潜在投标人、潜在供应商</w:t>
      </w:r>
      <w:r>
        <w:rPr>
          <w:rFonts w:hint="eastAsia" w:ascii="宋体" w:hAnsi="宋体" w:eastAsia="宋体" w:cs="宋体"/>
          <w:iCs/>
          <w:color w:val="auto"/>
          <w:sz w:val="24"/>
          <w:szCs w:val="24"/>
          <w:highlight w:val="none"/>
          <w:shd w:val="clear" w:color="auto" w:fill="FFFFFF" w:themeFill="background1"/>
          <w:lang w:eastAsia="zh-CN"/>
        </w:rPr>
        <w:t>：</w:t>
      </w:r>
      <w:r>
        <w:rPr>
          <w:rFonts w:hint="eastAsia" w:ascii="宋体" w:hAnsi="宋体" w:eastAsia="宋体" w:cs="宋体"/>
          <w:iCs/>
          <w:color w:val="auto"/>
          <w:sz w:val="24"/>
          <w:szCs w:val="24"/>
          <w:highlight w:val="none"/>
          <w:shd w:val="clear" w:color="auto" w:fill="FFFFFF" w:themeFill="background1"/>
          <w:lang w:val="en-US" w:eastAsia="zh-CN"/>
        </w:rPr>
        <w:t>指</w:t>
      </w:r>
      <w:r>
        <w:rPr>
          <w:rFonts w:hint="eastAsia" w:ascii="宋体" w:hAnsi="宋体" w:eastAsia="宋体" w:cs="宋体"/>
          <w:color w:val="auto"/>
          <w:sz w:val="24"/>
          <w:szCs w:val="24"/>
          <w:highlight w:val="none"/>
          <w:lang w:val="en-US" w:eastAsia="zh-CN"/>
        </w:rPr>
        <w:t>符合本招标文件规定的供应商</w:t>
      </w:r>
      <w:r>
        <w:rPr>
          <w:rFonts w:hint="eastAsia" w:ascii="宋体" w:hAnsi="宋体" w:eastAsia="宋体" w:cs="宋体"/>
          <w:color w:val="auto"/>
          <w:sz w:val="24"/>
          <w:szCs w:val="24"/>
          <w:highlight w:val="none"/>
        </w:rPr>
        <w:t>。</w:t>
      </w:r>
    </w:p>
    <w:p w14:paraId="7BECD8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40" w:name="_Toc140132758"/>
      <w:bookmarkStart w:id="141" w:name="_Toc163492825"/>
      <w:bookmarkStart w:id="142" w:name="_Toc21761"/>
      <w:r>
        <w:rPr>
          <w:rFonts w:hint="eastAsia" w:ascii="宋体" w:hAnsi="宋体" w:eastAsia="宋体" w:cs="宋体"/>
          <w:b/>
          <w:bCs/>
          <w:color w:val="auto"/>
          <w:kern w:val="2"/>
          <w:sz w:val="24"/>
          <w:szCs w:val="24"/>
          <w:highlight w:val="none"/>
          <w:lang w:val="en-US" w:eastAsia="zh-CN" w:bidi="ar-SA"/>
        </w:rPr>
        <w:t>3.资金来源</w:t>
      </w:r>
      <w:bookmarkEnd w:id="140"/>
      <w:bookmarkEnd w:id="141"/>
      <w:bookmarkEnd w:id="142"/>
    </w:p>
    <w:p w14:paraId="76E8C14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3.1资金来源：</w:t>
      </w:r>
      <w:r>
        <w:rPr>
          <w:rFonts w:hint="eastAsia" w:ascii="宋体" w:hAnsi="宋体" w:eastAsia="宋体" w:cs="宋体"/>
          <w:color w:val="auto"/>
          <w:sz w:val="24"/>
          <w:szCs w:val="24"/>
          <w:highlight w:val="none"/>
          <w:lang w:val="en-US" w:eastAsia="zh-CN"/>
        </w:rPr>
        <w:t>为财政性资金即</w:t>
      </w:r>
      <w:r>
        <w:rPr>
          <w:rFonts w:hint="eastAsia" w:ascii="宋体" w:hAnsi="宋体" w:eastAsia="宋体" w:cs="宋体"/>
          <w:color w:val="auto"/>
          <w:sz w:val="24"/>
          <w:szCs w:val="24"/>
          <w:highlight w:val="none"/>
        </w:rPr>
        <w:t>纳入预算管理的资金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17722C4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43" w:name="_Toc8143"/>
      <w:bookmarkStart w:id="144" w:name="_Toc163492826"/>
      <w:bookmarkStart w:id="145" w:name="_Toc140132760"/>
      <w:r>
        <w:rPr>
          <w:rFonts w:hint="eastAsia" w:ascii="宋体" w:hAnsi="宋体" w:eastAsia="宋体" w:cs="宋体"/>
          <w:b/>
          <w:bCs/>
          <w:color w:val="auto"/>
          <w:kern w:val="2"/>
          <w:sz w:val="24"/>
          <w:szCs w:val="24"/>
          <w:highlight w:val="none"/>
          <w:lang w:val="en-US" w:eastAsia="zh-CN" w:bidi="ar-SA"/>
        </w:rPr>
        <w:t>4.投标人资格要求</w:t>
      </w:r>
      <w:bookmarkEnd w:id="143"/>
      <w:bookmarkEnd w:id="144"/>
      <w:bookmarkEnd w:id="145"/>
    </w:p>
    <w:p w14:paraId="522AD9C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4.1投标人资格要求：见“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3B57853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val="zh-CN" w:eastAsia="zh-CN"/>
        </w:rPr>
        <w:t>”规定接受联合体投标的，还应遵守以下规定：</w:t>
      </w:r>
    </w:p>
    <w:p w14:paraId="512308F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1两个以上的自然人、法人或者其他组织可以组成一个联合体，以一个</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的身份共同参加政府采购。</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以联合体形式进行政府采购的，参加联合体的供应商均应当具备《</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iCs/>
          <w:color w:val="auto"/>
          <w:kern w:val="2"/>
          <w:sz w:val="24"/>
          <w:szCs w:val="24"/>
          <w:highlight w:val="none"/>
          <w:shd w:val="clear" w:color="auto" w:fill="FFFFFF" w:themeFill="background1"/>
          <w:lang w:val="zh-CN" w:eastAsia="zh-CN" w:bidi="ar-SA"/>
        </w:rPr>
        <w:t>》第二十二条规定的条件。</w:t>
      </w:r>
    </w:p>
    <w:p w14:paraId="7EFB49B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2.2</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联合体各方应按招标文件提供的格式签订联合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作为投标文件的一部分提交，该协议书对联合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体所有成员</w:t>
      </w:r>
      <w:r>
        <w:rPr>
          <w:rFonts w:hint="eastAsia" w:ascii="宋体" w:hAnsi="宋体" w:eastAsia="宋体" w:cs="宋体"/>
          <w:iCs/>
          <w:color w:val="auto"/>
          <w:kern w:val="2"/>
          <w:sz w:val="24"/>
          <w:szCs w:val="24"/>
          <w:highlight w:val="none"/>
          <w:shd w:val="clear" w:color="auto" w:fill="FFFFFF" w:themeFill="background1"/>
          <w:lang w:val="zh-CN" w:eastAsia="zh-CN" w:bidi="ar-SA"/>
        </w:rPr>
        <w:t>均具有法律约束力。</w:t>
      </w:r>
    </w:p>
    <w:p w14:paraId="5343E5B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4.2.3</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宋体"/>
          <w:iCs/>
          <w:color w:val="auto"/>
          <w:kern w:val="2"/>
          <w:sz w:val="24"/>
          <w:szCs w:val="24"/>
          <w:highlight w:val="none"/>
          <w:shd w:val="clear" w:color="auto" w:fill="FFFFFF" w:themeFill="background1"/>
          <w:lang w:val="en-US" w:eastAsia="zh-CN" w:bidi="ar-SA"/>
        </w:rPr>
        <w:t>同一合同项下的</w:t>
      </w:r>
      <w:r>
        <w:rPr>
          <w:rFonts w:hint="eastAsia" w:ascii="宋体" w:hAnsi="宋体" w:eastAsia="宋体" w:cs="宋体"/>
          <w:iCs/>
          <w:color w:val="auto"/>
          <w:kern w:val="2"/>
          <w:sz w:val="24"/>
          <w:szCs w:val="24"/>
          <w:highlight w:val="none"/>
          <w:shd w:val="clear" w:color="auto" w:fill="FFFFFF" w:themeFill="background1"/>
          <w:lang w:val="zh-CN" w:eastAsia="zh-CN" w:bidi="ar-SA"/>
        </w:rPr>
        <w:t>投标，否则相关投标将被认定为</w:t>
      </w:r>
      <w:r>
        <w:rPr>
          <w:rFonts w:hint="eastAsia" w:ascii="宋体" w:hAnsi="宋体" w:eastAsia="宋体" w:cs="宋体"/>
          <w:b/>
          <w:bCs/>
          <w:iCs/>
          <w:color w:val="auto"/>
          <w:kern w:val="2"/>
          <w:sz w:val="24"/>
          <w:szCs w:val="24"/>
          <w:highlight w:val="none"/>
          <w:shd w:val="clear" w:color="auto" w:fill="FFFFFF" w:themeFill="background1"/>
          <w:lang w:val="zh-CN" w:eastAsia="zh-CN" w:bidi="ar-SA"/>
        </w:rPr>
        <w:t>投标无效</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2E60D00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中应写明小型、微型企业的合同金额占到联合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投标</w:t>
      </w:r>
      <w:r>
        <w:rPr>
          <w:rFonts w:hint="eastAsia" w:ascii="宋体" w:hAnsi="宋体" w:eastAsia="宋体" w:cs="宋体"/>
          <w:iCs/>
          <w:color w:val="auto"/>
          <w:kern w:val="2"/>
          <w:sz w:val="24"/>
          <w:szCs w:val="24"/>
          <w:highlight w:val="none"/>
          <w:shd w:val="clear" w:color="auto" w:fill="FFFFFF" w:themeFill="background1"/>
          <w:lang w:val="en-US" w:eastAsia="zh-CN" w:bidi="ar-SA"/>
        </w:rPr>
        <w:t>合同</w:t>
      </w:r>
      <w:r>
        <w:rPr>
          <w:rFonts w:hint="eastAsia" w:ascii="宋体" w:hAnsi="宋体" w:eastAsia="宋体" w:cs="宋体"/>
          <w:iCs/>
          <w:color w:val="auto"/>
          <w:kern w:val="2"/>
          <w:sz w:val="24"/>
          <w:szCs w:val="24"/>
          <w:highlight w:val="none"/>
          <w:shd w:val="clear" w:color="auto" w:fill="FFFFFF" w:themeFill="background1"/>
          <w:lang w:val="zh-CN" w:eastAsia="zh-CN" w:bidi="ar-SA"/>
        </w:rPr>
        <w:t>总金额的比例。</w:t>
      </w:r>
    </w:p>
    <w:p w14:paraId="7127D16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.6</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采购</w:t>
      </w:r>
      <w:r>
        <w:rPr>
          <w:rFonts w:hint="eastAsia" w:ascii="宋体" w:hAnsi="宋体" w:eastAsia="宋体" w:cs="宋体"/>
          <w:iCs/>
          <w:color w:val="auto"/>
          <w:kern w:val="2"/>
          <w:sz w:val="24"/>
          <w:szCs w:val="24"/>
          <w:highlight w:val="none"/>
          <w:shd w:val="clear" w:color="auto" w:fill="FFFFFF" w:themeFill="background1"/>
          <w:lang w:val="zh-CN" w:eastAsia="zh-CN" w:bidi="ar-SA"/>
        </w:rPr>
        <w:t>合同应由</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各成员的合法授权代表签字</w:t>
      </w:r>
      <w:r>
        <w:rPr>
          <w:rFonts w:hint="eastAsia" w:ascii="宋体" w:hAnsi="宋体" w:eastAsia="宋体" w:cs="宋体"/>
          <w:iCs/>
          <w:color w:val="auto"/>
          <w:kern w:val="2"/>
          <w:sz w:val="24"/>
          <w:szCs w:val="24"/>
          <w:highlight w:val="none"/>
          <w:shd w:val="clear" w:color="auto" w:fill="FFFFFF" w:themeFill="background1"/>
          <w:lang w:val="en-US" w:eastAsia="zh-CN" w:bidi="ar-SA"/>
        </w:rPr>
        <w:t>及</w:t>
      </w:r>
      <w:r>
        <w:rPr>
          <w:rFonts w:hint="eastAsia" w:ascii="宋体" w:hAnsi="宋体" w:eastAsia="宋体" w:cs="宋体"/>
          <w:iCs/>
          <w:color w:val="auto"/>
          <w:kern w:val="2"/>
          <w:sz w:val="24"/>
          <w:szCs w:val="24"/>
          <w:highlight w:val="none"/>
          <w:shd w:val="clear" w:color="auto" w:fill="FFFFFF" w:themeFill="background1"/>
          <w:lang w:val="zh-CN" w:eastAsia="zh-CN" w:bidi="ar-SA"/>
        </w:rPr>
        <w:t>加盖</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各成员公章，</w:t>
      </w:r>
      <w:r>
        <w:rPr>
          <w:rFonts w:hint="eastAsia" w:ascii="宋体" w:hAnsi="宋体" w:eastAsia="宋体" w:cs="宋体"/>
          <w:iCs/>
          <w:color w:val="auto"/>
          <w:kern w:val="2"/>
          <w:sz w:val="24"/>
          <w:szCs w:val="24"/>
          <w:highlight w:val="none"/>
          <w:shd w:val="clear" w:color="auto" w:fill="FFFFFF" w:themeFill="background1"/>
          <w:lang w:val="en-US" w:eastAsia="zh-CN" w:bidi="ar-SA"/>
        </w:rPr>
        <w:t>并</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.7</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宋体"/>
          <w:iCs/>
          <w:color w:val="auto"/>
          <w:kern w:val="2"/>
          <w:sz w:val="24"/>
          <w:szCs w:val="24"/>
          <w:highlight w:val="none"/>
          <w:shd w:val="clear" w:color="auto" w:fill="FFFFFF" w:themeFill="background1"/>
          <w:lang w:val="en-US" w:eastAsia="zh-CN" w:bidi="ar-SA"/>
        </w:rPr>
        <w:t>人</w:t>
      </w:r>
      <w:r>
        <w:rPr>
          <w:rFonts w:hint="eastAsia" w:ascii="宋体" w:hAnsi="宋体" w:eastAsia="宋体" w:cs="宋体"/>
          <w:iCs/>
          <w:color w:val="auto"/>
          <w:kern w:val="2"/>
          <w:sz w:val="24"/>
          <w:szCs w:val="24"/>
          <w:highlight w:val="none"/>
          <w:shd w:val="clear" w:color="auto" w:fill="FFFFFF" w:themeFill="background1"/>
          <w:lang w:val="zh-CN" w:eastAsia="zh-CN" w:bidi="ar-SA"/>
        </w:rPr>
        <w:t>书面同意并且须遵守相关法律、法规、本次招标的全部相关规定。</w:t>
      </w:r>
    </w:p>
    <w:p w14:paraId="7D2803A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8</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对联合体投标的其他资格要求见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中的“二、</w:t>
      </w:r>
      <w:r>
        <w:rPr>
          <w:rFonts w:hint="eastAsia" w:ascii="宋体" w:hAnsi="宋体" w:eastAsia="宋体" w:cs="宋体"/>
          <w:iCs/>
          <w:color w:val="auto"/>
          <w:kern w:val="2"/>
          <w:sz w:val="24"/>
          <w:szCs w:val="24"/>
          <w:highlight w:val="none"/>
          <w:shd w:val="clear" w:color="auto" w:fill="FFFFFF" w:themeFill="background1"/>
          <w:lang w:val="en-US" w:eastAsia="zh-CN" w:bidi="ar-SA"/>
        </w:rPr>
        <w:t>申请人的</w:t>
      </w:r>
      <w:r>
        <w:rPr>
          <w:rFonts w:hint="eastAsia" w:ascii="宋体" w:hAnsi="宋体" w:eastAsia="宋体" w:cs="宋体"/>
          <w:iCs/>
          <w:color w:val="auto"/>
          <w:kern w:val="2"/>
          <w:sz w:val="24"/>
          <w:szCs w:val="24"/>
          <w:highlight w:val="none"/>
          <w:shd w:val="clear" w:color="auto" w:fill="FFFFFF" w:themeFill="background1"/>
          <w:lang w:val="zh-CN" w:eastAsia="zh-CN" w:bidi="ar-SA"/>
        </w:rPr>
        <w:t>资格</w:t>
      </w:r>
      <w:r>
        <w:rPr>
          <w:rFonts w:hint="eastAsia" w:ascii="宋体" w:hAnsi="宋体" w:eastAsia="宋体" w:cs="宋体"/>
          <w:iCs/>
          <w:color w:val="auto"/>
          <w:kern w:val="2"/>
          <w:sz w:val="24"/>
          <w:szCs w:val="24"/>
          <w:highlight w:val="none"/>
          <w:shd w:val="clear" w:color="auto" w:fill="FFFFFF" w:themeFill="background1"/>
          <w:lang w:val="en-US" w:eastAsia="zh-CN" w:bidi="ar-SA"/>
        </w:rPr>
        <w:t>要求”</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4DE644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46" w:name="_Toc18281"/>
      <w:bookmarkStart w:id="147" w:name="_Toc163492827"/>
      <w:r>
        <w:rPr>
          <w:rFonts w:hint="eastAsia" w:ascii="宋体" w:hAnsi="宋体" w:eastAsia="宋体" w:cs="宋体"/>
          <w:b/>
          <w:bCs/>
          <w:color w:val="auto"/>
          <w:kern w:val="2"/>
          <w:sz w:val="24"/>
          <w:szCs w:val="24"/>
          <w:highlight w:val="none"/>
          <w:lang w:val="en-US" w:eastAsia="zh-CN" w:bidi="ar-SA"/>
        </w:rPr>
        <w:t>5.费用承担</w:t>
      </w:r>
      <w:bookmarkEnd w:id="146"/>
      <w:bookmarkEnd w:id="147"/>
    </w:p>
    <w:p w14:paraId="3C6741ED">
      <w:pPr>
        <w:pStyle w:val="39"/>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lang w:val="en-US" w:eastAsia="zh-CN"/>
        </w:rPr>
        <w:t>不论投标的结果如何，投标人应承担所有与准备和参加投标有关的费用。</w:t>
      </w:r>
    </w:p>
    <w:p w14:paraId="0CE9AC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48" w:name="_Toc163492828"/>
      <w:bookmarkStart w:id="149" w:name="_Toc4542"/>
      <w:bookmarkStart w:id="150" w:name="_Toc140132761"/>
      <w:r>
        <w:rPr>
          <w:rFonts w:hint="eastAsia" w:ascii="宋体" w:hAnsi="宋体" w:eastAsia="宋体" w:cs="宋体"/>
          <w:b/>
          <w:bCs/>
          <w:color w:val="auto"/>
          <w:kern w:val="2"/>
          <w:sz w:val="24"/>
          <w:szCs w:val="24"/>
          <w:highlight w:val="none"/>
          <w:lang w:val="en-US" w:eastAsia="zh-CN" w:bidi="ar-SA"/>
        </w:rPr>
        <w:t>6.保密</w:t>
      </w:r>
      <w:bookmarkEnd w:id="148"/>
      <w:bookmarkEnd w:id="149"/>
      <w:bookmarkEnd w:id="150"/>
    </w:p>
    <w:p w14:paraId="7CBA93F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参与招标投标活动的各方应对招标文件和投标文件中的商业和技术等秘密保密，否则应承担相应的法律责任。</w:t>
      </w:r>
    </w:p>
    <w:p w14:paraId="2947ABF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2 </w:t>
      </w:r>
      <w:r>
        <w:rPr>
          <w:rFonts w:hint="eastAsia" w:ascii="宋体" w:hAnsi="宋体" w:eastAsia="宋体" w:cs="宋体"/>
          <w:color w:val="auto"/>
          <w:kern w:val="2"/>
          <w:sz w:val="24"/>
          <w:szCs w:val="24"/>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3 </w:t>
      </w:r>
      <w:r>
        <w:rPr>
          <w:rFonts w:hint="eastAsia" w:ascii="宋体" w:hAnsi="宋体" w:eastAsia="宋体" w:cs="宋体"/>
          <w:color w:val="auto"/>
          <w:kern w:val="2"/>
          <w:sz w:val="24"/>
          <w:szCs w:val="24"/>
          <w:highlight w:val="none"/>
        </w:rPr>
        <w:t>采购代理机构有权将投标人提供的所有资料向有关政府部门或评审</w:t>
      </w:r>
      <w:r>
        <w:rPr>
          <w:rFonts w:hint="eastAsia" w:ascii="宋体" w:hAnsi="宋体" w:eastAsia="宋体" w:cs="宋体"/>
          <w:color w:val="auto"/>
          <w:kern w:val="2"/>
          <w:sz w:val="24"/>
          <w:szCs w:val="24"/>
          <w:highlight w:val="none"/>
          <w:lang w:val="en-US" w:eastAsia="zh-CN"/>
        </w:rPr>
        <w:t>投标文件</w:t>
      </w:r>
      <w:r>
        <w:rPr>
          <w:rFonts w:hint="eastAsia" w:ascii="宋体" w:hAnsi="宋体" w:eastAsia="宋体" w:cs="宋体"/>
          <w:color w:val="auto"/>
          <w:kern w:val="2"/>
          <w:sz w:val="24"/>
          <w:szCs w:val="24"/>
          <w:highlight w:val="none"/>
        </w:rPr>
        <w:t>的有关人员披露。</w:t>
      </w:r>
    </w:p>
    <w:p w14:paraId="0EE6357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color w:val="auto"/>
          <w:kern w:val="2"/>
          <w:sz w:val="24"/>
          <w:szCs w:val="24"/>
          <w:highlight w:val="none"/>
        </w:rPr>
        <w:t>。</w:t>
      </w:r>
    </w:p>
    <w:p w14:paraId="284B114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51" w:name="_Toc9160"/>
      <w:bookmarkStart w:id="152" w:name="_Toc140132762"/>
      <w:bookmarkStart w:id="153" w:name="_Toc163492829"/>
      <w:r>
        <w:rPr>
          <w:rFonts w:hint="eastAsia" w:ascii="宋体" w:hAnsi="宋体" w:eastAsia="宋体" w:cs="宋体"/>
          <w:b/>
          <w:bCs/>
          <w:color w:val="auto"/>
          <w:kern w:val="2"/>
          <w:sz w:val="24"/>
          <w:szCs w:val="24"/>
          <w:highlight w:val="none"/>
          <w:lang w:val="en-US" w:eastAsia="zh-CN" w:bidi="ar-SA"/>
        </w:rPr>
        <w:t>7.语言文字</w:t>
      </w:r>
      <w:bookmarkEnd w:id="151"/>
      <w:bookmarkEnd w:id="152"/>
      <w:bookmarkEnd w:id="153"/>
    </w:p>
    <w:p w14:paraId="2514093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7.1招标投标</w:t>
      </w:r>
      <w:r>
        <w:rPr>
          <w:rFonts w:hint="eastAsia" w:ascii="宋体" w:hAnsi="宋体" w:eastAsia="宋体" w:cs="宋体"/>
          <w:color w:val="auto"/>
          <w:sz w:val="24"/>
          <w:szCs w:val="24"/>
          <w:highlight w:val="none"/>
          <w:lang w:val="en-US" w:eastAsia="zh-CN"/>
        </w:rPr>
        <w:t>过程</w:t>
      </w:r>
      <w:r>
        <w:rPr>
          <w:rFonts w:hint="eastAsia" w:ascii="宋体" w:hAnsi="宋体" w:eastAsia="宋体" w:cs="宋体"/>
          <w:color w:val="auto"/>
          <w:sz w:val="24"/>
          <w:szCs w:val="24"/>
          <w:highlight w:val="none"/>
        </w:rPr>
        <w:t>文件使用的语言文字为中文。专用术语使用外文的，应附有中文注释。</w:t>
      </w:r>
      <w:r>
        <w:rPr>
          <w:rFonts w:hint="eastAsia" w:ascii="宋体" w:hAnsi="宋体" w:eastAsia="宋体" w:cs="宋体"/>
          <w:color w:val="auto"/>
          <w:sz w:val="24"/>
          <w:szCs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54" w:name="_Toc15679"/>
      <w:bookmarkStart w:id="155" w:name="_Toc140132763"/>
      <w:bookmarkStart w:id="156" w:name="_Toc163492830"/>
      <w:r>
        <w:rPr>
          <w:rFonts w:hint="eastAsia" w:ascii="宋体" w:hAnsi="宋体" w:eastAsia="宋体" w:cs="宋体"/>
          <w:b/>
          <w:bCs/>
          <w:color w:val="auto"/>
          <w:kern w:val="2"/>
          <w:sz w:val="24"/>
          <w:szCs w:val="24"/>
          <w:highlight w:val="none"/>
          <w:lang w:val="en-US" w:eastAsia="zh-CN" w:bidi="ar-SA"/>
        </w:rPr>
        <w:t>8.计量单位</w:t>
      </w:r>
      <w:bookmarkEnd w:id="154"/>
      <w:bookmarkEnd w:id="155"/>
      <w:bookmarkEnd w:id="156"/>
    </w:p>
    <w:p w14:paraId="45A7AE5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8.1所有计量均采用中华人民共和国法定计量单位。</w:t>
      </w:r>
    </w:p>
    <w:p w14:paraId="099F3EF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57" w:name="_Toc23050"/>
      <w:bookmarkStart w:id="158" w:name="_Toc163492831"/>
      <w:bookmarkStart w:id="159" w:name="_Toc140132764"/>
      <w:r>
        <w:rPr>
          <w:rFonts w:hint="eastAsia" w:ascii="宋体" w:hAnsi="宋体" w:eastAsia="宋体" w:cs="宋体"/>
          <w:b/>
          <w:bCs/>
          <w:color w:val="auto"/>
          <w:kern w:val="2"/>
          <w:sz w:val="24"/>
          <w:szCs w:val="24"/>
          <w:highlight w:val="none"/>
          <w:lang w:val="en-US" w:eastAsia="zh-CN" w:bidi="ar-SA"/>
        </w:rPr>
        <w:t>9.现场考察和答疑会</w:t>
      </w:r>
      <w:bookmarkEnd w:id="157"/>
      <w:bookmarkEnd w:id="158"/>
      <w:bookmarkEnd w:id="159"/>
    </w:p>
    <w:p w14:paraId="5A8B8C4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bookmarkStart w:id="160" w:name="_Hlk143529198"/>
      <w:r>
        <w:rPr>
          <w:rFonts w:hint="eastAsia" w:ascii="宋体" w:hAnsi="宋体" w:eastAsia="宋体" w:cs="宋体"/>
          <w:color w:val="auto"/>
          <w:sz w:val="24"/>
          <w:szCs w:val="24"/>
          <w:highlight w:val="none"/>
        </w:rPr>
        <w:t xml:space="preserve">9.1 “投标人须知前附表”规定组织现场考察的，采购代理机构按“投标人须知前附表”规定的时间、地点组织投标人项目现场考察。 </w:t>
      </w:r>
    </w:p>
    <w:p w14:paraId="5F8A235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投标人现场考察发生的费用自理。</w:t>
      </w:r>
    </w:p>
    <w:p w14:paraId="199A48B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在现场考察中，因投标人自身原因发生的人员伤亡和财产损失，由投标人自行负责。</w:t>
      </w:r>
    </w:p>
    <w:p w14:paraId="6F1F6A2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 “投标人须知前附表”规定召开答疑会的，采购代理机构按“投标人须知前附表”规定的时间和地点召开答疑会，澄清投标人提出的问题。</w:t>
      </w:r>
    </w:p>
    <w:p w14:paraId="0094384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60"/>
    <w:p w14:paraId="015C1E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61" w:name="_Toc155185858"/>
      <w:bookmarkStart w:id="162" w:name="_Toc72"/>
      <w:bookmarkStart w:id="163" w:name="_Toc163492833"/>
      <w:bookmarkStart w:id="164" w:name="_Toc155185871"/>
      <w:r>
        <w:rPr>
          <w:rFonts w:hint="eastAsia" w:ascii="宋体" w:hAnsi="宋体" w:eastAsia="宋体" w:cs="宋体"/>
          <w:b/>
          <w:bCs/>
          <w:color w:val="auto"/>
          <w:kern w:val="2"/>
          <w:sz w:val="24"/>
          <w:szCs w:val="24"/>
          <w:highlight w:val="none"/>
          <w:lang w:val="en-US" w:eastAsia="zh-CN" w:bidi="ar-SA"/>
        </w:rPr>
        <w:t>10.电子投标说明</w:t>
      </w:r>
      <w:bookmarkEnd w:id="161"/>
      <w:bookmarkEnd w:id="162"/>
      <w:bookmarkEnd w:id="163"/>
      <w:r>
        <w:rPr>
          <w:rFonts w:hint="eastAsia" w:ascii="宋体" w:hAnsi="宋体" w:eastAsia="宋体" w:cs="宋体"/>
          <w:b/>
          <w:bCs/>
          <w:color w:val="auto"/>
          <w:kern w:val="2"/>
          <w:sz w:val="24"/>
          <w:szCs w:val="24"/>
          <w:highlight w:val="none"/>
          <w:lang w:val="en-US" w:eastAsia="zh-CN" w:bidi="ar-SA"/>
        </w:rPr>
        <w:t xml:space="preserve">   </w:t>
      </w:r>
    </w:p>
    <w:p w14:paraId="1885013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10.1 </w:t>
      </w:r>
      <w:r>
        <w:rPr>
          <w:rFonts w:hint="eastAsia" w:ascii="宋体" w:hAnsi="宋体" w:eastAsia="宋体" w:cs="宋体"/>
          <w:color w:val="auto"/>
          <w:sz w:val="24"/>
          <w:szCs w:val="24"/>
          <w:highlight w:val="none"/>
        </w:rPr>
        <w:t>本次采购采用电子交易方式，电子交易平台为</w:t>
      </w:r>
      <w:r>
        <w:rPr>
          <w:rFonts w:hint="eastAsia" w:cs="宋体"/>
          <w:color w:val="auto"/>
          <w:sz w:val="24"/>
          <w:szCs w:val="24"/>
          <w:highlight w:val="none"/>
          <w:lang w:val="en-US" w:eastAsia="zh-CN"/>
        </w:rPr>
        <w:t>政采云平台线上（网址：https://www.zcygov.cn/）</w:t>
      </w:r>
      <w:r>
        <w:rPr>
          <w:rFonts w:hint="eastAsia" w:ascii="宋体" w:hAnsi="宋体" w:eastAsia="宋体" w:cs="宋体"/>
          <w:color w:val="auto"/>
          <w:sz w:val="24"/>
          <w:szCs w:val="24"/>
          <w:highlight w:val="none"/>
        </w:rPr>
        <w:t>。投标人参与本项目电子交易活动前，应</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rPr>
        <w:t>政</w:t>
      </w:r>
      <w:r>
        <w:rPr>
          <w:rFonts w:hint="eastAsia" w:ascii="宋体" w:hAnsi="宋体" w:eastAsia="宋体" w:cs="宋体"/>
          <w:color w:val="auto"/>
          <w:sz w:val="24"/>
          <w:szCs w:val="24"/>
          <w:highlight w:val="none"/>
          <w:lang w:val="en-US" w:eastAsia="zh-CN"/>
        </w:rPr>
        <w:t>采</w:t>
      </w:r>
      <w:r>
        <w:rPr>
          <w:rFonts w:hint="eastAsia" w:ascii="宋体" w:hAnsi="宋体" w:eastAsia="宋体" w:cs="宋体"/>
          <w:color w:val="auto"/>
          <w:sz w:val="24"/>
          <w:szCs w:val="24"/>
          <w:highlight w:val="none"/>
          <w:lang w:val="en-US"/>
        </w:rPr>
        <w:t>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en-US" w:eastAsia="zh-CN"/>
        </w:rPr>
        <w:t>上</w:t>
      </w:r>
      <w:r>
        <w:rPr>
          <w:rFonts w:hint="eastAsia" w:ascii="宋体" w:hAnsi="宋体" w:eastAsia="宋体" w:cs="宋体"/>
          <w:color w:val="auto"/>
          <w:sz w:val="24"/>
          <w:szCs w:val="24"/>
          <w:highlight w:val="none"/>
        </w:rPr>
        <w:t>注册</w:t>
      </w:r>
      <w:r>
        <w:rPr>
          <w:rFonts w:hint="eastAsia" w:ascii="宋体" w:hAnsi="宋体" w:eastAsia="宋体" w:cs="宋体"/>
          <w:color w:val="auto"/>
          <w:sz w:val="24"/>
          <w:szCs w:val="24"/>
          <w:highlight w:val="none"/>
          <w:lang w:val="en-US" w:eastAsia="zh-CN"/>
        </w:rPr>
        <w:t>供应商账号</w:t>
      </w:r>
      <w:r>
        <w:rPr>
          <w:rFonts w:hint="eastAsia" w:ascii="宋体" w:hAnsi="宋体" w:eastAsia="宋体" w:cs="宋体"/>
          <w:color w:val="auto"/>
          <w:sz w:val="24"/>
          <w:szCs w:val="24"/>
          <w:highlight w:val="none"/>
        </w:rPr>
        <w:t>。编制电子</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文件前还需</w:t>
      </w:r>
      <w:r>
        <w:rPr>
          <w:rFonts w:hint="eastAsia" w:ascii="宋体" w:hAnsi="宋体" w:eastAsia="宋体" w:cs="宋体"/>
          <w:color w:val="auto"/>
          <w:sz w:val="24"/>
          <w:szCs w:val="24"/>
          <w:highlight w:val="none"/>
          <w:lang w:val="en-US" w:eastAsia="zh-CN"/>
        </w:rPr>
        <w:t>申领CA证书并绑定帐号。投标人应充分考虑完成平台注册、申领CA证书等所需的时间。</w:t>
      </w:r>
      <w:r>
        <w:rPr>
          <w:rFonts w:hint="eastAsia" w:ascii="宋体" w:hAnsi="宋体" w:eastAsia="宋体" w:cs="宋体"/>
          <w:color w:val="auto"/>
          <w:sz w:val="24"/>
          <w:szCs w:val="24"/>
          <w:highlight w:val="none"/>
          <w:lang w:val="zh-CN" w:eastAsia="zh-CN"/>
        </w:rPr>
        <w:t>潜在投标人领取文件须提前完成注册、CA证书和电子签章申领和绑定、下载</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投标客户端</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s="宋体"/>
          <w:i w:val="0"/>
          <w:iCs w:val="0"/>
          <w:color w:val="auto"/>
          <w:sz w:val="24"/>
          <w:szCs w:val="24"/>
          <w:highlight w:val="none"/>
          <w:lang w:val="en-US" w:eastAsia="zh-CN"/>
        </w:rPr>
        <w:t>登录</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政府采购网“供应商</w:t>
      </w:r>
      <w:r>
        <w:rPr>
          <w:rFonts w:hint="eastAsia" w:cs="宋体"/>
          <w:i w:val="0"/>
          <w:iCs w:val="0"/>
          <w:color w:val="auto"/>
          <w:sz w:val="24"/>
          <w:szCs w:val="24"/>
          <w:highlight w:val="none"/>
          <w:lang w:val="en-US" w:eastAsia="zh-CN"/>
        </w:rPr>
        <w:t>免费</w:t>
      </w:r>
      <w:r>
        <w:rPr>
          <w:rFonts w:hint="eastAsia" w:ascii="宋体" w:hAnsi="宋体" w:eastAsia="宋体" w:cs="宋体"/>
          <w:i w:val="0"/>
          <w:iCs w:val="0"/>
          <w:color w:val="auto"/>
          <w:sz w:val="24"/>
          <w:szCs w:val="24"/>
          <w:highlight w:val="none"/>
          <w:lang w:val="en-US" w:eastAsia="zh-CN"/>
        </w:rPr>
        <w:t>注册”—“</w:t>
      </w:r>
      <w:r>
        <w:rPr>
          <w:rFonts w:hint="eastAsia" w:cs="宋体"/>
          <w:i w:val="0"/>
          <w:iCs w:val="0"/>
          <w:color w:val="auto"/>
          <w:sz w:val="24"/>
          <w:szCs w:val="24"/>
          <w:highlight w:val="none"/>
          <w:lang w:val="en-US" w:eastAsia="zh-CN"/>
        </w:rPr>
        <w:t>新疆维吾尔自治区</w:t>
      </w:r>
      <w:r>
        <w:rPr>
          <w:rFonts w:hint="eastAsia" w:ascii="宋体" w:hAnsi="宋体" w:eastAsia="宋体" w:cs="宋体"/>
          <w:i w:val="0"/>
          <w:iCs w:val="0"/>
          <w:color w:val="auto"/>
          <w:sz w:val="24"/>
          <w:szCs w:val="24"/>
          <w:highlight w:val="none"/>
          <w:lang w:val="en-US" w:eastAsia="zh-CN"/>
        </w:rPr>
        <w:t>供应商入驻登记”—“立即登记”进行自助注册绑定</w:t>
      </w:r>
      <w:r>
        <w:rPr>
          <w:rFonts w:hint="eastAsia" w:ascii="宋体" w:hAnsi="宋体" w:eastAsia="宋体"/>
          <w:color w:val="auto"/>
          <w:sz w:val="24"/>
          <w:highlight w:val="none"/>
          <w:lang w:val="zh-CN" w:eastAsia="zh-CN"/>
        </w:rPr>
        <w:t>。</w:t>
      </w:r>
    </w:p>
    <w:p w14:paraId="18ECC26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val="en-US"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1E16A3E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65" w:name="_Toc163492834"/>
      <w:bookmarkStart w:id="166" w:name="_Toc12064"/>
      <w:r>
        <w:rPr>
          <w:rFonts w:hint="eastAsia" w:ascii="宋体" w:hAnsi="宋体" w:eastAsia="宋体" w:cs="宋体"/>
          <w:b/>
          <w:bCs/>
          <w:color w:val="auto"/>
          <w:kern w:val="2"/>
          <w:sz w:val="24"/>
          <w:szCs w:val="24"/>
          <w:highlight w:val="none"/>
          <w:lang w:val="en-US" w:eastAsia="zh-CN" w:bidi="ar-SA"/>
        </w:rPr>
        <w:t>（二）招标文件</w:t>
      </w:r>
      <w:bookmarkEnd w:id="164"/>
      <w:bookmarkEnd w:id="165"/>
      <w:bookmarkEnd w:id="166"/>
    </w:p>
    <w:p w14:paraId="08A2C6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67" w:name="_Toc163492835"/>
      <w:bookmarkStart w:id="168" w:name="_Toc14223"/>
      <w:bookmarkStart w:id="169" w:name="_Toc140132768"/>
      <w:r>
        <w:rPr>
          <w:rFonts w:hint="eastAsia" w:ascii="宋体" w:hAnsi="宋体" w:eastAsia="宋体" w:cs="宋体"/>
          <w:b/>
          <w:bCs/>
          <w:color w:val="auto"/>
          <w:kern w:val="2"/>
          <w:sz w:val="24"/>
          <w:szCs w:val="24"/>
          <w:highlight w:val="none"/>
          <w:lang w:val="en-US" w:eastAsia="zh-CN" w:bidi="ar-SA"/>
        </w:rPr>
        <w:t>11.招标文件的组成</w:t>
      </w:r>
      <w:bookmarkEnd w:id="167"/>
      <w:bookmarkEnd w:id="168"/>
      <w:bookmarkEnd w:id="169"/>
    </w:p>
    <w:p w14:paraId="0FCCC628">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.1本招标文件包括下列文件及根据本章第9款、第1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第一章 </w:t>
      </w:r>
      <w:r>
        <w:rPr>
          <w:rFonts w:hint="eastAsia" w:ascii="宋体" w:hAnsi="宋体" w:eastAsia="宋体" w:cs="宋体"/>
          <w:color w:val="auto"/>
          <w:sz w:val="24"/>
          <w:szCs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 投标文件的格式</w:t>
      </w:r>
    </w:p>
    <w:p w14:paraId="78CADEE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70" w:name="_Toc12876"/>
      <w:bookmarkStart w:id="171" w:name="_Toc163492836"/>
      <w:bookmarkStart w:id="172" w:name="_Toc140132769"/>
      <w:r>
        <w:rPr>
          <w:rFonts w:hint="eastAsia" w:ascii="宋体" w:hAnsi="宋体" w:eastAsia="宋体" w:cs="宋体"/>
          <w:b/>
          <w:bCs/>
          <w:color w:val="auto"/>
          <w:kern w:val="2"/>
          <w:sz w:val="24"/>
          <w:szCs w:val="24"/>
          <w:highlight w:val="none"/>
          <w:lang w:val="en-US" w:eastAsia="zh-CN" w:bidi="ar-SA"/>
        </w:rPr>
        <w:t>12.招标文件的询问、澄清或者修改</w:t>
      </w:r>
      <w:bookmarkEnd w:id="170"/>
      <w:bookmarkEnd w:id="171"/>
      <w:bookmarkEnd w:id="172"/>
    </w:p>
    <w:p w14:paraId="2E6BAA4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投标人如对招标文件内容有疑问，须在投标人须知前附表规定的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新疆政府采购云平台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93F433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4C471A46">
      <w:pPr>
        <w:pStyle w:val="39"/>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39FCE41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578320B0">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73" w:name="_Toc19757"/>
      <w:bookmarkStart w:id="174" w:name="_Toc155185872"/>
      <w:bookmarkStart w:id="175" w:name="_Toc163492837"/>
      <w:r>
        <w:rPr>
          <w:rFonts w:hint="eastAsia" w:ascii="宋体" w:hAnsi="宋体" w:eastAsia="宋体" w:cs="宋体"/>
          <w:b/>
          <w:bCs/>
          <w:color w:val="auto"/>
          <w:kern w:val="2"/>
          <w:sz w:val="24"/>
          <w:szCs w:val="24"/>
          <w:highlight w:val="none"/>
          <w:lang w:val="en-US" w:eastAsia="zh-CN" w:bidi="ar-SA"/>
        </w:rPr>
        <w:t>（三）投标文件</w:t>
      </w:r>
      <w:bookmarkEnd w:id="173"/>
      <w:bookmarkEnd w:id="174"/>
      <w:bookmarkEnd w:id="175"/>
    </w:p>
    <w:p w14:paraId="67D7EC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76" w:name="_Toc17841"/>
      <w:bookmarkStart w:id="177" w:name="_Toc163492838"/>
      <w:r>
        <w:rPr>
          <w:rFonts w:hint="eastAsia" w:ascii="宋体" w:hAnsi="宋体" w:eastAsia="宋体" w:cs="宋体"/>
          <w:b/>
          <w:bCs/>
          <w:color w:val="auto"/>
          <w:kern w:val="2"/>
          <w:sz w:val="24"/>
          <w:szCs w:val="24"/>
          <w:highlight w:val="none"/>
          <w:lang w:val="en-US" w:eastAsia="zh-CN" w:bidi="ar-SA"/>
        </w:rPr>
        <w:t>13.投标文件的组成</w:t>
      </w:r>
      <w:bookmarkEnd w:id="176"/>
      <w:bookmarkEnd w:id="177"/>
    </w:p>
    <w:p w14:paraId="174A0A3D">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bookmarkStart w:id="178" w:name="_Toc163492839"/>
      <w:bookmarkStart w:id="179" w:name="_Toc140132772"/>
      <w:r>
        <w:rPr>
          <w:rFonts w:hint="eastAsia" w:ascii="宋体" w:hAnsi="宋体" w:eastAsia="宋体" w:cs="宋体"/>
          <w:color w:val="auto"/>
          <w:kern w:val="2"/>
          <w:sz w:val="24"/>
          <w:szCs w:val="24"/>
          <w:highlight w:val="none"/>
          <w:lang w:val="en-US" w:eastAsia="zh-CN"/>
        </w:rPr>
        <w:t>13</w:t>
      </w:r>
      <w:r>
        <w:rPr>
          <w:rFonts w:hint="eastAsia" w:ascii="宋体" w:hAnsi="宋体" w:eastAsia="宋体" w:cs="宋体"/>
          <w:color w:val="auto"/>
          <w:kern w:val="2"/>
          <w:sz w:val="24"/>
          <w:szCs w:val="24"/>
          <w:highlight w:val="none"/>
        </w:rPr>
        <w:t>.1投标人应完整地按招标文件提供的投标文件格式及要求编写投标文件，具体内容详见</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 xml:space="preserve">第七章 </w:t>
      </w:r>
      <w:r>
        <w:rPr>
          <w:rFonts w:hint="eastAsia" w:ascii="宋体" w:hAnsi="宋体" w:eastAsia="宋体" w:cs="宋体"/>
          <w:color w:val="auto"/>
          <w:kern w:val="2"/>
          <w:sz w:val="24"/>
          <w:szCs w:val="24"/>
          <w:highlight w:val="none"/>
        </w:rPr>
        <w:t>投标文件格式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的相关内容。</w:t>
      </w:r>
    </w:p>
    <w:p w14:paraId="3BB3A0B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13.2</w:t>
      </w:r>
      <w:r>
        <w:rPr>
          <w:rFonts w:hint="eastAsia" w:ascii="宋体" w:hAnsi="宋体" w:eastAsia="宋体" w:cs="宋体"/>
          <w:color w:val="auto"/>
          <w:kern w:val="2"/>
          <w:sz w:val="24"/>
          <w:szCs w:val="24"/>
          <w:highlight w:val="none"/>
        </w:rPr>
        <w:t>投标人应提交招标文件要求的证明文件，证明其投标内容符合招标文件规定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该证明文件是投标文件的一部分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证明文件</w:t>
      </w:r>
      <w:r>
        <w:rPr>
          <w:rFonts w:hint="eastAsia" w:ascii="宋体" w:hAnsi="宋体" w:eastAsia="宋体" w:cs="宋体"/>
          <w:color w:val="auto"/>
          <w:kern w:val="2"/>
          <w:sz w:val="24"/>
          <w:szCs w:val="24"/>
          <w:highlight w:val="none"/>
          <w:lang w:val="en-US" w:eastAsia="zh-CN"/>
        </w:rPr>
        <w:t>形式</w:t>
      </w:r>
      <w:r>
        <w:rPr>
          <w:rFonts w:hint="eastAsia" w:ascii="宋体" w:hAnsi="宋体" w:eastAsia="宋体" w:cs="宋体"/>
          <w:color w:val="auto"/>
          <w:kern w:val="2"/>
          <w:sz w:val="24"/>
          <w:szCs w:val="24"/>
          <w:highlight w:val="none"/>
        </w:rPr>
        <w:t>可以是文字资料、图纸和数据</w:t>
      </w:r>
      <w:bookmarkStart w:id="180" w:name="_Hlk11703583"/>
      <w:r>
        <w:rPr>
          <w:rFonts w:hint="eastAsia" w:ascii="宋体" w:hAnsi="宋体" w:eastAsia="宋体" w:cs="宋体"/>
          <w:color w:val="auto"/>
          <w:kern w:val="2"/>
          <w:sz w:val="24"/>
          <w:szCs w:val="24"/>
          <w:highlight w:val="none"/>
          <w:lang w:val="en-US" w:eastAsia="zh-CN"/>
        </w:rPr>
        <w:t>等。</w:t>
      </w:r>
    </w:p>
    <w:bookmarkEnd w:id="180"/>
    <w:p w14:paraId="781BBAE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13.3</w:t>
      </w:r>
      <w:r>
        <w:rPr>
          <w:rFonts w:hint="eastAsia" w:ascii="宋体" w:hAnsi="宋体" w:eastAsia="宋体" w:cs="宋体"/>
          <w:color w:val="auto"/>
          <w:kern w:val="2"/>
          <w:sz w:val="24"/>
          <w:szCs w:val="24"/>
          <w:highlight w:val="none"/>
        </w:rPr>
        <w:t>为保证公平公正，除非</w:t>
      </w:r>
      <w:r>
        <w:rPr>
          <w:rFonts w:hint="eastAsia" w:ascii="宋体" w:hAnsi="宋体" w:eastAsia="宋体" w:cs="宋体"/>
          <w:color w:val="auto"/>
          <w:kern w:val="2"/>
          <w:sz w:val="24"/>
          <w:szCs w:val="24"/>
          <w:highlight w:val="none"/>
          <w:lang w:val="en-US" w:eastAsia="zh-CN"/>
        </w:rPr>
        <w:t>本招标文件</w:t>
      </w:r>
      <w:r>
        <w:rPr>
          <w:rFonts w:hint="eastAsia" w:ascii="宋体" w:hAnsi="宋体" w:eastAsia="宋体" w:cs="宋体"/>
          <w:color w:val="auto"/>
          <w:kern w:val="2"/>
          <w:sz w:val="24"/>
          <w:szCs w:val="24"/>
          <w:highlight w:val="none"/>
        </w:rPr>
        <w:t>另有规定或说明，投标人对同一项目投标时，不得同时提供备选投标方案。</w:t>
      </w:r>
    </w:p>
    <w:p w14:paraId="2DB5A9E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81" w:name="_Toc348"/>
      <w:r>
        <w:rPr>
          <w:rFonts w:hint="eastAsia" w:ascii="宋体" w:hAnsi="宋体" w:eastAsia="宋体" w:cs="宋体"/>
          <w:b/>
          <w:bCs/>
          <w:color w:val="auto"/>
          <w:kern w:val="2"/>
          <w:sz w:val="24"/>
          <w:szCs w:val="24"/>
          <w:highlight w:val="none"/>
          <w:lang w:val="en-US" w:eastAsia="zh-CN" w:bidi="ar-SA"/>
        </w:rPr>
        <w:t>14.投标报价</w:t>
      </w:r>
      <w:bookmarkEnd w:id="178"/>
      <w:bookmarkEnd w:id="179"/>
      <w:bookmarkEnd w:id="181"/>
    </w:p>
    <w:p w14:paraId="3BD2CDC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 xml:space="preserve">.1 </w:t>
      </w:r>
      <w:r>
        <w:rPr>
          <w:rFonts w:hint="eastAsia" w:ascii="宋体" w:hAnsi="宋体"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投标人应按照本招标文件规定的报价方式进行报价，投标报价中不得包含招标文件要求以外的内容，否则，在评标时不予核减。投标报价中也不得遗漏招标文件所要求的内容，否则其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kern w:val="2"/>
          <w:sz w:val="24"/>
          <w:szCs w:val="24"/>
          <w:highlight w:val="none"/>
          <w:lang w:val="en-US" w:eastAsia="zh-CN"/>
        </w:rPr>
        <w:t>14.3</w:t>
      </w:r>
      <w:r>
        <w:rPr>
          <w:rFonts w:hint="eastAsia" w:ascii="宋体" w:hAnsi="宋体" w:eastAsia="宋体" w:cs="宋体"/>
          <w:snapToGrid w:val="0"/>
          <w:color w:val="auto"/>
          <w:sz w:val="24"/>
          <w:szCs w:val="24"/>
          <w:highlight w:val="none"/>
          <w:lang w:val="en-US" w:eastAsia="zh-CN"/>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r>
        <w:rPr>
          <w:rFonts w:hint="eastAsia" w:ascii="宋体" w:hAnsi="宋体" w:eastAsia="宋体" w:cs="宋体"/>
          <w:snapToGrid w:val="0"/>
          <w:color w:val="auto"/>
          <w:sz w:val="24"/>
          <w:szCs w:val="24"/>
          <w:highlight w:val="none"/>
        </w:rPr>
        <w:t>。</w:t>
      </w:r>
    </w:p>
    <w:p w14:paraId="29AAB874">
      <w:pPr>
        <w:pStyle w:val="1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14.4投标人的报价应包括但不限于按照招标文件要求完成本项目的全部相关费用。</w:t>
      </w:r>
    </w:p>
    <w:p w14:paraId="049AF5FA">
      <w:pPr>
        <w:ind w:firstLine="480" w:firstLineChars="200"/>
        <w:jc w:val="both"/>
        <w:rPr>
          <w:rFonts w:hint="eastAsia" w:ascii="宋体" w:hAnsi="宋体" w:eastAsia="宋体" w:cs="宋体"/>
          <w:snapToGrid w:val="0"/>
          <w:color w:val="auto"/>
          <w:sz w:val="24"/>
          <w:szCs w:val="24"/>
          <w:highlight w:val="none"/>
          <w:lang w:val="zh-CN"/>
        </w:rPr>
      </w:pPr>
      <w:r>
        <w:rPr>
          <w:rFonts w:hint="eastAsia" w:ascii="宋体" w:hAnsi="宋体" w:eastAsia="宋体" w:cs="宋体"/>
          <w:color w:val="auto"/>
          <w:kern w:val="2"/>
          <w:sz w:val="24"/>
          <w:szCs w:val="24"/>
          <w:highlight w:val="none"/>
          <w:lang w:val="en-US" w:eastAsia="zh-CN" w:bidi="ar-SA"/>
        </w:rPr>
        <w:t>14.5 投标人须严格按照分项报价表规定的内容填写服务单价以及其他事项。</w:t>
      </w:r>
      <w:r>
        <w:rPr>
          <w:rFonts w:hint="eastAsia" w:ascii="宋体" w:hAnsi="宋体"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058EFD12">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14.6 投标人在投标文件中注明免费的项目将视为包含在投标报价中。</w:t>
      </w:r>
    </w:p>
    <w:p w14:paraId="6DF8B2FA">
      <w:pPr>
        <w:pStyle w:val="10"/>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14.7 每一种采购内容只允许</w:t>
      </w:r>
      <w:r>
        <w:rPr>
          <w:rFonts w:hint="eastAsia" w:ascii="宋体" w:hAnsi="宋体" w:eastAsia="宋体" w:cs="宋体"/>
          <w:snapToGrid w:val="0"/>
          <w:color w:val="auto"/>
          <w:sz w:val="24"/>
          <w:szCs w:val="24"/>
          <w:highlight w:val="none"/>
        </w:rPr>
        <w:t>有一个报价，否则其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r>
        <w:rPr>
          <w:rFonts w:hint="eastAsia" w:ascii="宋体" w:hAnsi="宋体" w:eastAsia="宋体" w:cs="宋体"/>
          <w:color w:val="auto"/>
          <w:kern w:val="2"/>
          <w:sz w:val="24"/>
          <w:szCs w:val="24"/>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4"/>
          <w:highlight w:val="none"/>
          <w:lang w:val="en-US" w:eastAsia="zh-CN"/>
        </w:rPr>
        <w:t>实质性</w:t>
      </w:r>
      <w:r>
        <w:rPr>
          <w:rFonts w:hint="eastAsia" w:ascii="宋体" w:hAnsi="宋体" w:eastAsia="宋体" w:cs="宋体"/>
          <w:color w:val="auto"/>
          <w:kern w:val="2"/>
          <w:sz w:val="24"/>
          <w:szCs w:val="24"/>
          <w:highlight w:val="none"/>
        </w:rPr>
        <w:t>响应</w:t>
      </w:r>
      <w:r>
        <w:rPr>
          <w:rFonts w:hint="eastAsia" w:ascii="宋体" w:hAnsi="宋体" w:eastAsia="宋体" w:cs="宋体"/>
          <w:color w:val="auto"/>
          <w:kern w:val="2"/>
          <w:sz w:val="24"/>
          <w:szCs w:val="24"/>
          <w:highlight w:val="none"/>
          <w:lang w:val="en-US" w:eastAsia="zh-CN"/>
        </w:rPr>
        <w:t>招标文件,其</w:t>
      </w:r>
      <w:r>
        <w:rPr>
          <w:rFonts w:hint="eastAsia" w:ascii="宋体" w:hAnsi="宋体" w:eastAsia="宋体" w:cs="宋体"/>
          <w:b/>
          <w:bCs/>
          <w:color w:val="auto"/>
          <w:kern w:val="2"/>
          <w:sz w:val="24"/>
          <w:szCs w:val="24"/>
          <w:highlight w:val="none"/>
          <w:lang w:eastAsia="zh-CN"/>
        </w:rPr>
        <w:t>投标无效</w:t>
      </w:r>
      <w:r>
        <w:rPr>
          <w:rFonts w:hint="eastAsia" w:ascii="宋体" w:hAnsi="宋体" w:eastAsia="宋体" w:cs="宋体"/>
          <w:color w:val="auto"/>
          <w:kern w:val="2"/>
          <w:sz w:val="24"/>
          <w:szCs w:val="24"/>
          <w:highlight w:val="none"/>
        </w:rPr>
        <w:t>。</w:t>
      </w:r>
    </w:p>
    <w:p w14:paraId="192E0BF0">
      <w:p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8 </w:t>
      </w:r>
      <w:r>
        <w:rPr>
          <w:rFonts w:hint="eastAsia" w:ascii="宋体" w:hAnsi="宋体" w:eastAsia="宋体" w:cs="宋体"/>
          <w:color w:val="auto"/>
          <w:sz w:val="24"/>
          <w:szCs w:val="24"/>
          <w:highlight w:val="none"/>
        </w:rPr>
        <w:t>投标报价不得超过“</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”中规定的最高投标限价</w:t>
      </w:r>
      <w:r>
        <w:rPr>
          <w:rFonts w:hint="eastAsia" w:ascii="宋体" w:hAnsi="宋体" w:eastAsia="宋体" w:cs="宋体"/>
          <w:color w:val="auto"/>
          <w:sz w:val="24"/>
          <w:szCs w:val="24"/>
          <w:highlight w:val="none"/>
          <w:lang w:val="en-US" w:eastAsia="zh-CN"/>
        </w:rPr>
        <w:t>或者预算金额</w:t>
      </w:r>
      <w:r>
        <w:rPr>
          <w:rFonts w:hint="eastAsia" w:ascii="宋体" w:hAnsi="宋体" w:eastAsia="宋体" w:cs="宋体"/>
          <w:color w:val="auto"/>
          <w:sz w:val="24"/>
          <w:szCs w:val="24"/>
          <w:highlight w:val="none"/>
        </w:rPr>
        <w:t>，否则评标委员会将</w:t>
      </w:r>
      <w:r>
        <w:rPr>
          <w:rFonts w:hint="eastAsia" w:ascii="宋体" w:hAnsi="宋体" w:eastAsia="宋体" w:cs="宋体"/>
          <w:b w:val="0"/>
          <w:bCs w:val="0"/>
          <w:color w:val="auto"/>
          <w:sz w:val="24"/>
          <w:szCs w:val="24"/>
          <w:highlight w:val="none"/>
          <w:lang w:val="en-US" w:eastAsia="zh-CN"/>
        </w:rPr>
        <w:t>对</w:t>
      </w:r>
      <w:r>
        <w:rPr>
          <w:rFonts w:hint="eastAsia" w:ascii="宋体" w:hAnsi="宋体" w:eastAsia="宋体" w:cs="宋体"/>
          <w:b w:val="0"/>
          <w:bCs w:val="0"/>
          <w:color w:val="auto"/>
          <w:sz w:val="24"/>
          <w:szCs w:val="24"/>
          <w:highlight w:val="none"/>
        </w:rPr>
        <w:t>其</w:t>
      </w:r>
      <w:r>
        <w:rPr>
          <w:rFonts w:hint="eastAsia" w:ascii="宋体" w:hAnsi="宋体" w:eastAsia="宋体" w:cs="宋体"/>
          <w:b w:val="0"/>
          <w:bCs w:val="0"/>
          <w:color w:val="auto"/>
          <w:sz w:val="24"/>
          <w:szCs w:val="24"/>
          <w:highlight w:val="none"/>
          <w:lang w:val="en-US" w:eastAsia="zh-CN"/>
        </w:rPr>
        <w:t>作</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处理</w:t>
      </w:r>
      <w:r>
        <w:rPr>
          <w:rFonts w:hint="eastAsia" w:ascii="宋体" w:hAnsi="宋体" w:eastAsia="宋体" w:cs="宋体"/>
          <w:color w:val="auto"/>
          <w:sz w:val="24"/>
          <w:szCs w:val="24"/>
          <w:highlight w:val="none"/>
        </w:rPr>
        <w:t>。</w:t>
      </w:r>
    </w:p>
    <w:p w14:paraId="1DC40C77">
      <w:pPr>
        <w:pStyle w:val="56"/>
        <w:pageBreakBefore w:val="0"/>
        <w:shd w:val="clear" w:color="auto" w:fill="auto"/>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9 </w:t>
      </w:r>
      <w:r>
        <w:rPr>
          <w:rFonts w:hint="eastAsia" w:ascii="宋体" w:hAnsi="宋体" w:eastAsia="宋体" w:cs="宋体"/>
          <w:color w:val="auto"/>
          <w:kern w:val="2"/>
          <w:sz w:val="24"/>
          <w:szCs w:val="24"/>
          <w:highlight w:val="none"/>
        </w:rPr>
        <w:t>投标人对投标报价若有说明应在投标文件中显著处注明。</w:t>
      </w:r>
    </w:p>
    <w:p w14:paraId="69F7C97A">
      <w:pPr>
        <w:pStyle w:val="56"/>
        <w:pageBreakBefore w:val="0"/>
        <w:shd w:val="clear" w:color="auto" w:fill="auto"/>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除政策性文件规定以外，投标人所报价格在合同实施期间不因市场变化因素而变动。</w:t>
      </w:r>
    </w:p>
    <w:p w14:paraId="3D2E52CC">
      <w:pPr>
        <w:pStyle w:val="56"/>
        <w:pageBreakBefore w:val="0"/>
        <w:shd w:val="clear" w:color="auto" w:fill="auto"/>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10 </w:t>
      </w:r>
      <w:r>
        <w:rPr>
          <w:rFonts w:hint="eastAsia" w:ascii="宋体" w:hAnsi="宋体" w:eastAsia="宋体" w:cs="宋体"/>
          <w:color w:val="auto"/>
          <w:kern w:val="2"/>
          <w:sz w:val="24"/>
          <w:szCs w:val="24"/>
          <w:highlight w:val="none"/>
        </w:rPr>
        <w:t>最低报价不能作为中标的保证。</w:t>
      </w:r>
    </w:p>
    <w:p w14:paraId="4F55CD6E">
      <w:pPr>
        <w:pStyle w:val="1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14.11</w:t>
      </w:r>
      <w:r>
        <w:rPr>
          <w:rFonts w:hint="eastAsia" w:ascii="宋体" w:hAnsi="宋体" w:eastAsia="宋体" w:cs="宋体"/>
          <w:color w:val="auto"/>
          <w:kern w:val="0"/>
          <w:sz w:val="24"/>
          <w:szCs w:val="24"/>
          <w:highlight w:val="none"/>
          <w:lang w:val="en-US" w:eastAsia="zh-CN" w:bidi="ar"/>
        </w:rPr>
        <w:t>采购人不得向投标人索要或者接受其给予的赠品、回扣或者与采购无关的其他商品、服务。</w:t>
      </w:r>
    </w:p>
    <w:p w14:paraId="691BBD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82" w:name="_Toc163492840"/>
      <w:bookmarkStart w:id="183" w:name="_Toc140132773"/>
      <w:bookmarkStart w:id="184" w:name="_Toc7336"/>
      <w:r>
        <w:rPr>
          <w:rFonts w:hint="eastAsia" w:ascii="宋体" w:hAnsi="宋体" w:eastAsia="宋体" w:cs="宋体"/>
          <w:b/>
          <w:bCs/>
          <w:color w:val="auto"/>
          <w:kern w:val="2"/>
          <w:sz w:val="24"/>
          <w:szCs w:val="24"/>
          <w:highlight w:val="none"/>
          <w:lang w:val="en-US" w:eastAsia="zh-CN" w:bidi="ar-SA"/>
        </w:rPr>
        <w:t>15.投标有效期</w:t>
      </w:r>
      <w:bookmarkEnd w:id="182"/>
      <w:bookmarkEnd w:id="183"/>
      <w:bookmarkEnd w:id="184"/>
    </w:p>
    <w:p w14:paraId="13B2B164">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kern w:val="0"/>
          <w:sz w:val="24"/>
          <w:szCs w:val="24"/>
          <w:highlight w:val="none"/>
          <w:lang w:val="en"/>
        </w:rPr>
        <w:t>投标有效期</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val="en-US" w:eastAsia="zh-CN"/>
        </w:rPr>
        <w:t xml:space="preserve">第二章 </w:t>
      </w:r>
      <w:r>
        <w:rPr>
          <w:rFonts w:hint="eastAsia" w:ascii="宋体" w:hAnsi="宋体" w:eastAsia="宋体" w:cs="宋体"/>
          <w:color w:val="auto"/>
          <w:sz w:val="24"/>
          <w:szCs w:val="24"/>
          <w:highlight w:val="none"/>
        </w:rPr>
        <w:t>投标人须知前附表”，投标人承诺的投标有效期</w:t>
      </w:r>
      <w:r>
        <w:rPr>
          <w:rFonts w:hint="eastAsia" w:ascii="宋体" w:hAnsi="宋体" w:eastAsia="宋体" w:cs="宋体"/>
          <w:snapToGrid w:val="0"/>
          <w:color w:val="auto"/>
          <w:sz w:val="24"/>
          <w:szCs w:val="24"/>
          <w:highlight w:val="none"/>
          <w:lang w:val="zh-CN" w:eastAsia="zh-CN"/>
        </w:rPr>
        <w:t>少于</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val="zh-CN" w:eastAsia="zh-CN"/>
        </w:rPr>
        <w:t>文件规定期限的，其</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lang w:val="zh-CN" w:eastAsia="zh-CN"/>
        </w:rPr>
        <w:t>无效</w:t>
      </w:r>
      <w:r>
        <w:rPr>
          <w:rFonts w:hint="eastAsia" w:ascii="宋体" w:hAnsi="宋体" w:eastAsia="宋体" w:cs="宋体"/>
          <w:snapToGrid w:val="0"/>
          <w:color w:val="auto"/>
          <w:sz w:val="24"/>
          <w:szCs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2EF7720C">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投标人同意延长的，</w:t>
      </w:r>
      <w:r>
        <w:rPr>
          <w:rFonts w:hint="eastAsia" w:ascii="宋体" w:hAnsi="宋体" w:eastAsia="宋体" w:cs="宋体"/>
          <w:color w:val="auto"/>
          <w:kern w:val="2"/>
          <w:sz w:val="24"/>
          <w:szCs w:val="24"/>
          <w:highlight w:val="none"/>
          <w:lang w:val="en-US" w:eastAsia="zh-CN"/>
        </w:rPr>
        <w:t>其</w:t>
      </w:r>
      <w:r>
        <w:rPr>
          <w:rFonts w:hint="eastAsia" w:ascii="宋体" w:hAnsi="宋体" w:eastAsia="宋体" w:cs="宋体"/>
          <w:color w:val="auto"/>
          <w:kern w:val="2"/>
          <w:sz w:val="24"/>
          <w:szCs w:val="24"/>
          <w:highlight w:val="none"/>
        </w:rPr>
        <w:t>投标保证金的有效期也相应延长</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但</w:t>
      </w:r>
      <w:r>
        <w:rPr>
          <w:rFonts w:hint="eastAsia" w:ascii="宋体" w:hAnsi="宋体" w:eastAsia="宋体" w:cs="宋体"/>
          <w:color w:val="auto"/>
          <w:sz w:val="24"/>
          <w:szCs w:val="24"/>
          <w:highlight w:val="none"/>
        </w:rPr>
        <w:t>不得要求或被允许修改或撤销其投标文件；</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拒绝延长的，其投标文件在原投标有效期满后将不再有效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但其提交的投标保证金可予以退还</w:t>
      </w:r>
      <w:r>
        <w:rPr>
          <w:rFonts w:hint="eastAsia" w:ascii="宋体" w:hAnsi="宋体" w:eastAsia="宋体" w:cs="宋体"/>
          <w:color w:val="auto"/>
          <w:sz w:val="24"/>
          <w:szCs w:val="24"/>
          <w:highlight w:val="none"/>
        </w:rPr>
        <w:t>。</w:t>
      </w:r>
    </w:p>
    <w:p w14:paraId="51F7C8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85" w:name="_Toc163492841"/>
      <w:bookmarkStart w:id="186" w:name="_Toc140132774"/>
      <w:bookmarkStart w:id="187" w:name="_Toc26129"/>
      <w:r>
        <w:rPr>
          <w:rFonts w:hint="eastAsia" w:ascii="宋体" w:hAnsi="宋体" w:eastAsia="宋体" w:cs="宋体"/>
          <w:b/>
          <w:bCs/>
          <w:color w:val="auto"/>
          <w:kern w:val="2"/>
          <w:sz w:val="24"/>
          <w:szCs w:val="24"/>
          <w:highlight w:val="none"/>
          <w:lang w:val="en-US" w:eastAsia="zh-CN" w:bidi="ar-SA"/>
        </w:rPr>
        <w:t>16.投标文件的编制</w:t>
      </w:r>
      <w:bookmarkEnd w:id="185"/>
      <w:bookmarkEnd w:id="186"/>
      <w:bookmarkEnd w:id="187"/>
    </w:p>
    <w:p w14:paraId="523C51E8">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中进行编制，在投标文件中要求加盖印章的，除有特殊说明之外，</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使用电子签章签署。</w:t>
      </w:r>
    </w:p>
    <w:p w14:paraId="540601F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Start w:id="188" w:name="_Hlk143528557"/>
      <w:r>
        <w:rPr>
          <w:rFonts w:hint="eastAsia" w:ascii="宋体" w:hAnsi="宋体" w:eastAsia="宋体" w:cs="宋体"/>
          <w:color w:val="auto"/>
          <w:sz w:val="24"/>
          <w:szCs w:val="24"/>
          <w:highlight w:val="none"/>
        </w:rPr>
        <w:t>2投标人在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中的格式要求填写响应内容后，生成投标文件。投标人须按照招标文件的要求使用电子签章对要求加盖印章的部分逐一进行签章。</w:t>
      </w:r>
      <w:bookmarkEnd w:id="188"/>
    </w:p>
    <w:p w14:paraId="1A7BD12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cs="宋体"/>
          <w:b/>
          <w:bCs/>
          <w:color w:val="auto"/>
          <w:sz w:val="24"/>
          <w:szCs w:val="24"/>
          <w:highlight w:val="none"/>
        </w:rPr>
        <w:t>导致</w:t>
      </w:r>
      <w:r>
        <w:rPr>
          <w:rFonts w:hint="eastAsia" w:ascii="宋体" w:hAnsi="宋体" w:eastAsia="宋体" w:cs="宋体"/>
          <w:b/>
          <w:bCs/>
          <w:color w:val="auto"/>
          <w:sz w:val="24"/>
          <w:szCs w:val="24"/>
          <w:highlight w:val="none"/>
          <w:lang w:val="en-US" w:eastAsia="zh-CN"/>
        </w:rPr>
        <w:t>其</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rPr>
        <w:t>。</w:t>
      </w:r>
    </w:p>
    <w:p w14:paraId="7A6BB4B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投标文件须严格按照</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招标文件第</w:t>
      </w:r>
      <w:r>
        <w:rPr>
          <w:rFonts w:hint="eastAsia" w:ascii="宋体" w:hAnsi="宋体" w:eastAsia="宋体" w:cs="宋体"/>
          <w:color w:val="auto"/>
          <w:sz w:val="24"/>
          <w:szCs w:val="24"/>
          <w:highlight w:val="none"/>
          <w:lang w:val="en-US" w:eastAsia="zh-CN"/>
        </w:rPr>
        <w:t>七章</w:t>
      </w:r>
      <w:r>
        <w:rPr>
          <w:rFonts w:hint="eastAsia" w:ascii="宋体" w:hAnsi="宋体" w:eastAsia="宋体" w:cs="宋体"/>
          <w:color w:val="auto"/>
          <w:sz w:val="24"/>
          <w:szCs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4B72F25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开标一览表为在开标</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唱标的内容，要求按格式统一填写，不得自行增减内容。</w:t>
      </w:r>
    </w:p>
    <w:p w14:paraId="499D705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ascii="宋体" w:hAnsi="宋体" w:eastAsia="宋体" w:cs="宋体"/>
          <w:color w:val="auto"/>
          <w:sz w:val="24"/>
          <w:szCs w:val="24"/>
          <w:highlight w:val="none"/>
          <w:lang w:val="en-US" w:eastAsia="zh-CN"/>
        </w:rPr>
        <w:t>按</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rPr>
        <w:t>处理。</w:t>
      </w:r>
    </w:p>
    <w:p w14:paraId="7DBECB0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投标人必须保证投标文件所提供的全部资料真实可靠，并接受采购</w:t>
      </w:r>
      <w:r>
        <w:rPr>
          <w:rFonts w:hint="eastAsia" w:ascii="宋体" w:hAnsi="宋体" w:eastAsia="宋体" w:cs="宋体"/>
          <w:color w:val="auto"/>
          <w:sz w:val="24"/>
          <w:szCs w:val="24"/>
          <w:highlight w:val="none"/>
          <w:lang w:val="en-US" w:eastAsia="zh-CN"/>
        </w:rPr>
        <w:t>人、采购</w:t>
      </w:r>
      <w:r>
        <w:rPr>
          <w:rFonts w:hint="eastAsia" w:ascii="宋体" w:hAnsi="宋体" w:eastAsia="宋体" w:cs="宋体"/>
          <w:color w:val="auto"/>
          <w:sz w:val="24"/>
          <w:szCs w:val="24"/>
          <w:highlight w:val="none"/>
        </w:rPr>
        <w:t>代理机构或评标委员会对其中任何资料进一步审查的要求。</w:t>
      </w:r>
    </w:p>
    <w:p w14:paraId="7AE3718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323B93D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16.9电子投标文件的编制</w:t>
      </w:r>
    </w:p>
    <w:p w14:paraId="072DFFA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16.9.1电子投标文件需按招标文件要求进行制作编制。投标文件制作时，不同内容按标签提示制作导入，按照招标文件中明确的投标文件目录和格式进行编制，保证目录清晰、内容完整；           </w:t>
      </w:r>
    </w:p>
    <w:p w14:paraId="51F1928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其投标无效</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6B2E6D6A">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89" w:name="_Toc163492842"/>
      <w:bookmarkStart w:id="190" w:name="_Toc25951"/>
      <w:bookmarkStart w:id="191" w:name="_Toc155185873"/>
      <w:r>
        <w:rPr>
          <w:rFonts w:hint="eastAsia" w:ascii="宋体" w:hAnsi="宋体" w:eastAsia="宋体" w:cs="宋体"/>
          <w:b/>
          <w:bCs/>
          <w:color w:val="auto"/>
          <w:kern w:val="2"/>
          <w:sz w:val="24"/>
          <w:szCs w:val="24"/>
          <w:highlight w:val="none"/>
          <w:lang w:val="en-US" w:eastAsia="zh-CN" w:bidi="ar-SA"/>
        </w:rPr>
        <w:t>（四）投标</w:t>
      </w:r>
      <w:bookmarkEnd w:id="189"/>
      <w:bookmarkEnd w:id="190"/>
      <w:bookmarkEnd w:id="191"/>
    </w:p>
    <w:p w14:paraId="386CC8E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92" w:name="_Toc3205"/>
      <w:bookmarkStart w:id="193" w:name="_Toc163492843"/>
      <w:r>
        <w:rPr>
          <w:rFonts w:hint="eastAsia" w:ascii="宋体" w:hAnsi="宋体" w:eastAsia="宋体" w:cs="宋体"/>
          <w:b/>
          <w:bCs/>
          <w:color w:val="auto"/>
          <w:kern w:val="2"/>
          <w:sz w:val="24"/>
          <w:szCs w:val="24"/>
          <w:highlight w:val="none"/>
          <w:lang w:val="en-US" w:eastAsia="zh-CN" w:bidi="ar-SA"/>
        </w:rPr>
        <w:t>17.投标保证金</w:t>
      </w:r>
      <w:bookmarkEnd w:id="192"/>
    </w:p>
    <w:p w14:paraId="1182B9B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17.2提交投标保证金可采用的形式：政府采购法律法规接受的支票、汇票、本票、网上银行支付或者金融机构、担保机构出具的保函等非现金形式。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4"/>
          <w:highlight w:val="none"/>
          <w:lang w:val="en-US" w:eastAsia="zh-CN" w:bidi="ar-SA"/>
        </w:rPr>
        <w:t>投标人未按照招标文件要求提交投标保证金的，其</w:t>
      </w:r>
      <w:r>
        <w:rPr>
          <w:rFonts w:hint="eastAsia" w:ascii="宋体" w:hAnsi="宋体" w:eastAsia="宋体" w:cs="宋体"/>
          <w:b/>
          <w:bCs/>
          <w:color w:val="auto"/>
          <w:kern w:val="2"/>
          <w:sz w:val="24"/>
          <w:szCs w:val="24"/>
          <w:highlight w:val="none"/>
          <w:lang w:val="en-US" w:eastAsia="zh-CN" w:bidi="ar-SA"/>
        </w:rPr>
        <w:t>投标无效</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投标保证金有效期同投标有效期。</w:t>
      </w:r>
    </w:p>
    <w:p w14:paraId="54BD0912">
      <w:pPr>
        <w:pStyle w:val="1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4"/>
          <w:highlight w:val="none"/>
          <w:lang w:val="en-US" w:eastAsia="zh-CN"/>
        </w:rPr>
        <w:t>投标无效</w:t>
      </w:r>
      <w:r>
        <w:rPr>
          <w:rFonts w:hint="eastAsia" w:ascii="宋体" w:hAnsi="宋体" w:eastAsia="宋体" w:cs="宋体"/>
          <w:color w:val="auto"/>
          <w:kern w:val="2"/>
          <w:sz w:val="24"/>
          <w:szCs w:val="24"/>
          <w:highlight w:val="none"/>
          <w:lang w:val="en-US" w:eastAsia="zh-CN"/>
        </w:rPr>
        <w:t>。</w:t>
      </w:r>
    </w:p>
    <w:p w14:paraId="27BA110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17.4 投标人为联合体的，可以由联合体中的一方或者多方共同提交投标保证金，其提交的投标保证金对联合体各方均具有约束力。 </w:t>
      </w:r>
    </w:p>
    <w:p w14:paraId="45878AF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6CFB121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17.6 投标人在投标截止时间前撤回已提交的投标文件的，自收到投标人书面撤回通知之日起 5 个工作日内，退还已收取的投标保证金，但因投标人自身原因导致无法及时退还的除外。 </w:t>
      </w:r>
    </w:p>
    <w:p w14:paraId="5EB3FE3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17.7 终止招标项目已经收取投标保证金的，自终止采购活动后 5 个工作日内退还已收取的投标保证金及其在银行产生的孳息。</w:t>
      </w:r>
    </w:p>
    <w:p w14:paraId="0B6A028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 有下列情形之一的，采购人或采购代理机构可以不予退还投标保证金,</w:t>
      </w:r>
      <w:r>
        <w:rPr>
          <w:rFonts w:hint="eastAsia" w:ascii="宋体" w:hAnsi="宋体" w:eastAsia="宋体" w:cs="宋体"/>
          <w:color w:val="auto"/>
          <w:kern w:val="2"/>
          <w:sz w:val="24"/>
          <w:szCs w:val="24"/>
          <w:highlight w:val="none"/>
        </w:rPr>
        <w:t>情节严重的将其列入不良记录名单</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02F7ADE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17.8.1 </w:t>
      </w:r>
      <w:r>
        <w:rPr>
          <w:rFonts w:hint="eastAsia" w:ascii="宋体" w:hAnsi="宋体" w:eastAsia="宋体" w:cs="宋体"/>
          <w:color w:val="auto"/>
          <w:kern w:val="2"/>
          <w:sz w:val="24"/>
          <w:szCs w:val="24"/>
          <w:highlight w:val="none"/>
        </w:rPr>
        <w:t>开标后在投标有效期内，投标人撤</w:t>
      </w:r>
      <w:r>
        <w:rPr>
          <w:rFonts w:hint="eastAsia" w:ascii="宋体" w:hAnsi="宋体" w:eastAsia="宋体" w:cs="宋体"/>
          <w:color w:val="auto"/>
          <w:kern w:val="2"/>
          <w:sz w:val="24"/>
          <w:szCs w:val="24"/>
          <w:highlight w:val="none"/>
          <w:lang w:val="en-US" w:eastAsia="zh-CN"/>
        </w:rPr>
        <w:t>销</w:t>
      </w:r>
      <w:r>
        <w:rPr>
          <w:rFonts w:hint="eastAsia" w:ascii="宋体" w:hAnsi="宋体" w:eastAsia="宋体" w:cs="宋体"/>
          <w:color w:val="auto"/>
          <w:kern w:val="2"/>
          <w:sz w:val="24"/>
          <w:szCs w:val="24"/>
          <w:highlight w:val="none"/>
        </w:rPr>
        <w:t>其投标</w:t>
      </w:r>
      <w:r>
        <w:rPr>
          <w:rFonts w:hint="eastAsia" w:ascii="宋体" w:hAnsi="宋体" w:eastAsia="宋体" w:cs="宋体"/>
          <w:color w:val="auto"/>
          <w:kern w:val="2"/>
          <w:sz w:val="24"/>
          <w:szCs w:val="24"/>
          <w:highlight w:val="none"/>
          <w:lang w:val="en-US" w:eastAsia="zh-CN"/>
        </w:rPr>
        <w:t>的</w:t>
      </w:r>
      <w:r>
        <w:rPr>
          <w:rFonts w:hint="eastAsia" w:ascii="宋体" w:hAnsi="宋体" w:eastAsia="宋体" w:cs="宋体"/>
          <w:color w:val="auto"/>
          <w:kern w:val="2"/>
          <w:sz w:val="24"/>
          <w:szCs w:val="24"/>
          <w:highlight w:val="none"/>
        </w:rPr>
        <w:t>；</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36FC9D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17.8.2 </w:t>
      </w:r>
      <w:r>
        <w:rPr>
          <w:rFonts w:hint="eastAsia" w:ascii="宋体" w:hAnsi="宋体" w:eastAsia="宋体" w:cs="宋体"/>
          <w:color w:val="auto"/>
          <w:kern w:val="2"/>
          <w:sz w:val="24"/>
          <w:szCs w:val="24"/>
          <w:highlight w:val="none"/>
        </w:rPr>
        <w:t>中标后无正当理由不与采购人签订合同的；</w:t>
      </w:r>
    </w:p>
    <w:p w14:paraId="3694295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4"/>
          <w:highlight w:val="none"/>
        </w:rPr>
        <w:t>中标人与采购人订立背离合同实质性内容的其他协议；</w:t>
      </w:r>
    </w:p>
    <w:p w14:paraId="54583F23">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4</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将中标项目转让给他人，或者在投标文件中未说明，且未经采购</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同意，将中标项目分包给他人的；</w:t>
      </w:r>
    </w:p>
    <w:p w14:paraId="433DB21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5</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存在串通投标行为的；</w:t>
      </w:r>
    </w:p>
    <w:p w14:paraId="0A3E2CC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6</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存在弄虚作假或提供虚假材料谋取中标的；</w:t>
      </w:r>
    </w:p>
    <w:p w14:paraId="3CBF915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7</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投标人其他未按招标文件规定和合同约定履行义务的行为。</w:t>
      </w:r>
    </w:p>
    <w:p w14:paraId="330E240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071DFFA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17.10</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3586E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94" w:name="_Toc16592"/>
      <w:r>
        <w:rPr>
          <w:rFonts w:hint="eastAsia" w:ascii="宋体" w:hAnsi="宋体" w:eastAsia="宋体" w:cs="宋体"/>
          <w:b/>
          <w:bCs/>
          <w:color w:val="auto"/>
          <w:kern w:val="2"/>
          <w:sz w:val="24"/>
          <w:szCs w:val="24"/>
          <w:highlight w:val="none"/>
          <w:lang w:val="en-US" w:eastAsia="zh-CN" w:bidi="ar-SA"/>
        </w:rPr>
        <w:t>18.投标文件的加密</w:t>
      </w:r>
      <w:bookmarkEnd w:id="193"/>
      <w:bookmarkEnd w:id="194"/>
    </w:p>
    <w:p w14:paraId="7CFFC07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u w:val="single"/>
        </w:rPr>
      </w:pPr>
      <w:bookmarkStart w:id="195" w:name="_Hlk14353186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中生成投标文件并完成签章之后，使用CA证书在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中对投标文件进行加密。</w:t>
      </w:r>
    </w:p>
    <w:p w14:paraId="20075D69">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w:t>
      </w:r>
      <w:r>
        <w:rPr>
          <w:rFonts w:hint="eastAsia" w:ascii="宋体" w:hAnsi="宋体" w:eastAsia="宋体" w:cs="宋体"/>
          <w:color w:val="auto"/>
          <w:sz w:val="24"/>
          <w:szCs w:val="24"/>
          <w:highlight w:val="none"/>
          <w:lang w:val="en-US" w:eastAsia="zh-CN"/>
        </w:rPr>
        <w:t>止</w:t>
      </w:r>
      <w:r>
        <w:rPr>
          <w:rFonts w:hint="eastAsia" w:ascii="宋体" w:hAnsi="宋体" w:eastAsia="宋体" w:cs="宋体"/>
          <w:color w:val="auto"/>
          <w:sz w:val="24"/>
          <w:szCs w:val="24"/>
          <w:highlight w:val="none"/>
        </w:rPr>
        <w:t>时间前通过</w:t>
      </w:r>
      <w:r>
        <w:rPr>
          <w:rFonts w:hint="eastAsia" w:cs="仿宋_GB2312"/>
          <w:color w:val="auto"/>
          <w:sz w:val="24"/>
          <w:szCs w:val="24"/>
          <w:highlight w:val="none"/>
          <w:lang w:val="en-US" w:eastAsia="zh-CN"/>
        </w:rPr>
        <w:t>新疆</w:t>
      </w:r>
      <w:r>
        <w:rPr>
          <w:rFonts w:hint="eastAsia" w:eastAsia="宋体" w:cs="仿宋_GB2312"/>
          <w:color w:val="auto"/>
          <w:sz w:val="24"/>
          <w:szCs w:val="24"/>
          <w:highlight w:val="none"/>
        </w:rPr>
        <w:t>政府采购网（http://www.ccgp-xinjiang.gov.cn/）</w:t>
      </w:r>
      <w:r>
        <w:rPr>
          <w:rFonts w:hint="eastAsia" w:ascii="宋体" w:hAnsi="宋体" w:eastAsia="宋体" w:cs="宋体"/>
          <w:color w:val="auto"/>
          <w:sz w:val="24"/>
          <w:szCs w:val="24"/>
          <w:highlight w:val="none"/>
        </w:rPr>
        <w:t>的”政采云登录入口”登录后，将加密电子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（为.jmbs后缀格式）上传到对应项目的指定位置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如果投标人未按上述要求</w:t>
      </w:r>
      <w:r>
        <w:rPr>
          <w:rFonts w:hint="eastAsia" w:ascii="宋体" w:hAnsi="宋体" w:eastAsia="宋体" w:cs="宋体"/>
          <w:color w:val="auto"/>
          <w:sz w:val="24"/>
          <w:szCs w:val="24"/>
          <w:highlight w:val="none"/>
          <w:lang w:val="en-US" w:eastAsia="zh-CN"/>
        </w:rPr>
        <w:t>加密并上传</w:t>
      </w:r>
      <w:r>
        <w:rPr>
          <w:rFonts w:hint="eastAsia" w:ascii="宋体" w:hAnsi="宋体" w:eastAsia="宋体" w:cs="宋体"/>
          <w:color w:val="auto"/>
          <w:sz w:val="24"/>
          <w:szCs w:val="24"/>
          <w:highlight w:val="none"/>
        </w:rPr>
        <w:t>，采购代理机构对投标文件的误投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无法解密、传输错误等问题</w:t>
      </w:r>
      <w:r>
        <w:rPr>
          <w:rFonts w:hint="eastAsia" w:ascii="宋体" w:hAnsi="宋体" w:eastAsia="宋体" w:cs="宋体"/>
          <w:color w:val="auto"/>
          <w:sz w:val="24"/>
          <w:szCs w:val="24"/>
          <w:highlight w:val="none"/>
        </w:rPr>
        <w:t>概不负责。对由此造成</w:t>
      </w:r>
      <w:r>
        <w:rPr>
          <w:rFonts w:hint="eastAsia" w:ascii="宋体" w:hAnsi="宋体" w:eastAsia="宋体" w:cs="宋体"/>
          <w:color w:val="auto"/>
          <w:sz w:val="24"/>
          <w:szCs w:val="24"/>
          <w:highlight w:val="none"/>
          <w:lang w:val="en-US" w:eastAsia="zh-CN"/>
        </w:rPr>
        <w:t>无法正常开启</w:t>
      </w:r>
      <w:r>
        <w:rPr>
          <w:rFonts w:hint="eastAsia" w:ascii="宋体" w:hAnsi="宋体" w:eastAsia="宋体" w:cs="宋体"/>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本项目采用不见面开标，无需提供电子投标文件U盘。</w:t>
      </w:r>
    </w:p>
    <w:bookmarkEnd w:id="195"/>
    <w:p w14:paraId="31ED663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196" w:name="_Toc140132777"/>
      <w:bookmarkStart w:id="197" w:name="_Toc163492844"/>
      <w:bookmarkStart w:id="198" w:name="_Toc7146"/>
      <w:r>
        <w:rPr>
          <w:rFonts w:hint="eastAsia" w:ascii="宋体" w:hAnsi="宋体" w:eastAsia="宋体" w:cs="宋体"/>
          <w:b/>
          <w:bCs/>
          <w:color w:val="auto"/>
          <w:kern w:val="2"/>
          <w:sz w:val="24"/>
          <w:szCs w:val="24"/>
          <w:highlight w:val="none"/>
          <w:lang w:val="en-US" w:eastAsia="zh-CN" w:bidi="ar-SA"/>
        </w:rPr>
        <w:t>19.投标文件的递交</w:t>
      </w:r>
      <w:bookmarkEnd w:id="196"/>
      <w:r>
        <w:rPr>
          <w:rFonts w:hint="eastAsia" w:ascii="宋体" w:hAnsi="宋体" w:eastAsia="宋体" w:cs="宋体"/>
          <w:b/>
          <w:bCs/>
          <w:color w:val="auto"/>
          <w:kern w:val="2"/>
          <w:sz w:val="24"/>
          <w:szCs w:val="24"/>
          <w:highlight w:val="none"/>
          <w:lang w:val="en-US" w:eastAsia="zh-CN" w:bidi="ar-SA"/>
        </w:rPr>
        <w:t>（上传）</w:t>
      </w:r>
      <w:bookmarkEnd w:id="197"/>
      <w:bookmarkEnd w:id="198"/>
    </w:p>
    <w:p w14:paraId="68ADD5DF">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bookmarkStart w:id="199" w:name="_Hlk143531977"/>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投标人应在“</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投标人递交（上传）投标文件的地点见“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.4 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.5投标人所递交的投标文件不予退还。</w:t>
      </w:r>
    </w:p>
    <w:bookmarkEnd w:id="199"/>
    <w:p w14:paraId="6AD7096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00" w:name="_Toc788"/>
      <w:bookmarkStart w:id="201" w:name="_Toc163492845"/>
      <w:r>
        <w:rPr>
          <w:rFonts w:hint="eastAsia" w:ascii="宋体" w:hAnsi="宋体" w:eastAsia="宋体" w:cs="宋体"/>
          <w:b/>
          <w:bCs/>
          <w:color w:val="auto"/>
          <w:kern w:val="2"/>
          <w:sz w:val="24"/>
          <w:szCs w:val="24"/>
          <w:highlight w:val="none"/>
          <w:lang w:val="en-US" w:eastAsia="zh-CN" w:bidi="ar-SA"/>
        </w:rPr>
        <w:t>20.拒收</w:t>
      </w:r>
      <w:bookmarkEnd w:id="200"/>
      <w:bookmarkEnd w:id="201"/>
    </w:p>
    <w:p w14:paraId="163AD542">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超过投标文件提交截止时间</w:t>
      </w:r>
      <w:bookmarkStart w:id="202" w:name="_Hlk143532404"/>
      <w:r>
        <w:rPr>
          <w:rFonts w:hint="eastAsia" w:ascii="宋体" w:hAnsi="宋体" w:eastAsia="宋体" w:cs="宋体"/>
          <w:color w:val="auto"/>
          <w:sz w:val="24"/>
          <w:szCs w:val="24"/>
          <w:highlight w:val="none"/>
        </w:rPr>
        <w:t>或者不按照本章要求加密的投标文件，交易系统应当拒收</w:t>
      </w:r>
      <w:bookmarkEnd w:id="202"/>
      <w:r>
        <w:rPr>
          <w:rFonts w:hint="eastAsia" w:ascii="宋体" w:hAnsi="宋体" w:eastAsia="宋体" w:cs="宋体"/>
          <w:color w:val="auto"/>
          <w:sz w:val="24"/>
          <w:szCs w:val="24"/>
          <w:highlight w:val="none"/>
        </w:rPr>
        <w:t>。</w:t>
      </w:r>
    </w:p>
    <w:p w14:paraId="0356121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03" w:name="_Toc735"/>
      <w:bookmarkStart w:id="204" w:name="_Toc140132778"/>
      <w:bookmarkStart w:id="205" w:name="_Toc163492846"/>
      <w:r>
        <w:rPr>
          <w:rFonts w:hint="eastAsia" w:ascii="宋体" w:hAnsi="宋体" w:eastAsia="宋体" w:cs="宋体"/>
          <w:b/>
          <w:bCs/>
          <w:color w:val="auto"/>
          <w:kern w:val="2"/>
          <w:sz w:val="24"/>
          <w:szCs w:val="24"/>
          <w:highlight w:val="none"/>
          <w:lang w:val="en-US" w:eastAsia="zh-CN" w:bidi="ar-SA"/>
        </w:rPr>
        <w:t>21.投标文件的修改与撤回</w:t>
      </w:r>
      <w:bookmarkEnd w:id="203"/>
      <w:bookmarkEnd w:id="204"/>
      <w:bookmarkEnd w:id="205"/>
    </w:p>
    <w:p w14:paraId="7DBF29E0">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bookmarkStart w:id="206" w:name="_Hlk143532466"/>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规定的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递交截止时间之前，可在</w:t>
      </w:r>
      <w:r>
        <w:rPr>
          <w:rFonts w:hint="eastAsia" w:cs="宋体"/>
          <w:color w:val="auto"/>
          <w:sz w:val="24"/>
          <w:szCs w:val="24"/>
          <w:highlight w:val="none"/>
          <w:lang w:eastAsia="zh-CN"/>
        </w:rPr>
        <w:t>新疆政府采购电子交易云平台</w:t>
      </w:r>
      <w:r>
        <w:rPr>
          <w:rFonts w:hint="eastAsia" w:ascii="宋体" w:hAnsi="宋体" w:eastAsia="宋体" w:cs="宋体"/>
          <w:color w:val="auto"/>
          <w:sz w:val="24"/>
          <w:szCs w:val="24"/>
          <w:highlight w:val="none"/>
        </w:rPr>
        <w:t>上随时撤回已上传的电子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，将修改好的电子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递交截止时间前重新上传到</w:t>
      </w:r>
      <w:r>
        <w:rPr>
          <w:rFonts w:hint="eastAsia" w:cs="宋体"/>
          <w:color w:val="auto"/>
          <w:sz w:val="24"/>
          <w:szCs w:val="24"/>
          <w:highlight w:val="none"/>
          <w:lang w:eastAsia="zh-CN"/>
        </w:rPr>
        <w:t>新疆政府采购电子交易云平台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指</w:t>
      </w:r>
      <w:r>
        <w:rPr>
          <w:rFonts w:hint="eastAsia" w:ascii="宋体" w:hAnsi="宋体" w:eastAsia="宋体" w:cs="宋体"/>
          <w:color w:val="auto"/>
          <w:sz w:val="24"/>
          <w:szCs w:val="24"/>
          <w:highlight w:val="none"/>
        </w:rPr>
        <w:t>定位置。</w:t>
      </w:r>
    </w:p>
    <w:bookmarkEnd w:id="206"/>
    <w:p w14:paraId="20434D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07" w:name="_Toc18326"/>
      <w:bookmarkStart w:id="208" w:name="_Toc155185874"/>
      <w:bookmarkStart w:id="209" w:name="_Toc163492847"/>
      <w:r>
        <w:rPr>
          <w:rFonts w:hint="eastAsia" w:ascii="宋体" w:hAnsi="宋体" w:eastAsia="宋体" w:cs="宋体"/>
          <w:b/>
          <w:bCs/>
          <w:color w:val="auto"/>
          <w:kern w:val="2"/>
          <w:sz w:val="24"/>
          <w:szCs w:val="24"/>
          <w:highlight w:val="none"/>
          <w:lang w:val="en-US" w:eastAsia="zh-CN" w:bidi="ar-SA"/>
        </w:rPr>
        <w:t>22.实物样品</w:t>
      </w:r>
      <w:bookmarkEnd w:id="207"/>
      <w:bookmarkEnd w:id="208"/>
      <w:bookmarkEnd w:id="209"/>
    </w:p>
    <w:p w14:paraId="52D4EAF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.1“投标人须知前附表”要求提供样品的，样品的具体要求及评审详见“第三章 采购需求”和“第五章 评标</w:t>
      </w:r>
      <w:r>
        <w:rPr>
          <w:rFonts w:hint="eastAsia" w:ascii="宋体" w:hAnsi="宋体" w:eastAsia="宋体" w:cs="宋体"/>
          <w:snapToGrid w:val="0"/>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2D6ED3F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.2样品退还：未中标的投标人应</w:t>
      </w:r>
      <w:r>
        <w:rPr>
          <w:rFonts w:hint="eastAsia" w:ascii="宋体" w:hAnsi="宋体" w:eastAsia="宋体" w:cs="宋体"/>
          <w:color w:val="auto"/>
          <w:sz w:val="24"/>
          <w:szCs w:val="24"/>
          <w:highlight w:val="none"/>
          <w:lang w:val="en-US" w:eastAsia="zh-CN"/>
        </w:rPr>
        <w:t>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自行联系采购人取回投标样品；中标人的样品由采购人进行保管、封存，并作为履约验收的参考（招标文件另有规定的从其规定）。</w:t>
      </w:r>
    </w:p>
    <w:p w14:paraId="7DD3C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10" w:name="_Toc155185875"/>
      <w:bookmarkStart w:id="211" w:name="_Toc16730"/>
      <w:bookmarkStart w:id="212" w:name="_Toc163492848"/>
      <w:r>
        <w:rPr>
          <w:rFonts w:hint="eastAsia" w:ascii="宋体" w:hAnsi="宋体" w:eastAsia="宋体" w:cs="宋体"/>
          <w:b/>
          <w:bCs/>
          <w:color w:val="auto"/>
          <w:kern w:val="2"/>
          <w:sz w:val="24"/>
          <w:szCs w:val="24"/>
          <w:highlight w:val="none"/>
          <w:lang w:val="en-US" w:eastAsia="zh-CN" w:bidi="ar-SA"/>
        </w:rPr>
        <w:t>23.演示</w:t>
      </w:r>
      <w:bookmarkEnd w:id="210"/>
      <w:bookmarkEnd w:id="211"/>
      <w:bookmarkEnd w:id="212"/>
    </w:p>
    <w:p w14:paraId="1A234B3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.1要求投标人进行演示的，演示要求详见“投标人须知前附表”。</w:t>
      </w:r>
    </w:p>
    <w:p w14:paraId="527E903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.2演示的评审详见“第三章 采购需求”和“第五章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4482868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13" w:name="_Toc163492849"/>
      <w:bookmarkStart w:id="214" w:name="_Toc155185876"/>
      <w:bookmarkStart w:id="215" w:name="_Toc32704"/>
      <w:bookmarkStart w:id="216" w:name="_Toc140132779"/>
      <w:r>
        <w:rPr>
          <w:rFonts w:hint="eastAsia" w:ascii="宋体" w:hAnsi="宋体" w:eastAsia="宋体" w:cs="宋体"/>
          <w:b/>
          <w:bCs/>
          <w:color w:val="auto"/>
          <w:kern w:val="2"/>
          <w:sz w:val="24"/>
          <w:szCs w:val="24"/>
          <w:highlight w:val="none"/>
          <w:lang w:val="en-US" w:eastAsia="zh-CN" w:bidi="ar-SA"/>
        </w:rPr>
        <w:t>（五）开标</w:t>
      </w:r>
      <w:bookmarkEnd w:id="213"/>
      <w:bookmarkEnd w:id="214"/>
      <w:bookmarkEnd w:id="215"/>
      <w:bookmarkEnd w:id="216"/>
    </w:p>
    <w:p w14:paraId="1705A8F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17" w:name="_Toc163492850"/>
      <w:bookmarkStart w:id="218" w:name="_Toc140132780"/>
      <w:bookmarkStart w:id="219" w:name="_Toc30506"/>
      <w:r>
        <w:rPr>
          <w:rFonts w:hint="eastAsia" w:ascii="宋体" w:hAnsi="宋体" w:eastAsia="宋体" w:cs="宋体"/>
          <w:b/>
          <w:bCs/>
          <w:color w:val="auto"/>
          <w:kern w:val="2"/>
          <w:sz w:val="24"/>
          <w:szCs w:val="24"/>
          <w:highlight w:val="none"/>
          <w:lang w:val="en-US" w:eastAsia="zh-CN" w:bidi="ar-SA"/>
        </w:rPr>
        <w:t>24.开标会议</w:t>
      </w:r>
      <w:bookmarkEnd w:id="217"/>
      <w:bookmarkEnd w:id="218"/>
      <w:bookmarkEnd w:id="219"/>
    </w:p>
    <w:p w14:paraId="43376441">
      <w:pPr>
        <w:keepNext w:val="0"/>
        <w:keepLines w:val="0"/>
        <w:pageBreakBefore w:val="0"/>
        <w:widowControl w:val="0"/>
        <w:kinsoku/>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highlight w:val="none"/>
          <w:lang w:eastAsia="zh-CN"/>
        </w:rPr>
      </w:pPr>
      <w:bookmarkStart w:id="220" w:name="_Toc14013278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开标会按“</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”规定的开标时间和地点准时举行，采购人、采购代理机构邀请所有投标人准时参加开标会。投标人应按照</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的要求参与</w:t>
      </w:r>
      <w:r>
        <w:rPr>
          <w:rFonts w:hint="eastAsia" w:ascii="宋体" w:hAnsi="宋体" w:eastAsia="宋体" w:cs="宋体"/>
          <w:color w:val="auto"/>
          <w:sz w:val="24"/>
          <w:szCs w:val="24"/>
          <w:highlight w:val="none"/>
          <w:lang w:val="en-US" w:eastAsia="zh-CN"/>
        </w:rPr>
        <w:t>不见面开标</w:t>
      </w:r>
      <w:r>
        <w:rPr>
          <w:rFonts w:hint="eastAsia" w:ascii="宋体" w:hAnsi="宋体" w:eastAsia="宋体" w:cs="宋体"/>
          <w:color w:val="auto"/>
          <w:sz w:val="24"/>
          <w:szCs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bookmarkEnd w:id="220"/>
      <w:r>
        <w:rPr>
          <w:rFonts w:hint="eastAsia" w:ascii="宋体" w:hAnsi="宋体" w:eastAsia="宋体" w:cs="宋体"/>
          <w:color w:val="auto"/>
          <w:kern w:val="2"/>
          <w:sz w:val="24"/>
          <w:szCs w:val="24"/>
          <w:highlight w:val="none"/>
        </w:rPr>
        <w:t>采购代理机构按照招标文件规定的时间、地点主持开标。采购人在规定的</w:t>
      </w:r>
      <w:r>
        <w:rPr>
          <w:rFonts w:hint="eastAsia" w:ascii="宋体" w:hAnsi="宋体" w:eastAsia="宋体" w:cs="宋体"/>
          <w:color w:val="auto"/>
          <w:kern w:val="2"/>
          <w:sz w:val="24"/>
          <w:szCs w:val="24"/>
          <w:highlight w:val="none"/>
          <w:lang w:eastAsia="zh-CN"/>
        </w:rPr>
        <w:t>投标文件</w:t>
      </w:r>
      <w:r>
        <w:rPr>
          <w:rFonts w:hint="eastAsia" w:ascii="宋体" w:hAnsi="宋体" w:eastAsia="宋体" w:cs="宋体"/>
          <w:color w:val="auto"/>
          <w:kern w:val="2"/>
          <w:sz w:val="24"/>
          <w:szCs w:val="24"/>
          <w:highlight w:val="none"/>
        </w:rPr>
        <w:t>递交截止时间（开标时间）和地点进行不见面远程开标。</w:t>
      </w: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的法定代表人或其委托代理人无需到达开标现场，仅需在任意地点通过</w:t>
      </w:r>
      <w:r>
        <w:rPr>
          <w:rFonts w:hint="eastAsia" w:cs="宋体"/>
          <w:color w:val="auto"/>
          <w:kern w:val="2"/>
          <w:sz w:val="24"/>
          <w:szCs w:val="24"/>
          <w:highlight w:val="none"/>
          <w:lang w:val="en-US" w:eastAsia="zh-CN"/>
        </w:rPr>
        <w:t>政采云平台线上（网址：https://www.zcygov.cn/）</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21" w:name="_Toc163492852"/>
      <w:bookmarkStart w:id="222" w:name="_Toc140132783"/>
      <w:bookmarkStart w:id="223" w:name="_Toc6154"/>
      <w:r>
        <w:rPr>
          <w:rFonts w:hint="eastAsia" w:ascii="宋体" w:hAnsi="宋体" w:eastAsia="宋体" w:cs="宋体"/>
          <w:b/>
          <w:bCs/>
          <w:color w:val="auto"/>
          <w:kern w:val="2"/>
          <w:sz w:val="24"/>
          <w:szCs w:val="24"/>
          <w:highlight w:val="none"/>
          <w:lang w:val="en-US" w:eastAsia="zh-CN" w:bidi="ar-SA"/>
        </w:rPr>
        <w:t>25.开标程序</w:t>
      </w:r>
      <w:bookmarkEnd w:id="221"/>
      <w:bookmarkEnd w:id="222"/>
      <w:bookmarkEnd w:id="223"/>
    </w:p>
    <w:p w14:paraId="60F7948B">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（3）发起投标文件解密。投标人应在“投标人须知前附表”规定的时间内使用加密投标文件的CA证书在系统中完成投标文件的解密；</w:t>
      </w:r>
      <w:r>
        <w:rPr>
          <w:rFonts w:hint="eastAsia" w:ascii="宋体" w:hAnsi="宋体" w:eastAsia="宋体" w:cs="宋体"/>
          <w:color w:val="auto"/>
          <w:sz w:val="24"/>
          <w:szCs w:val="24"/>
          <w:highlight w:val="none"/>
          <w:lang w:val="en-US" w:eastAsia="zh-CN"/>
        </w:rPr>
        <w:t>投标人不足3家的，不予解密；</w:t>
      </w:r>
    </w:p>
    <w:p w14:paraId="30C058B0">
      <w:pPr>
        <w:keepNext w:val="0"/>
        <w:keepLines w:val="0"/>
        <w:pageBreakBefore w:val="0"/>
        <w:widowControl w:val="0"/>
        <w:kinsoku/>
        <w:overflowPunct/>
        <w:topLinePunct w:val="0"/>
        <w:autoSpaceDE/>
        <w:autoSpaceDN/>
        <w:bidi w:val="0"/>
        <w:adjustRightInd/>
        <w:ind w:firstLine="398" w:firstLineChars="166"/>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564" w:leftChars="200" w:hanging="84" w:hangingChars="3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（5）系统自动生成开标记录表，供应商应在线对开标记录进行签署确认</w:t>
      </w:r>
      <w:r>
        <w:rPr>
          <w:rFonts w:hint="eastAsia" w:ascii="宋体" w:hAnsi="宋体" w:eastAsia="宋体" w:cs="宋体"/>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564" w:leftChars="200" w:hanging="84" w:hangingChars="35"/>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（6）开标会结束。</w:t>
      </w:r>
      <w:bookmarkStart w:id="224" w:name="_Toc140132784"/>
      <w:bookmarkStart w:id="225" w:name="_Toc163492853"/>
    </w:p>
    <w:p w14:paraId="459D358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26" w:name="_Toc829"/>
      <w:r>
        <w:rPr>
          <w:rFonts w:hint="eastAsia" w:ascii="宋体" w:hAnsi="宋体" w:eastAsia="宋体" w:cs="宋体"/>
          <w:b/>
          <w:bCs/>
          <w:color w:val="auto"/>
          <w:kern w:val="2"/>
          <w:sz w:val="24"/>
          <w:szCs w:val="24"/>
          <w:highlight w:val="none"/>
          <w:lang w:val="en-US" w:eastAsia="zh-CN" w:bidi="ar-SA"/>
        </w:rPr>
        <w:t>26.开标疑义及回避情形</w:t>
      </w:r>
      <w:bookmarkEnd w:id="224"/>
      <w:bookmarkEnd w:id="225"/>
      <w:bookmarkEnd w:id="226"/>
    </w:p>
    <w:p w14:paraId="04573EB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.2投标人未参加开标的，视同认可开标结果。</w:t>
      </w:r>
    </w:p>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27" w:name="_Toc155185877"/>
      <w:bookmarkStart w:id="228" w:name="_Toc163492854"/>
      <w:bookmarkStart w:id="229" w:name="_Toc140132785"/>
      <w:bookmarkStart w:id="230" w:name="_Toc28318"/>
      <w:r>
        <w:rPr>
          <w:rFonts w:hint="eastAsia" w:ascii="宋体" w:hAnsi="宋体" w:eastAsia="宋体" w:cs="宋体"/>
          <w:b/>
          <w:bCs/>
          <w:color w:val="auto"/>
          <w:kern w:val="2"/>
          <w:sz w:val="24"/>
          <w:szCs w:val="24"/>
          <w:highlight w:val="none"/>
          <w:lang w:val="en-US" w:eastAsia="zh-CN" w:bidi="ar-SA"/>
        </w:rPr>
        <w:t>（六）资格审查</w:t>
      </w:r>
      <w:bookmarkEnd w:id="227"/>
      <w:bookmarkEnd w:id="228"/>
      <w:bookmarkEnd w:id="229"/>
      <w:bookmarkEnd w:id="230"/>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31" w:name="_Toc8772"/>
      <w:bookmarkStart w:id="232" w:name="_Toc163492855"/>
      <w:r>
        <w:rPr>
          <w:rFonts w:hint="eastAsia" w:ascii="宋体" w:hAnsi="宋体" w:eastAsia="宋体" w:cs="宋体"/>
          <w:b/>
          <w:bCs/>
          <w:color w:val="auto"/>
          <w:kern w:val="2"/>
          <w:sz w:val="24"/>
          <w:szCs w:val="24"/>
          <w:highlight w:val="none"/>
          <w:lang w:val="en-US" w:eastAsia="zh-CN" w:bidi="ar-SA"/>
        </w:rPr>
        <w:t>27.资格审查及审查主体</w:t>
      </w:r>
      <w:bookmarkEnd w:id="231"/>
      <w:bookmarkEnd w:id="232"/>
    </w:p>
    <w:p w14:paraId="3F6E8AD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bookmarkStart w:id="233" w:name="_Toc140132786"/>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bookmarkEnd w:id="233"/>
      <w:r>
        <w:rPr>
          <w:rFonts w:hint="eastAsia" w:ascii="宋体" w:hAnsi="宋体" w:eastAsia="宋体" w:cs="宋体"/>
          <w:color w:val="auto"/>
          <w:sz w:val="24"/>
          <w:szCs w:val="24"/>
          <w:highlight w:val="none"/>
        </w:rPr>
        <w:t>开标结束后，采购人或者采购代理机构应当依法对投标人的资格进行审查。</w:t>
      </w:r>
    </w:p>
    <w:p w14:paraId="6F7626D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bookmarkStart w:id="234" w:name="_Toc14013278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.2资格审查按“第四章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资格审查”的规定进行。</w:t>
      </w:r>
      <w:bookmarkEnd w:id="234"/>
    </w:p>
    <w:p w14:paraId="44D43B8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bookmarkStart w:id="235" w:name="_Toc140132788"/>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.3资格审查结束后，应及时对资格审查结果进行复核，对资格审查错误进行及时纠正并记录。</w:t>
      </w:r>
      <w:bookmarkEnd w:id="235"/>
    </w:p>
    <w:p w14:paraId="272F167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27.4</w:t>
      </w:r>
      <w:r>
        <w:rPr>
          <w:rFonts w:hint="eastAsia" w:ascii="宋体" w:hAnsi="宋体" w:eastAsia="宋体" w:cs="宋体"/>
          <w:color w:val="auto"/>
          <w:sz w:val="24"/>
          <w:szCs w:val="24"/>
          <w:highlight w:val="none"/>
        </w:rPr>
        <w:t>资格审查合格投标人不足3家的，不得评标。</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36" w:name="_Toc163492856"/>
      <w:bookmarkStart w:id="237" w:name="_Toc140132789"/>
      <w:bookmarkStart w:id="238" w:name="_Toc155185878"/>
      <w:bookmarkStart w:id="239" w:name="_Toc28643"/>
      <w:r>
        <w:rPr>
          <w:rFonts w:hint="eastAsia" w:ascii="宋体" w:hAnsi="宋体" w:eastAsia="宋体" w:cs="宋体"/>
          <w:b/>
          <w:bCs/>
          <w:color w:val="auto"/>
          <w:kern w:val="2"/>
          <w:sz w:val="24"/>
          <w:szCs w:val="24"/>
          <w:highlight w:val="none"/>
          <w:lang w:val="en-US" w:eastAsia="zh-CN" w:bidi="ar-SA"/>
        </w:rPr>
        <w:t>（七）评标</w:t>
      </w:r>
      <w:bookmarkEnd w:id="236"/>
      <w:bookmarkEnd w:id="237"/>
      <w:bookmarkEnd w:id="238"/>
      <w:bookmarkEnd w:id="239"/>
    </w:p>
    <w:p w14:paraId="7EBE7A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40" w:name="_Toc163492857"/>
      <w:bookmarkStart w:id="241" w:name="_Toc12158"/>
      <w:bookmarkStart w:id="242" w:name="_Toc140132790"/>
      <w:r>
        <w:rPr>
          <w:rFonts w:hint="eastAsia" w:ascii="宋体" w:hAnsi="宋体" w:eastAsia="宋体" w:cs="宋体"/>
          <w:b/>
          <w:bCs/>
          <w:color w:val="auto"/>
          <w:kern w:val="2"/>
          <w:sz w:val="24"/>
          <w:szCs w:val="24"/>
          <w:highlight w:val="none"/>
          <w:lang w:val="en-US" w:eastAsia="zh-CN" w:bidi="ar-SA"/>
        </w:rPr>
        <w:t>28.评标委员会</w:t>
      </w:r>
      <w:bookmarkEnd w:id="240"/>
      <w:bookmarkEnd w:id="241"/>
      <w:bookmarkEnd w:id="242"/>
    </w:p>
    <w:p w14:paraId="1EA2B13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评标由采购人依法组建的评标委员会负责。评标委员会由采购人代表和评审专家组成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成员人数应当为5</w:t>
      </w:r>
      <w:r>
        <w:rPr>
          <w:rFonts w:hint="eastAsia" w:ascii="宋体" w:hAnsi="宋体" w:eastAsia="宋体" w:cs="宋体"/>
          <w:color w:val="auto"/>
          <w:sz w:val="24"/>
          <w:szCs w:val="24"/>
          <w:highlight w:val="none"/>
        </w:rPr>
        <w:t>人以上单数，其中</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专家不</w:t>
      </w:r>
      <w:r>
        <w:rPr>
          <w:rFonts w:hint="eastAsia" w:ascii="宋体" w:hAnsi="宋体" w:eastAsia="宋体" w:cs="宋体"/>
          <w:color w:val="auto"/>
          <w:sz w:val="24"/>
          <w:szCs w:val="24"/>
          <w:highlight w:val="none"/>
          <w:lang w:val="en-US" w:eastAsia="zh-CN"/>
        </w:rPr>
        <w:t>得</w:t>
      </w:r>
      <w:r>
        <w:rPr>
          <w:rFonts w:hint="eastAsia" w:ascii="宋体" w:hAnsi="宋体" w:eastAsia="宋体" w:cs="宋体"/>
          <w:color w:val="auto"/>
          <w:sz w:val="24"/>
          <w:szCs w:val="24"/>
          <w:highlight w:val="none"/>
        </w:rPr>
        <w:t>少于</w:t>
      </w:r>
      <w:r>
        <w:rPr>
          <w:rFonts w:hint="eastAsia" w:ascii="宋体" w:hAnsi="宋体" w:eastAsia="宋体" w:cs="宋体"/>
          <w:color w:val="auto"/>
          <w:sz w:val="24"/>
          <w:szCs w:val="24"/>
          <w:highlight w:val="none"/>
          <w:lang w:val="en-US" w:eastAsia="zh-CN"/>
        </w:rPr>
        <w:t>成员总数的</w:t>
      </w:r>
      <w:r>
        <w:rPr>
          <w:rFonts w:hint="eastAsia" w:ascii="宋体" w:hAnsi="宋体" w:eastAsia="宋体" w:cs="宋体"/>
          <w:color w:val="auto"/>
          <w:sz w:val="24"/>
          <w:szCs w:val="24"/>
          <w:highlight w:val="none"/>
        </w:rPr>
        <w:t>三分之二。</w:t>
      </w:r>
      <w:r>
        <w:rPr>
          <w:rFonts w:hint="eastAsia" w:ascii="宋体" w:hAnsi="宋体" w:eastAsia="宋体" w:cs="宋体"/>
          <w:color w:val="auto"/>
          <w:sz w:val="24"/>
          <w:szCs w:val="24"/>
          <w:highlight w:val="none"/>
          <w:lang w:val="en-US" w:eastAsia="zh-CN"/>
        </w:rPr>
        <w:t>采购人或者采购代理机构应当从省级以上财政部门设立的政府采购评审专家库中，通过随机方式抽取评审专家。</w:t>
      </w:r>
    </w:p>
    <w:p w14:paraId="32DE780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28.2 采购项目符合下列情形之一的，评标委员会成员人数应当为7人以上单数：</w:t>
      </w:r>
    </w:p>
    <w:p w14:paraId="05C639B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（1）采购预算金额在1000万元以上；</w:t>
      </w:r>
    </w:p>
    <w:p w14:paraId="67DFE62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（2）技术复杂；</w:t>
      </w:r>
    </w:p>
    <w:p w14:paraId="6B9FB10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（3）社会影响较大。</w:t>
      </w:r>
    </w:p>
    <w:p w14:paraId="4590A67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28.4评标委员会成员名单在评标结果公告前应当保密。</w:t>
      </w:r>
    </w:p>
    <w:p w14:paraId="2F8842E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28.6无法及时补足评标委员会成员的，采购人或者采购代理机构应当停止评标活动，封存所有投标文件和开标、评标资料，依法重新组建评标委员会进行评标。原评标委员会所作出的评标意见无效。</w:t>
      </w:r>
    </w:p>
    <w:p w14:paraId="320EF10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评标委员会成员有下列情形之一的，应当回避：</w:t>
      </w:r>
    </w:p>
    <w:p w14:paraId="5366671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（1）参加采购活动前3年内与投标人存在劳动关系；</w:t>
      </w:r>
    </w:p>
    <w:p w14:paraId="4B33BA4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（2）参加采购活动前3年内担任投标人的董事、监事；</w:t>
      </w:r>
    </w:p>
    <w:p w14:paraId="271CA22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（3）参加采购活动前3年内是投标人的控股股东或实际控制人；</w:t>
      </w:r>
    </w:p>
    <w:p w14:paraId="0F31540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（4）与投标人的法定代表人或者负责人有夫妻、直系血亲、三代以内旁系血亲或者近姻亲关系；</w:t>
      </w:r>
    </w:p>
    <w:p w14:paraId="20FB9B7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（5）与投标人有其他可能影响采购活动公平、公正进行的关系。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43" w:name="_Toc140132791"/>
      <w:bookmarkStart w:id="244" w:name="_Toc4280"/>
      <w:bookmarkStart w:id="245" w:name="_Toc163492858"/>
      <w:r>
        <w:rPr>
          <w:rFonts w:hint="eastAsia" w:ascii="宋体" w:hAnsi="宋体" w:eastAsia="宋体" w:cs="宋体"/>
          <w:b/>
          <w:bCs/>
          <w:color w:val="auto"/>
          <w:kern w:val="2"/>
          <w:sz w:val="24"/>
          <w:szCs w:val="24"/>
          <w:highlight w:val="none"/>
          <w:lang w:val="en-US" w:eastAsia="zh-CN" w:bidi="ar-SA"/>
        </w:rPr>
        <w:t>29.评标</w:t>
      </w:r>
      <w:bookmarkEnd w:id="243"/>
      <w:bookmarkEnd w:id="244"/>
      <w:bookmarkEnd w:id="245"/>
    </w:p>
    <w:p w14:paraId="6D0B095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评标方法分为综合评分法和</w:t>
      </w:r>
      <w:r>
        <w:rPr>
          <w:rFonts w:hint="eastAsia" w:ascii="宋体" w:hAnsi="宋体" w:eastAsia="宋体" w:cs="宋体"/>
          <w:color w:val="auto"/>
          <w:sz w:val="24"/>
          <w:szCs w:val="24"/>
          <w:highlight w:val="none"/>
        </w:rPr>
        <w:t>最低评标价法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本项目评标</w:t>
      </w:r>
      <w:r>
        <w:rPr>
          <w:rFonts w:hint="eastAsia" w:ascii="宋体" w:hAnsi="宋体" w:eastAsia="宋体" w:cs="宋体"/>
          <w:color w:val="auto"/>
          <w:sz w:val="24"/>
          <w:szCs w:val="24"/>
          <w:highlight w:val="none"/>
          <w:lang w:val="en-US" w:eastAsia="zh-CN"/>
        </w:rPr>
        <w:t>方法详见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eastAsia="zh-CN"/>
        </w:rPr>
        <w:t>。</w:t>
      </w:r>
    </w:p>
    <w:p w14:paraId="2BC22B3E">
      <w:pPr>
        <w:pStyle w:val="3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9.1.1</w:t>
      </w:r>
      <w:r>
        <w:rPr>
          <w:rFonts w:hint="eastAsia" w:ascii="宋体" w:hAnsi="宋体" w:eastAsia="宋体" w:cs="宋体"/>
          <w:color w:val="auto"/>
          <w:sz w:val="24"/>
          <w:szCs w:val="24"/>
          <w:highlight w:val="none"/>
        </w:rPr>
        <w:t>综合评分法，是指投标文件满足招标文件全部实质性要求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且按照评审因素的量化指标评审得分最高的投标人为中标候选人的评标方法。</w:t>
      </w:r>
    </w:p>
    <w:p w14:paraId="0E3867E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29.1.2.</w:t>
      </w:r>
      <w:r>
        <w:rPr>
          <w:rFonts w:hint="eastAsia" w:ascii="宋体" w:hAnsi="宋体" w:eastAsia="宋体" w:cs="宋体"/>
          <w:color w:val="auto"/>
          <w:sz w:val="24"/>
          <w:szCs w:val="24"/>
          <w:highlight w:val="none"/>
        </w:rPr>
        <w:t>最低评标价法，是指投标文件满足招标文件全部实质性要求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且投标报价最低的投标人为中标候选人的评标方法。</w:t>
      </w:r>
    </w:p>
    <w:p w14:paraId="418DE4C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评标委员会按照“第五章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规定对投标文件进行评审。“第五章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法及标准”没有规定的方法、评审因素和标准，不作为评标依据。</w:t>
      </w:r>
    </w:p>
    <w:p w14:paraId="1A9007D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评标委员会按“投标人须知前附表”规定的中标候选人数量在评标报告中向采购人推荐中标候选人。</w:t>
      </w:r>
    </w:p>
    <w:p w14:paraId="1E63454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 在确定中标人之前，投标人试图在投标文件审查、澄清、比较和评标时对评标委员会、采购人和采购代理机构施加任何影响都可能导致其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2A3200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 电子招投标的应急措施</w:t>
      </w:r>
    </w:p>
    <w:p w14:paraId="52525CD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29.6.1电子开标、评标如出现下列原因，导致系统无法正常运行或无法正常评标时，应采取应急措施。</w:t>
      </w:r>
    </w:p>
    <w:p w14:paraId="3D99F56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（1）系统服务器发生故障，无法访问或无法使用系统；</w:t>
      </w:r>
    </w:p>
    <w:p w14:paraId="518B308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（2）系统的软件或数据库出现错误，不能进行正常操作；</w:t>
      </w:r>
    </w:p>
    <w:p w14:paraId="657BA7B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（3）系统发现有安全漏洞，有潜在的泄密危险；</w:t>
      </w:r>
    </w:p>
    <w:p w14:paraId="26B1539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（4）病毒发作或受到外来病毒的攻击；</w:t>
      </w:r>
    </w:p>
    <w:p w14:paraId="6BCA43D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（5）出现其他不可抗拒的客观原因造成开评标系统无法正常使用。</w:t>
      </w:r>
    </w:p>
    <w:p w14:paraId="2BA3CE0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 投标人瑕疵滞后发现的处理规则</w:t>
      </w:r>
    </w:p>
    <w:p w14:paraId="11E85EA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29.7.1无论基于何种原因，各项本应作</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46" w:name="_Toc157"/>
      <w:bookmarkStart w:id="247" w:name="_Toc163492859"/>
      <w:bookmarkStart w:id="248" w:name="_Toc155185879"/>
      <w:bookmarkStart w:id="249" w:name="_Toc140132792"/>
      <w:r>
        <w:rPr>
          <w:rFonts w:hint="eastAsia" w:ascii="宋体" w:hAnsi="宋体" w:eastAsia="宋体" w:cs="宋体"/>
          <w:b/>
          <w:bCs/>
          <w:color w:val="auto"/>
          <w:kern w:val="2"/>
          <w:sz w:val="24"/>
          <w:szCs w:val="24"/>
          <w:highlight w:val="none"/>
          <w:lang w:val="en-US" w:eastAsia="zh-CN" w:bidi="ar-SA"/>
        </w:rPr>
        <w:t>（八）中标</w:t>
      </w:r>
      <w:bookmarkEnd w:id="246"/>
      <w:bookmarkEnd w:id="247"/>
      <w:bookmarkEnd w:id="248"/>
      <w:bookmarkEnd w:id="249"/>
    </w:p>
    <w:p w14:paraId="37B6B9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50" w:name="_Toc140132793"/>
      <w:bookmarkStart w:id="251" w:name="_Toc163492860"/>
      <w:bookmarkStart w:id="252" w:name="_Toc23329"/>
      <w:r>
        <w:rPr>
          <w:rFonts w:hint="eastAsia" w:ascii="宋体" w:hAnsi="宋体" w:eastAsia="宋体" w:cs="宋体"/>
          <w:b/>
          <w:bCs/>
          <w:color w:val="auto"/>
          <w:kern w:val="2"/>
          <w:sz w:val="24"/>
          <w:szCs w:val="24"/>
          <w:highlight w:val="none"/>
          <w:lang w:val="en-US" w:eastAsia="zh-CN" w:bidi="ar-SA"/>
        </w:rPr>
        <w:t>30.确定中标人</w:t>
      </w:r>
      <w:bookmarkEnd w:id="250"/>
      <w:bookmarkEnd w:id="251"/>
      <w:bookmarkEnd w:id="252"/>
    </w:p>
    <w:p w14:paraId="23CC2B81">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897145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53" w:name="_Toc24110"/>
      <w:bookmarkStart w:id="254" w:name="_Toc140132794"/>
      <w:bookmarkStart w:id="255" w:name="_Toc163492861"/>
      <w:r>
        <w:rPr>
          <w:rFonts w:hint="eastAsia" w:ascii="宋体" w:hAnsi="宋体" w:eastAsia="宋体" w:cs="宋体"/>
          <w:b/>
          <w:bCs/>
          <w:color w:val="auto"/>
          <w:kern w:val="2"/>
          <w:sz w:val="24"/>
          <w:szCs w:val="24"/>
          <w:highlight w:val="none"/>
          <w:lang w:val="en-US" w:eastAsia="zh-CN" w:bidi="ar-SA"/>
        </w:rPr>
        <w:t>31.中标结果公告</w:t>
      </w:r>
      <w:bookmarkEnd w:id="253"/>
      <w:bookmarkEnd w:id="254"/>
      <w:bookmarkEnd w:id="255"/>
    </w:p>
    <w:p w14:paraId="5975ECA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采购人或</w:t>
      </w:r>
      <w:r>
        <w:rPr>
          <w:rFonts w:hint="eastAsia" w:ascii="宋体" w:hAnsi="宋体" w:eastAsia="宋体" w:cs="宋体"/>
          <w:color w:val="auto"/>
          <w:sz w:val="24"/>
          <w:szCs w:val="24"/>
          <w:highlight w:val="none"/>
        </w:rPr>
        <w:t>采购代理机构应当自中标人确定之日起2个工作日内，在</w:t>
      </w:r>
      <w:r>
        <w:rPr>
          <w:rFonts w:hint="eastAsia" w:ascii="宋体" w:hAnsi="宋体" w:eastAsia="宋体" w:cs="宋体"/>
          <w:color w:val="auto"/>
          <w:sz w:val="24"/>
          <w:szCs w:val="24"/>
          <w:highlight w:val="none"/>
          <w:lang w:val="en-US" w:eastAsia="zh-CN"/>
        </w:rPr>
        <w:t>发布招标公告的同一</w:t>
      </w:r>
      <w:r>
        <w:rPr>
          <w:rFonts w:hint="eastAsia" w:ascii="宋体" w:hAnsi="宋体" w:eastAsia="宋体" w:cs="宋体"/>
          <w:color w:val="auto"/>
          <w:sz w:val="24"/>
          <w:szCs w:val="24"/>
          <w:highlight w:val="none"/>
        </w:rPr>
        <w:t>媒体上发布中标结果公告，</w:t>
      </w:r>
      <w:r>
        <w:rPr>
          <w:rFonts w:hint="eastAsia" w:ascii="宋体" w:hAnsi="宋体" w:eastAsia="宋体" w:cs="宋体"/>
          <w:color w:val="auto"/>
          <w:sz w:val="24"/>
          <w:szCs w:val="24"/>
          <w:highlight w:val="none"/>
          <w:lang w:val="en-US" w:eastAsia="zh-CN"/>
        </w:rPr>
        <w:t>同时向中标人</w:t>
      </w:r>
      <w:r>
        <w:rPr>
          <w:rFonts w:hint="eastAsia" w:ascii="宋体" w:hAnsi="宋体" w:eastAsia="宋体" w:cs="宋体"/>
          <w:color w:val="auto"/>
          <w:sz w:val="24"/>
          <w:szCs w:val="24"/>
          <w:highlight w:val="none"/>
        </w:rPr>
        <w:t>发出中标通知书</w:t>
      </w:r>
      <w:r>
        <w:rPr>
          <w:rFonts w:hint="eastAsia" w:ascii="宋体" w:hAnsi="宋体" w:eastAsia="宋体" w:cs="宋体"/>
          <w:color w:val="auto"/>
          <w:sz w:val="24"/>
          <w:szCs w:val="24"/>
          <w:highlight w:val="none"/>
          <w:lang w:eastAsia="zh-CN"/>
        </w:rPr>
        <w:t>。招标文件随中标结果同时公告，</w:t>
      </w:r>
      <w:r>
        <w:rPr>
          <w:rFonts w:hint="eastAsia" w:ascii="宋体" w:hAnsi="宋体" w:eastAsia="宋体" w:cs="宋体"/>
          <w:color w:val="auto"/>
          <w:sz w:val="24"/>
          <w:szCs w:val="24"/>
          <w:highlight w:val="none"/>
        </w:rPr>
        <w:t>中标结果公告期限为1个工作日。</w:t>
      </w:r>
    </w:p>
    <w:p w14:paraId="5352A1F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中标供应商为中小企业</w:t>
      </w:r>
      <w:r>
        <w:rPr>
          <w:rFonts w:hint="eastAsia" w:ascii="宋体" w:hAnsi="宋体" w:eastAsia="宋体" w:cs="宋体"/>
          <w:bCs/>
          <w:color w:val="auto"/>
          <w:sz w:val="24"/>
          <w:szCs w:val="24"/>
          <w:highlight w:val="none"/>
          <w:lang w:val="en-US" w:eastAsia="zh-CN"/>
        </w:rPr>
        <w:t>享受中小企业扶持政策的</w:t>
      </w:r>
      <w:r>
        <w:rPr>
          <w:rFonts w:hint="eastAsia" w:ascii="宋体" w:hAnsi="宋体" w:eastAsia="宋体" w:cs="宋体"/>
          <w:bCs/>
          <w:color w:val="auto"/>
          <w:sz w:val="24"/>
          <w:szCs w:val="24"/>
          <w:highlight w:val="none"/>
          <w:lang w:eastAsia="zh-CN"/>
        </w:rPr>
        <w:t>，其“中小企业声明函”随中标结果同时公告。中标供应商为残疾人福利性单位的，其“残疾人福利性单位声明函”随中标结果同时公告。</w:t>
      </w:r>
    </w:p>
    <w:p w14:paraId="3302A7D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31.3</w:t>
      </w:r>
      <w:r>
        <w:rPr>
          <w:rFonts w:hint="eastAsia" w:ascii="宋体" w:hAnsi="宋体" w:eastAsia="宋体" w:cs="宋体"/>
          <w:color w:val="auto"/>
          <w:sz w:val="24"/>
          <w:szCs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24E8EB4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56" w:name="_Toc163492862"/>
      <w:bookmarkStart w:id="257" w:name="_Toc10669"/>
      <w:bookmarkStart w:id="258" w:name="_Toc140132795"/>
      <w:r>
        <w:rPr>
          <w:rFonts w:hint="eastAsia" w:ascii="宋体" w:hAnsi="宋体" w:eastAsia="宋体" w:cs="宋体"/>
          <w:b/>
          <w:bCs/>
          <w:color w:val="auto"/>
          <w:kern w:val="2"/>
          <w:sz w:val="24"/>
          <w:szCs w:val="24"/>
          <w:highlight w:val="none"/>
          <w:lang w:val="en-US" w:eastAsia="zh-CN" w:bidi="ar-SA"/>
        </w:rPr>
        <w:t>32.中标通知</w:t>
      </w:r>
      <w:bookmarkEnd w:id="256"/>
      <w:bookmarkEnd w:id="257"/>
      <w:bookmarkEnd w:id="258"/>
    </w:p>
    <w:p w14:paraId="41D33E1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color w:val="auto"/>
          <w:sz w:val="24"/>
          <w:szCs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32.2中标通知书对采购人和中标供应商均具有法律效力。中标通知书发出后，采购人改变中标结果的，或者中标供应商放弃中标项目的，应当依法承担法律责任。</w:t>
      </w:r>
    </w:p>
    <w:p w14:paraId="004C264E">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59" w:name="_Toc25579"/>
      <w:bookmarkStart w:id="260" w:name="_Toc163492863"/>
      <w:r>
        <w:rPr>
          <w:rFonts w:hint="eastAsia" w:ascii="宋体" w:hAnsi="宋体" w:eastAsia="宋体" w:cs="宋体"/>
          <w:b/>
          <w:bCs/>
          <w:color w:val="auto"/>
          <w:kern w:val="2"/>
          <w:sz w:val="24"/>
          <w:szCs w:val="24"/>
          <w:highlight w:val="none"/>
          <w:lang w:val="en-US" w:eastAsia="zh-CN" w:bidi="ar-SA"/>
        </w:rPr>
        <w:t>（九）签订</w:t>
      </w:r>
      <w:bookmarkStart w:id="261" w:name="_Toc155185880"/>
      <w:bookmarkStart w:id="262" w:name="_Toc140132796"/>
      <w:r>
        <w:rPr>
          <w:rFonts w:hint="eastAsia" w:ascii="宋体" w:hAnsi="宋体" w:eastAsia="宋体" w:cs="宋体"/>
          <w:b/>
          <w:bCs/>
          <w:color w:val="auto"/>
          <w:kern w:val="2"/>
          <w:sz w:val="24"/>
          <w:szCs w:val="24"/>
          <w:highlight w:val="none"/>
          <w:lang w:val="en-US" w:eastAsia="zh-CN" w:bidi="ar-SA"/>
        </w:rPr>
        <w:t>合同</w:t>
      </w:r>
      <w:bookmarkEnd w:id="259"/>
      <w:bookmarkEnd w:id="260"/>
      <w:bookmarkEnd w:id="261"/>
      <w:bookmarkEnd w:id="262"/>
    </w:p>
    <w:p w14:paraId="547E6B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63" w:name="_Toc163492864"/>
      <w:bookmarkStart w:id="264" w:name="_Toc20208"/>
      <w:bookmarkStart w:id="265" w:name="_Toc140132797"/>
      <w:r>
        <w:rPr>
          <w:rFonts w:hint="eastAsia" w:ascii="宋体" w:hAnsi="宋体" w:eastAsia="宋体" w:cs="宋体"/>
          <w:b/>
          <w:bCs/>
          <w:color w:val="auto"/>
          <w:kern w:val="2"/>
          <w:sz w:val="24"/>
          <w:szCs w:val="24"/>
          <w:highlight w:val="none"/>
          <w:lang w:val="en-US" w:eastAsia="zh-CN" w:bidi="ar-SA"/>
        </w:rPr>
        <w:t>33.履约保证金</w:t>
      </w:r>
      <w:bookmarkEnd w:id="263"/>
      <w:bookmarkEnd w:id="264"/>
      <w:bookmarkEnd w:id="265"/>
    </w:p>
    <w:p w14:paraId="77717F0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.1在签订合同前，中标人应按“投标人须知前附表”规定的金额、担保形式和采购人认可的履约担保格式向采购人提交履约保证金。</w:t>
      </w:r>
    </w:p>
    <w:p w14:paraId="73BC7DA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.2中标人不能按本章第3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.1项要求提交履约担保的，视为放弃中标，给采购人造成损失的，中标人还应当承担民事责任。</w:t>
      </w:r>
    </w:p>
    <w:p w14:paraId="4B3DD6F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66" w:name="_Toc140132798"/>
      <w:bookmarkStart w:id="267" w:name="_Toc12503"/>
      <w:bookmarkStart w:id="268" w:name="_Toc163492865"/>
      <w:r>
        <w:rPr>
          <w:rFonts w:hint="eastAsia" w:ascii="宋体" w:hAnsi="宋体" w:eastAsia="宋体" w:cs="宋体"/>
          <w:b/>
          <w:bCs/>
          <w:color w:val="auto"/>
          <w:kern w:val="2"/>
          <w:sz w:val="24"/>
          <w:szCs w:val="24"/>
          <w:highlight w:val="none"/>
          <w:lang w:val="en-US" w:eastAsia="zh-CN" w:bidi="ar-SA"/>
        </w:rPr>
        <w:t>34.签订合同</w:t>
      </w:r>
      <w:bookmarkEnd w:id="266"/>
      <w:bookmarkEnd w:id="267"/>
      <w:bookmarkEnd w:id="268"/>
    </w:p>
    <w:p w14:paraId="77507EB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.1 采购人和中标人应当自中标通知书发出之日起</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72CF4FD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采购人和中标人不得向对方提出任何不合理的要求，作为签订合同的条件，双方不得私下订立背离合同实质性内容的协议。</w:t>
      </w:r>
    </w:p>
    <w:p w14:paraId="5551DDA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34.4 联合体中标的，联合体各方应当共同与采购人签订合同，就采购合同约定的事项向采购人承担连带责任。</w:t>
      </w:r>
    </w:p>
    <w:p w14:paraId="2BA187E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。中标人就采购项目和分包项目向采购人负责，分包供应商就分包项目承担责任。</w:t>
      </w:r>
      <w:r>
        <w:rPr>
          <w:rFonts w:hint="eastAsia" w:ascii="宋体" w:hAnsi="宋体" w:eastAsia="宋体" w:cs="宋体"/>
          <w:b/>
          <w:bCs/>
          <w:color w:val="auto"/>
          <w:sz w:val="24"/>
          <w:szCs w:val="24"/>
          <w:highlight w:val="none"/>
          <w:lang w:val="en-US" w:eastAsia="zh-CN"/>
        </w:rPr>
        <w:t>政府采购合同不能转包。</w:t>
      </w:r>
    </w:p>
    <w:p w14:paraId="13D12B8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采购合同履行中，采购人需追加与合同标的相同的</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的，在不改变合同其他条款的前提下，可以与中标人协商签订补充合同，但所有补充合同的采购金额不得超过原合同采购金额的百分之十。</w:t>
      </w:r>
    </w:p>
    <w:p w14:paraId="259D0E8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34.7 采购人应于签订合同之日起2个工作日内在政采云平台备案公示。</w:t>
      </w:r>
    </w:p>
    <w:p w14:paraId="12490EB6">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69" w:name="_Toc163492866"/>
      <w:bookmarkStart w:id="270" w:name="_Toc4530"/>
      <w:bookmarkStart w:id="271" w:name="_Toc140132799"/>
      <w:bookmarkStart w:id="272" w:name="_Toc155185881"/>
      <w:r>
        <w:rPr>
          <w:rFonts w:hint="eastAsia" w:ascii="宋体" w:hAnsi="宋体" w:eastAsia="宋体" w:cs="宋体"/>
          <w:b/>
          <w:bCs/>
          <w:color w:val="auto"/>
          <w:kern w:val="2"/>
          <w:sz w:val="24"/>
          <w:szCs w:val="24"/>
          <w:highlight w:val="none"/>
          <w:lang w:val="en-US" w:eastAsia="zh-CN" w:bidi="ar-SA"/>
        </w:rPr>
        <w:t>（十）质疑和投诉</w:t>
      </w:r>
      <w:bookmarkEnd w:id="269"/>
      <w:bookmarkEnd w:id="270"/>
      <w:bookmarkEnd w:id="271"/>
      <w:bookmarkEnd w:id="272"/>
    </w:p>
    <w:p w14:paraId="23BE6A9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73" w:name="_Toc140132800"/>
      <w:bookmarkStart w:id="274" w:name="_Toc163492867"/>
      <w:bookmarkStart w:id="275" w:name="_Toc19743"/>
      <w:r>
        <w:rPr>
          <w:rFonts w:hint="eastAsia" w:ascii="宋体" w:hAnsi="宋体" w:eastAsia="宋体" w:cs="宋体"/>
          <w:b/>
          <w:bCs/>
          <w:color w:val="auto"/>
          <w:kern w:val="2"/>
          <w:sz w:val="24"/>
          <w:szCs w:val="24"/>
          <w:highlight w:val="none"/>
          <w:lang w:val="en-US" w:eastAsia="zh-CN" w:bidi="ar-SA"/>
        </w:rPr>
        <w:t>35.质疑</w:t>
      </w:r>
      <w:bookmarkEnd w:id="273"/>
      <w:bookmarkEnd w:id="274"/>
      <w:bookmarkEnd w:id="275"/>
    </w:p>
    <w:p w14:paraId="097AA16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详见“投标人须知前附表”</w:t>
      </w:r>
      <w:r>
        <w:rPr>
          <w:rFonts w:hint="eastAsia" w:ascii="宋体" w:hAnsi="宋体" w:eastAsia="宋体" w:cs="宋体"/>
          <w:color w:val="auto"/>
          <w:sz w:val="24"/>
          <w:szCs w:val="24"/>
          <w:highlight w:val="none"/>
        </w:rPr>
        <w:t>。供应商在法定质疑期内一次性提出针对同一采购程序环节的质疑。</w:t>
      </w:r>
    </w:p>
    <w:p w14:paraId="492A54F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.2提出质疑的供应商（以下简称质疑供应商）应当是参与所质疑项目采购活动的供应商。</w:t>
      </w:r>
    </w:p>
    <w:p w14:paraId="6503DC7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35.3</w:t>
      </w:r>
      <w:r>
        <w:rPr>
          <w:rFonts w:hint="eastAsia" w:ascii="宋体" w:hAnsi="宋体" w:eastAsia="宋体" w:cs="宋体"/>
          <w:color w:val="auto"/>
          <w:sz w:val="24"/>
          <w:szCs w:val="24"/>
          <w:highlight w:val="none"/>
        </w:rPr>
        <w:t>潜在供应商已依法获取其可质疑的采购文件的，可以对该文件提出质疑。对采购文件提出质疑的，应当在获取采购文件或者采购文件公告期限届满之日起7个工作日内提出。</w:t>
      </w:r>
    </w:p>
    <w:p w14:paraId="58321ED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35.4</w:t>
      </w:r>
      <w:r>
        <w:rPr>
          <w:rFonts w:hint="eastAsia" w:ascii="宋体" w:hAnsi="宋体" w:eastAsia="宋体" w:cs="宋体"/>
          <w:color w:val="auto"/>
          <w:sz w:val="24"/>
          <w:szCs w:val="24"/>
          <w:highlight w:val="none"/>
        </w:rPr>
        <w:t>供应商提出质疑应当提交质疑函和必要的证明材料。质疑函应当包括下列内容：</w:t>
      </w:r>
    </w:p>
    <w:p w14:paraId="682A84D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）供应商的姓名或者名称、地址、邮编、联系人及联系电话；</w:t>
      </w:r>
    </w:p>
    <w:p w14:paraId="388DB77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rPr>
        <w:t>；</w:t>
      </w:r>
    </w:p>
    <w:p w14:paraId="7C9D471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）具体、明确的质疑事项和与质疑事项相关的请求；</w:t>
      </w:r>
    </w:p>
    <w:p w14:paraId="3C52874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3EEC5BF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）必要的法律依据；</w:t>
      </w:r>
    </w:p>
    <w:p w14:paraId="2E14DE4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）提出质疑的日期。</w:t>
      </w:r>
    </w:p>
    <w:p w14:paraId="553B627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供应商为自然人的，应当由本人签字；供应商为法人或者其他组织的，应当由法定代表人、主要负责人，或者其授权代表签字或者盖章，并加盖公章。</w:t>
      </w:r>
    </w:p>
    <w:p w14:paraId="5BBD16A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.5质疑函不符合上述要求的，采购人或代理机构应书面告知具体事项，质疑人应当按要求进行修改或补充，并在质疑有效期限内提交。</w:t>
      </w:r>
    </w:p>
    <w:p w14:paraId="4A4B924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6</w:t>
      </w:r>
      <w:r>
        <w:rPr>
          <w:rFonts w:hint="eastAsia" w:ascii="宋体" w:hAnsi="宋体" w:eastAsia="宋体" w:cs="宋体"/>
          <w:snapToGrid w:val="0"/>
          <w:color w:val="auto"/>
          <w:sz w:val="24"/>
          <w:szCs w:val="24"/>
          <w:highlight w:val="none"/>
        </w:rPr>
        <w:t>投标人进行虚假和恶意</w:t>
      </w:r>
      <w:r>
        <w:rPr>
          <w:rFonts w:hint="eastAsia" w:ascii="宋体" w:hAnsi="宋体" w:eastAsia="宋体" w:cs="宋体"/>
          <w:snapToGrid w:val="0"/>
          <w:color w:val="auto"/>
          <w:sz w:val="24"/>
          <w:szCs w:val="24"/>
          <w:highlight w:val="none"/>
          <w:lang w:val="en-US" w:eastAsia="zh-CN"/>
        </w:rPr>
        <w:t>质疑投诉</w:t>
      </w:r>
      <w:r>
        <w:rPr>
          <w:rFonts w:hint="eastAsia" w:ascii="宋体" w:hAnsi="宋体" w:eastAsia="宋体" w:cs="宋体"/>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184C71D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35.7</w:t>
      </w:r>
      <w:r>
        <w:rPr>
          <w:rFonts w:hint="eastAsia" w:ascii="宋体" w:hAnsi="宋体" w:eastAsia="宋体" w:cs="宋体"/>
          <w:color w:val="auto"/>
          <w:sz w:val="24"/>
          <w:szCs w:val="24"/>
          <w:highlight w:val="none"/>
        </w:rPr>
        <w:t>质疑函</w:t>
      </w:r>
      <w:r>
        <w:rPr>
          <w:rFonts w:hint="eastAsia" w:ascii="宋体" w:hAnsi="宋体" w:eastAsia="宋体" w:cs="宋体"/>
          <w:color w:val="auto"/>
          <w:sz w:val="24"/>
          <w:szCs w:val="24"/>
          <w:highlight w:val="none"/>
          <w:lang w:val="en-US" w:eastAsia="zh-CN"/>
        </w:rPr>
        <w:t>应当使用中文，并采用财政部门制定的范本。</w:t>
      </w:r>
    </w:p>
    <w:p w14:paraId="6E7964C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76" w:name="_Toc140132801"/>
      <w:bookmarkStart w:id="277" w:name="_Toc27598"/>
      <w:bookmarkStart w:id="278" w:name="_Toc163492868"/>
      <w:r>
        <w:rPr>
          <w:rFonts w:hint="eastAsia" w:ascii="宋体" w:hAnsi="宋体" w:eastAsia="宋体" w:cs="宋体"/>
          <w:b/>
          <w:bCs/>
          <w:color w:val="auto"/>
          <w:kern w:val="2"/>
          <w:sz w:val="24"/>
          <w:szCs w:val="24"/>
          <w:highlight w:val="none"/>
          <w:lang w:val="en-US" w:eastAsia="zh-CN" w:bidi="ar-SA"/>
        </w:rPr>
        <w:t>36.质疑答复</w:t>
      </w:r>
      <w:bookmarkEnd w:id="276"/>
      <w:bookmarkEnd w:id="277"/>
      <w:bookmarkEnd w:id="278"/>
    </w:p>
    <w:p w14:paraId="43D7F91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bookmarkStart w:id="279" w:name="_Toc163492869"/>
      <w:bookmarkStart w:id="280" w:name="_Toc140132802"/>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4E9D6E2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36.2供应商对评审过程、中标结果提出质疑的，采购人、采购代理机构可以组织原评标委员会协助答复质疑。</w:t>
      </w:r>
    </w:p>
    <w:p w14:paraId="0056DA5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质疑答复应当包括下列内容：</w:t>
      </w:r>
    </w:p>
    <w:p w14:paraId="34339C8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）质疑供应商的姓名或者名称；</w:t>
      </w:r>
    </w:p>
    <w:p w14:paraId="2F25172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）收到质疑函的日期、质疑项目名称及</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zh-CN" w:eastAsia="zh-CN"/>
        </w:rPr>
        <w:t>编号</w:t>
      </w:r>
      <w:r>
        <w:rPr>
          <w:rFonts w:hint="eastAsia"/>
          <w:color w:val="auto"/>
          <w:sz w:val="24"/>
          <w:highlight w:val="none"/>
          <w:lang w:val="en-US" w:eastAsia="zh-CN"/>
        </w:rPr>
        <w:t>/包号</w:t>
      </w:r>
      <w:r>
        <w:rPr>
          <w:rFonts w:hint="eastAsia" w:ascii="宋体" w:hAnsi="宋体" w:eastAsia="宋体" w:cs="宋体"/>
          <w:color w:val="auto"/>
          <w:sz w:val="24"/>
          <w:szCs w:val="24"/>
          <w:highlight w:val="none"/>
          <w:lang w:val="zh-CN" w:eastAsia="zh-CN"/>
        </w:rPr>
        <w:t>；</w:t>
      </w:r>
    </w:p>
    <w:p w14:paraId="1365ED7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）质疑事项、质疑答复的具体内容、事实依据和法律依据；</w:t>
      </w:r>
    </w:p>
    <w:p w14:paraId="3C71AFF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）告知质疑供应商依法投诉的权利；</w:t>
      </w:r>
    </w:p>
    <w:p w14:paraId="77F64A3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）质疑答复人名称；</w:t>
      </w:r>
    </w:p>
    <w:p w14:paraId="52743A2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）答复质疑的日期。</w:t>
      </w:r>
    </w:p>
    <w:p w14:paraId="56A5E1E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质疑答复的内容不得涉及商业秘密。</w:t>
      </w:r>
    </w:p>
    <w:p w14:paraId="631FD1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81" w:name="_Toc7181"/>
      <w:r>
        <w:rPr>
          <w:rFonts w:hint="eastAsia" w:ascii="宋体" w:hAnsi="宋体" w:eastAsia="宋体" w:cs="宋体"/>
          <w:b/>
          <w:bCs/>
          <w:color w:val="auto"/>
          <w:kern w:val="2"/>
          <w:sz w:val="24"/>
          <w:szCs w:val="24"/>
          <w:highlight w:val="none"/>
          <w:lang w:val="en-US" w:eastAsia="zh-CN" w:bidi="ar-SA"/>
        </w:rPr>
        <w:t>37.投诉</w:t>
      </w:r>
      <w:bookmarkEnd w:id="279"/>
      <w:bookmarkEnd w:id="280"/>
      <w:bookmarkEnd w:id="281"/>
    </w:p>
    <w:p w14:paraId="34C5EAA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37.1</w:t>
      </w:r>
      <w:r>
        <w:rPr>
          <w:rFonts w:hint="eastAsia" w:ascii="宋体" w:hAnsi="宋体" w:eastAsia="宋体" w:cs="宋体"/>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auto"/>
          <w:sz w:val="24"/>
          <w:szCs w:val="24"/>
          <w:highlight w:val="none"/>
          <w:lang w:val="en-US" w:eastAsia="zh-CN"/>
        </w:rPr>
        <w:t>同级政府采购监督管理部门</w:t>
      </w:r>
      <w:r>
        <w:rPr>
          <w:rFonts w:hint="eastAsia" w:ascii="宋体" w:hAnsi="宋体" w:eastAsia="宋体" w:cs="宋体"/>
          <w:color w:val="auto"/>
          <w:sz w:val="24"/>
          <w:szCs w:val="24"/>
          <w:highlight w:val="none"/>
        </w:rPr>
        <w:t>提起投诉。</w:t>
      </w:r>
    </w:p>
    <w:p w14:paraId="7AE3C0F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37.2</w:t>
      </w:r>
      <w:r>
        <w:rPr>
          <w:rFonts w:hint="eastAsia" w:ascii="宋体" w:hAnsi="宋体" w:eastAsia="宋体" w:cs="宋体"/>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）投诉人和被投诉人的姓名或者名称、通讯地址、邮编、联系人及联系电话；</w:t>
      </w:r>
    </w:p>
    <w:p w14:paraId="1A65A10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）质疑和质疑答复情况说明及相关证明材料；</w:t>
      </w:r>
    </w:p>
    <w:p w14:paraId="675A6D9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）具体、明确的投诉事项和与投诉事项相关的投诉请求；</w:t>
      </w:r>
    </w:p>
    <w:p w14:paraId="4A0C159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4CFD3E0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）法律依据；</w:t>
      </w:r>
    </w:p>
    <w:p w14:paraId="35FA6A4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）提起投诉的日期。</w:t>
      </w:r>
    </w:p>
    <w:p w14:paraId="4FC7C3A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37.3</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质疑、</w:t>
      </w:r>
      <w:r>
        <w:rPr>
          <w:rFonts w:hint="eastAsia" w:ascii="宋体" w:hAnsi="宋体" w:eastAsia="宋体" w:cs="宋体"/>
          <w:color w:val="auto"/>
          <w:sz w:val="24"/>
          <w:szCs w:val="24"/>
          <w:highlight w:val="none"/>
        </w:rPr>
        <w:t>投诉</w:t>
      </w:r>
      <w:r>
        <w:rPr>
          <w:rFonts w:hint="eastAsia" w:ascii="宋体" w:hAnsi="宋体" w:eastAsia="宋体" w:cs="宋体"/>
          <w:color w:val="auto"/>
          <w:sz w:val="24"/>
          <w:szCs w:val="24"/>
          <w:highlight w:val="none"/>
          <w:lang w:val="en-US" w:eastAsia="zh-CN"/>
        </w:rPr>
        <w:t>应当有明确的请求和必要的证明材料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供应商投诉的事项不得超出</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质疑事项的范围，但基于质疑答复内容提出的投诉事项除外</w:t>
      </w:r>
      <w:r>
        <w:rPr>
          <w:rFonts w:hint="eastAsia" w:ascii="宋体" w:hAnsi="宋体" w:eastAsia="宋体" w:cs="宋体"/>
          <w:bCs/>
          <w:color w:val="auto"/>
          <w:sz w:val="24"/>
          <w:szCs w:val="24"/>
          <w:highlight w:val="none"/>
        </w:rPr>
        <w:t>。</w:t>
      </w:r>
    </w:p>
    <w:p w14:paraId="0C7738C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sz w:val="24"/>
          <w:szCs w:val="24"/>
          <w:highlight w:val="none"/>
          <w:lang w:val="en-US" w:eastAsia="zh-CN"/>
        </w:rPr>
        <w:t>37.4</w:t>
      </w:r>
      <w:r>
        <w:rPr>
          <w:rFonts w:hint="eastAsia" w:ascii="宋体" w:hAnsi="宋体" w:eastAsia="宋体" w:cs="宋体"/>
          <w:color w:val="auto"/>
          <w:sz w:val="24"/>
          <w:szCs w:val="24"/>
          <w:highlight w:val="none"/>
          <w:lang w:val="en-US" w:eastAsia="zh-CN"/>
        </w:rPr>
        <w:t>投诉书应当使用中文，并采用财政部门制定的范本。</w:t>
      </w:r>
    </w:p>
    <w:p w14:paraId="076E00EB">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82" w:name="_Toc163492870"/>
      <w:bookmarkStart w:id="283" w:name="_Toc155185882"/>
      <w:bookmarkStart w:id="284" w:name="_Toc140132803"/>
      <w:bookmarkStart w:id="285" w:name="_Toc10455"/>
      <w:r>
        <w:rPr>
          <w:rFonts w:hint="eastAsia" w:ascii="宋体" w:hAnsi="宋体" w:eastAsia="宋体" w:cs="宋体"/>
          <w:b/>
          <w:bCs/>
          <w:color w:val="auto"/>
          <w:kern w:val="2"/>
          <w:sz w:val="24"/>
          <w:szCs w:val="24"/>
          <w:highlight w:val="none"/>
          <w:lang w:val="en-US" w:eastAsia="zh-CN" w:bidi="ar-SA"/>
        </w:rPr>
        <w:t>（十一）采购代理服务费</w:t>
      </w:r>
      <w:bookmarkEnd w:id="282"/>
      <w:bookmarkEnd w:id="283"/>
      <w:bookmarkEnd w:id="284"/>
      <w:bookmarkEnd w:id="285"/>
    </w:p>
    <w:p w14:paraId="3EF5B7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86" w:name="_Toc163492871"/>
      <w:bookmarkStart w:id="287" w:name="_Toc8855"/>
      <w:bookmarkStart w:id="288" w:name="_Toc140132804"/>
      <w:r>
        <w:rPr>
          <w:rFonts w:hint="eastAsia" w:ascii="宋体" w:hAnsi="宋体" w:eastAsia="宋体" w:cs="宋体"/>
          <w:b/>
          <w:bCs/>
          <w:color w:val="auto"/>
          <w:kern w:val="2"/>
          <w:sz w:val="24"/>
          <w:szCs w:val="24"/>
          <w:highlight w:val="none"/>
          <w:lang w:val="en-US" w:eastAsia="zh-CN" w:bidi="ar-SA"/>
        </w:rPr>
        <w:t>38.收取方式和标准</w:t>
      </w:r>
      <w:bookmarkEnd w:id="286"/>
      <w:bookmarkEnd w:id="287"/>
      <w:bookmarkEnd w:id="288"/>
    </w:p>
    <w:p w14:paraId="0FDD9E2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8</w:t>
      </w:r>
      <w:r>
        <w:rPr>
          <w:rFonts w:hint="eastAsia" w:ascii="宋体" w:hAnsi="宋体" w:eastAsia="宋体" w:cs="宋体"/>
          <w:color w:val="auto"/>
          <w:sz w:val="24"/>
          <w:szCs w:val="24"/>
          <w:highlight w:val="none"/>
        </w:rPr>
        <w:t>.1采购代理机构按“投标人须知前附表”规定的方式和标准收取采购代理服务费。</w:t>
      </w:r>
    </w:p>
    <w:p w14:paraId="3ED844E1">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89" w:name="_Toc140132805"/>
      <w:bookmarkStart w:id="290" w:name="_Toc163492872"/>
      <w:bookmarkStart w:id="291" w:name="_Toc155185883"/>
      <w:bookmarkStart w:id="292" w:name="_Toc10992"/>
      <w:r>
        <w:rPr>
          <w:rFonts w:hint="eastAsia" w:ascii="宋体" w:hAnsi="宋体" w:eastAsia="宋体" w:cs="宋体"/>
          <w:b/>
          <w:bCs/>
          <w:color w:val="auto"/>
          <w:kern w:val="2"/>
          <w:sz w:val="24"/>
          <w:szCs w:val="24"/>
          <w:highlight w:val="none"/>
          <w:lang w:val="en-US" w:eastAsia="zh-CN" w:bidi="ar-SA"/>
        </w:rPr>
        <w:t>（十二）无效投标和废标</w:t>
      </w:r>
      <w:bookmarkEnd w:id="289"/>
      <w:bookmarkEnd w:id="290"/>
      <w:bookmarkEnd w:id="291"/>
      <w:bookmarkEnd w:id="292"/>
    </w:p>
    <w:p w14:paraId="2586923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93" w:name="_Toc28487"/>
      <w:bookmarkStart w:id="294" w:name="_Toc140132806"/>
      <w:bookmarkStart w:id="295" w:name="_Toc163492873"/>
      <w:r>
        <w:rPr>
          <w:rFonts w:hint="eastAsia" w:ascii="宋体" w:hAnsi="宋体" w:eastAsia="宋体" w:cs="宋体"/>
          <w:b/>
          <w:bCs/>
          <w:color w:val="auto"/>
          <w:kern w:val="2"/>
          <w:sz w:val="24"/>
          <w:szCs w:val="24"/>
          <w:highlight w:val="none"/>
          <w:lang w:val="en-US" w:eastAsia="zh-CN" w:bidi="ar-SA"/>
        </w:rPr>
        <w:t>39.无效投标</w:t>
      </w:r>
      <w:bookmarkEnd w:id="293"/>
      <w:bookmarkEnd w:id="294"/>
      <w:bookmarkEnd w:id="295"/>
    </w:p>
    <w:p w14:paraId="0EBD130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rPr>
        <w:t>.1投标文件存在“第四章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规定的投标无效情形的，其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7306E4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96" w:name="_Toc3980"/>
      <w:bookmarkStart w:id="297" w:name="_Toc163492874"/>
      <w:bookmarkStart w:id="298" w:name="_Toc140132807"/>
      <w:r>
        <w:rPr>
          <w:rFonts w:hint="eastAsia" w:ascii="宋体" w:hAnsi="宋体" w:eastAsia="宋体" w:cs="宋体"/>
          <w:b/>
          <w:bCs/>
          <w:color w:val="auto"/>
          <w:kern w:val="2"/>
          <w:sz w:val="24"/>
          <w:szCs w:val="24"/>
          <w:highlight w:val="none"/>
          <w:lang w:val="en-US" w:eastAsia="zh-CN" w:bidi="ar-SA"/>
        </w:rPr>
        <w:t>40.废标</w:t>
      </w:r>
      <w:bookmarkEnd w:id="296"/>
      <w:bookmarkEnd w:id="297"/>
      <w:bookmarkEnd w:id="298"/>
    </w:p>
    <w:p w14:paraId="7B56974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.1在招标采购中出现有“第五章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规定的废标情形的，应予以</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lang w:eastAsia="zh-CN"/>
        </w:rPr>
        <w:t>。</w:t>
      </w:r>
    </w:p>
    <w:p w14:paraId="0C4DEC92">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299" w:name="_Toc163492875"/>
      <w:bookmarkStart w:id="300" w:name="_Toc140132766"/>
      <w:bookmarkStart w:id="301" w:name="_Toc5781"/>
      <w:bookmarkStart w:id="302" w:name="_Toc155185884"/>
      <w:bookmarkStart w:id="303" w:name="_Toc140132808"/>
      <w:r>
        <w:rPr>
          <w:rFonts w:hint="eastAsia" w:ascii="宋体" w:hAnsi="宋体" w:eastAsia="宋体" w:cs="宋体"/>
          <w:b/>
          <w:bCs/>
          <w:color w:val="auto"/>
          <w:kern w:val="2"/>
          <w:sz w:val="24"/>
          <w:szCs w:val="24"/>
          <w:highlight w:val="none"/>
          <w:lang w:val="en-US" w:eastAsia="zh-CN" w:bidi="ar-SA"/>
        </w:rPr>
        <w:t>（十三）落实政府采购政策</w:t>
      </w:r>
      <w:bookmarkEnd w:id="299"/>
      <w:bookmarkEnd w:id="300"/>
      <w:r>
        <w:rPr>
          <w:rFonts w:hint="eastAsia" w:ascii="宋体" w:hAnsi="宋体" w:eastAsia="宋体" w:cs="宋体"/>
          <w:b/>
          <w:bCs/>
          <w:color w:val="auto"/>
          <w:kern w:val="2"/>
          <w:sz w:val="24"/>
          <w:szCs w:val="24"/>
          <w:highlight w:val="none"/>
          <w:lang w:val="en-US" w:eastAsia="zh-CN" w:bidi="ar-SA"/>
        </w:rPr>
        <w:t>（包括但不限于下列具体政策要求）</w:t>
      </w:r>
      <w:bookmarkEnd w:id="301"/>
    </w:p>
    <w:p w14:paraId="57A34F7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304" w:name="_Toc163492876"/>
      <w:r>
        <w:rPr>
          <w:rFonts w:hint="eastAsia" w:ascii="宋体" w:hAnsi="宋体" w:eastAsia="宋体" w:cs="宋体"/>
          <w:b/>
          <w:bCs/>
          <w:color w:val="auto"/>
          <w:kern w:val="2"/>
          <w:sz w:val="24"/>
          <w:szCs w:val="28"/>
          <w:highlight w:val="none"/>
          <w:lang w:val="en-US" w:eastAsia="zh-CN" w:bidi="ar-SA"/>
        </w:rPr>
        <w:t>41.</w:t>
      </w:r>
      <w:r>
        <w:rPr>
          <w:rFonts w:hint="eastAsia" w:ascii="宋体" w:hAnsi="宋体" w:cs="宋体"/>
          <w:b/>
          <w:bCs/>
          <w:color w:val="auto"/>
          <w:kern w:val="2"/>
          <w:sz w:val="24"/>
          <w:szCs w:val="28"/>
          <w:highlight w:val="none"/>
          <w:lang w:val="en-US" w:eastAsia="zh-CN" w:bidi="ar-SA"/>
        </w:rPr>
        <w:t>本</w:t>
      </w:r>
      <w:r>
        <w:rPr>
          <w:rFonts w:hint="eastAsia" w:ascii="宋体" w:hAnsi="宋体" w:eastAsia="宋体" w:cs="宋体"/>
          <w:b/>
          <w:bCs/>
          <w:color w:val="auto"/>
          <w:kern w:val="2"/>
          <w:sz w:val="24"/>
          <w:szCs w:val="28"/>
          <w:highlight w:val="none"/>
          <w:lang w:val="en-US" w:eastAsia="zh-CN" w:bidi="ar-SA"/>
        </w:rPr>
        <w:t>国产品和进口产品</w:t>
      </w:r>
      <w:bookmarkEnd w:id="304"/>
    </w:p>
    <w:p w14:paraId="59F3A450">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41.1本国产品标准及支持政策</w:t>
      </w:r>
    </w:p>
    <w:p w14:paraId="441816D7">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39"/>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w:t>
      </w:r>
      <w:r>
        <w:rPr>
          <w:rFonts w:hint="eastAsia"/>
          <w:iCs/>
          <w:snapToGrid w:val="0"/>
          <w:color w:val="auto"/>
          <w:spacing w:val="-6"/>
          <w:sz w:val="24"/>
          <w:highlight w:val="none"/>
          <w:lang w:val="en-US" w:eastAsia="zh-CN"/>
        </w:rPr>
        <w:t>录及比例标准正式实施前的过渡期内，符合境内生产条件的产品，可视同本国产</w:t>
      </w:r>
      <w:r>
        <w:rPr>
          <w:rFonts w:hint="eastAsia"/>
          <w:snapToGrid w:val="0"/>
          <w:color w:val="auto"/>
          <w:sz w:val="24"/>
          <w:highlight w:val="none"/>
          <w:lang w:val="en-US" w:eastAsia="zh-CN"/>
        </w:rPr>
        <w:t>品。</w:t>
      </w:r>
    </w:p>
    <w:p w14:paraId="19E87B7B">
      <w:pPr>
        <w:pStyle w:val="39"/>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1A66631B">
      <w:pPr>
        <w:pStyle w:val="39"/>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1759E4C5">
      <w:pPr>
        <w:pStyle w:val="39"/>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41.1.7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6764F8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05" w:name="_Toc3821"/>
      <w:bookmarkStart w:id="306" w:name="_Toc163492877"/>
      <w:r>
        <w:rPr>
          <w:rFonts w:hint="eastAsia" w:ascii="宋体" w:hAnsi="宋体" w:eastAsia="宋体" w:cs="宋体"/>
          <w:b/>
          <w:bCs/>
          <w:color w:val="auto"/>
          <w:kern w:val="2"/>
          <w:sz w:val="24"/>
          <w:szCs w:val="24"/>
          <w:highlight w:val="none"/>
          <w:lang w:val="en-US" w:eastAsia="zh-CN" w:bidi="ar-SA"/>
        </w:rPr>
        <w:t>42.中小企业、监狱企业及残疾人福利性单位</w:t>
      </w:r>
      <w:bookmarkEnd w:id="305"/>
      <w:bookmarkEnd w:id="306"/>
    </w:p>
    <w:p w14:paraId="6CF3C24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775C315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snapToGrid w:val="0"/>
          <w:color w:val="auto"/>
          <w:sz w:val="24"/>
          <w:szCs w:val="24"/>
          <w:highlight w:val="none"/>
          <w:lang w:eastAsia="zh-CN"/>
        </w:rPr>
        <w:t>需享受中小企业相关政策的，且</w:t>
      </w:r>
      <w:r>
        <w:rPr>
          <w:rFonts w:hint="eastAsia" w:ascii="宋体" w:hAnsi="宋体" w:eastAsia="宋体" w:cs="宋体"/>
          <w:snapToGrid w:val="0"/>
          <w:color w:val="auto"/>
          <w:sz w:val="24"/>
          <w:szCs w:val="24"/>
          <w:highlight w:val="none"/>
        </w:rPr>
        <w:t>符合上述文件规定的，</w:t>
      </w:r>
      <w:r>
        <w:rPr>
          <w:rFonts w:hint="eastAsia" w:ascii="宋体" w:hAnsi="宋体" w:eastAsia="宋体" w:cs="宋体"/>
          <w:snapToGrid w:val="0"/>
          <w:color w:val="auto"/>
          <w:sz w:val="24"/>
          <w:szCs w:val="24"/>
          <w:highlight w:val="none"/>
          <w:lang w:eastAsia="zh-CN"/>
        </w:rPr>
        <w:t>应按本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，评审时，</w:t>
      </w:r>
      <w:r>
        <w:rPr>
          <w:rFonts w:hint="eastAsia" w:ascii="宋体" w:hAnsi="宋体" w:eastAsia="宋体" w:cs="宋体"/>
          <w:snapToGrid w:val="0"/>
          <w:color w:val="auto"/>
          <w:sz w:val="24"/>
          <w:szCs w:val="24"/>
          <w:highlight w:val="none"/>
          <w:lang w:val="en-US" w:eastAsia="zh-CN"/>
        </w:rPr>
        <w:t>评标委员会</w:t>
      </w:r>
      <w:r>
        <w:rPr>
          <w:rFonts w:hint="eastAsia" w:ascii="宋体" w:hAnsi="宋体" w:eastAsia="宋体" w:cs="宋体"/>
          <w:snapToGrid w:val="0"/>
          <w:color w:val="auto"/>
          <w:sz w:val="24"/>
          <w:szCs w:val="24"/>
          <w:highlight w:val="none"/>
        </w:rPr>
        <w:t>将依据</w:t>
      </w:r>
      <w:r>
        <w:rPr>
          <w:rFonts w:hint="eastAsia" w:ascii="宋体" w:hAnsi="宋体" w:eastAsia="宋体" w:cs="宋体"/>
          <w:snapToGrid w:val="0"/>
          <w:color w:val="auto"/>
          <w:sz w:val="24"/>
          <w:szCs w:val="24"/>
          <w:highlight w:val="none"/>
          <w:lang w:eastAsia="zh-CN"/>
        </w:rPr>
        <w:t>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投标人</w:t>
      </w:r>
      <w:r>
        <w:rPr>
          <w:rFonts w:hint="eastAsia" w:ascii="宋体" w:hAnsi="宋体" w:eastAsia="宋体" w:cs="宋体"/>
          <w:snapToGrid w:val="0"/>
          <w:color w:val="auto"/>
          <w:sz w:val="24"/>
          <w:szCs w:val="24"/>
          <w:highlight w:val="none"/>
        </w:rPr>
        <w:t>须知前附表”规定的报价扣除比例，对供应商报价进行价格扣除，用扣除后的价格参与评审</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公告中明确项目专门面向中小企业采购的，“</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”为资格要求文件，</w:t>
      </w:r>
      <w:r>
        <w:rPr>
          <w:rFonts w:hint="eastAsia" w:ascii="宋体" w:hAnsi="宋体" w:eastAsia="宋体" w:cs="宋体"/>
          <w:snapToGrid w:val="0"/>
          <w:color w:val="auto"/>
          <w:sz w:val="24"/>
          <w:szCs w:val="24"/>
          <w:highlight w:val="none"/>
        </w:rPr>
        <w:t>供应商</w:t>
      </w:r>
      <w:r>
        <w:rPr>
          <w:rFonts w:hint="eastAsia" w:ascii="宋体" w:hAnsi="宋体" w:eastAsia="宋体" w:cs="宋体"/>
          <w:snapToGrid w:val="0"/>
          <w:color w:val="auto"/>
          <w:sz w:val="24"/>
          <w:szCs w:val="24"/>
          <w:highlight w:val="none"/>
          <w:lang w:eastAsia="zh-CN"/>
        </w:rPr>
        <w:t>参与</w:t>
      </w:r>
      <w:r>
        <w:rPr>
          <w:rFonts w:hint="eastAsia" w:ascii="宋体" w:hAnsi="宋体" w:eastAsia="宋体" w:cs="宋体"/>
          <w:snapToGrid w:val="0"/>
          <w:color w:val="auto"/>
          <w:sz w:val="24"/>
          <w:szCs w:val="24"/>
          <w:highlight w:val="none"/>
          <w:lang w:val="en-US" w:eastAsia="zh-CN"/>
        </w:rPr>
        <w:t>投标</w:t>
      </w:r>
      <w:r>
        <w:rPr>
          <w:rFonts w:hint="eastAsia" w:ascii="宋体" w:hAnsi="宋体" w:eastAsia="宋体" w:cs="宋体"/>
          <w:snapToGrid w:val="0"/>
          <w:color w:val="auto"/>
          <w:sz w:val="24"/>
          <w:szCs w:val="24"/>
          <w:highlight w:val="none"/>
          <w:lang w:eastAsia="zh-CN"/>
        </w:rPr>
        <w:t>须按本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”等作为资格证明文件。</w:t>
      </w:r>
      <w:r>
        <w:rPr>
          <w:rFonts w:hint="eastAsia" w:ascii="宋体" w:hAnsi="宋体" w:eastAsia="宋体" w:cs="宋体"/>
          <w:snapToGrid w:val="0"/>
          <w:color w:val="auto"/>
          <w:sz w:val="24"/>
          <w:szCs w:val="24"/>
          <w:highlight w:val="none"/>
          <w:lang w:val="en-US" w:eastAsia="zh-CN"/>
        </w:rPr>
        <w:t xml:space="preserve"> </w:t>
      </w:r>
    </w:p>
    <w:p w14:paraId="743E5E0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 供应商提供的货物、工程或者服务符合下列情形的，享受中小企业扶持政策： </w:t>
      </w:r>
    </w:p>
    <w:p w14:paraId="07E7A00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（1）在货物采购项目中，货物由中小企业制造，即货物由中小企业生产且使用该中小企业商号或者注册商标； </w:t>
      </w:r>
    </w:p>
    <w:p w14:paraId="128FB5A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（2）在工程采购项目中，工程由中小企业承建，即工程施工单位为中小企业； </w:t>
      </w:r>
    </w:p>
    <w:p w14:paraId="4557B96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（3）在服务采购项目中，服务由中小企业承接，即提供服务的人员为中小企业依照《中华人民共和国劳动合同法》订立劳动合同的从业人员。</w:t>
      </w:r>
    </w:p>
    <w:p w14:paraId="5C38B69F">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42.4 在服务采购项目中，供应商提供的服务既有中小企业承接，也有大型企业承接的，不享受中小企业扶持政策。 </w:t>
      </w:r>
    </w:p>
    <w:p w14:paraId="31F905A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42.5 以联合体形式参加政府采购活动，联合体各方均为中小企业的，联合体视同中小企业。其中，联合体各方均为小微企业的，联合体视同小微企业。</w:t>
      </w:r>
    </w:p>
    <w:p w14:paraId="589A89E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5B128E6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42.7.2 依法与安置的每位残疾人签订了1年以上（含1年）的劳动合同或服务协议； </w:t>
      </w:r>
    </w:p>
    <w:p w14:paraId="750299D4">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5494926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6AD696D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6F6930A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50A69BF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42.8 本项目是否专门面向中小企业预留采购份额见“第一章 </w:t>
      </w:r>
      <w:r>
        <w:rPr>
          <w:rFonts w:hint="eastAsia" w:ascii="宋体" w:hAnsi="宋体" w:eastAsia="宋体" w:cs="宋体"/>
          <w:color w:val="auto"/>
          <w:sz w:val="24"/>
          <w:szCs w:val="24"/>
          <w:highlight w:val="none"/>
          <w:lang w:val="en-US" w:eastAsia="zh-CN"/>
        </w:rPr>
        <w:t>招标公告</w:t>
      </w:r>
      <w:r>
        <w:rPr>
          <w:rFonts w:hint="eastAsia" w:ascii="宋体" w:hAnsi="宋体" w:eastAsia="宋体" w:cs="宋体"/>
          <w:snapToGrid w:val="0"/>
          <w:color w:val="auto"/>
          <w:sz w:val="24"/>
          <w:szCs w:val="24"/>
          <w:highlight w:val="none"/>
          <w:lang w:val="en-US" w:eastAsia="zh-CN"/>
        </w:rPr>
        <w:t>”。    42.9 采购标的对应的中小企业划分标准所属行业见“投标人须知前附表”。    42.10 小微企业价格评审优惠的政策调整：见“投标人须知前附表”及“第五章 评标方法及标准”。</w:t>
      </w:r>
    </w:p>
    <w:p w14:paraId="17DD5FF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07" w:name="_Toc163492878"/>
      <w:bookmarkStart w:id="308" w:name="_Toc18531"/>
      <w:r>
        <w:rPr>
          <w:rFonts w:hint="eastAsia" w:ascii="宋体" w:hAnsi="宋体" w:eastAsia="宋体" w:cs="宋体"/>
          <w:b/>
          <w:bCs/>
          <w:color w:val="auto"/>
          <w:kern w:val="2"/>
          <w:sz w:val="24"/>
          <w:szCs w:val="24"/>
          <w:highlight w:val="none"/>
          <w:lang w:val="en-US" w:eastAsia="zh-CN" w:bidi="ar-SA"/>
        </w:rPr>
        <w:t>43.政府采购节能产品、环境标志产品</w:t>
      </w:r>
      <w:bookmarkEnd w:id="307"/>
      <w:bookmarkEnd w:id="308"/>
    </w:p>
    <w:p w14:paraId="741E7E7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2EC4C51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43.3 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 xml:space="preserve">。 </w:t>
      </w:r>
    </w:p>
    <w:p w14:paraId="04E599F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43.4 非政府强制采购的节能产品或环境标志产品，依据品目清单和认证证书实施政府优先采购。优先采购的具体规定见“第五章 评标方法及标准”（如涉及）。</w:t>
      </w:r>
    </w:p>
    <w:p w14:paraId="51B3D928">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43.5 </w:t>
      </w:r>
      <w:r>
        <w:rPr>
          <w:rFonts w:hint="eastAsia" w:ascii="宋体" w:hAnsi="宋体" w:eastAsia="宋体" w:cs="宋体"/>
          <w:snapToGrid w:val="0"/>
          <w:color w:val="auto"/>
          <w:sz w:val="24"/>
          <w:szCs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ascii="宋体" w:hAnsi="宋体" w:eastAsia="宋体" w:cs="宋体"/>
          <w:snapToGrid w:val="0"/>
          <w:color w:val="auto"/>
          <w:sz w:val="24"/>
          <w:szCs w:val="24"/>
          <w:highlight w:val="none"/>
          <w:lang w:val="en-US" w:eastAsia="zh-CN"/>
        </w:rPr>
        <w:t>评审优惠</w:t>
      </w:r>
      <w:r>
        <w:rPr>
          <w:rFonts w:hint="eastAsia" w:ascii="宋体" w:hAnsi="宋体" w:eastAsia="宋体" w:cs="宋体"/>
          <w:snapToGrid w:val="0"/>
          <w:color w:val="auto"/>
          <w:sz w:val="24"/>
          <w:szCs w:val="24"/>
          <w:highlight w:val="none"/>
        </w:rPr>
        <w:t>，未提供认证证书的视为</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rPr>
        <w:t>无效</w:t>
      </w:r>
      <w:r>
        <w:rPr>
          <w:rFonts w:hint="eastAsia" w:ascii="宋体" w:hAnsi="宋体" w:eastAsia="宋体" w:cs="宋体"/>
          <w:snapToGrid w:val="0"/>
          <w:color w:val="auto"/>
          <w:sz w:val="24"/>
          <w:szCs w:val="24"/>
          <w:highlight w:val="none"/>
        </w:rPr>
        <w:t>。属于</w:t>
      </w:r>
      <w:r>
        <w:rPr>
          <w:rFonts w:hint="eastAsia" w:ascii="宋体" w:hAnsi="宋体" w:eastAsia="宋体" w:cs="宋体"/>
          <w:snapToGrid w:val="0"/>
          <w:color w:val="auto"/>
          <w:sz w:val="24"/>
          <w:szCs w:val="24"/>
          <w:highlight w:val="none"/>
          <w:lang w:val="en-US" w:eastAsia="zh-CN"/>
        </w:rPr>
        <w:t>优先采购</w:t>
      </w:r>
      <w:r>
        <w:rPr>
          <w:rFonts w:hint="eastAsia" w:ascii="宋体" w:hAnsi="宋体" w:eastAsia="宋体" w:cs="宋体"/>
          <w:snapToGrid w:val="0"/>
          <w:color w:val="auto"/>
          <w:sz w:val="24"/>
          <w:szCs w:val="24"/>
          <w:highlight w:val="none"/>
        </w:rPr>
        <w:t>节能产品政府采购品目清单、环境标志产品政府采购品目清单</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创新产品</w:t>
      </w:r>
      <w:r>
        <w:rPr>
          <w:rFonts w:hint="eastAsia" w:ascii="宋体" w:hAnsi="宋体" w:eastAsia="宋体" w:cs="宋体"/>
          <w:snapToGrid w:val="0"/>
          <w:color w:val="auto"/>
          <w:sz w:val="24"/>
          <w:szCs w:val="24"/>
          <w:highlight w:val="none"/>
        </w:rPr>
        <w:t>范围的，按照“</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snapToGrid w:val="0"/>
          <w:color w:val="auto"/>
          <w:sz w:val="24"/>
          <w:szCs w:val="24"/>
          <w:highlight w:val="none"/>
        </w:rPr>
        <w:t>”中相关规定</w:t>
      </w:r>
      <w:r>
        <w:rPr>
          <w:rFonts w:hint="eastAsia" w:ascii="宋体" w:hAnsi="宋体" w:eastAsia="宋体" w:cs="宋体"/>
          <w:color w:val="auto"/>
          <w:sz w:val="24"/>
          <w:szCs w:val="24"/>
          <w:highlight w:val="none"/>
          <w:lang w:val="en-US" w:eastAsia="zh-CN"/>
        </w:rPr>
        <w:t>在</w:t>
      </w:r>
      <w:r>
        <w:rPr>
          <w:rFonts w:hint="eastAsia" w:ascii="宋体" w:hAnsi="宋体" w:eastAsia="宋体" w:cs="宋体"/>
          <w:snapToGrid w:val="0"/>
          <w:color w:val="auto"/>
          <w:sz w:val="24"/>
          <w:szCs w:val="24"/>
          <w:highlight w:val="none"/>
          <w:lang w:val="en-US" w:eastAsia="zh-CN"/>
        </w:rPr>
        <w:t>评审时给予优惠，具</w:t>
      </w:r>
      <w:r>
        <w:rPr>
          <w:rFonts w:hint="eastAsia" w:ascii="宋体" w:hAnsi="宋体" w:eastAsia="宋体" w:cs="宋体"/>
          <w:color w:val="auto"/>
          <w:sz w:val="24"/>
          <w:szCs w:val="24"/>
          <w:highlight w:val="none"/>
          <w:lang w:val="en-US" w:eastAsia="zh-CN"/>
        </w:rPr>
        <w:t>体详见</w:t>
      </w:r>
      <w:r>
        <w:rPr>
          <w:rFonts w:hint="eastAsia" w:ascii="宋体" w:hAnsi="宋体" w:eastAsia="宋体" w:cs="宋体"/>
          <w:snapToGrid w:val="0"/>
          <w:color w:val="auto"/>
          <w:sz w:val="24"/>
          <w:szCs w:val="24"/>
          <w:highlight w:val="none"/>
          <w:lang w:val="en-US" w:eastAsia="zh-CN"/>
        </w:rPr>
        <w:t>“投标人须知前附表”及</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color w:val="auto"/>
          <w:sz w:val="24"/>
          <w:szCs w:val="24"/>
          <w:highlight w:val="none"/>
        </w:rPr>
        <w:t>。</w:t>
      </w:r>
    </w:p>
    <w:p w14:paraId="5F04C72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09" w:name="_Toc20976"/>
      <w:bookmarkStart w:id="310" w:name="_Toc163492879"/>
      <w:r>
        <w:rPr>
          <w:rFonts w:hint="eastAsia" w:ascii="宋体" w:hAnsi="宋体" w:eastAsia="宋体" w:cs="宋体"/>
          <w:b/>
          <w:bCs/>
          <w:color w:val="auto"/>
          <w:kern w:val="2"/>
          <w:sz w:val="24"/>
          <w:szCs w:val="24"/>
          <w:highlight w:val="none"/>
          <w:lang w:val="en-US" w:eastAsia="zh-CN" w:bidi="ar-SA"/>
        </w:rPr>
        <w:t>44.正版软件</w:t>
      </w:r>
      <w:bookmarkEnd w:id="309"/>
      <w:r>
        <w:rPr>
          <w:rFonts w:hint="eastAsia" w:ascii="宋体" w:hAnsi="宋体" w:eastAsia="宋体" w:cs="宋体"/>
          <w:b/>
          <w:bCs/>
          <w:color w:val="auto"/>
          <w:kern w:val="2"/>
          <w:sz w:val="24"/>
          <w:szCs w:val="24"/>
          <w:highlight w:val="none"/>
          <w:lang w:val="en-US" w:eastAsia="zh-CN" w:bidi="ar-SA"/>
        </w:rPr>
        <w:t xml:space="preserve">  </w:t>
      </w:r>
    </w:p>
    <w:p w14:paraId="7504E407">
      <w:pPr>
        <w:pStyle w:val="39"/>
        <w:keepNext w:val="0"/>
        <w:keepLines w:val="0"/>
        <w:pageBreakBefore w:val="0"/>
        <w:widowControl w:val="0"/>
        <w:kinsoku/>
        <w:overflowPunct/>
        <w:topLinePunct w:val="0"/>
        <w:autoSpaceDE/>
        <w:autoSpaceDN/>
        <w:bidi w:val="0"/>
        <w:adjustRightInd/>
        <w:snapToGri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1" w:name="_Toc3951"/>
      <w:r>
        <w:rPr>
          <w:rFonts w:hint="eastAsia" w:ascii="宋体" w:hAnsi="宋体" w:eastAsia="宋体" w:cs="宋体"/>
          <w:b/>
          <w:bCs/>
          <w:color w:val="auto"/>
          <w:kern w:val="2"/>
          <w:sz w:val="24"/>
          <w:szCs w:val="24"/>
          <w:highlight w:val="none"/>
          <w:lang w:val="en-US" w:eastAsia="zh-CN" w:bidi="ar-SA"/>
        </w:rPr>
        <w:t>45.网络安全专用产品</w:t>
      </w:r>
      <w:bookmarkEnd w:id="311"/>
      <w:r>
        <w:rPr>
          <w:rFonts w:hint="eastAsia" w:ascii="宋体" w:hAnsi="宋体" w:eastAsia="宋体" w:cs="宋体"/>
          <w:b/>
          <w:bCs/>
          <w:color w:val="auto"/>
          <w:kern w:val="2"/>
          <w:sz w:val="24"/>
          <w:szCs w:val="24"/>
          <w:highlight w:val="none"/>
          <w:lang w:val="en-US" w:eastAsia="zh-CN" w:bidi="ar-SA"/>
        </w:rPr>
        <w:t xml:space="preserve">   </w:t>
      </w:r>
    </w:p>
    <w:p w14:paraId="13C0877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2" w:name="_Toc5298"/>
      <w:r>
        <w:rPr>
          <w:rFonts w:hint="eastAsia" w:ascii="宋体" w:hAnsi="宋体" w:eastAsia="宋体" w:cs="宋体"/>
          <w:b/>
          <w:bCs/>
          <w:color w:val="auto"/>
          <w:kern w:val="2"/>
          <w:sz w:val="24"/>
          <w:szCs w:val="24"/>
          <w:highlight w:val="none"/>
          <w:lang w:val="en-US" w:eastAsia="zh-CN" w:bidi="ar-SA"/>
        </w:rPr>
        <w:t>46.采购需求标准</w:t>
      </w:r>
      <w:bookmarkEnd w:id="312"/>
      <w:r>
        <w:rPr>
          <w:rFonts w:hint="eastAsia" w:ascii="宋体" w:hAnsi="宋体" w:eastAsia="宋体" w:cs="宋体"/>
          <w:b/>
          <w:bCs/>
          <w:color w:val="auto"/>
          <w:kern w:val="2"/>
          <w:sz w:val="24"/>
          <w:szCs w:val="24"/>
          <w:highlight w:val="none"/>
          <w:lang w:val="en-US" w:eastAsia="zh-CN" w:bidi="ar-SA"/>
        </w:rPr>
        <w:t xml:space="preserve">   </w:t>
      </w:r>
    </w:p>
    <w:p w14:paraId="77C63652">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46.1 商品包装、快递包装政府采购需求标准（试行） </w:t>
      </w:r>
    </w:p>
    <w:p w14:paraId="3DA9478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46.2 绿色数据中心政府采购需求标准（试行） </w:t>
      </w:r>
    </w:p>
    <w:p w14:paraId="1617383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46.3台式计算机政府采购需求标准</w:t>
      </w:r>
    </w:p>
    <w:p w14:paraId="3830872B">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46.4便携式计算机政府采购需求标准</w:t>
      </w:r>
    </w:p>
    <w:p w14:paraId="2DDABA79">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46.5一体式计算机政府采购需求标准</w:t>
      </w:r>
    </w:p>
    <w:p w14:paraId="30E8139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46.6工作站政府采购需求标准</w:t>
      </w:r>
    </w:p>
    <w:p w14:paraId="23F8A15A">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46.7通用服务器政府采购需求标准</w:t>
      </w:r>
    </w:p>
    <w:p w14:paraId="2DC5EFFC">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46.8操作系统政府采购需求标准</w:t>
      </w:r>
    </w:p>
    <w:p w14:paraId="0C0F87EE">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46.9数据库政府采购需求标准</w:t>
      </w:r>
    </w:p>
    <w:p w14:paraId="45BE4E61">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46.10物业管理服务政府采购需求标准（办公场所类）（试行）</w:t>
      </w:r>
    </w:p>
    <w:p w14:paraId="0169F24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3" w:name="_Toc10007"/>
      <w:r>
        <w:rPr>
          <w:rFonts w:hint="eastAsia" w:ascii="宋体" w:hAnsi="宋体" w:eastAsia="宋体" w:cs="宋体"/>
          <w:b/>
          <w:bCs/>
          <w:color w:val="auto"/>
          <w:kern w:val="2"/>
          <w:sz w:val="24"/>
          <w:szCs w:val="24"/>
          <w:highlight w:val="none"/>
          <w:lang w:val="en-US" w:eastAsia="zh-CN" w:bidi="ar-SA"/>
        </w:rPr>
        <w:t>（十四）政府采购合同融资政策</w:t>
      </w:r>
      <w:bookmarkEnd w:id="302"/>
      <w:bookmarkEnd w:id="303"/>
      <w:bookmarkEnd w:id="310"/>
      <w:bookmarkEnd w:id="313"/>
    </w:p>
    <w:p w14:paraId="7CF327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4" w:name="_Toc14089"/>
      <w:bookmarkStart w:id="315" w:name="_Toc163492880"/>
      <w:r>
        <w:rPr>
          <w:rFonts w:hint="eastAsia" w:ascii="宋体" w:hAnsi="宋体" w:eastAsia="宋体" w:cs="宋体"/>
          <w:b/>
          <w:bCs/>
          <w:color w:val="auto"/>
          <w:kern w:val="2"/>
          <w:sz w:val="24"/>
          <w:szCs w:val="24"/>
          <w:highlight w:val="none"/>
          <w:lang w:val="en-US" w:eastAsia="zh-CN" w:bidi="ar-SA"/>
        </w:rPr>
        <w:t>47.政府采购合同融资政策</w:t>
      </w:r>
      <w:bookmarkEnd w:id="314"/>
      <w:bookmarkEnd w:id="315"/>
    </w:p>
    <w:p w14:paraId="2F90869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.1政府采购合同融资政策：见投标人须知前附表。</w:t>
      </w:r>
    </w:p>
    <w:p w14:paraId="198FC626">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6" w:name="_Toc26816"/>
      <w:bookmarkStart w:id="317" w:name="_Toc163492881"/>
      <w:r>
        <w:rPr>
          <w:rFonts w:hint="eastAsia" w:ascii="宋体" w:hAnsi="宋体" w:eastAsia="宋体" w:cs="宋体"/>
          <w:b/>
          <w:bCs/>
          <w:color w:val="auto"/>
          <w:kern w:val="2"/>
          <w:sz w:val="24"/>
          <w:szCs w:val="24"/>
          <w:highlight w:val="none"/>
          <w:lang w:val="en-US" w:eastAsia="zh-CN" w:bidi="ar-SA"/>
        </w:rPr>
        <w:t>（十五）其他</w:t>
      </w:r>
      <w:bookmarkEnd w:id="316"/>
      <w:bookmarkEnd w:id="317"/>
    </w:p>
    <w:p w14:paraId="370F802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18" w:name="_Toc18980"/>
      <w:bookmarkStart w:id="319" w:name="_Toc163492882"/>
      <w:r>
        <w:rPr>
          <w:rFonts w:hint="eastAsia" w:ascii="宋体" w:hAnsi="宋体" w:eastAsia="宋体" w:cs="宋体"/>
          <w:b/>
          <w:bCs/>
          <w:color w:val="auto"/>
          <w:kern w:val="2"/>
          <w:sz w:val="24"/>
          <w:szCs w:val="24"/>
          <w:highlight w:val="none"/>
          <w:lang w:val="en-US" w:eastAsia="zh-CN" w:bidi="ar-SA"/>
        </w:rPr>
        <w:t>48.需要补充的其他内容</w:t>
      </w:r>
      <w:bookmarkEnd w:id="318"/>
      <w:bookmarkEnd w:id="319"/>
    </w:p>
    <w:p w14:paraId="3251640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.1需要补充的其他内容：见投标人须知前附表。</w:t>
      </w:r>
    </w:p>
    <w:p w14:paraId="1BD29C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20" w:name="_Toc163492883"/>
      <w:bookmarkStart w:id="321" w:name="_Toc140132810"/>
      <w:bookmarkStart w:id="322" w:name="_Toc155185886"/>
      <w:bookmarkStart w:id="323" w:name="_Toc12494"/>
      <w:r>
        <w:rPr>
          <w:rFonts w:hint="eastAsia" w:ascii="宋体" w:hAnsi="宋体" w:eastAsia="宋体" w:cs="宋体"/>
          <w:b/>
          <w:bCs/>
          <w:color w:val="auto"/>
          <w:kern w:val="2"/>
          <w:sz w:val="24"/>
          <w:szCs w:val="24"/>
          <w:highlight w:val="none"/>
          <w:lang w:val="en-US" w:eastAsia="zh-CN" w:bidi="ar-SA"/>
        </w:rPr>
        <w:t>49.适用法律</w:t>
      </w:r>
      <w:bookmarkEnd w:id="320"/>
      <w:bookmarkEnd w:id="321"/>
      <w:bookmarkEnd w:id="322"/>
      <w:bookmarkEnd w:id="323"/>
    </w:p>
    <w:p w14:paraId="0953B8AD">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1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.2政府采购合同的履行、违约责任和解决争议的方法等适用《中华人民共和国民法典》。</w:t>
      </w:r>
    </w:p>
    <w:p w14:paraId="468836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24" w:name="_Toc163492884"/>
      <w:bookmarkStart w:id="325" w:name="_Toc155185887"/>
      <w:bookmarkStart w:id="326" w:name="_Toc20737"/>
      <w:r>
        <w:rPr>
          <w:rFonts w:hint="eastAsia" w:ascii="宋体" w:hAnsi="宋体" w:eastAsia="宋体" w:cs="宋体"/>
          <w:b/>
          <w:bCs/>
          <w:color w:val="auto"/>
          <w:kern w:val="2"/>
          <w:sz w:val="24"/>
          <w:szCs w:val="24"/>
          <w:highlight w:val="none"/>
          <w:lang w:val="en-US" w:eastAsia="zh-CN" w:bidi="ar-SA"/>
        </w:rPr>
        <w:t>50.解释权</w:t>
      </w:r>
      <w:bookmarkEnd w:id="324"/>
      <w:bookmarkEnd w:id="325"/>
      <w:bookmarkEnd w:id="326"/>
    </w:p>
    <w:p w14:paraId="2D7AFB45">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50</w:t>
      </w:r>
      <w:r>
        <w:rPr>
          <w:rFonts w:hint="eastAsia" w:ascii="宋体" w:hAnsi="宋体" w:eastAsia="宋体" w:cs="宋体"/>
          <w:snapToGrid w:val="0"/>
          <w:color w:val="auto"/>
          <w:sz w:val="24"/>
          <w:szCs w:val="24"/>
          <w:highlight w:val="none"/>
        </w:rPr>
        <w:t>.1本招标文件最终解释权归采购人或采购代理机构所有。</w:t>
      </w:r>
    </w:p>
    <w:p w14:paraId="5C6D27F8">
      <w:pPr>
        <w:jc w:val="both"/>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br w:type="page"/>
      </w:r>
    </w:p>
    <w:p w14:paraId="11B227F7">
      <w:pPr>
        <w:pStyle w:val="2"/>
        <w:keepNext/>
        <w:keepLines/>
        <w:pageBreakBefore w:val="0"/>
        <w:widowControl w:val="0"/>
        <w:numPr>
          <w:ilvl w:val="0"/>
          <w:numId w:val="0"/>
        </w:numPr>
        <w:kinsoku/>
        <w:wordWrap/>
        <w:overflowPunct/>
        <w:topLinePunct w:val="0"/>
        <w:autoSpaceDE/>
        <w:autoSpaceDN/>
        <w:bidi w:val="0"/>
        <w:adjustRightInd/>
        <w:snapToGrid/>
        <w:spacing w:before="100" w:after="60" w:line="36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327" w:name="_Toc12673"/>
      <w:bookmarkStart w:id="328" w:name="_Toc7544"/>
      <w:bookmarkStart w:id="329" w:name="_Toc155185895"/>
      <w:r>
        <w:rPr>
          <w:rFonts w:hint="eastAsia" w:ascii="宋体" w:hAnsi="宋体" w:eastAsia="宋体" w:cs="宋体"/>
          <w:b/>
          <w:bCs/>
          <w:color w:val="auto"/>
          <w:kern w:val="44"/>
          <w:sz w:val="36"/>
          <w:szCs w:val="36"/>
          <w:highlight w:val="none"/>
          <w:lang w:val="en-US" w:eastAsia="zh-CN" w:bidi="ar-SA"/>
        </w:rPr>
        <w:t>第四章 资格审查</w:t>
      </w:r>
      <w:bookmarkEnd w:id="327"/>
      <w:bookmarkEnd w:id="328"/>
      <w:bookmarkEnd w:id="329"/>
    </w:p>
    <w:p w14:paraId="2133133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330" w:name="_Toc23139"/>
      <w:bookmarkStart w:id="331" w:name="_Toc20891"/>
      <w:bookmarkStart w:id="332" w:name="_Toc26947"/>
      <w:r>
        <w:rPr>
          <w:rFonts w:hint="eastAsia"/>
          <w:color w:val="auto"/>
          <w:sz w:val="28"/>
          <w:szCs w:val="28"/>
          <w:highlight w:val="none"/>
          <w:lang w:val="en-US" w:eastAsia="zh-CN"/>
        </w:rPr>
        <w:t>一、资格审查程序</w:t>
      </w:r>
      <w:bookmarkEnd w:id="330"/>
      <w:bookmarkEnd w:id="331"/>
      <w:bookmarkEnd w:id="332"/>
      <w:r>
        <w:rPr>
          <w:rFonts w:hint="eastAsia"/>
          <w:color w:val="auto"/>
          <w:sz w:val="28"/>
          <w:szCs w:val="28"/>
          <w:highlight w:val="none"/>
          <w:lang w:val="en-US" w:eastAsia="zh-CN"/>
        </w:rPr>
        <w:t xml:space="preserve"> </w:t>
      </w:r>
    </w:p>
    <w:p w14:paraId="4E4090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 xml:space="preserve">1 开标结束后，采购人或采购代理机构将根据《资格审查要求》中的规定，对投标人进行资格审查，并形成资格审查结果。 </w:t>
      </w:r>
    </w:p>
    <w:p w14:paraId="62799CDE">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default"/>
          <w:color w:val="auto"/>
          <w:highlight w:val="none"/>
          <w:lang w:val="en-US" w:eastAsia="zh-CN"/>
        </w:rPr>
        <w:t xml:space="preserve">2 </w:t>
      </w:r>
      <w:r>
        <w:rPr>
          <w:rFonts w:hint="eastAsia"/>
          <w:color w:val="auto"/>
          <w:highlight w:val="none"/>
          <w:lang w:val="en-US" w:eastAsia="zh-CN"/>
        </w:rPr>
        <w:t>投标人《资格证明文件》有任何一项不符合《资格审查要求》的，资格审查不合格，其</w:t>
      </w:r>
      <w:r>
        <w:rPr>
          <w:rFonts w:hint="eastAsia"/>
          <w:b/>
          <w:bCs/>
          <w:color w:val="auto"/>
          <w:highlight w:val="none"/>
          <w:lang w:val="en-US" w:eastAsia="zh-CN"/>
        </w:rPr>
        <w:t>投标无效</w:t>
      </w:r>
      <w:r>
        <w:rPr>
          <w:rFonts w:hint="eastAsia"/>
          <w:color w:val="auto"/>
          <w:highlight w:val="none"/>
          <w:lang w:val="en-US" w:eastAsia="zh-CN"/>
        </w:rPr>
        <w:t xml:space="preserve">。 </w:t>
      </w:r>
    </w:p>
    <w:p w14:paraId="37E914D8">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资格审查合格的投标人不足 </w:t>
      </w:r>
      <w:r>
        <w:rPr>
          <w:rFonts w:hint="default"/>
          <w:color w:val="auto"/>
          <w:highlight w:val="none"/>
          <w:lang w:val="en-US" w:eastAsia="zh-CN"/>
        </w:rPr>
        <w:t xml:space="preserve">3 </w:t>
      </w:r>
      <w:r>
        <w:rPr>
          <w:rFonts w:hint="eastAsia"/>
          <w:color w:val="auto"/>
          <w:highlight w:val="none"/>
          <w:lang w:val="en-US" w:eastAsia="zh-CN"/>
        </w:rPr>
        <w:t xml:space="preserve">家的，不进行评标。 </w:t>
      </w:r>
    </w:p>
    <w:p w14:paraId="1720E86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333" w:name="_Toc17193"/>
      <w:bookmarkStart w:id="334" w:name="_Toc22545"/>
      <w:bookmarkStart w:id="335" w:name="_Toc15886"/>
      <w:r>
        <w:rPr>
          <w:rFonts w:hint="eastAsia"/>
          <w:color w:val="auto"/>
          <w:sz w:val="28"/>
          <w:szCs w:val="28"/>
          <w:highlight w:val="none"/>
          <w:lang w:val="en-US" w:eastAsia="zh-CN"/>
        </w:rPr>
        <w:t>二、资格审查要求</w:t>
      </w:r>
      <w:bookmarkEnd w:id="333"/>
      <w:bookmarkEnd w:id="334"/>
      <w:bookmarkEnd w:id="335"/>
      <w:r>
        <w:rPr>
          <w:rFonts w:hint="eastAsia"/>
          <w:color w:val="auto"/>
          <w:sz w:val="28"/>
          <w:szCs w:val="28"/>
          <w:highlight w:val="none"/>
          <w:lang w:val="en-US" w:eastAsia="zh-CN"/>
        </w:rPr>
        <w:t xml:space="preserve"> </w:t>
      </w:r>
    </w:p>
    <w:tbl>
      <w:tblPr>
        <w:tblStyle w:val="31"/>
        <w:tblW w:w="4896"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936"/>
        <w:gridCol w:w="1621"/>
        <w:gridCol w:w="4149"/>
        <w:gridCol w:w="767"/>
        <w:gridCol w:w="682"/>
      </w:tblGrid>
      <w:tr w14:paraId="364F6C8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1568" w:type="pct"/>
            <w:gridSpan w:val="2"/>
            <w:vMerge w:val="restart"/>
            <w:tcBorders>
              <w:top w:val="outset" w:color="auto" w:sz="6" w:space="0"/>
              <w:left w:val="outset" w:color="auto" w:sz="6" w:space="0"/>
              <w:bottom w:val="outset" w:color="auto" w:sz="6" w:space="0"/>
              <w:right w:val="outset" w:color="auto" w:sz="6" w:space="0"/>
            </w:tcBorders>
            <w:noWrap w:val="0"/>
            <w:vAlign w:val="center"/>
          </w:tcPr>
          <w:p w14:paraId="20307229">
            <w:pPr>
              <w:spacing w:line="360" w:lineRule="exact"/>
              <w:jc w:val="center"/>
              <w:rPr>
                <w:rFonts w:hint="eastAsia" w:ascii="宋体" w:hAnsi="宋体" w:eastAsia="宋体" w:cs="宋体"/>
                <w:color w:val="auto"/>
                <w:highlight w:val="none"/>
              </w:rPr>
            </w:pPr>
            <w:r>
              <w:rPr>
                <w:rFonts w:hint="eastAsia" w:ascii="宋体" w:hAnsi="宋体" w:eastAsia="宋体" w:cs="宋体"/>
                <w:b/>
                <w:bCs/>
                <w:color w:val="auto"/>
                <w:highlight w:val="none"/>
              </w:rPr>
              <w:t>评分因素</w:t>
            </w:r>
          </w:p>
        </w:tc>
        <w:tc>
          <w:tcPr>
            <w:tcW w:w="2543" w:type="pct"/>
            <w:vMerge w:val="restart"/>
            <w:tcBorders>
              <w:top w:val="outset" w:color="auto" w:sz="6" w:space="0"/>
              <w:left w:val="outset" w:color="auto" w:sz="6" w:space="0"/>
              <w:bottom w:val="outset" w:color="auto" w:sz="6" w:space="0"/>
              <w:right w:val="outset" w:color="auto" w:sz="6" w:space="0"/>
            </w:tcBorders>
            <w:noWrap w:val="0"/>
            <w:vAlign w:val="center"/>
          </w:tcPr>
          <w:p w14:paraId="3D79ABCF">
            <w:pPr>
              <w:spacing w:line="360" w:lineRule="exact"/>
              <w:jc w:val="center"/>
              <w:rPr>
                <w:rFonts w:hint="eastAsia" w:ascii="宋体" w:hAnsi="宋体" w:eastAsia="宋体" w:cs="宋体"/>
                <w:color w:val="auto"/>
                <w:highlight w:val="none"/>
              </w:rPr>
            </w:pPr>
            <w:r>
              <w:rPr>
                <w:rFonts w:hint="eastAsia" w:ascii="宋体" w:hAnsi="宋体" w:eastAsia="宋体" w:cs="宋体"/>
                <w:b/>
                <w:bCs/>
                <w:color w:val="auto"/>
                <w:highlight w:val="none"/>
              </w:rPr>
              <w:t>评分标准</w:t>
            </w:r>
          </w:p>
        </w:tc>
        <w:tc>
          <w:tcPr>
            <w:tcW w:w="887" w:type="pct"/>
            <w:gridSpan w:val="2"/>
            <w:tcBorders>
              <w:top w:val="outset" w:color="auto" w:sz="6" w:space="0"/>
              <w:left w:val="outset" w:color="auto" w:sz="6" w:space="0"/>
              <w:bottom w:val="outset" w:color="auto" w:sz="6" w:space="0"/>
              <w:right w:val="outset" w:color="auto" w:sz="6" w:space="0"/>
            </w:tcBorders>
            <w:noWrap w:val="0"/>
            <w:vAlign w:val="center"/>
          </w:tcPr>
          <w:p w14:paraId="41C39440">
            <w:pPr>
              <w:spacing w:line="36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评审意见</w:t>
            </w:r>
          </w:p>
        </w:tc>
      </w:tr>
      <w:tr w14:paraId="7A1390B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1568" w:type="pct"/>
            <w:gridSpan w:val="2"/>
            <w:vMerge w:val="continue"/>
            <w:tcBorders>
              <w:top w:val="outset" w:color="auto" w:sz="6" w:space="0"/>
              <w:left w:val="outset" w:color="auto" w:sz="6" w:space="0"/>
              <w:bottom w:val="outset" w:color="auto" w:sz="6" w:space="0"/>
              <w:right w:val="outset" w:color="auto" w:sz="6" w:space="0"/>
            </w:tcBorders>
            <w:noWrap w:val="0"/>
            <w:vAlign w:val="center"/>
          </w:tcPr>
          <w:p w14:paraId="09CEE843">
            <w:pPr>
              <w:spacing w:line="360" w:lineRule="exact"/>
              <w:jc w:val="center"/>
              <w:rPr>
                <w:rFonts w:hint="eastAsia" w:ascii="宋体" w:hAnsi="宋体" w:eastAsia="宋体" w:cs="宋体"/>
                <w:color w:val="auto"/>
                <w:highlight w:val="none"/>
              </w:rPr>
            </w:pPr>
          </w:p>
        </w:tc>
        <w:tc>
          <w:tcPr>
            <w:tcW w:w="2543" w:type="pct"/>
            <w:vMerge w:val="continue"/>
            <w:tcBorders>
              <w:top w:val="outset" w:color="auto" w:sz="6" w:space="0"/>
              <w:left w:val="outset" w:color="auto" w:sz="6" w:space="0"/>
              <w:bottom w:val="outset" w:color="auto" w:sz="6" w:space="0"/>
              <w:right w:val="outset" w:color="auto" w:sz="6" w:space="0"/>
            </w:tcBorders>
            <w:noWrap w:val="0"/>
            <w:vAlign w:val="center"/>
          </w:tcPr>
          <w:p w14:paraId="42987F5C">
            <w:pPr>
              <w:spacing w:line="360" w:lineRule="exact"/>
              <w:jc w:val="center"/>
              <w:rPr>
                <w:rFonts w:hint="eastAsia" w:ascii="宋体" w:hAnsi="宋体" w:eastAsia="宋体" w:cs="宋体"/>
                <w:color w:val="auto"/>
                <w:highlight w:val="none"/>
              </w:rPr>
            </w:pPr>
          </w:p>
        </w:tc>
        <w:tc>
          <w:tcPr>
            <w:tcW w:w="469" w:type="pct"/>
            <w:tcBorders>
              <w:top w:val="outset" w:color="auto" w:sz="6" w:space="0"/>
              <w:left w:val="outset" w:color="auto" w:sz="6" w:space="0"/>
              <w:bottom w:val="outset" w:color="auto" w:sz="6" w:space="0"/>
              <w:right w:val="outset" w:color="auto" w:sz="6" w:space="0"/>
            </w:tcBorders>
            <w:noWrap w:val="0"/>
            <w:vAlign w:val="center"/>
          </w:tcPr>
          <w:p w14:paraId="244C9D08">
            <w:pPr>
              <w:spacing w:line="360" w:lineRule="exact"/>
              <w:jc w:val="center"/>
              <w:rPr>
                <w:rFonts w:hint="eastAsia" w:ascii="宋体" w:hAnsi="宋体" w:eastAsia="宋体" w:cs="宋体"/>
                <w:color w:val="auto"/>
                <w:highlight w:val="none"/>
              </w:rPr>
            </w:pPr>
            <w:r>
              <w:rPr>
                <w:rFonts w:hint="eastAsia" w:ascii="宋体" w:hAnsi="宋体" w:eastAsia="宋体" w:cs="宋体"/>
                <w:b/>
                <w:bCs/>
                <w:color w:val="auto"/>
                <w:highlight w:val="none"/>
              </w:rPr>
              <w:t>是</w:t>
            </w:r>
          </w:p>
        </w:tc>
        <w:tc>
          <w:tcPr>
            <w:tcW w:w="417" w:type="pct"/>
            <w:tcBorders>
              <w:top w:val="outset" w:color="auto" w:sz="6" w:space="0"/>
              <w:left w:val="outset" w:color="auto" w:sz="6" w:space="0"/>
              <w:bottom w:val="outset" w:color="auto" w:sz="6" w:space="0"/>
              <w:right w:val="outset" w:color="auto" w:sz="6" w:space="0"/>
            </w:tcBorders>
            <w:noWrap w:val="0"/>
            <w:vAlign w:val="center"/>
          </w:tcPr>
          <w:p w14:paraId="71E2B12E">
            <w:pPr>
              <w:spacing w:line="360" w:lineRule="exact"/>
              <w:jc w:val="center"/>
              <w:rPr>
                <w:rFonts w:hint="eastAsia" w:ascii="宋体" w:hAnsi="宋体" w:eastAsia="宋体" w:cs="宋体"/>
                <w:color w:val="auto"/>
                <w:highlight w:val="none"/>
              </w:rPr>
            </w:pPr>
            <w:r>
              <w:rPr>
                <w:rFonts w:hint="eastAsia" w:ascii="宋体" w:hAnsi="宋体" w:eastAsia="宋体" w:cs="宋体"/>
                <w:b/>
                <w:bCs/>
                <w:color w:val="auto"/>
                <w:highlight w:val="none"/>
              </w:rPr>
              <w:t>否</w:t>
            </w:r>
          </w:p>
        </w:tc>
      </w:tr>
      <w:tr w14:paraId="22C70DE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restart"/>
            <w:tcBorders>
              <w:top w:val="outset" w:color="auto" w:sz="6" w:space="0"/>
              <w:left w:val="outset" w:color="auto" w:sz="6" w:space="0"/>
              <w:bottom w:val="outset" w:color="auto" w:sz="6" w:space="0"/>
              <w:right w:val="outset" w:color="auto" w:sz="6" w:space="0"/>
            </w:tcBorders>
            <w:noWrap w:val="0"/>
            <w:vAlign w:val="center"/>
          </w:tcPr>
          <w:p w14:paraId="5C0EA987">
            <w:pPr>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资格检查</w:t>
            </w:r>
          </w:p>
        </w:tc>
        <w:tc>
          <w:tcPr>
            <w:tcW w:w="994" w:type="pct"/>
            <w:tcBorders>
              <w:top w:val="outset" w:color="auto" w:sz="6" w:space="0"/>
              <w:left w:val="outset" w:color="auto" w:sz="6" w:space="0"/>
              <w:bottom w:val="outset" w:color="auto" w:sz="6" w:space="0"/>
              <w:right w:val="outset" w:color="auto" w:sz="6" w:space="0"/>
            </w:tcBorders>
            <w:noWrap w:val="0"/>
            <w:vAlign w:val="center"/>
          </w:tcPr>
          <w:p w14:paraId="15936EB7">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72BBF974">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户，应提供有效的“个体工商户营业执照”；如投标人是自然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应提供有效的自然人身份证明。</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2027D8F3">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4255C46C">
            <w:pPr>
              <w:spacing w:line="360" w:lineRule="exact"/>
              <w:jc w:val="left"/>
              <w:rPr>
                <w:rFonts w:hint="eastAsia" w:ascii="宋体" w:hAnsi="宋体" w:eastAsia="宋体" w:cs="宋体"/>
                <w:color w:val="auto"/>
                <w:highlight w:val="none"/>
              </w:rPr>
            </w:pPr>
          </w:p>
        </w:tc>
      </w:tr>
      <w:tr w14:paraId="5566100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5EAE476F">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24CDA56F">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1F5BBA0F">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投标时，若投标人成立超过一年需提供2023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2024</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2025年度</w:t>
            </w:r>
            <w:r>
              <w:rPr>
                <w:rFonts w:hint="eastAsia" w:ascii="宋体" w:hAnsi="宋体" w:cs="宋体"/>
                <w:color w:val="auto"/>
                <w:sz w:val="21"/>
                <w:szCs w:val="21"/>
                <w:highlight w:val="none"/>
              </w:rPr>
              <w:t>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7FC3835D">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711BD024">
            <w:pPr>
              <w:spacing w:line="360" w:lineRule="exact"/>
              <w:jc w:val="left"/>
              <w:rPr>
                <w:rFonts w:hint="eastAsia" w:ascii="宋体" w:hAnsi="宋体" w:eastAsia="宋体" w:cs="宋体"/>
                <w:color w:val="auto"/>
                <w:highlight w:val="none"/>
              </w:rPr>
            </w:pPr>
          </w:p>
        </w:tc>
      </w:tr>
      <w:tr w14:paraId="7AA6E2E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6707C128">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0CF8743F">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3D8A3ECB">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投标人依法缴纳税收的证明材料：本项目投标截止时间前6个月内（至少提供1个月）缴纳税收的凭据（完税证、缴款书、印花税票、银行代扣（代缴）转账凭证等均可）； </w:t>
            </w:r>
          </w:p>
          <w:p w14:paraId="1C05B003">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投标人依法缴纳社会保障资金的证明材料：本项目投标截止时间时间前6个月内（至少提供1个月）缴纳社会保险的凭据（专用收据或社会保险交纳清单）；</w:t>
            </w:r>
          </w:p>
          <w:p w14:paraId="33DB2584">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4AF527ED">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rPr>
              <w:t>依法不需要缴纳社会保障资金的投标人，须提供相应文件证明其依法不需要缴纳社会保障资金。</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621B9BAE">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4C6AD102">
            <w:pPr>
              <w:spacing w:line="360" w:lineRule="exact"/>
              <w:jc w:val="left"/>
              <w:rPr>
                <w:rFonts w:hint="eastAsia" w:ascii="宋体" w:hAnsi="宋体" w:eastAsia="宋体" w:cs="宋体"/>
                <w:color w:val="auto"/>
                <w:highlight w:val="none"/>
              </w:rPr>
            </w:pPr>
          </w:p>
        </w:tc>
      </w:tr>
      <w:tr w14:paraId="5DCB0D2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3D35E0BF">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47B315B6">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1379C6B8">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投标人履行合同所必须的设备和专业技术能力的证明材料或声明。（投标时，投标人出具承诺函，承诺满足要求，加盖投标人公章。）</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0A211E1B">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5C073CF0">
            <w:pPr>
              <w:spacing w:line="360" w:lineRule="exact"/>
              <w:jc w:val="left"/>
              <w:rPr>
                <w:rFonts w:hint="eastAsia" w:ascii="宋体" w:hAnsi="宋体" w:eastAsia="宋体" w:cs="宋体"/>
                <w:color w:val="auto"/>
                <w:highlight w:val="none"/>
              </w:rPr>
            </w:pPr>
          </w:p>
        </w:tc>
      </w:tr>
      <w:tr w14:paraId="165E2BA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27BF9476">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03B7C3A9">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50EDF233">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参加政府采购活动前三年内在经营活动中没有重大违法记录的书面声明。（投标时，投标人出具承诺函，加盖投标人公章。）</w:t>
            </w:r>
          </w:p>
          <w:p w14:paraId="6FBE826E">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6CF13F36">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77E8D8BA">
            <w:pPr>
              <w:spacing w:line="360" w:lineRule="exact"/>
              <w:jc w:val="left"/>
              <w:rPr>
                <w:rFonts w:hint="eastAsia" w:ascii="宋体" w:hAnsi="宋体" w:eastAsia="宋体" w:cs="宋体"/>
                <w:color w:val="auto"/>
                <w:highlight w:val="none"/>
              </w:rPr>
            </w:pPr>
          </w:p>
        </w:tc>
      </w:tr>
      <w:tr w14:paraId="4E83B0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101" w:hRule="atLeast"/>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564DDDFF">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66AEF233">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信用记录</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40F2BCF2">
            <w:pPr>
              <w:pStyle w:val="61"/>
              <w:keepNext w:val="0"/>
              <w:keepLines w:val="0"/>
              <w:pageBreakBefore w:val="0"/>
              <w:widowControl/>
              <w:kinsoku/>
              <w:wordWrap w:val="0"/>
              <w:overflowPunct/>
              <w:topLinePunct w:val="0"/>
              <w:autoSpaceDE/>
              <w:autoSpaceDN/>
              <w:bidi w:val="0"/>
              <w:adjustRightInd/>
              <w:snapToGrid/>
              <w:spacing w:line="360" w:lineRule="exact"/>
              <w:ind w:left="120" w:leftChars="5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投标人未被列入“信用中国”网站(www.creditchina.gov.cn)“失信被执行人、重大税收违法案件当事人名单”记录名单；不处于中国政府采购网(www.ccgp.gov.cn)“政府采购严重违法失信行为信息记录”中的禁止参加政府采购活动期间。如相关失信记录已失效，投标人需提供相关证明资料，如在上述网站查询结果均显示没有相关记录，视为没有上述不良信用记录；（信用中国、中国政府采购网网站查询截图）</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0FDBE357">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11500949">
            <w:pPr>
              <w:spacing w:line="360" w:lineRule="exact"/>
              <w:jc w:val="left"/>
              <w:rPr>
                <w:rFonts w:hint="eastAsia" w:ascii="宋体" w:hAnsi="宋体" w:eastAsia="宋体" w:cs="宋体"/>
                <w:color w:val="auto"/>
                <w:highlight w:val="none"/>
              </w:rPr>
            </w:pPr>
          </w:p>
        </w:tc>
      </w:tr>
      <w:tr w14:paraId="5654ED9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101" w:hRule="atLeast"/>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50A9E997">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5D157646">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存在利害关系</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768D0883">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690DA412">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18D7D71E">
            <w:pPr>
              <w:spacing w:line="360" w:lineRule="exact"/>
              <w:jc w:val="left"/>
              <w:rPr>
                <w:rFonts w:hint="eastAsia" w:ascii="宋体" w:hAnsi="宋体" w:eastAsia="宋体" w:cs="宋体"/>
                <w:color w:val="auto"/>
                <w:highlight w:val="none"/>
              </w:rPr>
            </w:pPr>
          </w:p>
        </w:tc>
      </w:tr>
      <w:tr w14:paraId="0397490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34" w:hRule="atLeast"/>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5E0D5333">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3DDA8740">
            <w:pPr>
              <w:pStyle w:val="61"/>
              <w:spacing w:line="360" w:lineRule="exact"/>
              <w:ind w:left="120" w:leftChars="50"/>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联合体</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6B0BA284">
            <w:pPr>
              <w:pStyle w:val="61"/>
              <w:numPr>
                <w:ilvl w:val="0"/>
                <w:numId w:val="0"/>
              </w:numPr>
              <w:spacing w:line="360" w:lineRule="exact"/>
              <w:ind w:left="0" w:leftChars="0" w:firstLine="0" w:firstLineChars="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本项目不接受联合体投标。</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22E30BEC">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05F3FBBC">
            <w:pPr>
              <w:spacing w:line="360" w:lineRule="exact"/>
              <w:jc w:val="left"/>
              <w:rPr>
                <w:rFonts w:hint="eastAsia" w:ascii="宋体" w:hAnsi="宋体" w:eastAsia="宋体" w:cs="宋体"/>
                <w:color w:val="auto"/>
                <w:highlight w:val="none"/>
              </w:rPr>
            </w:pPr>
          </w:p>
        </w:tc>
      </w:tr>
      <w:tr w14:paraId="7181FC2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101" w:hRule="atLeast"/>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1E591D1B">
            <w:pPr>
              <w:spacing w:line="360" w:lineRule="exact"/>
              <w:jc w:val="left"/>
              <w:rPr>
                <w:rFonts w:hint="eastAsia" w:ascii="宋体" w:hAnsi="宋体" w:eastAsia="宋体" w:cs="宋体"/>
                <w:color w:val="auto"/>
                <w:highlight w:val="none"/>
              </w:rPr>
            </w:pPr>
          </w:p>
        </w:tc>
        <w:tc>
          <w:tcPr>
            <w:tcW w:w="2023" w:type="dxa"/>
            <w:tcBorders>
              <w:top w:val="outset" w:color="auto" w:sz="6" w:space="0"/>
              <w:left w:val="outset" w:color="auto" w:sz="6" w:space="0"/>
              <w:bottom w:val="outset" w:color="auto" w:sz="6" w:space="0"/>
              <w:right w:val="outset" w:color="auto" w:sz="6" w:space="0"/>
            </w:tcBorders>
            <w:noWrap w:val="0"/>
            <w:vAlign w:val="center"/>
          </w:tcPr>
          <w:p w14:paraId="1A3CB005">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落实政府采购政策需满足的资格要求</w:t>
            </w:r>
          </w:p>
        </w:tc>
        <w:tc>
          <w:tcPr>
            <w:tcW w:w="5177" w:type="dxa"/>
            <w:tcBorders>
              <w:top w:val="outset" w:color="auto" w:sz="6" w:space="0"/>
              <w:left w:val="outset" w:color="auto" w:sz="6" w:space="0"/>
              <w:bottom w:val="outset" w:color="auto" w:sz="6" w:space="0"/>
              <w:right w:val="outset" w:color="auto" w:sz="6" w:space="0"/>
            </w:tcBorders>
            <w:noWrap w:val="0"/>
            <w:vAlign w:val="center"/>
          </w:tcPr>
          <w:p w14:paraId="293B8ED7">
            <w:pPr>
              <w:pStyle w:val="61"/>
              <w:spacing w:line="360" w:lineRule="exact"/>
              <w:ind w:left="120" w:leftChars="50"/>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满足招标公告中“落实政府采购政策需满足的资格要求”</w:t>
            </w:r>
          </w:p>
        </w:tc>
        <w:tc>
          <w:tcPr>
            <w:tcW w:w="956" w:type="dxa"/>
            <w:tcBorders>
              <w:top w:val="outset" w:color="auto" w:sz="6" w:space="0"/>
              <w:left w:val="outset" w:color="auto" w:sz="6" w:space="0"/>
              <w:bottom w:val="outset" w:color="auto" w:sz="6" w:space="0"/>
              <w:right w:val="outset" w:color="auto" w:sz="6" w:space="0"/>
            </w:tcBorders>
            <w:noWrap w:val="0"/>
            <w:vAlign w:val="center"/>
          </w:tcPr>
          <w:p w14:paraId="4E624377">
            <w:pPr>
              <w:pStyle w:val="51"/>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595F5B2C">
            <w:pPr>
              <w:spacing w:line="360" w:lineRule="exact"/>
              <w:jc w:val="left"/>
              <w:rPr>
                <w:rFonts w:hint="eastAsia" w:ascii="宋体" w:hAnsi="宋体" w:eastAsia="宋体" w:cs="宋体"/>
                <w:color w:val="auto"/>
                <w:highlight w:val="none"/>
              </w:rPr>
            </w:pPr>
          </w:p>
        </w:tc>
      </w:tr>
      <w:tr w14:paraId="0F073EC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101" w:hRule="atLeast"/>
          <w:jc w:val="center"/>
        </w:trPr>
        <w:tc>
          <w:tcPr>
            <w:tcW w:w="574" w:type="pct"/>
            <w:vMerge w:val="continue"/>
            <w:tcBorders>
              <w:top w:val="outset" w:color="auto" w:sz="6" w:space="0"/>
              <w:left w:val="outset" w:color="auto" w:sz="6" w:space="0"/>
              <w:bottom w:val="outset" w:color="auto" w:sz="6" w:space="0"/>
              <w:right w:val="outset" w:color="auto" w:sz="6" w:space="0"/>
            </w:tcBorders>
            <w:noWrap w:val="0"/>
            <w:vAlign w:val="center"/>
          </w:tcPr>
          <w:p w14:paraId="3167742F">
            <w:pPr>
              <w:spacing w:line="360" w:lineRule="exact"/>
              <w:jc w:val="left"/>
              <w:rPr>
                <w:rFonts w:hint="eastAsia" w:ascii="宋体" w:hAnsi="宋体" w:eastAsia="宋体" w:cs="宋体"/>
                <w:color w:val="auto"/>
                <w:highlight w:val="none"/>
              </w:rPr>
            </w:pPr>
          </w:p>
        </w:tc>
        <w:tc>
          <w:tcPr>
            <w:tcW w:w="994" w:type="pct"/>
            <w:tcBorders>
              <w:top w:val="outset" w:color="auto" w:sz="6" w:space="0"/>
              <w:left w:val="outset" w:color="auto" w:sz="6" w:space="0"/>
              <w:bottom w:val="outset" w:color="auto" w:sz="6" w:space="0"/>
              <w:right w:val="outset" w:color="auto" w:sz="6" w:space="0"/>
            </w:tcBorders>
            <w:noWrap w:val="0"/>
            <w:vAlign w:val="center"/>
          </w:tcPr>
          <w:p w14:paraId="426B036F">
            <w:pPr>
              <w:pStyle w:val="61"/>
              <w:spacing w:line="360" w:lineRule="exact"/>
              <w:ind w:left="120" w:leftChars="50"/>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特定资格条件</w:t>
            </w:r>
          </w:p>
        </w:tc>
        <w:tc>
          <w:tcPr>
            <w:tcW w:w="2543" w:type="pct"/>
            <w:tcBorders>
              <w:top w:val="outset" w:color="auto" w:sz="6" w:space="0"/>
              <w:left w:val="outset" w:color="auto" w:sz="6" w:space="0"/>
              <w:bottom w:val="outset" w:color="auto" w:sz="6" w:space="0"/>
              <w:right w:val="outset" w:color="auto" w:sz="6" w:space="0"/>
            </w:tcBorders>
            <w:noWrap w:val="0"/>
            <w:vAlign w:val="center"/>
          </w:tcPr>
          <w:p w14:paraId="599C7A3F">
            <w:pPr>
              <w:pStyle w:val="61"/>
              <w:numPr>
                <w:ilvl w:val="0"/>
                <w:numId w:val="0"/>
              </w:numPr>
              <w:spacing w:line="360" w:lineRule="exact"/>
              <w:ind w:left="0" w:leftChars="0"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满足招标公告中特定资格要求</w:t>
            </w:r>
          </w:p>
        </w:tc>
        <w:tc>
          <w:tcPr>
            <w:tcW w:w="469" w:type="pct"/>
            <w:tcBorders>
              <w:top w:val="outset" w:color="auto" w:sz="6" w:space="0"/>
              <w:left w:val="outset" w:color="auto" w:sz="6" w:space="0"/>
              <w:bottom w:val="outset" w:color="auto" w:sz="6" w:space="0"/>
              <w:right w:val="outset" w:color="auto" w:sz="6" w:space="0"/>
            </w:tcBorders>
            <w:noWrap w:val="0"/>
            <w:vAlign w:val="center"/>
          </w:tcPr>
          <w:p w14:paraId="151AE15B">
            <w:pPr>
              <w:spacing w:line="360" w:lineRule="exact"/>
              <w:jc w:val="left"/>
              <w:rPr>
                <w:rFonts w:hint="eastAsia" w:ascii="宋体" w:hAnsi="宋体" w:eastAsia="宋体" w:cs="宋体"/>
                <w:color w:val="auto"/>
                <w:highlight w:val="none"/>
              </w:rPr>
            </w:pPr>
          </w:p>
        </w:tc>
        <w:tc>
          <w:tcPr>
            <w:tcW w:w="417" w:type="pct"/>
            <w:tcBorders>
              <w:top w:val="outset" w:color="auto" w:sz="6" w:space="0"/>
              <w:left w:val="outset" w:color="auto" w:sz="6" w:space="0"/>
              <w:bottom w:val="outset" w:color="auto" w:sz="6" w:space="0"/>
              <w:right w:val="outset" w:color="auto" w:sz="6" w:space="0"/>
            </w:tcBorders>
            <w:noWrap w:val="0"/>
            <w:vAlign w:val="center"/>
          </w:tcPr>
          <w:p w14:paraId="5A888850">
            <w:pPr>
              <w:spacing w:line="360" w:lineRule="exact"/>
              <w:jc w:val="left"/>
              <w:rPr>
                <w:rFonts w:hint="eastAsia" w:ascii="宋体" w:hAnsi="宋体" w:eastAsia="宋体" w:cs="宋体"/>
                <w:color w:val="auto"/>
                <w:highlight w:val="none"/>
              </w:rPr>
            </w:pPr>
          </w:p>
        </w:tc>
      </w:tr>
    </w:tbl>
    <w:p w14:paraId="3B0C6A1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75823E1B">
      <w:pP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br w:type="page"/>
      </w:r>
    </w:p>
    <w:p w14:paraId="21B53EA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default" w:ascii="宋体" w:hAnsi="宋体" w:eastAsia="宋体" w:cs="宋体"/>
          <w:b/>
          <w:bCs/>
          <w:color w:val="auto"/>
          <w:kern w:val="44"/>
          <w:sz w:val="36"/>
          <w:szCs w:val="36"/>
          <w:highlight w:val="none"/>
          <w:lang w:val="en-US" w:eastAsia="zh-CN" w:bidi="ar-SA"/>
        </w:rPr>
      </w:pPr>
      <w:bookmarkStart w:id="336" w:name="_Toc155185903"/>
      <w:bookmarkStart w:id="337" w:name="_Toc28158"/>
      <w:bookmarkStart w:id="338" w:name="_Toc30175"/>
      <w:r>
        <w:rPr>
          <w:rFonts w:hint="eastAsia" w:ascii="宋体" w:hAnsi="宋体" w:eastAsia="宋体" w:cs="宋体"/>
          <w:b/>
          <w:bCs/>
          <w:color w:val="auto"/>
          <w:kern w:val="44"/>
          <w:sz w:val="36"/>
          <w:szCs w:val="36"/>
          <w:highlight w:val="none"/>
          <w:lang w:val="en-US" w:eastAsia="zh-CN" w:bidi="ar-SA"/>
        </w:rPr>
        <w:t>第五章 评标方法</w:t>
      </w:r>
      <w:bookmarkEnd w:id="336"/>
      <w:r>
        <w:rPr>
          <w:rFonts w:hint="eastAsia" w:ascii="宋体" w:hAnsi="宋体" w:eastAsia="宋体" w:cs="宋体"/>
          <w:b/>
          <w:bCs/>
          <w:color w:val="auto"/>
          <w:kern w:val="44"/>
          <w:sz w:val="36"/>
          <w:szCs w:val="36"/>
          <w:highlight w:val="none"/>
          <w:lang w:val="en-US" w:eastAsia="zh-CN" w:bidi="ar-SA"/>
        </w:rPr>
        <w:t>及标准(综合评分法)</w:t>
      </w:r>
      <w:bookmarkEnd w:id="337"/>
      <w:bookmarkEnd w:id="338"/>
    </w:p>
    <w:p w14:paraId="2BB6F8A4">
      <w:pPr>
        <w:pStyle w:val="3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color w:val="auto"/>
          <w:sz w:val="28"/>
          <w:szCs w:val="28"/>
          <w:highlight w:val="none"/>
          <w:lang w:val="zh-CN" w:eastAsia="zh-CN"/>
        </w:rPr>
      </w:pPr>
      <w:bookmarkStart w:id="339" w:name="_Toc4301"/>
      <w:bookmarkStart w:id="340" w:name="_Toc17592"/>
      <w:bookmarkStart w:id="341" w:name="_Toc272247709"/>
      <w:bookmarkStart w:id="342" w:name="_Toc61280402"/>
      <w:bookmarkStart w:id="343" w:name="_Toc109900322"/>
      <w:bookmarkStart w:id="344" w:name="_Toc140132826"/>
      <w:bookmarkStart w:id="345" w:name="_Toc278891606"/>
      <w:bookmarkStart w:id="346" w:name="_Toc155185905"/>
      <w:bookmarkStart w:id="347" w:name="_Toc494561962"/>
      <w:bookmarkStart w:id="348" w:name="_Toc109899903"/>
      <w:bookmarkStart w:id="349" w:name="_Toc511894518"/>
      <w:bookmarkStart w:id="350" w:name="_Toc109899484"/>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339"/>
      <w:bookmarkEnd w:id="340"/>
    </w:p>
    <w:p w14:paraId="40F9AE81">
      <w:pPr>
        <w:pStyle w:val="39"/>
        <w:keepNext w:val="0"/>
        <w:keepLines w:val="0"/>
        <w:pageBreakBefore w:val="0"/>
        <w:widowControl w:val="0"/>
        <w:kinsoku/>
        <w:wordWrap w:val="0"/>
        <w:overflowPunct/>
        <w:topLinePunct w:val="0"/>
        <w:autoSpaceDE/>
        <w:autoSpaceDN/>
        <w:bidi w:val="0"/>
        <w:adjustRightInd/>
        <w:snapToGrid/>
        <w:ind w:firstLine="482"/>
        <w:jc w:val="both"/>
        <w:textAlignment w:val="auto"/>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color w:val="auto"/>
          <w:sz w:val="28"/>
          <w:szCs w:val="28"/>
          <w:highlight w:val="none"/>
          <w:lang w:val="zh-CN" w:eastAsia="zh-CN"/>
        </w:rPr>
      </w:pPr>
      <w:bookmarkStart w:id="351" w:name="_Toc2887"/>
      <w:bookmarkStart w:id="352" w:name="_Toc27095"/>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351"/>
      <w:bookmarkEnd w:id="352"/>
    </w:p>
    <w:p w14:paraId="2CEA851A">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53" w:name="_Toc19642"/>
      <w:r>
        <w:rPr>
          <w:rFonts w:hint="eastAsia" w:ascii="宋体" w:hAnsi="宋体" w:eastAsia="宋体" w:cs="宋体"/>
          <w:b/>
          <w:bCs/>
          <w:color w:val="auto"/>
          <w:kern w:val="2"/>
          <w:sz w:val="24"/>
          <w:szCs w:val="24"/>
          <w:highlight w:val="none"/>
          <w:lang w:val="zh-CN" w:eastAsia="zh-CN" w:bidi="ar-SA"/>
        </w:rPr>
        <w:t>（一）符合性审查</w:t>
      </w:r>
      <w:bookmarkEnd w:id="353"/>
    </w:p>
    <w:p w14:paraId="4E726315">
      <w:pPr>
        <w:pStyle w:val="39"/>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6117DC47">
      <w:pPr>
        <w:pStyle w:val="39"/>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54" w:name="_Toc102056244"/>
      <w:bookmarkStart w:id="355" w:name="_Toc102119879"/>
      <w:bookmarkStart w:id="356" w:name="_Toc102116048"/>
      <w:bookmarkStart w:id="357" w:name="_Toc102057744"/>
      <w:bookmarkStart w:id="358" w:name="_Toc102114946"/>
      <w:bookmarkStart w:id="359" w:name="_Toc155185907"/>
      <w:bookmarkStart w:id="360" w:name="_Toc102116178"/>
      <w:bookmarkStart w:id="361" w:name="_Toc32172"/>
      <w:bookmarkStart w:id="362"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354"/>
      <w:bookmarkEnd w:id="355"/>
      <w:bookmarkEnd w:id="356"/>
      <w:bookmarkEnd w:id="357"/>
      <w:bookmarkEnd w:id="358"/>
      <w:bookmarkEnd w:id="359"/>
      <w:bookmarkEnd w:id="360"/>
      <w:r>
        <w:rPr>
          <w:rFonts w:hint="eastAsia" w:ascii="宋体" w:hAnsi="宋体" w:eastAsia="宋体" w:cs="宋体"/>
          <w:b/>
          <w:bCs/>
          <w:color w:val="auto"/>
          <w:kern w:val="2"/>
          <w:sz w:val="24"/>
          <w:szCs w:val="24"/>
          <w:highlight w:val="none"/>
          <w:lang w:val="zh-CN" w:eastAsia="zh-CN" w:bidi="ar-SA"/>
        </w:rPr>
        <w:t>及修正</w:t>
      </w:r>
      <w:bookmarkEnd w:id="361"/>
      <w:bookmarkEnd w:id="362"/>
    </w:p>
    <w:p w14:paraId="0EC9197C">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评标期间，对于投标文件中含义不明确、同类问题表述不一致或者有明显文字和计算错误的内容需要投标人作出必要的澄清、说明或者补正的，评标委员会应当在政采云平台评标系统中以书面形式要求投标人作出必要的澄清、说明或者补正。</w:t>
      </w:r>
    </w:p>
    <w:p w14:paraId="079329DA">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4.投标人应按照评标委员会要求在规定时间内作出澄清、说明或者补正，澄清、说明或者补正不得超出投标文件的范围或者改变投标文件的实质性内容。</w:t>
      </w:r>
    </w:p>
    <w:p w14:paraId="591A6455">
      <w:pPr>
        <w:pStyle w:val="3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5.投标人的澄清、说明或者补正是其投标文件的有效组成部分，澄清、说明或者补正应当在政采云平台评标系统中加盖电子印章后提交。</w:t>
      </w:r>
    </w:p>
    <w:p w14:paraId="3B466024">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报价合理性说明：评标委员会认为投标人的报价明显低于其他通过符合性审查投标人的报价，有可能影响服务质量或者不能诚信履约的，应当要求该投标人在合理的时间内提供说明，必要时提交相关证明材料；若投标人不能证明其报价合理性的，评标委员会应当将其作</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lang w:val="en-US" w:eastAsia="zh-CN"/>
        </w:rPr>
        <w:t>处理。</w:t>
      </w:r>
    </w:p>
    <w:p w14:paraId="4FD6345C">
      <w:pPr>
        <w:pStyle w:val="39"/>
        <w:jc w:val="both"/>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w:t>
      </w:r>
      <w:r>
        <w:rPr>
          <w:rFonts w:hint="eastAsia"/>
          <w:color w:val="auto"/>
          <w:highlight w:val="none"/>
          <w:lang w:val="en-US" w:eastAsia="zh-CN"/>
        </w:rPr>
        <w:t>将一个采购包中的内容拆分投标，其</w:t>
      </w:r>
      <w:r>
        <w:rPr>
          <w:rFonts w:hint="eastAsia"/>
          <w:b/>
          <w:bCs/>
          <w:color w:val="auto"/>
          <w:highlight w:val="none"/>
          <w:lang w:val="en-US" w:eastAsia="zh-CN"/>
        </w:rPr>
        <w:t>投标无效</w:t>
      </w:r>
      <w:r>
        <w:rPr>
          <w:rFonts w:hint="eastAsia"/>
          <w:color w:val="auto"/>
          <w:highlight w:val="none"/>
          <w:lang w:val="en-US" w:eastAsia="zh-CN"/>
        </w:rPr>
        <w:t>。</w:t>
      </w:r>
    </w:p>
    <w:p w14:paraId="015D7E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8.投标文件报价出现前后不一致的，除招标文件另有规定外，按照下列规定修正：</w:t>
      </w:r>
    </w:p>
    <w:p w14:paraId="4D967018">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8.1投标文件中开标一览表（报价表）内容与投标文件中相应内容不一致的，以开标一览表（报价表）为准；</w:t>
      </w:r>
    </w:p>
    <w:p w14:paraId="657B9F51">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8.2大写金额和小写金额不一致的，以大写金额为准；</w:t>
      </w:r>
    </w:p>
    <w:p w14:paraId="628E9D79">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8.3单价金额小数点或者百分比有明显错位的，以开标一览表的总价为准，并修改单价；</w:t>
      </w:r>
    </w:p>
    <w:p w14:paraId="3D4599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8.4总价金额与按单价汇总金额不一致的，以单价金额计算结果为准。</w:t>
      </w:r>
    </w:p>
    <w:p w14:paraId="4E5FFFF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b/>
          <w:bCs/>
          <w:color w:val="auto"/>
          <w:highlight w:val="none"/>
          <w:lang w:val="en-US" w:eastAsia="zh-CN"/>
        </w:rPr>
        <w:t>投标无效</w:t>
      </w:r>
      <w:r>
        <w:rPr>
          <w:rFonts w:hint="eastAsia"/>
          <w:color w:val="auto"/>
          <w:highlight w:val="none"/>
          <w:lang w:val="en-US" w:eastAsia="zh-CN"/>
        </w:rPr>
        <w:t>。</w:t>
      </w:r>
    </w:p>
    <w:p w14:paraId="33748C4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3" w:name="_Toc13089"/>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363"/>
    </w:p>
    <w:p w14:paraId="2BE6ECB2">
      <w:pPr>
        <w:pStyle w:val="3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84D833B">
      <w:pPr>
        <w:pStyle w:val="3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.有效投标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4" w:name="_Toc33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364"/>
    </w:p>
    <w:p w14:paraId="21874171">
      <w:pPr>
        <w:pStyle w:val="39"/>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投标报价评审</w:t>
      </w:r>
    </w:p>
    <w:p w14:paraId="266BD854">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11.1服务项目的价格分值占总分值的比重不得低于</w:t>
      </w:r>
      <w:r>
        <w:rPr>
          <w:rFonts w:hint="default"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执行国家统一定价标准和采用固定价格采购的项目，其价格不列为评审因素。价格分应当采用低价优先法计算，即满足招标文件要求且投标价格最低的投标报价为评标基准价，其价格分为满分。其他投标人的价格分统一按照下列公式计算：</w:t>
      </w:r>
    </w:p>
    <w:p w14:paraId="2D86B7AD">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投标报价得分=(评标基准价／投标报价)×价格分值</w:t>
      </w:r>
    </w:p>
    <w:p w14:paraId="0CCB2E48">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评标过程中，不得去掉报价中的最高报价和最低报价。</w:t>
      </w:r>
    </w:p>
    <w:p w14:paraId="14E623B0">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11.2除算术修正和落实政府采购政策的价格扣除外，不对投标报价进行调整；</w:t>
      </w:r>
    </w:p>
    <w:p w14:paraId="03B9CB3F">
      <w:pPr>
        <w:pStyle w:val="39"/>
        <w:jc w:val="both"/>
        <w:rPr>
          <w:color w:val="auto"/>
          <w:highlight w:val="none"/>
        </w:rPr>
      </w:pPr>
      <w:r>
        <w:rPr>
          <w:rFonts w:hint="eastAsia" w:ascii="宋体" w:hAnsi="宋体" w:eastAsia="宋体" w:cs="宋体"/>
          <w:color w:val="auto"/>
          <w:sz w:val="24"/>
          <w:szCs w:val="24"/>
          <w:highlight w:val="none"/>
          <w:lang w:val="en-US" w:eastAsia="zh-CN"/>
        </w:rPr>
        <w:t>11.3价格分值见本章“四、评标标准”</w:t>
      </w:r>
      <w:r>
        <w:rPr>
          <w:color w:val="auto"/>
          <w:highlight w:val="none"/>
        </w:rPr>
        <w:t>。</w:t>
      </w:r>
    </w:p>
    <w:p w14:paraId="083553FD">
      <w:pPr>
        <w:pStyle w:val="39"/>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政府采购异常低价审查</w:t>
      </w:r>
    </w:p>
    <w:p w14:paraId="38CC1E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12.1</w:t>
      </w:r>
      <w:r>
        <w:rPr>
          <w:rFonts w:hint="eastAsia"/>
          <w:color w:val="auto"/>
          <w:sz w:val="24"/>
          <w:szCs w:val="24"/>
          <w:highlight w:val="none"/>
        </w:rPr>
        <w:t>政府采购评审中出现下列情形之一的，评审委员会应当启动异常低价投标（响应）审查程序：</w:t>
      </w:r>
    </w:p>
    <w:p w14:paraId="1FEE2E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64C6C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347172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66584A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1131AE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10E38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0866637">
      <w:pPr>
        <w:pStyle w:val="39"/>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.政府采购政策评审</w:t>
      </w:r>
    </w:p>
    <w:p w14:paraId="1627C557">
      <w:pPr>
        <w:pStyle w:val="39"/>
        <w:numPr>
          <w:ilvl w:val="0"/>
          <w:numId w:val="0"/>
        </w:numPr>
        <w:ind w:firstLine="480" w:firstLineChars="200"/>
        <w:jc w:val="both"/>
        <w:rPr>
          <w:color w:val="auto"/>
          <w:highlight w:val="none"/>
        </w:rPr>
      </w:pPr>
      <w:r>
        <w:rPr>
          <w:color w:val="auto"/>
          <w:highlight w:val="none"/>
        </w:rPr>
        <w:t>1</w:t>
      </w:r>
      <w:r>
        <w:rPr>
          <w:rFonts w:hint="eastAsia"/>
          <w:color w:val="auto"/>
          <w:highlight w:val="none"/>
          <w:lang w:val="en-US" w:eastAsia="zh-CN"/>
        </w:rPr>
        <w:t>3</w:t>
      </w:r>
      <w:r>
        <w:rPr>
          <w:color w:val="auto"/>
          <w:highlight w:val="none"/>
        </w:rPr>
        <w:t>.1非专门面向中小企业的采购项目或采购包，对符合规定的小微企业（</w:t>
      </w:r>
      <w:r>
        <w:rPr>
          <w:rFonts w:hint="eastAsia"/>
          <w:color w:val="auto"/>
          <w:highlight w:val="none"/>
          <w:lang w:val="en-US" w:eastAsia="zh-CN"/>
        </w:rPr>
        <w:t>含</w:t>
      </w:r>
      <w:r>
        <w:rPr>
          <w:color w:val="auto"/>
          <w:highlight w:val="none"/>
        </w:rPr>
        <w:t>监狱企业、残疾人福利性单位、联合体各方均为小微企业的联合体、符合小微企业划分标准的个体工商户视同小微企业）报价</w:t>
      </w:r>
      <w:r>
        <w:rPr>
          <w:rFonts w:hint="eastAsia"/>
          <w:color w:val="auto"/>
          <w:highlight w:val="none"/>
        </w:rPr>
        <w:t>按照本招标文件</w:t>
      </w:r>
      <w:r>
        <w:rPr>
          <w:rFonts w:hint="eastAsia"/>
          <w:color w:val="auto"/>
          <w:highlight w:val="none"/>
          <w:lang w:eastAsia="zh-CN"/>
        </w:rPr>
        <w:t>“</w:t>
      </w:r>
      <w:r>
        <w:rPr>
          <w:rFonts w:hint="eastAsia"/>
          <w:color w:val="auto"/>
          <w:highlight w:val="none"/>
        </w:rPr>
        <w:t>投标人须知前附表”中的规定</w:t>
      </w:r>
      <w:r>
        <w:rPr>
          <w:color w:val="auto"/>
          <w:highlight w:val="none"/>
        </w:rPr>
        <w:t>扣除</w:t>
      </w:r>
      <w:r>
        <w:rPr>
          <w:rFonts w:hint="eastAsia"/>
          <w:color w:val="auto"/>
          <w:highlight w:val="none"/>
        </w:rPr>
        <w:t>，对小微企业中的监狱企业、</w:t>
      </w:r>
      <w:r>
        <w:rPr>
          <w:rFonts w:hint="eastAsia" w:ascii="宋体" w:hAnsi="宋体" w:eastAsia="宋体" w:cs="宋体"/>
          <w:color w:val="auto"/>
          <w:sz w:val="24"/>
          <w:szCs w:val="24"/>
          <w:highlight w:val="none"/>
        </w:rPr>
        <w:t>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1E5F4E03">
      <w:pPr>
        <w:pStyle w:val="39"/>
        <w:numPr>
          <w:ilvl w:val="0"/>
          <w:numId w:val="0"/>
        </w:numPr>
        <w:ind w:firstLine="480" w:firstLineChars="200"/>
        <w:jc w:val="both"/>
        <w:rPr>
          <w:rFonts w:ascii="宋体" w:hAnsi="宋体" w:eastAsia="宋体"/>
          <w:color w:val="auto"/>
          <w:highlight w:val="none"/>
        </w:rPr>
      </w:pPr>
      <w:r>
        <w:rPr>
          <w:rFonts w:hint="eastAsia" w:ascii="宋体" w:hAnsi="宋体" w:eastAsia="宋体"/>
          <w:color w:val="auto"/>
          <w:highlight w:val="none"/>
          <w:lang w:val="en-US" w:eastAsia="zh-CN"/>
        </w:rPr>
        <w:t>1</w:t>
      </w:r>
      <w:r>
        <w:rPr>
          <w:rFonts w:hint="eastAsia"/>
          <w:color w:val="auto"/>
          <w:highlight w:val="none"/>
          <w:lang w:val="en-US" w:eastAsia="zh-CN"/>
        </w:rPr>
        <w:t>3</w:t>
      </w:r>
      <w:r>
        <w:rPr>
          <w:rFonts w:hint="eastAsia" w:ascii="宋体" w:hAnsi="宋体" w:eastAsia="宋体"/>
          <w:color w:val="auto"/>
          <w:highlight w:val="none"/>
          <w:lang w:val="en-US" w:eastAsia="zh-CN"/>
        </w:rPr>
        <w:t>.</w:t>
      </w:r>
      <w:r>
        <w:rPr>
          <w:rFonts w:hint="eastAsia" w:ascii="宋体" w:hAnsi="宋体" w:eastAsia="宋体"/>
          <w:color w:val="auto"/>
          <w:highlight w:val="none"/>
          <w:lang w:val="zh-CN" w:eastAsia="zh-CN"/>
        </w:rPr>
        <w:t>2</w:t>
      </w:r>
      <w:r>
        <w:rPr>
          <w:rFonts w:ascii="宋体" w:hAnsi="宋体" w:eastAsia="宋体"/>
          <w:color w:val="auto"/>
          <w:highlight w:val="none"/>
        </w:rPr>
        <w:t>参加政府采购活动的小微企业</w:t>
      </w:r>
      <w:r>
        <w:rPr>
          <w:rFonts w:hint="eastAsia"/>
          <w:color w:val="auto"/>
          <w:highlight w:val="none"/>
        </w:rPr>
        <w:t>（含节能环保、创新产品企业）</w:t>
      </w:r>
      <w:r>
        <w:rPr>
          <w:rFonts w:ascii="宋体" w:hAnsi="宋体" w:eastAsia="宋体"/>
          <w:color w:val="auto"/>
          <w:highlight w:val="none"/>
        </w:rPr>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olor w:val="auto"/>
          <w:highlight w:val="none"/>
          <w:lang w:val="en-US" w:eastAsia="zh-CN"/>
        </w:rPr>
        <w:t>若供应商同时属于小型或微型企业、监狱企业、残疾人福利性单位 中的两种及以上，将不重复享受小微企业价格扣减的优惠政策。</w:t>
      </w:r>
    </w:p>
    <w:p w14:paraId="1A495953">
      <w:pPr>
        <w:pStyle w:val="39"/>
        <w:numPr>
          <w:ilvl w:val="0"/>
          <w:numId w:val="0"/>
        </w:numPr>
        <w:ind w:firstLine="480" w:firstLineChars="200"/>
        <w:jc w:val="both"/>
        <w:rPr>
          <w:rFonts w:hint="eastAsia"/>
          <w:color w:val="auto"/>
          <w:highlight w:val="none"/>
          <w:lang w:val="en-US" w:eastAsia="zh-CN"/>
        </w:rPr>
      </w:pPr>
      <w:r>
        <w:rPr>
          <w:rFonts w:hint="eastAsia"/>
          <w:color w:val="auto"/>
          <w:highlight w:val="none"/>
          <w:lang w:val="en-US" w:eastAsia="zh-CN"/>
        </w:rPr>
        <w:t>组成联合体或者接受分包的小微企业与联合体内其他企业、分包企业</w:t>
      </w:r>
      <w:r>
        <w:rPr>
          <w:rFonts w:hint="default"/>
          <w:color w:val="auto"/>
          <w:highlight w:val="none"/>
          <w:lang w:val="en-US" w:eastAsia="zh-CN"/>
        </w:rPr>
        <w:t>之间存在直接控股、管理关系的，不享受价格扣除优惠政策。</w:t>
      </w:r>
    </w:p>
    <w:p w14:paraId="4FDAF77C">
      <w:pPr>
        <w:pStyle w:val="39"/>
        <w:numPr>
          <w:ilvl w:val="0"/>
          <w:numId w:val="0"/>
        </w:numPr>
        <w:ind w:firstLine="480" w:firstLineChars="200"/>
        <w:jc w:val="both"/>
        <w:rPr>
          <w:rFonts w:ascii="宋体" w:hAnsi="宋体" w:eastAsia="宋体"/>
          <w:color w:val="auto"/>
          <w:highlight w:val="none"/>
        </w:rPr>
      </w:pPr>
      <w:r>
        <w:rPr>
          <w:rFonts w:ascii="宋体" w:hAnsi="宋体" w:eastAsia="宋体" w:cstheme="minorBidi"/>
          <w:color w:val="auto"/>
          <w:kern w:val="2"/>
          <w:sz w:val="24"/>
          <w:szCs w:val="22"/>
          <w:highlight w:val="none"/>
          <w:lang w:val="en-US" w:eastAsia="zh-CN" w:bidi="ar-SA"/>
        </w:rPr>
        <w:t>价格扣除比例对小型企业和微型企业同等对待，不作区分。</w:t>
      </w:r>
    </w:p>
    <w:p w14:paraId="71DD10A8">
      <w:pPr>
        <w:pStyle w:val="39"/>
        <w:numPr>
          <w:ilvl w:val="0"/>
          <w:numId w:val="0"/>
        </w:numPr>
        <w:ind w:firstLine="480" w:firstLineChars="200"/>
        <w:jc w:val="both"/>
        <w:rPr>
          <w:rFonts w:ascii="宋体" w:hAnsi="宋体" w:eastAsia="宋体"/>
          <w:color w:val="auto"/>
          <w:highlight w:val="none"/>
        </w:rPr>
      </w:pPr>
      <w:r>
        <w:rPr>
          <w:rFonts w:hint="eastAsia" w:ascii="宋体" w:hAnsi="宋体" w:eastAsia="宋体"/>
          <w:color w:val="auto"/>
          <w:highlight w:val="none"/>
          <w:lang w:val="en-US" w:eastAsia="zh-CN"/>
        </w:rPr>
        <w:t>1</w:t>
      </w:r>
      <w:r>
        <w:rPr>
          <w:rFonts w:hint="eastAsia"/>
          <w:color w:val="auto"/>
          <w:highlight w:val="none"/>
          <w:lang w:val="en-US" w:eastAsia="zh-CN"/>
        </w:rPr>
        <w:t>3</w:t>
      </w:r>
      <w:r>
        <w:rPr>
          <w:rFonts w:hint="eastAsia" w:ascii="宋体" w:hAnsi="宋体" w:eastAsia="宋体"/>
          <w:color w:val="auto"/>
          <w:highlight w:val="none"/>
          <w:lang w:val="en-US" w:eastAsia="zh-CN"/>
        </w:rPr>
        <w:t>.</w:t>
      </w:r>
      <w:r>
        <w:rPr>
          <w:rFonts w:hint="eastAsia" w:ascii="宋体" w:hAnsi="宋体" w:eastAsia="宋体"/>
          <w:color w:val="auto"/>
          <w:highlight w:val="none"/>
          <w:lang w:val="zh-CN" w:eastAsia="zh-CN"/>
        </w:rPr>
        <w:t>3</w:t>
      </w:r>
      <w:r>
        <w:rPr>
          <w:rFonts w:ascii="宋体" w:hAnsi="宋体" w:eastAsia="宋体"/>
          <w:color w:val="auto"/>
          <w:highlight w:val="none"/>
        </w:rPr>
        <w:t>专门面向中小企业、预留部分采购份额面向中小企业采购的项目或采购包，评审时不再进行价格扣除。</w:t>
      </w:r>
    </w:p>
    <w:p w14:paraId="3A3EA963">
      <w:pPr>
        <w:pStyle w:val="39"/>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olor w:val="auto"/>
          <w:highlight w:val="none"/>
        </w:rPr>
      </w:pPr>
      <w:r>
        <w:rPr>
          <w:rFonts w:hint="eastAsia" w:ascii="宋体" w:hAnsi="宋体" w:eastAsia="宋体"/>
          <w:color w:val="auto"/>
          <w:highlight w:val="none"/>
          <w:lang w:val="en-US" w:eastAsia="zh-CN"/>
        </w:rPr>
        <w:t>1</w:t>
      </w:r>
      <w:r>
        <w:rPr>
          <w:rFonts w:hint="eastAsia"/>
          <w:color w:val="auto"/>
          <w:highlight w:val="none"/>
          <w:lang w:val="en-US" w:eastAsia="zh-CN"/>
        </w:rPr>
        <w:t>3</w:t>
      </w:r>
      <w:r>
        <w:rPr>
          <w:rFonts w:hint="eastAsia" w:ascii="宋体" w:hAnsi="宋体" w:eastAsia="宋体"/>
          <w:color w:val="auto"/>
          <w:highlight w:val="none"/>
          <w:lang w:val="en-US" w:eastAsia="zh-CN"/>
        </w:rPr>
        <w:t>.4</w:t>
      </w:r>
      <w:r>
        <w:rPr>
          <w:rFonts w:hint="eastAsia" w:ascii="宋体" w:hAnsi="宋体" w:eastAsia="宋体"/>
          <w:color w:val="auto"/>
          <w:highlight w:val="none"/>
        </w:rPr>
        <w:t>对于未预留份额专门面向中小企业的政府采购项目，以及预留份额政府采购项目中的非预留部分标项，对小型和微型企业的投标报价给予10%-</w:t>
      </w:r>
      <w:r>
        <w:rPr>
          <w:rFonts w:ascii="宋体" w:hAnsi="宋体" w:eastAsia="宋体"/>
          <w:color w:val="auto"/>
          <w:highlight w:val="none"/>
        </w:rPr>
        <w:t>20</w:t>
      </w:r>
      <w:r>
        <w:rPr>
          <w:rFonts w:hint="eastAsia" w:ascii="宋体" w:hAnsi="宋体" w:eastAsia="宋体"/>
          <w:color w:val="auto"/>
          <w:highlight w:val="none"/>
        </w:rPr>
        <w:t>%的扣除，用扣除后的价格参与评审。接受大中型企业与小微企业组成联合体或者允许大中型企业向一家或者多家小微企业分包的政府采购项目，对于联合</w:t>
      </w:r>
      <w:r>
        <w:rPr>
          <w:rFonts w:hint="eastAsia" w:ascii="宋体" w:hAnsi="宋体" w:eastAsia="宋体"/>
          <w:color w:val="auto"/>
          <w:highlight w:val="none"/>
          <w:lang w:val="en-US" w:eastAsia="zh-CN"/>
        </w:rPr>
        <w:t>体</w:t>
      </w:r>
      <w:r>
        <w:rPr>
          <w:rFonts w:hint="eastAsia" w:ascii="宋体" w:hAnsi="宋体" w:eastAsia="宋体"/>
          <w:color w:val="auto"/>
          <w:highlight w:val="none"/>
        </w:rPr>
        <w:t>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或者分包意向协议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约定小微企业的合同份额占到合同总金额30%以上的，对联合体或者大中型企业的报价给予4%-</w:t>
      </w:r>
      <w:r>
        <w:rPr>
          <w:rFonts w:ascii="宋体" w:hAnsi="宋体" w:eastAsia="宋体"/>
          <w:color w:val="auto"/>
          <w:highlight w:val="none"/>
        </w:rPr>
        <w:t>6</w:t>
      </w:r>
      <w:r>
        <w:rPr>
          <w:rFonts w:hint="eastAsia" w:ascii="宋体" w:hAnsi="宋体" w:eastAsia="宋体"/>
          <w:color w:val="auto"/>
          <w:highlight w:val="none"/>
        </w:rPr>
        <w:t>%的扣除，用扣除后的价格参加评审。组成联合体或者接受分包的小微企业与联合体内其他企业、分包企业之间存在直接控股、管理关系的，不享受价格扣除优惠政策。</w:t>
      </w:r>
    </w:p>
    <w:p w14:paraId="7B519FEC">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13.5</w:t>
      </w:r>
      <w:r>
        <w:rPr>
          <w:rFonts w:hint="eastAsia"/>
          <w:snapToGrid w:val="0"/>
          <w:color w:val="auto"/>
          <w:sz w:val="24"/>
          <w:highlight w:val="none"/>
          <w:lang w:val="en-US" w:eastAsia="zh-CN"/>
        </w:rPr>
        <w:t>供应商对其提供的产品出具《关于符合本国产品标准的声明函》（样式见附件1，以下简称《声明函》）或财政部会同有关部门规定的有关证明文件。出具符合要求的《声明函》或有关证明文件的，该产品视为本国产品。</w:t>
      </w:r>
    </w:p>
    <w:p w14:paraId="46CBA7AF">
      <w:pPr>
        <w:pStyle w:val="39"/>
        <w:jc w:val="both"/>
        <w:rPr>
          <w:rFonts w:hint="eastAsia" w:ascii="宋体" w:hAnsi="宋体" w:eastAsia="宋体" w:cs="宋体"/>
          <w:color w:val="auto"/>
          <w:sz w:val="24"/>
          <w:szCs w:val="24"/>
          <w:highlight w:val="none"/>
          <w:lang w:val="en-US" w:eastAsia="zh-CN"/>
        </w:rPr>
      </w:pPr>
      <w:r>
        <w:rPr>
          <w:rFonts w:hint="eastAsia"/>
          <w:snapToGrid w:val="0"/>
          <w:color w:val="auto"/>
          <w:sz w:val="24"/>
          <w:highlight w:val="none"/>
          <w:lang w:val="en-US" w:eastAsia="zh-CN"/>
        </w:rPr>
        <w:t>13.6</w:t>
      </w:r>
      <w:r>
        <w:rPr>
          <w:rFonts w:hint="eastAsia" w:eastAsia="宋体"/>
          <w:snapToGrid w:val="0"/>
          <w:color w:val="auto"/>
          <w:sz w:val="24"/>
          <w:highlight w:val="none"/>
          <w:lang w:val="en-US" w:eastAsia="zh-CN"/>
        </w:rPr>
        <w:t>采购标的仅包含单一产品时，</w:t>
      </w:r>
      <w:r>
        <w:rPr>
          <w:rFonts w:hint="eastAsia" w:ascii="宋体" w:hAnsi="宋体" w:eastAsia="宋体" w:cs="宋体"/>
          <w:color w:val="auto"/>
          <w:sz w:val="24"/>
          <w:szCs w:val="24"/>
          <w:highlight w:val="none"/>
          <w:lang w:val="en-US" w:eastAsia="zh-CN"/>
        </w:rPr>
        <w:t>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65C3AFB4">
      <w:pPr>
        <w:pStyle w:val="39"/>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564B303F">
      <w:pPr>
        <w:pStyle w:val="39"/>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8</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495AB002">
      <w:pPr>
        <w:pStyle w:val="39"/>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428B8848">
      <w:pPr>
        <w:pStyle w:val="39"/>
        <w:jc w:val="both"/>
        <w:rPr>
          <w:rFonts w:hint="eastAsia" w:ascii="宋体" w:hAnsi="宋体" w:eastAsia="宋体"/>
          <w:color w:val="auto"/>
          <w:highlight w:val="none"/>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9</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48FFFD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5" w:name="_Toc1351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365"/>
    </w:p>
    <w:p w14:paraId="073A56A5">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14.评标过程中，各项分值一般精确到小数点后两位，评标得分应为商务评分、技术评分、报价评分之和。评标委员会各成员应汇总每个投标人的得分。</w:t>
      </w:r>
    </w:p>
    <w:p w14:paraId="0BE80DC7">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14.1.评标结果汇总完成后，采购代理机构应对评标结果进行复核。经复核发现存在以下情形之一的，</w:t>
      </w:r>
      <w:r>
        <w:rPr>
          <w:rFonts w:hint="eastAsia"/>
          <w:iCs/>
          <w:color w:val="auto"/>
          <w:spacing w:val="-6"/>
          <w:sz w:val="24"/>
          <w:highlight w:val="none"/>
          <w:lang w:val="en-US" w:eastAsia="zh-CN"/>
        </w:rPr>
        <w:t>评标委员会应当当场修改评标结果，并在评标报告中记载</w:t>
      </w:r>
      <w:r>
        <w:rPr>
          <w:rFonts w:hint="eastAsia"/>
          <w:color w:val="auto"/>
          <w:highlight w:val="none"/>
          <w:lang w:val="en-US" w:eastAsia="zh-CN"/>
        </w:rPr>
        <w:t>：</w:t>
      </w:r>
    </w:p>
    <w:p w14:paraId="427128F3">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s="宋体"/>
          <w:iCs/>
          <w:color w:val="auto"/>
          <w:kern w:val="2"/>
          <w:sz w:val="24"/>
          <w:szCs w:val="24"/>
          <w:highlight w:val="none"/>
          <w:shd w:val="clear" w:fill="FFFFFF" w:themeFill="background1"/>
          <w:lang w:val="en-US" w:eastAsia="zh-CN" w:bidi="ar-SA"/>
        </w:rPr>
        <w:t>（1）</w:t>
      </w:r>
      <w:r>
        <w:rPr>
          <w:rFonts w:hint="eastAsia"/>
          <w:color w:val="auto"/>
          <w:highlight w:val="none"/>
          <w:lang w:val="en-US" w:eastAsia="zh-CN"/>
        </w:rPr>
        <w:t>分值汇总计算错误的；</w:t>
      </w:r>
    </w:p>
    <w:p w14:paraId="4404F7B4">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（2）分项评分超出评分标准范围的；</w:t>
      </w:r>
    </w:p>
    <w:p w14:paraId="18150CA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（3）评标委员会成员对客观评审因素评分不一致的；</w:t>
      </w:r>
    </w:p>
    <w:p w14:paraId="6BFAB3DA">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（4）经评标委员会认定评分畸高、畸低的。</w:t>
      </w:r>
    </w:p>
    <w:p w14:paraId="0FD26D1C">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15.各投标人的最终得分为评标委员会所有成员对各投标人评标得分汇总后的算术平均值。</w:t>
      </w:r>
    </w:p>
    <w:p w14:paraId="1FD846A7">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2280223">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15.2采购人或者采购代理机构不得通过对样品进行检测、对投标人进行考察等方式改变评审结果。</w:t>
      </w:r>
    </w:p>
    <w:p w14:paraId="5AB9E04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6" w:name="_Toc17225"/>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366"/>
    </w:p>
    <w:p w14:paraId="514ADBD8">
      <w:pPr>
        <w:pStyle w:val="39"/>
        <w:jc w:val="both"/>
        <w:rPr>
          <w:rFonts w:hint="eastAsia"/>
          <w:color w:val="auto"/>
          <w:highlight w:val="none"/>
        </w:rPr>
      </w:pPr>
      <w:r>
        <w:rPr>
          <w:rFonts w:hint="eastAsia"/>
          <w:color w:val="auto"/>
          <w:highlight w:val="none"/>
          <w:lang w:val="en-US" w:eastAsia="zh-CN"/>
        </w:rPr>
        <w:t>16.</w:t>
      </w:r>
      <w:r>
        <w:rPr>
          <w:rFonts w:hint="eastAsia"/>
          <w:color w:val="auto"/>
          <w:highlight w:val="none"/>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Pr>
          <w:rFonts w:hint="eastAsia"/>
          <w:color w:val="auto"/>
          <w:highlight w:val="none"/>
          <w:lang w:val="en-US" w:eastAsia="zh-CN"/>
        </w:rPr>
        <w:t>按</w:t>
      </w:r>
      <w:r>
        <w:rPr>
          <w:rFonts w:hint="eastAsia"/>
          <w:color w:val="auto"/>
          <w:highlight w:val="none"/>
        </w:rPr>
        <w:t>技术指标</w:t>
      </w:r>
      <w:r>
        <w:rPr>
          <w:rFonts w:hint="eastAsia"/>
          <w:color w:val="auto"/>
          <w:highlight w:val="none"/>
          <w:lang w:val="en-US" w:eastAsia="zh-CN"/>
        </w:rPr>
        <w:t>优劣顺序排列</w:t>
      </w:r>
      <w:r>
        <w:rPr>
          <w:rFonts w:hint="eastAsia"/>
          <w:color w:val="auto"/>
          <w:highlight w:val="none"/>
        </w:rPr>
        <w:t>。</w:t>
      </w:r>
    </w:p>
    <w:p w14:paraId="3B1F6C1A">
      <w:pPr>
        <w:pStyle w:val="39"/>
        <w:jc w:val="both"/>
        <w:rPr>
          <w:color w:val="auto"/>
          <w:highlight w:val="none"/>
        </w:rPr>
      </w:pPr>
      <w:r>
        <w:rPr>
          <w:rFonts w:hint="eastAsia"/>
          <w:color w:val="auto"/>
          <w:highlight w:val="none"/>
          <w:lang w:val="en-US" w:eastAsia="zh-CN"/>
        </w:rPr>
        <w:t>17.</w:t>
      </w:r>
      <w:r>
        <w:rPr>
          <w:rFonts w:hint="eastAsia"/>
          <w:color w:val="auto"/>
          <w:highlight w:val="none"/>
        </w:rPr>
        <w:t>中标候选人</w:t>
      </w:r>
      <w:r>
        <w:rPr>
          <w:rFonts w:hint="eastAsia"/>
          <w:color w:val="auto"/>
          <w:highlight w:val="none"/>
          <w:lang w:val="en-US" w:eastAsia="zh-CN"/>
        </w:rPr>
        <w:t>推荐家数详</w:t>
      </w:r>
      <w:r>
        <w:rPr>
          <w:rFonts w:hint="eastAsia"/>
          <w:color w:val="auto"/>
          <w:highlight w:val="none"/>
        </w:rPr>
        <w:t>见“</w:t>
      </w:r>
      <w:r>
        <w:rPr>
          <w:rFonts w:hint="eastAsia"/>
          <w:color w:val="auto"/>
          <w:highlight w:val="none"/>
          <w:lang w:val="en-US" w:eastAsia="zh-CN"/>
        </w:rPr>
        <w:t>投标人须知</w:t>
      </w:r>
      <w:r>
        <w:rPr>
          <w:rFonts w:hint="eastAsia"/>
          <w:color w:val="auto"/>
          <w:highlight w:val="none"/>
        </w:rPr>
        <w:t>前附表”。</w:t>
      </w:r>
    </w:p>
    <w:p w14:paraId="1F98E10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7" w:name="_Toc2157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367"/>
    </w:p>
    <w:p w14:paraId="3576CABA">
      <w:pPr>
        <w:pStyle w:val="39"/>
        <w:jc w:val="both"/>
        <w:rPr>
          <w:color w:val="auto"/>
          <w:highlight w:val="none"/>
        </w:rPr>
      </w:pPr>
      <w:r>
        <w:rPr>
          <w:rFonts w:hint="eastAsia"/>
          <w:color w:val="auto"/>
          <w:highlight w:val="none"/>
          <w:lang w:val="en-US" w:eastAsia="zh-CN"/>
        </w:rPr>
        <w:t>18.</w:t>
      </w:r>
      <w:r>
        <w:rPr>
          <w:rFonts w:hint="eastAsia"/>
          <w:color w:val="auto"/>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68" w:name="_Toc163492906"/>
      <w:bookmarkStart w:id="369" w:name="_Toc102119852"/>
      <w:bookmarkStart w:id="370" w:name="_Toc102057717"/>
      <w:bookmarkStart w:id="371" w:name="_Toc102116021"/>
      <w:bookmarkStart w:id="372" w:name="_Toc102116151"/>
      <w:bookmarkStart w:id="373" w:name="_Toc102056217"/>
      <w:bookmarkStart w:id="374" w:name="_Toc1587"/>
      <w:bookmarkStart w:id="375" w:name="_Toc155185913"/>
      <w:bookmarkStart w:id="376" w:name="_Toc102114919"/>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368"/>
      <w:bookmarkEnd w:id="369"/>
      <w:bookmarkEnd w:id="370"/>
      <w:bookmarkEnd w:id="371"/>
      <w:bookmarkEnd w:id="372"/>
      <w:bookmarkEnd w:id="373"/>
      <w:bookmarkEnd w:id="374"/>
      <w:bookmarkEnd w:id="375"/>
      <w:bookmarkEnd w:id="376"/>
    </w:p>
    <w:p w14:paraId="2D93D6F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19.投标人存在下列情形之一的，</w:t>
      </w:r>
      <w:r>
        <w:rPr>
          <w:rFonts w:hint="eastAsia"/>
          <w:b/>
          <w:bCs/>
          <w:color w:val="auto"/>
          <w:highlight w:val="none"/>
          <w:lang w:val="en-US" w:eastAsia="zh-CN"/>
        </w:rPr>
        <w:t>投标无效</w:t>
      </w:r>
      <w:r>
        <w:rPr>
          <w:rFonts w:hint="eastAsia"/>
          <w:color w:val="auto"/>
          <w:highlight w:val="none"/>
          <w:lang w:val="en-US" w:eastAsia="zh-CN"/>
        </w:rPr>
        <w:t>：</w:t>
      </w:r>
    </w:p>
    <w:p w14:paraId="5C1B2C9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投标人</w:t>
      </w:r>
      <w:r>
        <w:rPr>
          <w:rFonts w:hint="eastAsia"/>
          <w:color w:val="auto"/>
          <w:highlight w:val="none"/>
          <w:lang w:val="zh-CN" w:eastAsia="zh-CN"/>
        </w:rPr>
        <w:t>不具备《中华人民共和国政府采购法》第二十二条规定条件</w:t>
      </w:r>
      <w:r>
        <w:rPr>
          <w:rFonts w:hint="eastAsia"/>
          <w:color w:val="auto"/>
          <w:highlight w:val="none"/>
          <w:lang w:val="en-US" w:eastAsia="zh-CN"/>
        </w:rPr>
        <w:t>；</w:t>
      </w:r>
    </w:p>
    <w:p w14:paraId="15C939E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eastAsia="宋体"/>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2</w:t>
      </w:r>
      <w:r>
        <w:rPr>
          <w:rFonts w:hint="eastAsia"/>
          <w:color w:val="auto"/>
          <w:highlight w:val="none"/>
        </w:rPr>
        <w:t>投标文件未按招标文件要求签署、盖章的</w:t>
      </w:r>
      <w:r>
        <w:rPr>
          <w:rFonts w:hint="eastAsia"/>
          <w:color w:val="auto"/>
          <w:highlight w:val="none"/>
          <w:lang w:val="en-US" w:eastAsia="zh-CN"/>
        </w:rPr>
        <w:t>；</w:t>
      </w:r>
    </w:p>
    <w:p w14:paraId="0A936FC6">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3</w:t>
      </w:r>
      <w:r>
        <w:rPr>
          <w:rFonts w:hint="eastAsia"/>
          <w:color w:val="auto"/>
          <w:highlight w:val="none"/>
          <w:lang w:val="en-US" w:eastAsia="zh-CN"/>
        </w:rPr>
        <w:t>不具备招标文件中规定的资格要求的（投标人未提供有效资格文件的，视为投标人不具备招标文件中规定的资格要求）；</w:t>
      </w:r>
    </w:p>
    <w:p w14:paraId="0C68E355">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4</w:t>
      </w:r>
      <w:r>
        <w:rPr>
          <w:rFonts w:hint="eastAsia"/>
          <w:color w:val="auto"/>
          <w:highlight w:val="none"/>
          <w:lang w:val="en-US" w:eastAsia="zh-CN"/>
        </w:rPr>
        <w:t>投标</w:t>
      </w:r>
      <w:r>
        <w:rPr>
          <w:rFonts w:hint="eastAsia"/>
          <w:color w:val="auto"/>
          <w:highlight w:val="none"/>
          <w:lang w:val="zh-CN" w:eastAsia="zh-CN"/>
        </w:rPr>
        <w:t>文件提供虚假材料的</w:t>
      </w:r>
      <w:r>
        <w:rPr>
          <w:rFonts w:hint="eastAsia"/>
          <w:color w:val="auto"/>
          <w:highlight w:val="none"/>
          <w:lang w:val="en-US" w:eastAsia="zh-CN"/>
        </w:rPr>
        <w:t>；</w:t>
      </w:r>
    </w:p>
    <w:p w14:paraId="3FDAE166">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5</w:t>
      </w:r>
      <w:r>
        <w:rPr>
          <w:rFonts w:hint="eastAsia"/>
          <w:color w:val="auto"/>
          <w:highlight w:val="none"/>
          <w:lang w:val="en-US" w:eastAsia="zh-CN"/>
        </w:rPr>
        <w:t>投标</w:t>
      </w:r>
      <w:r>
        <w:rPr>
          <w:rFonts w:hint="eastAsia"/>
          <w:color w:val="auto"/>
          <w:highlight w:val="none"/>
          <w:lang w:val="zh-CN" w:eastAsia="zh-CN"/>
        </w:rPr>
        <w:t>文件不满足</w:t>
      </w:r>
      <w:r>
        <w:rPr>
          <w:rFonts w:hint="eastAsia"/>
          <w:color w:val="auto"/>
          <w:highlight w:val="none"/>
          <w:lang w:val="en-US" w:eastAsia="zh-CN"/>
        </w:rPr>
        <w:t>招标</w:t>
      </w:r>
      <w:r>
        <w:rPr>
          <w:rFonts w:hint="eastAsia"/>
          <w:color w:val="auto"/>
          <w:highlight w:val="none"/>
          <w:lang w:val="zh-CN" w:eastAsia="zh-CN"/>
        </w:rPr>
        <w:t>文件中标注“★”号的实质性条款（或指标）要求的</w:t>
      </w:r>
      <w:r>
        <w:rPr>
          <w:rFonts w:hint="eastAsia"/>
          <w:color w:val="auto"/>
          <w:highlight w:val="none"/>
          <w:lang w:val="en-US" w:eastAsia="zh-CN"/>
        </w:rPr>
        <w:t>；</w:t>
      </w:r>
    </w:p>
    <w:p w14:paraId="2C5FC304">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6</w:t>
      </w:r>
      <w:r>
        <w:rPr>
          <w:rFonts w:hint="eastAsia"/>
          <w:color w:val="auto"/>
          <w:highlight w:val="none"/>
          <w:lang w:val="en-US" w:eastAsia="zh-CN"/>
        </w:rPr>
        <w:t>投标人</w:t>
      </w:r>
      <w:r>
        <w:rPr>
          <w:rFonts w:hint="eastAsia"/>
          <w:color w:val="auto"/>
          <w:highlight w:val="none"/>
          <w:lang w:val="zh-CN" w:eastAsia="zh-CN"/>
        </w:rPr>
        <w:t>报价超过招标文件中规定的</w:t>
      </w:r>
      <w:r>
        <w:rPr>
          <w:rFonts w:hint="eastAsia" w:ascii="宋体" w:hAnsi="宋体" w:eastAsia="宋体"/>
          <w:color w:val="auto"/>
          <w:highlight w:val="none"/>
          <w:lang w:val="en-US" w:eastAsia="zh-CN"/>
        </w:rPr>
        <w:t>最高限价或者预算金额</w:t>
      </w:r>
      <w:r>
        <w:rPr>
          <w:rFonts w:hint="eastAsia"/>
          <w:color w:val="auto"/>
          <w:highlight w:val="none"/>
          <w:lang w:val="zh-CN" w:eastAsia="zh-CN"/>
        </w:rPr>
        <w:t>的</w:t>
      </w:r>
      <w:r>
        <w:rPr>
          <w:rFonts w:hint="eastAsia"/>
          <w:color w:val="auto"/>
          <w:highlight w:val="none"/>
          <w:lang w:val="en-US" w:eastAsia="zh-CN"/>
        </w:rPr>
        <w:t>；</w:t>
      </w:r>
    </w:p>
    <w:p w14:paraId="6FC2A54F">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7联合体的供应商未提交各方共同签署的</w:t>
      </w:r>
      <w:r>
        <w:rPr>
          <w:rFonts w:hint="eastAsia"/>
          <w:color w:val="auto"/>
          <w:highlight w:val="none"/>
          <w:lang w:val="en-US" w:eastAsia="zh-CN"/>
        </w:rPr>
        <w:t>联合体</w:t>
      </w:r>
      <w:r>
        <w:rPr>
          <w:rFonts w:hint="eastAsia"/>
          <w:color w:val="auto"/>
          <w:highlight w:val="none"/>
          <w:lang w:val="zh-CN" w:eastAsia="zh-CN"/>
        </w:rPr>
        <w:t>协议</w:t>
      </w:r>
      <w:r>
        <w:rPr>
          <w:rFonts w:hint="eastAsia"/>
          <w:color w:val="auto"/>
          <w:highlight w:val="none"/>
          <w:lang w:val="en-US" w:eastAsia="zh-CN"/>
        </w:rPr>
        <w:t>的；</w:t>
      </w:r>
    </w:p>
    <w:p w14:paraId="4D1E7850">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8</w:t>
      </w:r>
      <w:r>
        <w:rPr>
          <w:rFonts w:hint="eastAsia"/>
          <w:color w:val="auto"/>
          <w:highlight w:val="none"/>
          <w:lang w:val="en-US" w:eastAsia="zh-CN"/>
        </w:rPr>
        <w:t>投标人</w:t>
      </w:r>
      <w:r>
        <w:rPr>
          <w:rFonts w:hint="eastAsia"/>
          <w:color w:val="auto"/>
          <w:highlight w:val="none"/>
          <w:lang w:val="zh-CN" w:eastAsia="zh-CN"/>
        </w:rPr>
        <w:t>未按</w:t>
      </w:r>
      <w:r>
        <w:rPr>
          <w:rFonts w:hint="eastAsia"/>
          <w:color w:val="auto"/>
          <w:highlight w:val="none"/>
          <w:lang w:val="en-US" w:eastAsia="zh-CN"/>
        </w:rPr>
        <w:t>招标</w:t>
      </w:r>
      <w:r>
        <w:rPr>
          <w:rFonts w:hint="eastAsia"/>
          <w:color w:val="auto"/>
          <w:highlight w:val="none"/>
          <w:lang w:val="zh-CN" w:eastAsia="zh-CN"/>
        </w:rPr>
        <w:t>文件</w:t>
      </w:r>
      <w:r>
        <w:rPr>
          <w:rFonts w:hint="eastAsia"/>
          <w:color w:val="auto"/>
          <w:highlight w:val="none"/>
          <w:lang w:val="en-US" w:eastAsia="zh-CN"/>
        </w:rPr>
        <w:t>的规定</w:t>
      </w:r>
      <w:r>
        <w:rPr>
          <w:rFonts w:hint="eastAsia"/>
          <w:color w:val="auto"/>
          <w:highlight w:val="none"/>
          <w:lang w:val="zh-CN" w:eastAsia="zh-CN"/>
        </w:rPr>
        <w:t>交纳投标保证金</w:t>
      </w:r>
      <w:r>
        <w:rPr>
          <w:rFonts w:hint="eastAsia"/>
          <w:color w:val="auto"/>
          <w:highlight w:val="none"/>
          <w:lang w:val="en-US" w:eastAsia="zh-CN"/>
        </w:rPr>
        <w:t>的；</w:t>
      </w:r>
    </w:p>
    <w:p w14:paraId="149A35CB">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9评审期间,</w:t>
      </w:r>
      <w:r>
        <w:rPr>
          <w:rFonts w:hint="eastAsia"/>
          <w:color w:val="auto"/>
          <w:highlight w:val="none"/>
          <w:lang w:val="en-US" w:eastAsia="zh-CN"/>
        </w:rPr>
        <w:t>投标人</w:t>
      </w:r>
      <w:r>
        <w:rPr>
          <w:rFonts w:hint="eastAsia"/>
          <w:color w:val="auto"/>
          <w:highlight w:val="none"/>
          <w:lang w:val="zh-CN" w:eastAsia="zh-CN"/>
        </w:rPr>
        <w:t>没有按评标委员会的要求提交经授权代表签字的澄清、说明、补正或改变了</w:t>
      </w:r>
      <w:r>
        <w:rPr>
          <w:rFonts w:hint="eastAsia"/>
          <w:color w:val="auto"/>
          <w:highlight w:val="none"/>
          <w:lang w:val="en-US" w:eastAsia="zh-CN"/>
        </w:rPr>
        <w:t>投标</w:t>
      </w:r>
      <w:r>
        <w:rPr>
          <w:rFonts w:hint="eastAsia"/>
          <w:color w:val="auto"/>
          <w:highlight w:val="none"/>
          <w:lang w:val="zh-CN" w:eastAsia="zh-CN"/>
        </w:rPr>
        <w:t>文件的实质性内容</w:t>
      </w:r>
      <w:r>
        <w:rPr>
          <w:rFonts w:hint="eastAsia"/>
          <w:color w:val="auto"/>
          <w:highlight w:val="none"/>
          <w:lang w:val="en-US" w:eastAsia="zh-CN"/>
        </w:rPr>
        <w:t>的；</w:t>
      </w:r>
    </w:p>
    <w:p w14:paraId="19EFB935">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10</w:t>
      </w:r>
      <w:r>
        <w:rPr>
          <w:rFonts w:hint="eastAsia"/>
          <w:color w:val="auto"/>
          <w:highlight w:val="none"/>
          <w:lang w:val="en-US" w:eastAsia="zh-CN"/>
        </w:rPr>
        <w:t>投标人</w:t>
      </w:r>
      <w:r>
        <w:rPr>
          <w:rFonts w:hint="eastAsia"/>
          <w:color w:val="auto"/>
          <w:highlight w:val="none"/>
          <w:lang w:val="zh-CN" w:eastAsia="zh-CN"/>
        </w:rPr>
        <w:t>对采购人、采购代理机构、评标委员会及其工作人员施加影响,有碍公平、公正</w:t>
      </w:r>
      <w:r>
        <w:rPr>
          <w:rFonts w:hint="eastAsia"/>
          <w:color w:val="auto"/>
          <w:highlight w:val="none"/>
          <w:lang w:val="en-US" w:eastAsia="zh-CN"/>
        </w:rPr>
        <w:t>的；</w:t>
      </w:r>
    </w:p>
    <w:p w14:paraId="3A6B2386">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default"/>
          <w:color w:val="auto"/>
          <w:highlight w:val="none"/>
          <w:lang w:val="en-US" w:eastAsia="zh-CN"/>
        </w:rPr>
      </w:pPr>
      <w:r>
        <w:rPr>
          <w:rFonts w:hint="eastAsia"/>
          <w:color w:val="auto"/>
          <w:highlight w:val="none"/>
          <w:lang w:val="en-US" w:eastAsia="zh-CN"/>
        </w:rPr>
        <w:t>19.11投标文件含有采购人不能接受的附加条件的；</w:t>
      </w:r>
    </w:p>
    <w:p w14:paraId="3764E979">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2</w:t>
      </w:r>
      <w:r>
        <w:rPr>
          <w:rFonts w:hint="eastAsia"/>
          <w:color w:val="auto"/>
          <w:highlight w:val="none"/>
          <w:lang w:val="zh-CN" w:eastAsia="zh-CN"/>
        </w:rPr>
        <w:t>法律、法规、规章规定属于</w:t>
      </w:r>
      <w:r>
        <w:rPr>
          <w:rFonts w:hint="eastAsia"/>
          <w:color w:val="auto"/>
          <w:highlight w:val="none"/>
          <w:lang w:val="en-US" w:eastAsia="zh-CN"/>
        </w:rPr>
        <w:t>投标</w:t>
      </w:r>
      <w:r>
        <w:rPr>
          <w:rFonts w:hint="eastAsia"/>
          <w:color w:val="auto"/>
          <w:highlight w:val="none"/>
          <w:lang w:val="zh-CN" w:eastAsia="zh-CN"/>
        </w:rPr>
        <w:t>无效的其他情形。</w:t>
      </w:r>
    </w:p>
    <w:p w14:paraId="601D7976">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20.有下列情形之一的，视为投标人串通投标，其</w:t>
      </w:r>
      <w:r>
        <w:rPr>
          <w:rFonts w:hint="eastAsia"/>
          <w:b/>
          <w:bCs/>
          <w:color w:val="auto"/>
          <w:highlight w:val="none"/>
          <w:lang w:val="en-US" w:eastAsia="zh-CN"/>
        </w:rPr>
        <w:t>投标无效</w:t>
      </w:r>
      <w:r>
        <w:rPr>
          <w:rFonts w:hint="eastAsia"/>
          <w:color w:val="auto"/>
          <w:highlight w:val="none"/>
          <w:lang w:val="en-US" w:eastAsia="zh-CN"/>
        </w:rPr>
        <w:t>：</w:t>
      </w:r>
    </w:p>
    <w:p w14:paraId="0BD50610">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20.1不同投标人的投标文件由同一单位或者个人编制；</w:t>
      </w:r>
    </w:p>
    <w:p w14:paraId="3181555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20.2不同投标人委托同一单位或者个人办理投标事宜；</w:t>
      </w:r>
    </w:p>
    <w:p w14:paraId="3AD2037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20.3不同投标人的投标文件载明的项目管理成员或者联系人员为同一人；</w:t>
      </w:r>
    </w:p>
    <w:p w14:paraId="3F168EA2">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20.4不同投标人的投标文件异常一致或者投标报价呈规律性差异；</w:t>
      </w:r>
    </w:p>
    <w:p w14:paraId="634E7939">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20.5不同投标人的投标文件相互混装；</w:t>
      </w:r>
    </w:p>
    <w:p w14:paraId="3B078CE3">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20.6不同投标人的投标保证金从同一单位或者个人的账户转出；</w:t>
      </w:r>
    </w:p>
    <w:p w14:paraId="1C3AF755">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20.7</w:t>
      </w:r>
      <w:r>
        <w:rPr>
          <w:rFonts w:hint="eastAsia"/>
          <w:color w:val="auto"/>
          <w:highlight w:val="none"/>
          <w:lang w:val="zh-CN" w:eastAsia="zh-CN"/>
        </w:rPr>
        <w:t>不同投标人使用同一电脑（机器特征值一致：如MAC地址等）或使用同一电子密钥，编制或上传电子投标文件</w:t>
      </w:r>
      <w:r>
        <w:rPr>
          <w:rFonts w:hint="eastAsia"/>
          <w:color w:val="auto"/>
          <w:highlight w:val="none"/>
          <w:lang w:val="en-US" w:eastAsia="zh-CN"/>
        </w:rPr>
        <w:t>；</w:t>
      </w:r>
    </w:p>
    <w:p w14:paraId="0641DF48">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default" w:eastAsia="宋体"/>
          <w:color w:val="auto"/>
          <w:highlight w:val="none"/>
          <w:lang w:val="en-US" w:eastAsia="zh-CN"/>
        </w:rPr>
      </w:pPr>
      <w:r>
        <w:rPr>
          <w:rFonts w:hint="eastAsia"/>
          <w:color w:val="auto"/>
          <w:highlight w:val="none"/>
          <w:lang w:val="en-US" w:eastAsia="zh-CN"/>
        </w:rPr>
        <w:t>20.8法律、法规、规章规定属于投标人串通投标的其他情形</w:t>
      </w:r>
      <w:r>
        <w:rPr>
          <w:rFonts w:hint="eastAsia"/>
          <w:color w:val="auto"/>
          <w:highlight w:val="none"/>
          <w:lang w:val="zh-CN" w:eastAsia="zh-CN"/>
        </w:rPr>
        <w:t>。</w:t>
      </w:r>
    </w:p>
    <w:p w14:paraId="737FAF06">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21</w:t>
      </w:r>
      <w:r>
        <w:rPr>
          <w:color w:val="auto"/>
          <w:highlight w:val="none"/>
        </w:rPr>
        <w:t>.</w:t>
      </w:r>
      <w:r>
        <w:rPr>
          <w:rFonts w:hint="eastAsia"/>
          <w:color w:val="auto"/>
          <w:highlight w:val="none"/>
        </w:rPr>
        <w:t>根据《中华人民共和国政府采购法》第三十六条之规定，在招标采购过程中，出现下列情形之一的，应予</w:t>
      </w:r>
      <w:r>
        <w:rPr>
          <w:rFonts w:hint="eastAsia"/>
          <w:b/>
          <w:bCs/>
          <w:color w:val="auto"/>
          <w:highlight w:val="none"/>
        </w:rPr>
        <w:t>废标</w:t>
      </w:r>
      <w:r>
        <w:rPr>
          <w:rFonts w:hint="eastAsia"/>
          <w:color w:val="auto"/>
          <w:highlight w:val="none"/>
        </w:rPr>
        <w:t>：</w:t>
      </w:r>
    </w:p>
    <w:p w14:paraId="2C92042A">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21</w:t>
      </w:r>
      <w:r>
        <w:rPr>
          <w:color w:val="auto"/>
          <w:highlight w:val="none"/>
        </w:rPr>
        <w:t>.1</w:t>
      </w:r>
      <w:r>
        <w:rPr>
          <w:rFonts w:hint="eastAsia"/>
          <w:iCs/>
          <w:color w:val="auto"/>
          <w:spacing w:val="-6"/>
          <w:sz w:val="24"/>
          <w:highlight w:val="none"/>
        </w:rPr>
        <w:t>符合专业条件的供应商或者对招标文件作实质响应的供应商不足3家的；</w:t>
      </w:r>
    </w:p>
    <w:p w14:paraId="34ECD7A2">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21</w:t>
      </w:r>
      <w:r>
        <w:rPr>
          <w:color w:val="auto"/>
          <w:highlight w:val="none"/>
        </w:rPr>
        <w:t>.2</w:t>
      </w:r>
      <w:r>
        <w:rPr>
          <w:rFonts w:hint="eastAsia"/>
          <w:color w:val="auto"/>
          <w:highlight w:val="none"/>
        </w:rPr>
        <w:t>出现影响采购公正的违法、违规行为的；</w:t>
      </w:r>
    </w:p>
    <w:p w14:paraId="55223AA1">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21</w:t>
      </w:r>
      <w:r>
        <w:rPr>
          <w:color w:val="auto"/>
          <w:highlight w:val="none"/>
        </w:rPr>
        <w:t>.3</w:t>
      </w:r>
      <w:r>
        <w:rPr>
          <w:rFonts w:hint="eastAsia"/>
          <w:color w:val="auto"/>
          <w:highlight w:val="none"/>
        </w:rPr>
        <w:t>投标人的报价均超过了采购预算，采购人不能支付的；</w:t>
      </w:r>
    </w:p>
    <w:p w14:paraId="238CC2DB">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lang w:val="en-US" w:eastAsia="zh-CN"/>
        </w:rPr>
      </w:pPr>
      <w:r>
        <w:rPr>
          <w:rFonts w:hint="eastAsia"/>
          <w:color w:val="auto"/>
          <w:highlight w:val="none"/>
          <w:lang w:val="en-US" w:eastAsia="zh-CN"/>
        </w:rPr>
        <w:t>21</w:t>
      </w:r>
      <w:r>
        <w:rPr>
          <w:color w:val="auto"/>
          <w:highlight w:val="none"/>
        </w:rPr>
        <w:t>.4</w:t>
      </w:r>
      <w:r>
        <w:rPr>
          <w:rFonts w:hint="eastAsia"/>
          <w:color w:val="auto"/>
          <w:highlight w:val="none"/>
        </w:rPr>
        <w:t>因重大变故，采购任务取消的</w:t>
      </w:r>
      <w:r>
        <w:rPr>
          <w:rFonts w:hint="eastAsia"/>
          <w:color w:val="auto"/>
          <w:highlight w:val="none"/>
          <w:lang w:val="en-US" w:eastAsia="zh-CN"/>
        </w:rPr>
        <w:t>；</w:t>
      </w:r>
    </w:p>
    <w:p w14:paraId="42948BC7">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21.5</w:t>
      </w:r>
      <w:r>
        <w:rPr>
          <w:rFonts w:hint="eastAsia"/>
          <w:color w:val="auto"/>
          <w:highlight w:val="none"/>
        </w:rPr>
        <w:t>法律、法规、规章规定属于</w:t>
      </w:r>
      <w:r>
        <w:rPr>
          <w:rFonts w:hint="eastAsia"/>
          <w:color w:val="auto"/>
          <w:highlight w:val="none"/>
          <w:lang w:val="en-US" w:eastAsia="zh-CN"/>
        </w:rPr>
        <w:t>废标</w:t>
      </w:r>
      <w:r>
        <w:rPr>
          <w:rFonts w:hint="eastAsia"/>
          <w:color w:val="auto"/>
          <w:highlight w:val="none"/>
        </w:rPr>
        <w:t>的其他情形。</w:t>
      </w:r>
    </w:p>
    <w:p w14:paraId="3EE39131">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22.</w:t>
      </w:r>
      <w:r>
        <w:rPr>
          <w:rFonts w:hint="eastAsia"/>
          <w:color w:val="auto"/>
          <w:highlight w:val="none"/>
        </w:rPr>
        <w:t>废标后，采购人应当将废标理由通知所有投标人。</w:t>
      </w:r>
    </w:p>
    <w:p w14:paraId="05AB6DCD">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77" w:name="_Toc163492907"/>
      <w:bookmarkStart w:id="378" w:name="_Toc102116022"/>
      <w:bookmarkStart w:id="379" w:name="_Toc102116152"/>
      <w:bookmarkStart w:id="380" w:name="_Toc155185914"/>
      <w:bookmarkStart w:id="381" w:name="_Toc12911"/>
      <w:bookmarkStart w:id="382" w:name="_Toc102114920"/>
      <w:bookmarkStart w:id="383" w:name="_Toc102057718"/>
      <w:bookmarkStart w:id="384" w:name="_Toc102119853"/>
      <w:bookmarkStart w:id="385" w:name="_Toc1020562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377"/>
      <w:bookmarkEnd w:id="378"/>
      <w:bookmarkEnd w:id="379"/>
      <w:bookmarkEnd w:id="380"/>
      <w:bookmarkEnd w:id="381"/>
      <w:bookmarkEnd w:id="382"/>
      <w:bookmarkEnd w:id="383"/>
      <w:bookmarkEnd w:id="384"/>
      <w:bookmarkEnd w:id="385"/>
    </w:p>
    <w:p w14:paraId="190044DE">
      <w:pPr>
        <w:pStyle w:val="39"/>
        <w:jc w:val="both"/>
        <w:rPr>
          <w:rFonts w:hint="eastAsia"/>
          <w:color w:val="auto"/>
          <w:highlight w:val="none"/>
        </w:rPr>
      </w:pPr>
      <w:r>
        <w:rPr>
          <w:rFonts w:hint="eastAsia"/>
          <w:color w:val="auto"/>
          <w:highlight w:val="none"/>
          <w:lang w:val="en-US" w:eastAsia="zh-CN"/>
        </w:rPr>
        <w:t>23</w:t>
      </w:r>
      <w:r>
        <w:rPr>
          <w:color w:val="auto"/>
          <w:highlight w:val="none"/>
        </w:rPr>
        <w:t>.</w:t>
      </w: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86" w:name="_Toc2192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386"/>
    </w:p>
    <w:p w14:paraId="461B653A">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有</w:t>
      </w:r>
      <w:r>
        <w:rPr>
          <w:rFonts w:hint="eastAsia"/>
          <w:color w:val="auto"/>
          <w:highlight w:val="none"/>
          <w:lang w:eastAsia="zh-CN"/>
        </w:rPr>
        <w:t>《</w:t>
      </w:r>
      <w:r>
        <w:rPr>
          <w:rFonts w:hint="eastAsia"/>
          <w:color w:val="auto"/>
          <w:highlight w:val="none"/>
        </w:rPr>
        <w:t>中华人民共和国政府采购法</w:t>
      </w:r>
      <w:r>
        <w:rPr>
          <w:rFonts w:hint="eastAsia"/>
          <w:color w:val="auto"/>
          <w:highlight w:val="none"/>
          <w:lang w:eastAsia="zh-CN"/>
        </w:rPr>
        <w:t>》</w:t>
      </w:r>
      <w:r>
        <w:rPr>
          <w:rFonts w:hint="eastAsia"/>
          <w:color w:val="auto"/>
          <w:highlight w:val="none"/>
        </w:rPr>
        <w:t>第七十一条、第七十二条规定的违法行为之一，影响或者可能影响中标结果的，依照下列规定处理：</w:t>
      </w:r>
    </w:p>
    <w:p w14:paraId="7AA5C7C3">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.1</w:t>
      </w:r>
      <w:r>
        <w:rPr>
          <w:rFonts w:hint="eastAsia"/>
          <w:iCs/>
          <w:color w:val="auto"/>
          <w:spacing w:val="-6"/>
          <w:sz w:val="24"/>
          <w:highlight w:val="none"/>
        </w:rPr>
        <w:t>未确定中标供应商的，终止本次政府采购活动，重新开展政府采购活动。</w:t>
      </w:r>
    </w:p>
    <w:p w14:paraId="3A794890">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.2已确定中标供应商但尚未签订政府采购合同的，中标结果无效，从合格的中标候选人中另行确定中标供应商；没有合格的中标候选人的，重新开展政府采购活动。</w:t>
      </w:r>
    </w:p>
    <w:p w14:paraId="595100CC">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.3政府采购合同已签订但尚未履行的，撤销合同，从合格的中标候选人中另行确定中标供应商；没有合格的中标候选人的，重新开展政府采购活动。</w:t>
      </w:r>
    </w:p>
    <w:p w14:paraId="45E078B1">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.4政府采购合同已经履行，给采购人、供应商造成损失的，由责任人承担赔偿责任。</w:t>
      </w:r>
    </w:p>
    <w:p w14:paraId="43A428E9">
      <w:pPr>
        <w:pStyle w:val="39"/>
        <w:keepNext w:val="0"/>
        <w:keepLines w:val="0"/>
        <w:pageBreakBefore w:val="0"/>
        <w:widowControl w:val="0"/>
        <w:kinsoku/>
        <w:wordWrap w:val="0"/>
        <w:overflowPunct/>
        <w:topLinePunct w:val="0"/>
        <w:autoSpaceDE/>
        <w:autoSpaceDN/>
        <w:bidi w:val="0"/>
        <w:adjustRightInd/>
        <w:snapToGrid/>
        <w:spacing w:line="460" w:lineRule="exact"/>
        <w:ind w:firstLine="482"/>
        <w:jc w:val="both"/>
        <w:textAlignment w:val="auto"/>
        <w:rPr>
          <w:color w:val="auto"/>
          <w:highlight w:val="none"/>
        </w:rPr>
      </w:pPr>
      <w:r>
        <w:rPr>
          <w:rFonts w:hint="eastAsia"/>
          <w:color w:val="auto"/>
          <w:highlight w:val="none"/>
          <w:lang w:val="en-US" w:eastAsia="zh-CN"/>
        </w:rPr>
        <w:t>24</w:t>
      </w:r>
      <w:r>
        <w:rPr>
          <w:rFonts w:hint="eastAsia"/>
          <w:color w:val="auto"/>
          <w:highlight w:val="none"/>
        </w:rPr>
        <w:t>.5政府采购当事人有其他违反</w:t>
      </w:r>
      <w:r>
        <w:rPr>
          <w:rFonts w:hint="eastAsia"/>
          <w:iCs/>
          <w:color w:val="auto"/>
          <w:spacing w:val="-6"/>
          <w:sz w:val="24"/>
          <w:highlight w:val="none"/>
          <w:lang w:eastAsia="zh-CN"/>
        </w:rPr>
        <w:t>《</w:t>
      </w:r>
      <w:r>
        <w:rPr>
          <w:rFonts w:hint="eastAsia"/>
          <w:iCs/>
          <w:color w:val="auto"/>
          <w:spacing w:val="-6"/>
          <w:sz w:val="24"/>
          <w:highlight w:val="none"/>
        </w:rPr>
        <w:t>中华人民共和国政府采购法</w:t>
      </w:r>
      <w:r>
        <w:rPr>
          <w:rFonts w:hint="eastAsia"/>
          <w:iCs/>
          <w:color w:val="auto"/>
          <w:spacing w:val="-6"/>
          <w:sz w:val="24"/>
          <w:highlight w:val="none"/>
          <w:lang w:eastAsia="zh-CN"/>
        </w:rPr>
        <w:t>》</w:t>
      </w:r>
      <w:r>
        <w:rPr>
          <w:rFonts w:hint="eastAsia"/>
          <w:iCs/>
          <w:color w:val="auto"/>
          <w:spacing w:val="-6"/>
          <w:sz w:val="24"/>
          <w:highlight w:val="none"/>
        </w:rPr>
        <w:t>或者</w:t>
      </w:r>
      <w:r>
        <w:rPr>
          <w:rFonts w:hint="eastAsia"/>
          <w:iCs/>
          <w:color w:val="auto"/>
          <w:spacing w:val="-6"/>
          <w:sz w:val="24"/>
          <w:highlight w:val="none"/>
          <w:lang w:eastAsia="zh-CN"/>
        </w:rPr>
        <w:t>《</w:t>
      </w:r>
      <w:r>
        <w:rPr>
          <w:rFonts w:hint="eastAsia"/>
          <w:iCs/>
          <w:color w:val="auto"/>
          <w:spacing w:val="-6"/>
          <w:sz w:val="24"/>
          <w:highlight w:val="none"/>
        </w:rPr>
        <w:t>中华人民共和国政府采购法实施条例</w:t>
      </w:r>
      <w:r>
        <w:rPr>
          <w:rFonts w:hint="eastAsia"/>
          <w:iCs/>
          <w:color w:val="auto"/>
          <w:spacing w:val="-6"/>
          <w:sz w:val="24"/>
          <w:highlight w:val="none"/>
          <w:lang w:eastAsia="zh-CN"/>
        </w:rPr>
        <w:t>》</w:t>
      </w:r>
      <w:r>
        <w:rPr>
          <w:rFonts w:hint="eastAsia"/>
          <w:color w:val="auto"/>
          <w:highlight w:val="none"/>
        </w:rPr>
        <w:t>等法律法规规定的行为，经改正后仍然影响或者可能影响中标结果或者依法被认定为中标无效的，依照</w:t>
      </w:r>
      <w:r>
        <w:rPr>
          <w:rFonts w:hint="eastAsia"/>
          <w:color w:val="auto"/>
          <w:highlight w:val="none"/>
          <w:lang w:val="en-US" w:eastAsia="zh-CN"/>
        </w:rPr>
        <w:t>24</w:t>
      </w:r>
      <w:r>
        <w:rPr>
          <w:rFonts w:hint="eastAsia"/>
          <w:color w:val="auto"/>
          <w:highlight w:val="none"/>
        </w:rPr>
        <w:t>.1</w:t>
      </w:r>
      <w:r>
        <w:rPr>
          <w:rFonts w:hint="eastAsia"/>
          <w:color w:val="auto"/>
          <w:highlight w:val="none"/>
          <w:lang w:eastAsia="zh-CN"/>
        </w:rPr>
        <w:t>—</w:t>
      </w:r>
      <w:r>
        <w:rPr>
          <w:rFonts w:hint="eastAsia"/>
          <w:color w:val="auto"/>
          <w:highlight w:val="none"/>
          <w:lang w:val="en-US" w:eastAsia="zh-CN"/>
        </w:rPr>
        <w:t>24</w:t>
      </w:r>
      <w:r>
        <w:rPr>
          <w:rFonts w:hint="eastAsia"/>
          <w:color w:val="auto"/>
          <w:highlight w:val="none"/>
        </w:rPr>
        <w:t>.4规定处理。</w:t>
      </w:r>
    </w:p>
    <w:bookmarkEnd w:id="341"/>
    <w:bookmarkEnd w:id="342"/>
    <w:bookmarkEnd w:id="343"/>
    <w:bookmarkEnd w:id="344"/>
    <w:bookmarkEnd w:id="345"/>
    <w:bookmarkEnd w:id="346"/>
    <w:bookmarkEnd w:id="347"/>
    <w:bookmarkEnd w:id="348"/>
    <w:bookmarkEnd w:id="349"/>
    <w:bookmarkEnd w:id="350"/>
    <w:p w14:paraId="6AD5E432">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default" w:ascii="宋体" w:hAnsi="宋体" w:eastAsia="宋体" w:cs="宋体"/>
          <w:color w:val="auto"/>
          <w:sz w:val="28"/>
          <w:szCs w:val="28"/>
          <w:highlight w:val="none"/>
          <w:lang w:val="en-US" w:eastAsia="zh-CN"/>
        </w:rPr>
      </w:pPr>
      <w:bookmarkStart w:id="387" w:name="_Toc27267"/>
      <w:bookmarkStart w:id="388" w:name="_Toc5253"/>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387"/>
      <w:bookmarkEnd w:id="388"/>
    </w:p>
    <w:p w14:paraId="555D6B49">
      <w:pPr>
        <w:pStyle w:val="39"/>
        <w:keepNext w:val="0"/>
        <w:keepLines w:val="0"/>
        <w:pageBreakBefore w:val="0"/>
        <w:widowControl w:val="0"/>
        <w:kinsoku/>
        <w:overflowPunct/>
        <w:topLinePunct w:val="0"/>
        <w:autoSpaceDE/>
        <w:autoSpaceDN/>
        <w:bidi w:val="0"/>
        <w:adjustRightInd/>
        <w:snapToGrid/>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0BE29AB1">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jc w:val="both"/>
        <w:textAlignment w:val="auto"/>
        <w:rPr>
          <w:rFonts w:hint="eastAsia" w:ascii="宋体" w:hAnsi="宋体" w:eastAsia="宋体" w:cs="宋体"/>
          <w:color w:val="auto"/>
          <w:sz w:val="28"/>
          <w:szCs w:val="28"/>
          <w:highlight w:val="none"/>
          <w:lang w:val="zh-CN" w:eastAsia="zh-CN"/>
        </w:rPr>
      </w:pPr>
      <w:bookmarkStart w:id="389" w:name="_Toc3559"/>
      <w:bookmarkStart w:id="390" w:name="_Toc17549"/>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389"/>
      <w:bookmarkEnd w:id="390"/>
    </w:p>
    <w:p w14:paraId="6FC1DEB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jc w:val="both"/>
        <w:textAlignment w:val="auto"/>
        <w:rPr>
          <w:rFonts w:hint="eastAsia" w:ascii="宋体" w:hAnsi="宋体" w:eastAsia="宋体" w:cs="宋体"/>
          <w:b/>
          <w:bCs/>
          <w:color w:val="auto"/>
          <w:kern w:val="2"/>
          <w:sz w:val="24"/>
          <w:szCs w:val="24"/>
          <w:highlight w:val="none"/>
          <w:lang w:val="zh-CN" w:eastAsia="zh-CN" w:bidi="ar-SA"/>
        </w:rPr>
      </w:pPr>
      <w:bookmarkStart w:id="391" w:name="_Toc163492909"/>
      <w:bookmarkStart w:id="392" w:name="_Toc9559"/>
      <w:r>
        <w:rPr>
          <w:rFonts w:hint="eastAsia" w:ascii="宋体" w:hAnsi="宋体" w:eastAsia="宋体" w:cs="宋体"/>
          <w:b/>
          <w:bCs/>
          <w:color w:val="auto"/>
          <w:kern w:val="2"/>
          <w:sz w:val="24"/>
          <w:szCs w:val="24"/>
          <w:highlight w:val="none"/>
          <w:lang w:val="zh-CN" w:eastAsia="zh-CN" w:bidi="ar-SA"/>
        </w:rPr>
        <w:t>（一）符合性审查表</w:t>
      </w:r>
      <w:bookmarkEnd w:id="391"/>
      <w:bookmarkEnd w:id="392"/>
    </w:p>
    <w:tbl>
      <w:tblPr>
        <w:tblStyle w:val="31"/>
        <w:tblW w:w="5423"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2"/>
        <w:gridCol w:w="1303"/>
        <w:gridCol w:w="5480"/>
        <w:gridCol w:w="866"/>
        <w:gridCol w:w="1088"/>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restart"/>
            <w:shd w:val="clear" w:color="auto" w:fill="D8D8D8" w:themeFill="background1" w:themeFillShade="D9"/>
            <w:vAlign w:val="center"/>
          </w:tcPr>
          <w:p w14:paraId="3B188FC3">
            <w:pPr>
              <w:pStyle w:val="51"/>
              <w:jc w:val="center"/>
              <w:rPr>
                <w:rFonts w:hint="eastAsia" w:ascii="宋体" w:hAnsi="宋体" w:eastAsia="宋体" w:cs="宋体"/>
                <w:b/>
                <w:bCs/>
                <w:color w:val="auto"/>
                <w:sz w:val="21"/>
                <w:szCs w:val="21"/>
                <w:highlight w:val="none"/>
                <w:lang w:val="zh-CN"/>
              </w:rPr>
            </w:pPr>
            <w:bookmarkStart w:id="393" w:name="_Toc155185917"/>
            <w:bookmarkStart w:id="394" w:name="_Toc163492910"/>
            <w:r>
              <w:rPr>
                <w:rFonts w:hint="eastAsia" w:ascii="宋体" w:hAnsi="宋体" w:eastAsia="宋体" w:cs="宋体"/>
                <w:b/>
                <w:bCs/>
                <w:color w:val="auto"/>
                <w:sz w:val="21"/>
                <w:szCs w:val="21"/>
                <w:highlight w:val="none"/>
                <w:lang w:val="zh-CN"/>
              </w:rPr>
              <w:t>序号</w:t>
            </w:r>
          </w:p>
        </w:tc>
        <w:tc>
          <w:tcPr>
            <w:tcW w:w="704" w:type="pct"/>
            <w:vMerge w:val="restart"/>
            <w:shd w:val="clear" w:color="auto" w:fill="D8D8D8" w:themeFill="background1" w:themeFillShade="D9"/>
            <w:vAlign w:val="center"/>
          </w:tcPr>
          <w:p w14:paraId="316B5F87">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2" w:type="pct"/>
            <w:vMerge w:val="restart"/>
            <w:shd w:val="clear" w:color="auto" w:fill="D8D8D8" w:themeFill="background1" w:themeFillShade="D9"/>
            <w:vAlign w:val="center"/>
          </w:tcPr>
          <w:p w14:paraId="44B32FDC">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2724C461">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continue"/>
            <w:shd w:val="clear" w:color="auto" w:fill="D8D8D8" w:themeFill="background1" w:themeFillShade="D9"/>
            <w:vAlign w:val="center"/>
          </w:tcPr>
          <w:p w14:paraId="1859AA86">
            <w:pPr>
              <w:pStyle w:val="51"/>
              <w:jc w:val="center"/>
              <w:rPr>
                <w:rFonts w:hint="eastAsia" w:ascii="宋体" w:hAnsi="宋体" w:eastAsia="宋体" w:cs="宋体"/>
                <w:b/>
                <w:bCs/>
                <w:color w:val="auto"/>
                <w:sz w:val="21"/>
                <w:szCs w:val="21"/>
                <w:highlight w:val="none"/>
                <w:lang w:val="zh-CN"/>
              </w:rPr>
            </w:pPr>
          </w:p>
        </w:tc>
        <w:tc>
          <w:tcPr>
            <w:tcW w:w="704" w:type="pct"/>
            <w:vMerge w:val="continue"/>
            <w:shd w:val="clear" w:color="auto" w:fill="D8D8D8" w:themeFill="background1" w:themeFillShade="D9"/>
            <w:vAlign w:val="center"/>
          </w:tcPr>
          <w:p w14:paraId="51EF0565">
            <w:pPr>
              <w:pStyle w:val="51"/>
              <w:jc w:val="center"/>
              <w:rPr>
                <w:rFonts w:hint="eastAsia" w:ascii="宋体" w:hAnsi="宋体" w:eastAsia="宋体" w:cs="宋体"/>
                <w:b/>
                <w:bCs/>
                <w:color w:val="auto"/>
                <w:sz w:val="21"/>
                <w:szCs w:val="21"/>
                <w:highlight w:val="none"/>
                <w:lang w:val="zh-CN"/>
              </w:rPr>
            </w:pPr>
          </w:p>
        </w:tc>
        <w:tc>
          <w:tcPr>
            <w:tcW w:w="2962" w:type="pct"/>
            <w:vMerge w:val="continue"/>
            <w:shd w:val="clear" w:color="auto" w:fill="D8D8D8" w:themeFill="background1" w:themeFillShade="D9"/>
            <w:vAlign w:val="center"/>
          </w:tcPr>
          <w:p w14:paraId="2128C077">
            <w:pPr>
              <w:pStyle w:val="51"/>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0CAA21D7">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15D1F439">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7" w:type="pct"/>
            <w:shd w:val="clear" w:color="auto" w:fill="auto"/>
            <w:vAlign w:val="center"/>
          </w:tcPr>
          <w:p w14:paraId="4A515C07">
            <w:pPr>
              <w:pStyle w:val="51"/>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5E0E3062">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962" w:type="pct"/>
            <w:shd w:val="clear" w:color="auto" w:fill="auto"/>
            <w:vAlign w:val="center"/>
          </w:tcPr>
          <w:p w14:paraId="0FA4ED80">
            <w:pPr>
              <w:pStyle w:val="51"/>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1E1F1EB1">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5325BAA">
            <w:pPr>
              <w:pStyle w:val="51"/>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70154C2F">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2" w:type="pct"/>
            <w:shd w:val="clear" w:color="auto" w:fill="auto"/>
            <w:vAlign w:val="center"/>
          </w:tcPr>
          <w:p w14:paraId="6D95F485">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1"/>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7" w:type="pct"/>
            <w:shd w:val="clear" w:color="auto" w:fill="auto"/>
            <w:vAlign w:val="center"/>
          </w:tcPr>
          <w:p w14:paraId="48860C47">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962" w:type="pct"/>
            <w:shd w:val="clear" w:color="auto" w:fill="auto"/>
            <w:vAlign w:val="center"/>
          </w:tcPr>
          <w:p w14:paraId="02D97709">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1"/>
              <w:rPr>
                <w:rFonts w:hint="eastAsia" w:ascii="宋体" w:hAnsi="宋体" w:eastAsia="宋体" w:cs="宋体"/>
                <w:color w:val="auto"/>
                <w:sz w:val="21"/>
                <w:szCs w:val="21"/>
                <w:highlight w:val="none"/>
                <w:lang w:val="zh-CN"/>
              </w:rPr>
            </w:pPr>
          </w:p>
        </w:tc>
      </w:tr>
      <w:tr w14:paraId="60C20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7" w:type="pct"/>
            <w:shd w:val="clear" w:color="auto" w:fill="auto"/>
            <w:vAlign w:val="center"/>
          </w:tcPr>
          <w:p w14:paraId="07BB2C4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4</w:t>
            </w:r>
          </w:p>
        </w:tc>
        <w:tc>
          <w:tcPr>
            <w:tcW w:w="704" w:type="pct"/>
            <w:shd w:val="clear" w:color="auto" w:fill="auto"/>
            <w:vAlign w:val="center"/>
          </w:tcPr>
          <w:p w14:paraId="4E498260">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采购清单</w:t>
            </w:r>
          </w:p>
        </w:tc>
        <w:tc>
          <w:tcPr>
            <w:tcW w:w="2962" w:type="pct"/>
            <w:shd w:val="clear" w:color="auto" w:fill="auto"/>
            <w:vAlign w:val="center"/>
          </w:tcPr>
          <w:p w14:paraId="4AACFDE7">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未改变招标文件提供的采购清单</w:t>
            </w:r>
            <w:r>
              <w:rPr>
                <w:rFonts w:hint="eastAsia" w:cs="宋体"/>
                <w:color w:val="auto"/>
                <w:kern w:val="2"/>
                <w:sz w:val="21"/>
                <w:szCs w:val="21"/>
                <w:highlight w:val="none"/>
                <w:lang w:val="en-US" w:eastAsia="zh-CN" w:bidi="ar-SA"/>
              </w:rPr>
              <w:t>数量</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732D4F9">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F083EAE">
            <w:pPr>
              <w:pStyle w:val="51"/>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7" w:type="pct"/>
            <w:shd w:val="clear" w:color="auto" w:fill="auto"/>
            <w:vAlign w:val="center"/>
          </w:tcPr>
          <w:p w14:paraId="0D25BA5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5</w:t>
            </w:r>
          </w:p>
        </w:tc>
        <w:tc>
          <w:tcPr>
            <w:tcW w:w="704" w:type="pct"/>
            <w:vAlign w:val="center"/>
          </w:tcPr>
          <w:p w14:paraId="6B53D7DD">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2" w:type="pct"/>
            <w:shd w:val="clear" w:color="auto" w:fill="auto"/>
            <w:vAlign w:val="center"/>
          </w:tcPr>
          <w:p w14:paraId="3C241A91">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1"/>
              <w:rPr>
                <w:rFonts w:hint="eastAsia" w:ascii="宋体" w:hAnsi="宋体" w:eastAsia="宋体" w:cs="宋体"/>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7" w:type="pct"/>
            <w:shd w:val="clear" w:color="auto" w:fill="auto"/>
            <w:vAlign w:val="center"/>
          </w:tcPr>
          <w:p w14:paraId="5772C4C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6</w:t>
            </w:r>
          </w:p>
        </w:tc>
        <w:tc>
          <w:tcPr>
            <w:tcW w:w="704" w:type="pct"/>
            <w:vAlign w:val="center"/>
          </w:tcPr>
          <w:p w14:paraId="1817A2C0">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2962" w:type="pct"/>
            <w:shd w:val="clear" w:color="auto" w:fill="auto"/>
            <w:vAlign w:val="center"/>
          </w:tcPr>
          <w:p w14:paraId="39640874">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eastAsia="zh-CN"/>
              </w:rPr>
              <w:t>联合体的供应商提交</w:t>
            </w:r>
            <w:r>
              <w:rPr>
                <w:rFonts w:hint="eastAsia" w:ascii="宋体" w:hAnsi="宋体" w:eastAsia="宋体" w:cs="宋体"/>
                <w:color w:val="auto"/>
                <w:sz w:val="21"/>
                <w:szCs w:val="21"/>
                <w:highlight w:val="none"/>
                <w:lang w:val="en-US" w:eastAsia="zh-CN"/>
              </w:rPr>
              <w:t>了</w:t>
            </w:r>
            <w:r>
              <w:rPr>
                <w:rFonts w:hint="eastAsia" w:ascii="宋体" w:hAnsi="宋体" w:eastAsia="宋体" w:cs="宋体"/>
                <w:color w:val="auto"/>
                <w:sz w:val="21"/>
                <w:szCs w:val="21"/>
                <w:highlight w:val="none"/>
                <w:lang w:val="zh-CN" w:eastAsia="zh-CN"/>
              </w:rPr>
              <w:t>各方共同签署的联合体协议的【</w:t>
            </w:r>
            <w:r>
              <w:rPr>
                <w:rFonts w:hint="eastAsia" w:ascii="宋体" w:hAnsi="宋体" w:eastAsia="宋体" w:cs="宋体"/>
                <w:color w:val="auto"/>
                <w:sz w:val="21"/>
                <w:szCs w:val="21"/>
                <w:highlight w:val="none"/>
                <w:lang w:val="en-US" w:eastAsia="zh-CN"/>
              </w:rPr>
              <w:t>如允许联合体投标的</w:t>
            </w:r>
            <w:r>
              <w:rPr>
                <w:rFonts w:hint="eastAsia" w:ascii="宋体" w:hAnsi="宋体" w:eastAsia="宋体" w:cs="宋体"/>
                <w:color w:val="auto"/>
                <w:sz w:val="21"/>
                <w:szCs w:val="21"/>
                <w:highlight w:val="none"/>
                <w:lang w:val="zh-CN" w:eastAsia="zh-CN"/>
              </w:rPr>
              <w:t>】</w:t>
            </w:r>
          </w:p>
        </w:tc>
        <w:tc>
          <w:tcPr>
            <w:tcW w:w="468" w:type="pct"/>
            <w:shd w:val="clear" w:color="auto" w:fill="auto"/>
            <w:vAlign w:val="center"/>
          </w:tcPr>
          <w:p w14:paraId="2C782F1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163069B8">
            <w:pPr>
              <w:pStyle w:val="51"/>
              <w:rPr>
                <w:rFonts w:hint="eastAsia" w:ascii="宋体" w:hAnsi="宋体" w:eastAsia="宋体" w:cs="宋体"/>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7" w:type="pct"/>
            <w:shd w:val="clear" w:color="auto" w:fill="auto"/>
            <w:vAlign w:val="center"/>
          </w:tcPr>
          <w:p w14:paraId="31C12A1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7</w:t>
            </w:r>
          </w:p>
        </w:tc>
        <w:tc>
          <w:tcPr>
            <w:tcW w:w="704" w:type="pct"/>
            <w:vAlign w:val="center"/>
          </w:tcPr>
          <w:p w14:paraId="55194F4F">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2962" w:type="pct"/>
            <w:shd w:val="clear" w:color="auto" w:fill="auto"/>
            <w:vAlign w:val="center"/>
          </w:tcPr>
          <w:p w14:paraId="4803457A">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p>
        </w:tc>
        <w:tc>
          <w:tcPr>
            <w:tcW w:w="468" w:type="pct"/>
            <w:shd w:val="clear" w:color="auto" w:fill="auto"/>
            <w:vAlign w:val="center"/>
          </w:tcPr>
          <w:p w14:paraId="194FF3C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72B823">
            <w:pPr>
              <w:pStyle w:val="51"/>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6C002E13">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8</w:t>
            </w:r>
          </w:p>
        </w:tc>
        <w:tc>
          <w:tcPr>
            <w:tcW w:w="704" w:type="pct"/>
            <w:vAlign w:val="center"/>
          </w:tcPr>
          <w:p w14:paraId="5C91A4A7">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962" w:type="pct"/>
            <w:shd w:val="clear" w:color="auto" w:fill="auto"/>
            <w:vAlign w:val="center"/>
          </w:tcPr>
          <w:p w14:paraId="3E6052BB">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1"/>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7" w:type="pct"/>
            <w:shd w:val="clear" w:color="auto" w:fill="auto"/>
            <w:vAlign w:val="center"/>
          </w:tcPr>
          <w:p w14:paraId="09617D9C">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9</w:t>
            </w:r>
          </w:p>
        </w:tc>
        <w:tc>
          <w:tcPr>
            <w:tcW w:w="704" w:type="pct"/>
            <w:vAlign w:val="center"/>
          </w:tcPr>
          <w:p w14:paraId="2016E93A">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962" w:type="pct"/>
            <w:shd w:val="clear" w:color="auto" w:fill="auto"/>
            <w:vAlign w:val="center"/>
          </w:tcPr>
          <w:p w14:paraId="50B76BB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1"/>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06D38870">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w:t>
            </w:r>
          </w:p>
        </w:tc>
        <w:tc>
          <w:tcPr>
            <w:tcW w:w="704" w:type="pct"/>
            <w:vAlign w:val="center"/>
          </w:tcPr>
          <w:p w14:paraId="32AEC3D4">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962" w:type="pct"/>
            <w:shd w:val="clear" w:color="auto" w:fill="auto"/>
            <w:vAlign w:val="center"/>
          </w:tcPr>
          <w:p w14:paraId="68DBD36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1"/>
              <w:rPr>
                <w:rFonts w:hint="eastAsia" w:ascii="宋体" w:hAnsi="宋体" w:eastAsia="宋体" w:cs="宋体"/>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332BD4A6">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cs="宋体"/>
                <w:color w:val="auto"/>
                <w:kern w:val="2"/>
                <w:sz w:val="21"/>
                <w:szCs w:val="21"/>
                <w:highlight w:val="none"/>
                <w:lang w:val="en-US" w:eastAsia="zh-CN" w:bidi="ar-SA"/>
              </w:rPr>
              <w:t>1</w:t>
            </w:r>
          </w:p>
        </w:tc>
        <w:tc>
          <w:tcPr>
            <w:tcW w:w="704" w:type="pct"/>
            <w:vAlign w:val="center"/>
          </w:tcPr>
          <w:p w14:paraId="56EEFE7E">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2" w:type="pct"/>
            <w:shd w:val="clear" w:color="auto" w:fill="auto"/>
            <w:vAlign w:val="center"/>
          </w:tcPr>
          <w:p w14:paraId="618DB2FB">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36C2A679">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3E4201A">
            <w:pPr>
              <w:pStyle w:val="51"/>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3CD6AABE">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cs="宋体"/>
                <w:color w:val="auto"/>
                <w:kern w:val="2"/>
                <w:sz w:val="21"/>
                <w:szCs w:val="21"/>
                <w:highlight w:val="none"/>
                <w:lang w:val="en-US" w:eastAsia="zh-CN" w:bidi="ar-SA"/>
              </w:rPr>
              <w:t>2</w:t>
            </w:r>
          </w:p>
        </w:tc>
        <w:tc>
          <w:tcPr>
            <w:tcW w:w="704" w:type="pct"/>
            <w:vAlign w:val="center"/>
          </w:tcPr>
          <w:p w14:paraId="40726A5F">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2" w:type="pct"/>
            <w:shd w:val="clear" w:color="auto" w:fill="auto"/>
            <w:vAlign w:val="center"/>
          </w:tcPr>
          <w:p w14:paraId="05CC0303">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1"/>
              <w:rPr>
                <w:rFonts w:hint="eastAsia" w:ascii="宋体" w:hAnsi="宋体" w:eastAsia="宋体" w:cs="宋体"/>
                <w:color w:val="auto"/>
                <w:sz w:val="21"/>
                <w:szCs w:val="21"/>
                <w:highlight w:val="none"/>
                <w:lang w:val="zh-CN"/>
              </w:rPr>
            </w:pPr>
          </w:p>
        </w:tc>
      </w:tr>
      <w:tr w14:paraId="105D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65992B2F">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p>
        </w:tc>
        <w:tc>
          <w:tcPr>
            <w:tcW w:w="704" w:type="pct"/>
            <w:vAlign w:val="center"/>
          </w:tcPr>
          <w:p w14:paraId="52767F5E">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p>
        </w:tc>
        <w:tc>
          <w:tcPr>
            <w:tcW w:w="2962" w:type="pct"/>
            <w:shd w:val="clear" w:color="auto" w:fill="auto"/>
            <w:vAlign w:val="center"/>
          </w:tcPr>
          <w:p w14:paraId="018BE69C">
            <w:pPr>
              <w:pStyle w:val="51"/>
              <w:rPr>
                <w:rFonts w:hint="eastAsia" w:ascii="宋体" w:hAnsi="宋体" w:eastAsia="宋体" w:cs="宋体"/>
                <w:color w:val="auto"/>
                <w:sz w:val="21"/>
                <w:szCs w:val="21"/>
                <w:highlight w:val="none"/>
                <w:lang w:val="zh-CN" w:eastAsia="zh-CN"/>
              </w:rPr>
            </w:pPr>
          </w:p>
        </w:tc>
        <w:tc>
          <w:tcPr>
            <w:tcW w:w="468" w:type="pct"/>
            <w:shd w:val="clear" w:color="auto" w:fill="auto"/>
            <w:vAlign w:val="center"/>
          </w:tcPr>
          <w:p w14:paraId="4BD7EBEE">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F4076D0">
            <w:pPr>
              <w:pStyle w:val="51"/>
              <w:rPr>
                <w:rFonts w:hint="eastAsia" w:ascii="宋体" w:hAnsi="宋体" w:eastAsia="宋体" w:cs="宋体"/>
                <w:color w:val="auto"/>
                <w:sz w:val="21"/>
                <w:szCs w:val="21"/>
                <w:highlight w:val="none"/>
                <w:lang w:val="zh-CN"/>
              </w:rPr>
            </w:pPr>
          </w:p>
        </w:tc>
      </w:tr>
    </w:tbl>
    <w:p w14:paraId="7D635A1B">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DB6FBF5">
      <w:pPr>
        <w:shd w:val="clear" w:color="auto" w:fill="FFFFFF"/>
        <w:tabs>
          <w:tab w:val="left" w:pos="3045"/>
        </w:tabs>
        <w:autoSpaceDE w:val="0"/>
        <w:autoSpaceDN w:val="0"/>
        <w:adjustRightInd w:val="0"/>
        <w:snapToGrid w:val="0"/>
        <w:spacing w:line="360" w:lineRule="exact"/>
        <w:rPr>
          <w:rFonts w:hint="eastAsia"/>
          <w:color w:val="auto"/>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eastAsia="zh-CN"/>
        </w:rPr>
        <w:t>性</w:t>
      </w:r>
      <w:r>
        <w:rPr>
          <w:rFonts w:hint="eastAsia" w:cs="宋体"/>
          <w:b/>
          <w:color w:val="auto"/>
          <w:sz w:val="24"/>
          <w:highlight w:val="none"/>
          <w:lang w:val="en-US" w:eastAsia="zh-CN"/>
        </w:rPr>
        <w:t>审查表-</w:t>
      </w:r>
      <w:r>
        <w:rPr>
          <w:rFonts w:hint="eastAsia" w:ascii="宋体" w:hAnsi="宋体" w:cs="宋体"/>
          <w:b/>
          <w:color w:val="auto"/>
          <w:sz w:val="24"/>
          <w:highlight w:val="none"/>
        </w:rPr>
        <w:t>附表</w:t>
      </w:r>
    </w:p>
    <w:p w14:paraId="70584E38">
      <w:pPr>
        <w:rPr>
          <w:rFonts w:hint="eastAsia" w:ascii="宋体" w:hAnsi="宋体" w:eastAsia="宋体" w:cstheme="minorBidi"/>
          <w:b/>
          <w:bCs/>
          <w:color w:val="auto"/>
          <w:kern w:val="2"/>
          <w:sz w:val="28"/>
          <w:szCs w:val="28"/>
          <w:highlight w:val="none"/>
          <w:lang w:val="zh-CN" w:eastAsia="zh-CN" w:bidi="ar-SA"/>
        </w:rPr>
      </w:pPr>
      <w:bookmarkStart w:id="395" w:name="_Toc8990"/>
      <w:r>
        <w:rPr>
          <w:rFonts w:hint="eastAsia" w:ascii="宋体" w:hAnsi="宋体" w:eastAsia="宋体" w:cstheme="minorBidi"/>
          <w:b/>
          <w:bCs/>
          <w:color w:val="auto"/>
          <w:kern w:val="2"/>
          <w:sz w:val="28"/>
          <w:szCs w:val="28"/>
          <w:highlight w:val="none"/>
          <w:lang w:val="zh-CN" w:eastAsia="zh-CN" w:bidi="ar-SA"/>
        </w:rPr>
        <w:br w:type="page"/>
      </w:r>
      <w:r>
        <w:rPr>
          <w:rFonts w:hint="eastAsia" w:ascii="宋体" w:hAnsi="宋体" w:eastAsia="宋体" w:cstheme="minorBidi"/>
          <w:b/>
          <w:bCs/>
          <w:color w:val="auto"/>
          <w:kern w:val="2"/>
          <w:sz w:val="28"/>
          <w:szCs w:val="28"/>
          <w:highlight w:val="none"/>
          <w:lang w:val="zh-CN" w:eastAsia="zh-CN" w:bidi="ar-SA"/>
        </w:rPr>
        <w:t>实质性响应一览表</w:t>
      </w:r>
      <w:bookmarkEnd w:id="395"/>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212CF784">
      <w:pPr>
        <w:pStyle w:val="25"/>
        <w:rPr>
          <w:rFonts w:hint="eastAsia" w:ascii="宋体" w:hAnsi="宋体" w:cs="宋体"/>
          <w:color w:val="auto"/>
          <w:highlight w:val="none"/>
        </w:rPr>
      </w:pPr>
    </w:p>
    <w:tbl>
      <w:tblPr>
        <w:tblStyle w:val="31"/>
        <w:tblW w:w="5031"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264"/>
        <w:gridCol w:w="3501"/>
        <w:gridCol w:w="1714"/>
        <w:gridCol w:w="1145"/>
      </w:tblGrid>
      <w:tr w14:paraId="21D3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57" w:type="pct"/>
            <w:vMerge w:val="restart"/>
            <w:noWrap w:val="0"/>
            <w:vAlign w:val="center"/>
          </w:tcPr>
          <w:p w14:paraId="615C89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776" w:type="pct"/>
            <w:gridSpan w:val="2"/>
            <w:noWrap w:val="0"/>
            <w:vAlign w:val="center"/>
          </w:tcPr>
          <w:p w14:paraId="49E852D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998" w:type="pct"/>
            <w:vMerge w:val="restart"/>
            <w:noWrap w:val="0"/>
            <w:vAlign w:val="center"/>
          </w:tcPr>
          <w:p w14:paraId="7F97B7E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667" w:type="pct"/>
            <w:vMerge w:val="restart"/>
            <w:noWrap w:val="0"/>
            <w:vAlign w:val="center"/>
          </w:tcPr>
          <w:p w14:paraId="4DE9651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57"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736"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039"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998"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67"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23E0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557" w:type="pct"/>
            <w:noWrap w:val="0"/>
            <w:vAlign w:val="center"/>
          </w:tcPr>
          <w:p w14:paraId="2C4607F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auto"/>
              </w:rPr>
              <w:t>1</w:t>
            </w:r>
          </w:p>
        </w:tc>
        <w:tc>
          <w:tcPr>
            <w:tcW w:w="736" w:type="pct"/>
            <w:shd w:val="clear" w:color="auto" w:fill="auto"/>
            <w:noWrap w:val="0"/>
            <w:vAlign w:val="center"/>
          </w:tcPr>
          <w:p w14:paraId="5584F8F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rPr>
              <w:t>投标有效期</w:t>
            </w:r>
          </w:p>
        </w:tc>
        <w:tc>
          <w:tcPr>
            <w:tcW w:w="2039" w:type="pct"/>
            <w:shd w:val="clear" w:color="auto" w:fill="auto"/>
            <w:noWrap w:val="0"/>
            <w:vAlign w:val="center"/>
          </w:tcPr>
          <w:p w14:paraId="38264FB8">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招标文件“第二章</w:t>
            </w:r>
            <w:r>
              <w:rPr>
                <w:rFonts w:hint="eastAsia" w:cs="宋体"/>
                <w:color w:val="auto"/>
                <w:sz w:val="21"/>
                <w:szCs w:val="21"/>
                <w:highlight w:val="non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val="en-US" w:eastAsia="zh-CN"/>
              </w:rPr>
              <w:t>投标须知”关于投标有效期的规定</w:t>
            </w:r>
          </w:p>
        </w:tc>
        <w:tc>
          <w:tcPr>
            <w:tcW w:w="998" w:type="pct"/>
            <w:noWrap w:val="0"/>
            <w:vAlign w:val="center"/>
          </w:tcPr>
          <w:p w14:paraId="0DAB370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667" w:type="pct"/>
            <w:noWrap w:val="0"/>
            <w:vAlign w:val="center"/>
          </w:tcPr>
          <w:p w14:paraId="205594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2644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557" w:type="pct"/>
            <w:noWrap w:val="0"/>
            <w:vAlign w:val="center"/>
          </w:tcPr>
          <w:p w14:paraId="41B6F74F">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auto"/>
              </w:rPr>
              <w:t>2</w:t>
            </w:r>
          </w:p>
        </w:tc>
        <w:tc>
          <w:tcPr>
            <w:tcW w:w="736" w:type="pct"/>
            <w:shd w:val="clear" w:color="auto" w:fill="auto"/>
            <w:noWrap w:val="0"/>
            <w:vAlign w:val="center"/>
          </w:tcPr>
          <w:p w14:paraId="2BB2A33F">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snapToGrid w:val="0"/>
                <w:color w:val="auto"/>
                <w:sz w:val="21"/>
                <w:szCs w:val="21"/>
                <w:highlight w:val="none"/>
                <w:shd w:val="clear" w:color="auto" w:fill="auto"/>
                <w:lang w:val="en-US" w:eastAsia="zh-CN"/>
              </w:rPr>
              <w:t>服务</w:t>
            </w:r>
            <w:r>
              <w:rPr>
                <w:rFonts w:hint="default"/>
                <w:snapToGrid w:val="0"/>
                <w:color w:val="auto"/>
                <w:sz w:val="21"/>
                <w:szCs w:val="21"/>
                <w:highlight w:val="none"/>
                <w:shd w:val="clear" w:color="auto" w:fill="auto"/>
                <w:lang w:val="en-US" w:eastAsia="zh-CN"/>
              </w:rPr>
              <w:t>期</w:t>
            </w:r>
          </w:p>
        </w:tc>
        <w:tc>
          <w:tcPr>
            <w:tcW w:w="2039" w:type="pct"/>
            <w:shd w:val="clear" w:color="auto" w:fill="auto"/>
            <w:noWrap w:val="0"/>
            <w:vAlign w:val="center"/>
          </w:tcPr>
          <w:p w14:paraId="77D93110">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服务期</w:t>
            </w:r>
            <w:r>
              <w:rPr>
                <w:rFonts w:hint="eastAsia" w:ascii="宋体" w:hAnsi="宋体" w:eastAsia="宋体" w:cs="宋体"/>
                <w:color w:val="auto"/>
                <w:sz w:val="21"/>
                <w:szCs w:val="21"/>
                <w:highlight w:val="none"/>
                <w:shd w:val="clear" w:color="auto" w:fill="auto"/>
                <w:lang w:val="en-US" w:eastAsia="zh-CN"/>
              </w:rPr>
              <w:t>的规定</w:t>
            </w:r>
          </w:p>
        </w:tc>
        <w:tc>
          <w:tcPr>
            <w:tcW w:w="998" w:type="pct"/>
            <w:noWrap w:val="0"/>
            <w:vAlign w:val="center"/>
          </w:tcPr>
          <w:p w14:paraId="46B6CD2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67" w:type="pct"/>
            <w:noWrap w:val="0"/>
            <w:vAlign w:val="center"/>
          </w:tcPr>
          <w:p w14:paraId="7D508C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3F6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57" w:type="pct"/>
            <w:shd w:val="clear" w:color="auto" w:fill="auto"/>
            <w:noWrap w:val="0"/>
            <w:vAlign w:val="center"/>
          </w:tcPr>
          <w:p w14:paraId="75B71D9F">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3</w:t>
            </w:r>
          </w:p>
        </w:tc>
        <w:tc>
          <w:tcPr>
            <w:tcW w:w="736" w:type="pct"/>
            <w:shd w:val="clear" w:color="auto" w:fill="auto"/>
            <w:noWrap w:val="0"/>
            <w:vAlign w:val="center"/>
          </w:tcPr>
          <w:p w14:paraId="7B953D9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default"/>
                <w:snapToGrid w:val="0"/>
                <w:color w:val="auto"/>
                <w:sz w:val="21"/>
                <w:szCs w:val="21"/>
                <w:highlight w:val="none"/>
                <w:shd w:val="clear" w:color="auto" w:fill="auto"/>
                <w:lang w:val="en-US" w:eastAsia="zh-CN"/>
              </w:rPr>
              <w:t>交货地点</w:t>
            </w:r>
          </w:p>
        </w:tc>
        <w:tc>
          <w:tcPr>
            <w:tcW w:w="2039" w:type="pct"/>
            <w:shd w:val="clear" w:color="auto" w:fill="auto"/>
            <w:noWrap w:val="0"/>
            <w:vAlign w:val="center"/>
          </w:tcPr>
          <w:p w14:paraId="72C432AE">
            <w:pPr>
              <w:pStyle w:val="51"/>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default"/>
                <w:snapToGrid w:val="0"/>
                <w:color w:val="auto"/>
                <w:sz w:val="21"/>
                <w:szCs w:val="21"/>
                <w:highlight w:val="none"/>
                <w:shd w:val="clear" w:color="auto" w:fill="auto"/>
                <w:lang w:val="en-US" w:eastAsia="zh-CN"/>
              </w:rPr>
              <w:t>交货地点</w:t>
            </w:r>
            <w:r>
              <w:rPr>
                <w:rFonts w:hint="eastAsia" w:ascii="宋体" w:hAnsi="宋体" w:eastAsia="宋体" w:cs="宋体"/>
                <w:color w:val="auto"/>
                <w:sz w:val="21"/>
                <w:szCs w:val="21"/>
                <w:highlight w:val="none"/>
                <w:shd w:val="clear" w:color="auto" w:fill="auto"/>
                <w:lang w:val="en-US" w:eastAsia="zh-CN"/>
              </w:rPr>
              <w:t>的规定</w:t>
            </w:r>
          </w:p>
        </w:tc>
        <w:tc>
          <w:tcPr>
            <w:tcW w:w="998" w:type="pct"/>
            <w:noWrap w:val="0"/>
            <w:vAlign w:val="center"/>
          </w:tcPr>
          <w:p w14:paraId="674A06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67" w:type="pct"/>
            <w:noWrap w:val="0"/>
            <w:vAlign w:val="center"/>
          </w:tcPr>
          <w:p w14:paraId="51FAFA7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1C60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557" w:type="pct"/>
            <w:shd w:val="clear" w:color="auto" w:fill="auto"/>
            <w:noWrap w:val="0"/>
            <w:vAlign w:val="center"/>
          </w:tcPr>
          <w:p w14:paraId="129794A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4</w:t>
            </w:r>
          </w:p>
        </w:tc>
        <w:tc>
          <w:tcPr>
            <w:tcW w:w="736" w:type="pct"/>
            <w:shd w:val="clear" w:color="auto" w:fill="auto"/>
            <w:noWrap w:val="0"/>
            <w:vAlign w:val="center"/>
          </w:tcPr>
          <w:p w14:paraId="693F7BAF">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snapToGrid w:val="0"/>
                <w:color w:val="auto"/>
                <w:sz w:val="21"/>
                <w:szCs w:val="21"/>
                <w:highlight w:val="none"/>
                <w:shd w:val="clear" w:color="auto" w:fill="auto"/>
                <w:lang w:val="en-US" w:eastAsia="zh-CN"/>
              </w:rPr>
              <w:t>付款方式</w:t>
            </w:r>
          </w:p>
        </w:tc>
        <w:tc>
          <w:tcPr>
            <w:tcW w:w="2039" w:type="pct"/>
            <w:shd w:val="clear" w:color="auto" w:fill="auto"/>
            <w:noWrap w:val="0"/>
            <w:vAlign w:val="center"/>
          </w:tcPr>
          <w:p w14:paraId="18769BAA">
            <w:pPr>
              <w:pStyle w:val="51"/>
              <w:shd w:val="clea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snapToGrid w:val="0"/>
                <w:color w:val="auto"/>
                <w:sz w:val="21"/>
                <w:szCs w:val="21"/>
                <w:highlight w:val="none"/>
                <w:shd w:val="clear" w:color="auto" w:fill="auto"/>
                <w:lang w:val="en-US" w:eastAsia="zh-CN"/>
              </w:rPr>
              <w:t>付款方式</w:t>
            </w:r>
            <w:r>
              <w:rPr>
                <w:rFonts w:hint="eastAsia" w:ascii="宋体" w:hAnsi="宋体" w:eastAsia="宋体" w:cs="宋体"/>
                <w:color w:val="auto"/>
                <w:sz w:val="21"/>
                <w:szCs w:val="21"/>
                <w:highlight w:val="none"/>
                <w:shd w:val="clear" w:color="auto" w:fill="auto"/>
                <w:lang w:val="en-US" w:eastAsia="zh-CN"/>
              </w:rPr>
              <w:t>的规定</w:t>
            </w:r>
          </w:p>
        </w:tc>
        <w:tc>
          <w:tcPr>
            <w:tcW w:w="998" w:type="pct"/>
            <w:noWrap w:val="0"/>
            <w:vAlign w:val="center"/>
          </w:tcPr>
          <w:p w14:paraId="492FD32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67" w:type="pct"/>
            <w:noWrap w:val="0"/>
            <w:vAlign w:val="center"/>
          </w:tcPr>
          <w:p w14:paraId="4FE29DA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91F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557" w:type="pct"/>
            <w:shd w:val="clear" w:color="auto" w:fill="auto"/>
            <w:noWrap w:val="0"/>
            <w:vAlign w:val="center"/>
          </w:tcPr>
          <w:p w14:paraId="195C29A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shd w:val="clear" w:color="auto" w:fill="auto"/>
                <w:lang w:val="en-US" w:eastAsia="zh-CN"/>
              </w:rPr>
              <w:t>5</w:t>
            </w:r>
          </w:p>
        </w:tc>
        <w:tc>
          <w:tcPr>
            <w:tcW w:w="736" w:type="pct"/>
            <w:shd w:val="clear" w:color="auto" w:fill="auto"/>
            <w:noWrap w:val="0"/>
            <w:vAlign w:val="center"/>
          </w:tcPr>
          <w:p w14:paraId="432AD011">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shd w:val="clear" w:color="auto" w:fill="auto"/>
                <w:lang w:val="en-US" w:eastAsia="zh-CN" w:bidi="ar-SA"/>
              </w:rPr>
              <w:t>技术要求</w:t>
            </w:r>
          </w:p>
        </w:tc>
        <w:tc>
          <w:tcPr>
            <w:tcW w:w="2039" w:type="pct"/>
            <w:shd w:val="clear" w:color="auto" w:fill="auto"/>
            <w:noWrap w:val="0"/>
            <w:vAlign w:val="center"/>
          </w:tcPr>
          <w:p w14:paraId="430810DE">
            <w:pPr>
              <w:keepNext w:val="0"/>
              <w:keepLines w:val="0"/>
              <w:pageBreakBefore w:val="0"/>
              <w:widowControl w:val="0"/>
              <w:shd w:val="clear"/>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shd w:val="clear" w:color="auto" w:fill="auto"/>
                <w:lang w:val="en-US" w:eastAsia="zh-CN"/>
              </w:rPr>
              <w:t>如有，详见</w:t>
            </w: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技术要求★</w:t>
            </w:r>
            <w:r>
              <w:rPr>
                <w:rFonts w:hint="eastAsia" w:ascii="宋体" w:hAnsi="宋体" w:eastAsia="宋体" w:cs="宋体"/>
                <w:color w:val="auto"/>
                <w:sz w:val="21"/>
                <w:szCs w:val="21"/>
                <w:highlight w:val="none"/>
                <w:shd w:val="clear" w:color="auto" w:fill="auto"/>
                <w:lang w:val="en-US" w:eastAsia="zh-CN"/>
              </w:rPr>
              <w:t>的规定</w:t>
            </w:r>
            <w:r>
              <w:rPr>
                <w:rFonts w:hint="eastAsia" w:cs="宋体"/>
                <w:color w:val="auto"/>
                <w:sz w:val="21"/>
                <w:szCs w:val="21"/>
                <w:highlight w:val="none"/>
                <w:shd w:val="clear" w:color="auto" w:fill="auto"/>
                <w:lang w:val="en-US" w:eastAsia="zh-CN"/>
              </w:rPr>
              <w:t>，供应商可自行向下扩展。</w:t>
            </w:r>
          </w:p>
        </w:tc>
        <w:tc>
          <w:tcPr>
            <w:tcW w:w="998" w:type="pct"/>
            <w:noWrap w:val="0"/>
            <w:vAlign w:val="center"/>
          </w:tcPr>
          <w:p w14:paraId="4B8728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67" w:type="pct"/>
            <w:noWrap w:val="0"/>
            <w:vAlign w:val="center"/>
          </w:tcPr>
          <w:p w14:paraId="45CB28C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7E3A2BB8">
      <w:pPr>
        <w:rPr>
          <w:rFonts w:hint="eastAsia"/>
          <w:b/>
          <w:bCs/>
          <w:color w:val="auto"/>
          <w:sz w:val="21"/>
          <w:szCs w:val="21"/>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16A7E26A">
      <w:pPr>
        <w:rPr>
          <w:rFonts w:hint="eastAsia" w:ascii="宋体" w:hAnsi="宋体" w:eastAsia="宋体" w:cstheme="minorBidi"/>
          <w:b/>
          <w:bCs/>
          <w:color w:val="auto"/>
          <w:kern w:val="2"/>
          <w:sz w:val="30"/>
          <w:szCs w:val="32"/>
          <w:highlight w:val="none"/>
          <w:lang w:val="zh-CN" w:eastAsia="zh-CN" w:bidi="ar-SA"/>
        </w:rPr>
      </w:pPr>
      <w:r>
        <w:rPr>
          <w:rFonts w:hint="eastAsia" w:ascii="宋体" w:hAnsi="宋体" w:eastAsia="宋体" w:cstheme="minorBidi"/>
          <w:b/>
          <w:bCs/>
          <w:color w:val="auto"/>
          <w:kern w:val="2"/>
          <w:sz w:val="30"/>
          <w:szCs w:val="32"/>
          <w:highlight w:val="none"/>
          <w:lang w:val="zh-CN" w:eastAsia="zh-CN" w:bidi="ar-SA"/>
        </w:rPr>
        <w:br w:type="page"/>
      </w:r>
    </w:p>
    <w:p w14:paraId="3FE090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96" w:name="_Toc17074"/>
      <w:r>
        <w:rPr>
          <w:rFonts w:hint="eastAsia" w:ascii="宋体" w:hAnsi="宋体" w:eastAsia="宋体" w:cs="宋体"/>
          <w:b/>
          <w:bCs/>
          <w:color w:val="auto"/>
          <w:kern w:val="2"/>
          <w:sz w:val="24"/>
          <w:szCs w:val="24"/>
          <w:highlight w:val="none"/>
          <w:lang w:val="zh-CN" w:eastAsia="zh-CN" w:bidi="ar-SA"/>
        </w:rPr>
        <w:t>（二）评分标准</w:t>
      </w:r>
      <w:bookmarkEnd w:id="393"/>
      <w:bookmarkEnd w:id="394"/>
      <w:bookmarkEnd w:id="396"/>
    </w:p>
    <w:p w14:paraId="7679D3A0">
      <w:pPr>
        <w:rPr>
          <w:rFonts w:hint="eastAsia"/>
          <w:color w:val="auto"/>
          <w:sz w:val="21"/>
          <w:szCs w:val="21"/>
          <w:highlight w:val="none"/>
          <w:lang w:val="zh-CN" w:eastAsia="zh-CN"/>
        </w:rPr>
      </w:pPr>
      <w:r>
        <w:rPr>
          <w:rFonts w:hint="eastAsia"/>
          <w:color w:val="auto"/>
          <w:sz w:val="21"/>
          <w:szCs w:val="21"/>
          <w:highlight w:val="none"/>
          <w:lang w:val="en-US" w:eastAsia="zh-CN"/>
        </w:rPr>
        <w:t>注：以下评标分项根据项目实际情况可自行设置。</w:t>
      </w:r>
    </w:p>
    <w:tbl>
      <w:tblPr>
        <w:tblStyle w:val="31"/>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45"/>
        <w:gridCol w:w="6086"/>
        <w:gridCol w:w="1049"/>
      </w:tblGrid>
      <w:tr w14:paraId="63D9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7" w:type="dxa"/>
            <w:noWrap w:val="0"/>
            <w:vAlign w:val="center"/>
          </w:tcPr>
          <w:p w14:paraId="0DDFD4AB">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评分项目</w:t>
            </w:r>
          </w:p>
        </w:tc>
        <w:tc>
          <w:tcPr>
            <w:tcW w:w="1245" w:type="dxa"/>
            <w:noWrap w:val="0"/>
            <w:vAlign w:val="center"/>
          </w:tcPr>
          <w:p w14:paraId="52B5FC3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评分因素</w:t>
            </w:r>
          </w:p>
        </w:tc>
        <w:tc>
          <w:tcPr>
            <w:tcW w:w="6086" w:type="dxa"/>
            <w:noWrap w:val="0"/>
            <w:vAlign w:val="center"/>
          </w:tcPr>
          <w:p w14:paraId="4E2B443A">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评审内容</w:t>
            </w:r>
          </w:p>
        </w:tc>
        <w:tc>
          <w:tcPr>
            <w:tcW w:w="1049" w:type="dxa"/>
            <w:noWrap w:val="0"/>
            <w:vAlign w:val="center"/>
          </w:tcPr>
          <w:p w14:paraId="78867A2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分值</w:t>
            </w:r>
          </w:p>
        </w:tc>
      </w:tr>
      <w:tr w14:paraId="3AAF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707" w:type="dxa"/>
            <w:noWrap w:val="0"/>
            <w:vAlign w:val="center"/>
          </w:tcPr>
          <w:p w14:paraId="4321BA17">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价格部分（</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0分）</w:t>
            </w:r>
          </w:p>
        </w:tc>
        <w:tc>
          <w:tcPr>
            <w:tcW w:w="1245" w:type="dxa"/>
            <w:noWrap w:val="0"/>
            <w:vAlign w:val="center"/>
          </w:tcPr>
          <w:p w14:paraId="2E98BBAC">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w:t>
            </w:r>
          </w:p>
        </w:tc>
        <w:tc>
          <w:tcPr>
            <w:tcW w:w="6086" w:type="dxa"/>
            <w:noWrap w:val="0"/>
            <w:vAlign w:val="center"/>
          </w:tcPr>
          <w:p w14:paraId="05E55BC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价格分采用低价优先法计算，即满足本招标文件要求的最低投标报价为评标基准价，其价格分为满分，其它投标人的价格分统一按照下列公式计算：</w:t>
            </w:r>
          </w:p>
          <w:p w14:paraId="4D049F20">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投标报价得分=（评标基准价／投标报价）×价格分分值（精确到小数点后两位）。</w:t>
            </w:r>
          </w:p>
          <w:p w14:paraId="43D4A8AE">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超过了采购项目预算或最高限价的，为无效投标。</w:t>
            </w:r>
          </w:p>
        </w:tc>
        <w:tc>
          <w:tcPr>
            <w:tcW w:w="1049" w:type="dxa"/>
            <w:noWrap w:val="0"/>
            <w:vAlign w:val="center"/>
          </w:tcPr>
          <w:p w14:paraId="6058AF2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30</w:t>
            </w:r>
          </w:p>
        </w:tc>
      </w:tr>
      <w:tr w14:paraId="0B39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7" w:type="dxa"/>
            <w:vMerge w:val="restart"/>
            <w:shd w:val="clear" w:color="auto" w:fill="auto"/>
            <w:noWrap w:val="0"/>
            <w:vAlign w:val="center"/>
          </w:tcPr>
          <w:p w14:paraId="50467C61">
            <w:pPr>
              <w:keepNext w:val="0"/>
              <w:keepLines w:val="0"/>
              <w:pageBreakBefore w:val="0"/>
              <w:widowControl/>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商务部分（</w:t>
            </w:r>
            <w:r>
              <w:rPr>
                <w:rFonts w:hint="eastAsia" w:ascii="宋体" w:hAnsi="宋体" w:eastAsia="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分）</w:t>
            </w:r>
          </w:p>
        </w:tc>
        <w:tc>
          <w:tcPr>
            <w:tcW w:w="1245" w:type="dxa"/>
            <w:shd w:val="clear" w:color="auto" w:fill="auto"/>
            <w:noWrap w:val="0"/>
            <w:vAlign w:val="center"/>
          </w:tcPr>
          <w:p w14:paraId="71DCB3A7">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w:t>
            </w:r>
          </w:p>
          <w:p w14:paraId="50367A68">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业绩</w:t>
            </w:r>
          </w:p>
        </w:tc>
        <w:tc>
          <w:tcPr>
            <w:tcW w:w="6086" w:type="dxa"/>
            <w:shd w:val="clear" w:color="auto" w:fill="auto"/>
            <w:noWrap w:val="0"/>
            <w:vAlign w:val="center"/>
          </w:tcPr>
          <w:p w14:paraId="151C0AA3">
            <w:pPr>
              <w:keepNext w:val="0"/>
              <w:keepLines w:val="0"/>
              <w:pageBreakBefore w:val="0"/>
              <w:widowControl/>
              <w:kinsoku/>
              <w:wordWrap/>
              <w:overflowPunct/>
              <w:topLinePunct w:val="0"/>
              <w:autoSpaceDE/>
              <w:autoSpaceDN/>
              <w:bidi w:val="0"/>
              <w:adjustRightInd w:val="0"/>
              <w:snapToGrid w:val="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提供近三年内完成通信服务类等成功案例完整的合同扫描件，每提供一个得1分，合同缺失不得分，本项最高5分。</w:t>
            </w:r>
          </w:p>
        </w:tc>
        <w:tc>
          <w:tcPr>
            <w:tcW w:w="1049" w:type="dxa"/>
            <w:shd w:val="clear" w:color="000000" w:fill="FFFFFF"/>
            <w:noWrap w:val="0"/>
            <w:vAlign w:val="center"/>
          </w:tcPr>
          <w:p w14:paraId="7C0E66C5">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r>
      <w:tr w14:paraId="5773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7" w:type="dxa"/>
            <w:vMerge w:val="continue"/>
            <w:shd w:val="clear" w:color="auto" w:fill="auto"/>
            <w:noWrap w:val="0"/>
            <w:vAlign w:val="center"/>
          </w:tcPr>
          <w:p w14:paraId="1214B3B1">
            <w:pPr>
              <w:keepNext w:val="0"/>
              <w:keepLines w:val="0"/>
              <w:pageBreakBefore w:val="0"/>
              <w:widowControl/>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shd w:val="clear" w:color="auto" w:fill="auto"/>
            <w:noWrap w:val="0"/>
            <w:vAlign w:val="center"/>
          </w:tcPr>
          <w:p w14:paraId="63154BA0">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履约能力</w:t>
            </w:r>
          </w:p>
        </w:tc>
        <w:tc>
          <w:tcPr>
            <w:tcW w:w="6086" w:type="dxa"/>
            <w:shd w:val="clear" w:color="auto" w:fill="auto"/>
            <w:noWrap w:val="0"/>
            <w:vAlign w:val="center"/>
          </w:tcPr>
          <w:p w14:paraId="7F7B0EA6">
            <w:pPr>
              <w:keepNext w:val="0"/>
              <w:keepLines w:val="0"/>
              <w:pageBreakBefore w:val="0"/>
              <w:widowControl/>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bidi="ar-SA"/>
              </w:rPr>
              <w:t>项目实施详细计划：为本项目提供包括但不限于项目实施计划、关键路径、进度计划、交付物清单、验收标准、项目实施过程中可能出现的技术风险、管理风险、进度和安全风险等实施内容，完全满足要求得8分，每有1项缺失或偏差的扣1分，扣完为止。</w:t>
            </w:r>
          </w:p>
        </w:tc>
        <w:tc>
          <w:tcPr>
            <w:tcW w:w="1049" w:type="dxa"/>
            <w:shd w:val="clear" w:color="000000" w:fill="FFFFFF"/>
            <w:noWrap w:val="0"/>
            <w:vAlign w:val="center"/>
          </w:tcPr>
          <w:p w14:paraId="0C1BD5FA">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8</w:t>
            </w:r>
          </w:p>
        </w:tc>
      </w:tr>
      <w:tr w14:paraId="1BB0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07" w:type="dxa"/>
            <w:vMerge w:val="restart"/>
            <w:noWrap w:val="0"/>
            <w:vAlign w:val="center"/>
          </w:tcPr>
          <w:p w14:paraId="234CD94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技术部分(</w:t>
            </w:r>
            <w:r>
              <w:rPr>
                <w:rFonts w:hint="eastAsia" w:ascii="宋体" w:hAnsi="宋体" w:eastAsia="宋体" w:cs="宋体"/>
                <w:color w:val="auto"/>
                <w:kern w:val="0"/>
                <w:sz w:val="24"/>
                <w:szCs w:val="24"/>
                <w:highlight w:val="none"/>
                <w:lang w:val="en-US" w:eastAsia="zh-CN"/>
              </w:rPr>
              <w:t>57</w:t>
            </w:r>
            <w:r>
              <w:rPr>
                <w:rFonts w:hint="eastAsia" w:ascii="宋体" w:hAnsi="宋体" w:eastAsia="宋体" w:cs="宋体"/>
                <w:color w:val="auto"/>
                <w:kern w:val="0"/>
                <w:sz w:val="24"/>
                <w:szCs w:val="24"/>
                <w:highlight w:val="none"/>
              </w:rPr>
              <w:t>分)</w:t>
            </w:r>
          </w:p>
        </w:tc>
        <w:tc>
          <w:tcPr>
            <w:tcW w:w="1245" w:type="dxa"/>
            <w:tcBorders>
              <w:bottom w:val="single" w:color="auto" w:sz="4" w:space="0"/>
            </w:tcBorders>
            <w:noWrap w:val="0"/>
            <w:vAlign w:val="center"/>
          </w:tcPr>
          <w:p w14:paraId="1281244F">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red"/>
                <w:lang w:eastAsia="zh-CN"/>
              </w:rPr>
              <w:t>技术参数要求</w:t>
            </w:r>
          </w:p>
        </w:tc>
        <w:tc>
          <w:tcPr>
            <w:tcW w:w="6086" w:type="dxa"/>
            <w:tcBorders>
              <w:bottom w:val="single" w:color="auto" w:sz="4" w:space="0"/>
            </w:tcBorders>
            <w:noWrap w:val="0"/>
            <w:vAlign w:val="center"/>
          </w:tcPr>
          <w:p w14:paraId="48540E4B">
            <w:pPr>
              <w:keepNext w:val="0"/>
              <w:keepLines w:val="0"/>
              <w:pageBreakBefore w:val="0"/>
              <w:widowControl/>
              <w:numPr>
                <w:ilvl w:val="0"/>
                <w:numId w:val="0"/>
              </w:numPr>
              <w:kinsoku/>
              <w:wordWrap/>
              <w:overflowPunct/>
              <w:topLinePunct w:val="0"/>
              <w:autoSpaceDE/>
              <w:autoSpaceDN/>
              <w:bidi w:val="0"/>
              <w:adjustRightInd w:val="0"/>
              <w:snapToGrid w:val="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eastAsia="zh-CN"/>
              </w:rPr>
              <w:t>非</w:t>
            </w:r>
            <w:r>
              <w:rPr>
                <w:rFonts w:hint="eastAsia" w:ascii="宋体" w:hAnsi="宋体" w:eastAsia="宋体" w:cs="宋体"/>
                <w:color w:val="auto"/>
                <w:sz w:val="24"/>
                <w:szCs w:val="24"/>
                <w:highlight w:val="none"/>
              </w:rPr>
              <w:t>实质性要求</w:t>
            </w:r>
            <w:r>
              <w:rPr>
                <w:rFonts w:hint="eastAsia" w:ascii="东文宋体" w:hAnsi="东文宋体" w:eastAsia="东文宋体" w:cs="东文宋体"/>
                <w:color w:val="auto"/>
                <w:kern w:val="0"/>
                <w:sz w:val="24"/>
                <w:szCs w:val="24"/>
                <w:highlight w:val="none"/>
                <w:lang w:val="en-US" w:eastAsia="zh-CN" w:bidi="ar-SA"/>
              </w:rPr>
              <w:t>参数</w:t>
            </w:r>
            <w:r>
              <w:rPr>
                <w:rFonts w:hint="eastAsia" w:ascii="宋体" w:hAnsi="宋体" w:eastAsia="宋体" w:cs="宋体"/>
                <w:color w:val="auto"/>
                <w:kern w:val="0"/>
                <w:sz w:val="24"/>
                <w:szCs w:val="24"/>
                <w:highlight w:val="none"/>
                <w:lang w:val="en-US" w:eastAsia="zh-CN" w:bidi="ar-SA"/>
              </w:rPr>
              <w:t>，参数中</w:t>
            </w:r>
            <w:r>
              <w:rPr>
                <w:rFonts w:hint="eastAsia" w:ascii="东文宋体" w:hAnsi="东文宋体" w:eastAsia="东文宋体" w:cs="东文宋体"/>
                <w:color w:val="auto"/>
                <w:kern w:val="0"/>
                <w:sz w:val="24"/>
                <w:szCs w:val="24"/>
                <w:highlight w:val="none"/>
                <w:lang w:val="en-US" w:eastAsia="zh-CN" w:bidi="ar-SA"/>
              </w:rPr>
              <w:t>每有1小项不满足或偏离的扣1分,满分29分，</w:t>
            </w:r>
            <w:r>
              <w:rPr>
                <w:rFonts w:hint="eastAsia" w:ascii="宋体" w:hAnsi="宋体" w:eastAsia="宋体" w:cs="宋体"/>
                <w:color w:val="auto"/>
                <w:kern w:val="0"/>
                <w:sz w:val="24"/>
                <w:szCs w:val="24"/>
                <w:highlight w:val="none"/>
                <w:lang w:val="en-US" w:eastAsia="zh-CN" w:bidi="ar-SA"/>
              </w:rPr>
              <w:t>扣完为止。对“▲”项服务内容性能满足基础参数要求的不加分，每项服务内容正偏离的，每项增加1分，满分6分。（“▲”正偏离的加分参数）</w:t>
            </w:r>
          </w:p>
        </w:tc>
        <w:tc>
          <w:tcPr>
            <w:tcW w:w="1049" w:type="dxa"/>
            <w:tcBorders>
              <w:bottom w:val="single" w:color="auto" w:sz="4" w:space="0"/>
            </w:tcBorders>
            <w:noWrap w:val="0"/>
            <w:vAlign w:val="center"/>
          </w:tcPr>
          <w:p w14:paraId="71685AFC">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35</w:t>
            </w:r>
          </w:p>
        </w:tc>
      </w:tr>
      <w:tr w14:paraId="2D44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07" w:type="dxa"/>
            <w:vMerge w:val="continue"/>
            <w:noWrap w:val="0"/>
            <w:vAlign w:val="center"/>
          </w:tcPr>
          <w:p w14:paraId="3386676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p>
        </w:tc>
        <w:tc>
          <w:tcPr>
            <w:tcW w:w="1245" w:type="dxa"/>
            <w:tcBorders>
              <w:bottom w:val="single" w:color="auto" w:sz="4" w:space="0"/>
            </w:tcBorders>
            <w:noWrap w:val="0"/>
            <w:vAlign w:val="center"/>
          </w:tcPr>
          <w:p w14:paraId="168DB7B5">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需求分析</w:t>
            </w:r>
          </w:p>
        </w:tc>
        <w:tc>
          <w:tcPr>
            <w:tcW w:w="6086" w:type="dxa"/>
            <w:tcBorders>
              <w:bottom w:val="single" w:color="auto" w:sz="4" w:space="0"/>
            </w:tcBorders>
            <w:noWrap w:val="0"/>
            <w:vAlign w:val="center"/>
          </w:tcPr>
          <w:p w14:paraId="209E47A3">
            <w:pPr>
              <w:keepNext w:val="0"/>
              <w:keepLines w:val="0"/>
              <w:pageBreakBefore w:val="0"/>
              <w:widowControl/>
              <w:numPr>
                <w:ilvl w:val="0"/>
                <w:numId w:val="0"/>
              </w:numPr>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bidi="ar-SA"/>
              </w:rPr>
              <w:t>对招标内容中的移动执法终端的运行保障和维修替换服务、管理平台运维服务、应用功能提升完善服务、安全管控能力服务方面提供解决方案。方案满足运行保障和维修替换服务、管理平台运维服务、应用功能提升完善服务、安全管控能力服务需求得8分，每有1项缺失扣2分，扣完为止。</w:t>
            </w:r>
          </w:p>
        </w:tc>
        <w:tc>
          <w:tcPr>
            <w:tcW w:w="1049" w:type="dxa"/>
            <w:tcBorders>
              <w:bottom w:val="single" w:color="auto" w:sz="4" w:space="0"/>
            </w:tcBorders>
            <w:noWrap w:val="0"/>
            <w:vAlign w:val="center"/>
          </w:tcPr>
          <w:p w14:paraId="671AB774">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8</w:t>
            </w:r>
          </w:p>
        </w:tc>
      </w:tr>
      <w:tr w14:paraId="138F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7" w:type="dxa"/>
            <w:vMerge w:val="continue"/>
            <w:noWrap w:val="0"/>
            <w:vAlign w:val="center"/>
          </w:tcPr>
          <w:p w14:paraId="78FCC2C8">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vMerge w:val="restart"/>
            <w:noWrap w:val="0"/>
            <w:vAlign w:val="center"/>
          </w:tcPr>
          <w:p w14:paraId="5DA7CD3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售后服务</w:t>
            </w:r>
            <w:r>
              <w:rPr>
                <w:rFonts w:hint="eastAsia" w:ascii="宋体" w:hAnsi="宋体" w:eastAsia="宋体" w:cs="宋体"/>
                <w:color w:val="auto"/>
                <w:kern w:val="0"/>
                <w:sz w:val="24"/>
                <w:szCs w:val="24"/>
                <w:highlight w:val="none"/>
              </w:rPr>
              <w:t>方案</w:t>
            </w:r>
          </w:p>
        </w:tc>
        <w:tc>
          <w:tcPr>
            <w:tcW w:w="6086" w:type="dxa"/>
            <w:noWrap w:val="0"/>
            <w:vAlign w:val="center"/>
          </w:tcPr>
          <w:p w14:paraId="4D78F1C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方案内容包括但不限于①质量保证承诺、②免费维保期限及内容（至少3年）、③维保方式、④全疆维保体系（需包含全疆所有区域上门维护方式）、⑤安全承诺（维修过程中保证终端、内部程序数据安全及不得进行非授权操作的条款）、⑥远程系统升级等⑦大众市场“三包服务”常规内容。</w:t>
            </w:r>
          </w:p>
          <w:p w14:paraId="6CCCC132">
            <w:pPr>
              <w:keepNext w:val="0"/>
              <w:keepLines w:val="0"/>
              <w:pageBreakBefore w:val="0"/>
              <w:widowControl/>
              <w:kinsoku/>
              <w:wordWrap/>
              <w:overflowPunct/>
              <w:topLinePunct w:val="0"/>
              <w:autoSpaceDE/>
              <w:autoSpaceDN/>
              <w:bidi w:val="0"/>
              <w:adjustRightInd w:val="0"/>
              <w:snapToGrid w:val="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每提供一项得0.5分，每一项提供不全得0.3分，本项满分3.5分。</w:t>
            </w:r>
          </w:p>
        </w:tc>
        <w:tc>
          <w:tcPr>
            <w:tcW w:w="1049" w:type="dxa"/>
            <w:noWrap w:val="0"/>
            <w:vAlign w:val="center"/>
          </w:tcPr>
          <w:p w14:paraId="3E34B37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3.5</w:t>
            </w:r>
          </w:p>
        </w:tc>
      </w:tr>
      <w:tr w14:paraId="6647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07" w:type="dxa"/>
            <w:vMerge w:val="continue"/>
            <w:noWrap w:val="0"/>
            <w:vAlign w:val="center"/>
          </w:tcPr>
          <w:p w14:paraId="1D3E72B3">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vMerge w:val="continue"/>
            <w:noWrap w:val="0"/>
            <w:vAlign w:val="center"/>
          </w:tcPr>
          <w:p w14:paraId="18EBFA9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p>
        </w:tc>
        <w:tc>
          <w:tcPr>
            <w:tcW w:w="6086" w:type="dxa"/>
            <w:noWrap w:val="0"/>
            <w:vAlign w:val="center"/>
          </w:tcPr>
          <w:p w14:paraId="1151324A">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服务响应时间评比（2.5分）：</w:t>
            </w:r>
          </w:p>
          <w:p w14:paraId="67E31DBB">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1、质保期内2小时响应，12小时内到达设备使用现场，24小时内免费完成维修服务，对于非人为损坏的产品予以免费更换或维修，同时提供备品备件的清单与存放点得2.5分。</w:t>
            </w:r>
          </w:p>
          <w:p w14:paraId="6D991492">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2、质保期内6小时响应，24小时内到达设备使用现场，48小时内免费完成维修服务，对于非人为损坏的产品予以免费更换或维修，得1.5分。</w:t>
            </w:r>
          </w:p>
          <w:p w14:paraId="1E27124A">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3、质保期内超过6小时响应，48小时内未到达设备使用现场的得1分。</w:t>
            </w:r>
          </w:p>
          <w:p w14:paraId="7CE6F5B4">
            <w:pPr>
              <w:keepNext w:val="0"/>
              <w:keepLines w:val="0"/>
              <w:pageBreakBefore w:val="0"/>
              <w:widowControl/>
              <w:kinsoku/>
              <w:wordWrap/>
              <w:overflowPunct/>
              <w:topLinePunct w:val="0"/>
              <w:autoSpaceDE/>
              <w:autoSpaceDN/>
              <w:bidi w:val="0"/>
              <w:adjustRightInd w:val="0"/>
              <w:snapToGrid w:val="0"/>
              <w:textAlignment w:val="auto"/>
              <w:rPr>
                <w:rFonts w:hint="default"/>
                <w:highlight w:val="none"/>
                <w:lang w:val="en-US" w:eastAsia="zh-CN"/>
              </w:rPr>
            </w:pPr>
            <w:r>
              <w:rPr>
                <w:rFonts w:hint="eastAsia" w:ascii="宋体" w:hAnsi="宋体" w:eastAsia="宋体" w:cs="宋体"/>
                <w:color w:val="auto"/>
                <w:kern w:val="0"/>
                <w:sz w:val="24"/>
                <w:szCs w:val="24"/>
                <w:highlight w:val="none"/>
                <w:lang w:val="en-US" w:eastAsia="zh-CN" w:bidi="ar-SA"/>
              </w:rPr>
              <w:t>4、没有提供服务响应内容的均不得分。</w:t>
            </w:r>
          </w:p>
        </w:tc>
        <w:tc>
          <w:tcPr>
            <w:tcW w:w="1049" w:type="dxa"/>
            <w:noWrap w:val="0"/>
            <w:vAlign w:val="center"/>
          </w:tcPr>
          <w:p w14:paraId="3B92C34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2.5</w:t>
            </w:r>
          </w:p>
        </w:tc>
      </w:tr>
      <w:tr w14:paraId="15D6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707" w:type="dxa"/>
            <w:vMerge w:val="continue"/>
            <w:noWrap w:val="0"/>
            <w:vAlign w:val="center"/>
          </w:tcPr>
          <w:p w14:paraId="24E26807">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noWrap w:val="0"/>
            <w:vAlign w:val="center"/>
          </w:tcPr>
          <w:p w14:paraId="6C09DF90">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退换货方案</w:t>
            </w:r>
          </w:p>
        </w:tc>
        <w:tc>
          <w:tcPr>
            <w:tcW w:w="6086" w:type="dxa"/>
            <w:noWrap w:val="0"/>
            <w:vAlign w:val="center"/>
          </w:tcPr>
          <w:p w14:paraId="5BDC223F">
            <w:pPr>
              <w:keepNext w:val="0"/>
              <w:keepLines w:val="0"/>
              <w:pageBreakBefore w:val="0"/>
              <w:kinsoku/>
              <w:wordWrap/>
              <w:overflowPunct/>
              <w:topLinePunct w:val="0"/>
              <w:autoSpaceDE/>
              <w:autoSpaceDN/>
              <w:bidi w:val="0"/>
              <w:adjustRightInd w:val="0"/>
              <w:snapToGrid w:val="0"/>
              <w:textAlignment w:val="auto"/>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bidi="ar-SA"/>
              </w:rPr>
              <w:t>供应商有明确地针对配送产品质量存在的问题时的退换货方案，①退换货方式②保证措施。全部提供得2分，每缺少一项扣1分。每有1项内容存在不足（指内容不全面或不完善、与项目实际不匹配或存在偏差、内容缺乏逻辑性等）扣0.5分，扣完为止。</w:t>
            </w:r>
          </w:p>
        </w:tc>
        <w:tc>
          <w:tcPr>
            <w:tcW w:w="1049" w:type="dxa"/>
            <w:noWrap w:val="0"/>
            <w:vAlign w:val="center"/>
          </w:tcPr>
          <w:p w14:paraId="7DE96D8A">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r>
      <w:tr w14:paraId="01D2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07" w:type="dxa"/>
            <w:vMerge w:val="continue"/>
            <w:noWrap w:val="0"/>
            <w:vAlign w:val="center"/>
          </w:tcPr>
          <w:p w14:paraId="09516798">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noWrap w:val="0"/>
            <w:vAlign w:val="center"/>
          </w:tcPr>
          <w:p w14:paraId="49DF7D48">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质量保证措施</w:t>
            </w:r>
          </w:p>
        </w:tc>
        <w:tc>
          <w:tcPr>
            <w:tcW w:w="6086" w:type="dxa"/>
            <w:noWrap w:val="0"/>
            <w:vAlign w:val="center"/>
          </w:tcPr>
          <w:p w14:paraId="560E2BEF">
            <w:pPr>
              <w:keepNext w:val="0"/>
              <w:keepLines w:val="0"/>
              <w:pageBreakBefore w:val="0"/>
              <w:kinsoku/>
              <w:wordWrap/>
              <w:overflowPunct/>
              <w:topLinePunct w:val="0"/>
              <w:autoSpaceDE/>
              <w:autoSpaceDN/>
              <w:bidi w:val="0"/>
              <w:adjustRightInd w:val="0"/>
              <w:snapToGrid w:val="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有明确的①项目质量的保障措施方案，能够持续提供完整、优质后续服务；②工作安排满足任务要求，进度安排合理；全面提供得1分，每缺少1项扣0.5分。每有1处内容存在不足（指内容不全面或不完善、与项目实际不匹配或存在偏差、内容缺乏逻辑性等）扣0.25分，扣完为止。</w:t>
            </w:r>
          </w:p>
        </w:tc>
        <w:tc>
          <w:tcPr>
            <w:tcW w:w="1049" w:type="dxa"/>
            <w:noWrap w:val="0"/>
            <w:vAlign w:val="center"/>
          </w:tcPr>
          <w:p w14:paraId="06E38F59">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r>
      <w:tr w14:paraId="58E3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07" w:type="dxa"/>
            <w:vMerge w:val="continue"/>
            <w:noWrap w:val="0"/>
            <w:vAlign w:val="center"/>
          </w:tcPr>
          <w:p w14:paraId="383FA18B">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noWrap w:val="0"/>
            <w:vAlign w:val="center"/>
          </w:tcPr>
          <w:p w14:paraId="09B55777">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保密措施</w:t>
            </w:r>
          </w:p>
        </w:tc>
        <w:tc>
          <w:tcPr>
            <w:tcW w:w="6086" w:type="dxa"/>
            <w:noWrap w:val="0"/>
            <w:vAlign w:val="center"/>
          </w:tcPr>
          <w:p w14:paraId="21A00007">
            <w:pPr>
              <w:keepNext w:val="0"/>
              <w:keepLines w:val="0"/>
              <w:pageBreakBefore w:val="0"/>
              <w:kinsoku/>
              <w:wordWrap/>
              <w:overflowPunct/>
              <w:topLinePunct w:val="0"/>
              <w:autoSpaceDE/>
              <w:autoSpaceDN/>
              <w:bidi w:val="0"/>
              <w:adjustRightInd w:val="0"/>
              <w:snapToGrid w:val="0"/>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提交项目服务安全保密方案，保证信息不外泄且保密措施完善、保密方案安全度高，知悉范围（项目参与人员）人数在20人内的得1分，保密方案及措施有缺失</w:t>
            </w:r>
            <w:r>
              <w:rPr>
                <w:rFonts w:hint="eastAsia" w:cs="宋体"/>
                <w:color w:val="auto"/>
                <w:kern w:val="0"/>
                <w:sz w:val="24"/>
                <w:szCs w:val="24"/>
                <w:highlight w:val="none"/>
                <w:lang w:val="en-US" w:eastAsia="zh-CN" w:bidi="ar-SA"/>
              </w:rPr>
              <w:t>、知</w:t>
            </w:r>
            <w:r>
              <w:rPr>
                <w:rFonts w:hint="eastAsia" w:ascii="宋体" w:hAnsi="宋体" w:eastAsia="宋体" w:cs="宋体"/>
                <w:color w:val="auto"/>
                <w:kern w:val="0"/>
                <w:sz w:val="24"/>
                <w:szCs w:val="24"/>
                <w:highlight w:val="none"/>
                <w:lang w:val="en-US" w:eastAsia="zh-CN" w:bidi="ar-SA"/>
              </w:rPr>
              <w:t>悉范围人数大于20人的得0.5分，较差或有泄密风险得0分。</w:t>
            </w:r>
          </w:p>
        </w:tc>
        <w:tc>
          <w:tcPr>
            <w:tcW w:w="1049" w:type="dxa"/>
            <w:noWrap w:val="0"/>
            <w:vAlign w:val="center"/>
          </w:tcPr>
          <w:p w14:paraId="61901139">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r>
      <w:tr w14:paraId="5679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07" w:type="dxa"/>
            <w:vMerge w:val="continue"/>
            <w:noWrap w:val="0"/>
            <w:vAlign w:val="center"/>
          </w:tcPr>
          <w:p w14:paraId="0C6B3FBD">
            <w:pPr>
              <w:keepNext w:val="0"/>
              <w:keepLines w:val="0"/>
              <w:pageBreakBefore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4"/>
                <w:szCs w:val="24"/>
                <w:highlight w:val="none"/>
              </w:rPr>
            </w:pPr>
          </w:p>
        </w:tc>
        <w:tc>
          <w:tcPr>
            <w:tcW w:w="1245" w:type="dxa"/>
            <w:noWrap w:val="0"/>
            <w:vAlign w:val="center"/>
          </w:tcPr>
          <w:p w14:paraId="7A1B4247">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人员配置</w:t>
            </w:r>
          </w:p>
          <w:p w14:paraId="5B941501">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0"/>
                <w:sz w:val="24"/>
                <w:szCs w:val="24"/>
                <w:highlight w:val="none"/>
                <w:lang w:val="en-US" w:eastAsia="zh-CN" w:bidi="ar-SA"/>
              </w:rPr>
            </w:pPr>
          </w:p>
        </w:tc>
        <w:tc>
          <w:tcPr>
            <w:tcW w:w="6086" w:type="dxa"/>
            <w:noWrap w:val="0"/>
            <w:vAlign w:val="center"/>
          </w:tcPr>
          <w:p w14:paraId="0E14C690">
            <w:pPr>
              <w:keepNext w:val="0"/>
              <w:keepLines w:val="0"/>
              <w:pageBreakBefore w:val="0"/>
              <w:widowControl/>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1、项目经理资质：持有信息系统项目管理师或通信工程师（高级）等证书，提供得1分，最高1分。</w:t>
            </w:r>
          </w:p>
          <w:p w14:paraId="0C02E901">
            <w:pPr>
              <w:pStyle w:val="13"/>
              <w:keepNext w:val="0"/>
              <w:keepLines w:val="0"/>
              <w:pageBreakBefore w:val="0"/>
              <w:numPr>
                <w:ilvl w:val="0"/>
                <w:numId w:val="0"/>
              </w:numPr>
              <w:kinsoku/>
              <w:wordWrap/>
              <w:overflowPunct/>
              <w:topLinePunct w:val="0"/>
              <w:autoSpaceDE/>
              <w:autoSpaceDN/>
              <w:bidi w:val="0"/>
              <w:adjustRightInd w:val="0"/>
              <w:snapToGrid w:val="0"/>
              <w:ind w:leftChars="0"/>
              <w:textAlignment w:val="auto"/>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bidi="ar-SA"/>
              </w:rPr>
              <w:t>2、技术团队资质：团队成员5人，具备系统集成项目管理工程师或项目集成管理工程师或信息安全工程师等证书，每提供一个认证得1分，最高得2分。</w:t>
            </w:r>
          </w:p>
          <w:p w14:paraId="6C4FF472">
            <w:pPr>
              <w:keepNext w:val="0"/>
              <w:keepLines w:val="0"/>
              <w:pageBreakBefore w:val="0"/>
              <w:kinsoku/>
              <w:wordWrap/>
              <w:overflowPunct/>
              <w:topLinePunct w:val="0"/>
              <w:autoSpaceDE/>
              <w:autoSpaceDN/>
              <w:bidi w:val="0"/>
              <w:adjustRightInd w:val="0"/>
              <w:snapToGrid w:val="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（备注：项目组人员应为投标人正式员工，除提供上述证书外，还须提供投标人近半年任意一个月社保缴纳证明（依法享受免缴或缓缴的提供税务机关证明材料））</w:t>
            </w:r>
          </w:p>
          <w:p w14:paraId="75CE6D36">
            <w:pPr>
              <w:adjustRightInd w:val="0"/>
              <w:snapToGrid w:val="0"/>
              <w:spacing w:line="240" w:lineRule="auto"/>
              <w:jc w:val="both"/>
              <w:rPr>
                <w:rFonts w:hint="default" w:ascii="宋体" w:hAnsi="宋体" w:eastAsia="宋体" w:cs="宋体"/>
                <w:color w:val="auto"/>
                <w:kern w:val="0"/>
                <w:sz w:val="24"/>
                <w:szCs w:val="24"/>
                <w:highlight w:val="none"/>
                <w:lang w:val="en-US" w:eastAsia="zh-CN" w:bidi="ar-SA"/>
              </w:rPr>
            </w:pPr>
            <w:r>
              <w:rPr>
                <w:rFonts w:hint="default" w:ascii="宋体" w:hAnsi="宋体" w:eastAsia="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、须配备专职运维人员，负责本项目全周期内的系统维护、故障处理及日常运维工作，服务期内全程驻场（驻场时间不少于3个月），不得同时在其他单位承担运维工作。得1分。</w:t>
            </w:r>
          </w:p>
        </w:tc>
        <w:tc>
          <w:tcPr>
            <w:tcW w:w="1049" w:type="dxa"/>
            <w:noWrap w:val="0"/>
            <w:vAlign w:val="center"/>
          </w:tcPr>
          <w:p w14:paraId="1451575B">
            <w:pPr>
              <w:keepNext w:val="0"/>
              <w:keepLines w:val="0"/>
              <w:pageBreakBefore w:val="0"/>
              <w:kinsoku/>
              <w:wordWrap/>
              <w:overflowPunct/>
              <w:topLinePunct w:val="0"/>
              <w:autoSpaceDE/>
              <w:autoSpaceDN/>
              <w:bidi w:val="0"/>
              <w:adjustRightInd w:val="0"/>
              <w:snapToGrid w:val="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r>
    </w:tbl>
    <w:p w14:paraId="0DEE66CB">
      <w:pPr>
        <w:rPr>
          <w:rFonts w:hint="eastAsia"/>
          <w:color w:val="auto"/>
          <w:highlight w:val="none"/>
        </w:rPr>
      </w:pPr>
      <w:r>
        <w:rPr>
          <w:rFonts w:hint="eastAsia"/>
          <w:color w:val="auto"/>
          <w:highlight w:val="none"/>
        </w:rPr>
        <w:br w:type="page"/>
      </w:r>
    </w:p>
    <w:p w14:paraId="203C6AA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bookmarkStart w:id="397" w:name="_Toc155185918"/>
      <w:bookmarkStart w:id="398" w:name="_Toc22127"/>
      <w:bookmarkStart w:id="399" w:name="_Toc1640"/>
      <w:r>
        <w:rPr>
          <w:rFonts w:hint="eastAsia" w:ascii="宋体" w:hAnsi="宋体" w:eastAsia="宋体" w:cs="宋体"/>
          <w:b/>
          <w:bCs/>
          <w:color w:val="auto"/>
          <w:kern w:val="44"/>
          <w:sz w:val="36"/>
          <w:szCs w:val="36"/>
          <w:highlight w:val="none"/>
          <w:lang w:val="zh-CN" w:eastAsia="zh-CN" w:bidi="ar-SA"/>
        </w:rPr>
        <w:t>第六章 合同</w:t>
      </w:r>
      <w:bookmarkEnd w:id="397"/>
      <w:r>
        <w:rPr>
          <w:rFonts w:hint="eastAsia" w:ascii="宋体" w:hAnsi="宋体" w:eastAsia="宋体" w:cs="宋体"/>
          <w:b/>
          <w:bCs/>
          <w:color w:val="auto"/>
          <w:kern w:val="44"/>
          <w:sz w:val="36"/>
          <w:szCs w:val="36"/>
          <w:highlight w:val="none"/>
          <w:lang w:val="zh-CN" w:eastAsia="zh-CN" w:bidi="ar-SA"/>
        </w:rPr>
        <w:t>草案</w:t>
      </w:r>
      <w:bookmarkEnd w:id="398"/>
      <w:bookmarkEnd w:id="399"/>
    </w:p>
    <w:p w14:paraId="5CF7B029">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466B9990">
      <w:pPr>
        <w:wordWrap w:val="0"/>
        <w:rPr>
          <w:bCs/>
          <w:color w:val="auto"/>
          <w:sz w:val="28"/>
          <w:szCs w:val="28"/>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19BFA312">
      <w:pPr>
        <w:spacing w:line="500" w:lineRule="exact"/>
        <w:ind w:firstLine="480" w:firstLineChars="200"/>
        <w:rPr>
          <w:rFonts w:hint="eastAsia" w:ascii="宋体" w:hAnsi="宋体" w:eastAsia="宋体" w:cs="宋体"/>
          <w:bCs/>
          <w:sz w:val="24"/>
          <w:highlight w:val="none"/>
        </w:rPr>
      </w:pPr>
      <w:bookmarkStart w:id="400" w:name="_Toc20823315"/>
      <w:bookmarkStart w:id="401" w:name="_Toc513029243"/>
      <w:bookmarkStart w:id="402" w:name="_Toc16938559"/>
      <w:bookmarkStart w:id="403" w:name="_Toc3995"/>
      <w:r>
        <w:rPr>
          <w:rFonts w:hint="eastAsia" w:ascii="宋体" w:hAnsi="宋体" w:eastAsia="宋体" w:cs="宋体"/>
          <w:bCs/>
          <w:sz w:val="24"/>
          <w:highlight w:val="none"/>
        </w:rPr>
        <w:t>以下为中标后签定本项目合同的通用条款，中标人不得提出实质性的修改，关于专用条款将由采购人与中标人结合本项目具体情况协商后签订。</w:t>
      </w:r>
    </w:p>
    <w:p w14:paraId="1063AC86">
      <w:pPr>
        <w:jc w:val="center"/>
        <w:rPr>
          <w:rFonts w:hint="eastAsia" w:ascii="宋体" w:hAnsi="宋体" w:eastAsia="宋体" w:cs="宋体"/>
          <w:b/>
          <w:bCs/>
          <w:sz w:val="30"/>
          <w:szCs w:val="30"/>
          <w:highlight w:val="none"/>
        </w:rPr>
      </w:pPr>
      <w:r>
        <w:rPr>
          <w:rFonts w:hint="eastAsia" w:ascii="宋体" w:hAnsi="宋体" w:eastAsia="宋体" w:cs="宋体"/>
          <w:b/>
          <w:sz w:val="30"/>
          <w:szCs w:val="30"/>
          <w:highlight w:val="none"/>
        </w:rPr>
        <w:t>新疆维吾尔自治区政府采购合同（合同编号）</w:t>
      </w:r>
    </w:p>
    <w:p w14:paraId="649ECB4C">
      <w:pPr>
        <w:pStyle w:val="18"/>
        <w:snapToGrid w:val="0"/>
        <w:spacing w:before="120" w:after="12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                                       项目编号：</w:t>
      </w:r>
    </w:p>
    <w:p w14:paraId="0202FC30">
      <w:pPr>
        <w:pStyle w:val="18"/>
        <w:snapToGrid w:val="0"/>
        <w:spacing w:before="120" w:after="120"/>
        <w:rPr>
          <w:rFonts w:hint="eastAsia" w:ascii="宋体" w:hAnsi="宋体" w:eastAsia="宋体" w:cs="宋体"/>
          <w:sz w:val="24"/>
          <w:szCs w:val="24"/>
          <w:highlight w:val="none"/>
        </w:rPr>
      </w:pPr>
      <w:r>
        <w:rPr>
          <w:rFonts w:hint="eastAsia" w:ascii="宋体" w:hAnsi="宋体" w:eastAsia="宋体" w:cs="宋体"/>
          <w:sz w:val="24"/>
          <w:szCs w:val="24"/>
          <w:highlight w:val="none"/>
        </w:rPr>
        <w:t>甲方：（买方）_________</w:t>
      </w:r>
    </w:p>
    <w:p w14:paraId="314E250C">
      <w:pPr>
        <w:pStyle w:val="18"/>
        <w:snapToGrid w:val="0"/>
        <w:spacing w:before="120" w:after="120"/>
        <w:rPr>
          <w:rFonts w:hint="eastAsia" w:ascii="宋体" w:hAnsi="宋体" w:eastAsia="宋体" w:cs="宋体"/>
          <w:sz w:val="24"/>
          <w:szCs w:val="24"/>
          <w:highlight w:val="none"/>
        </w:rPr>
      </w:pPr>
      <w:r>
        <w:rPr>
          <w:rFonts w:hint="eastAsia" w:ascii="宋体" w:hAnsi="宋体" w:eastAsia="宋体" w:cs="宋体"/>
          <w:sz w:val="24"/>
          <w:szCs w:val="24"/>
          <w:highlight w:val="none"/>
        </w:rPr>
        <w:t>乙方：（卖方）_________</w:t>
      </w:r>
    </w:p>
    <w:p w14:paraId="72D1D95C">
      <w:pPr>
        <w:pStyle w:val="18"/>
        <w:snapToGrid w:val="0"/>
        <w:spacing w:before="120" w:after="120"/>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r>
        <w:rPr>
          <w:rFonts w:hint="eastAsia" w:ascii="宋体" w:hAnsi="宋体" w:eastAsia="宋体" w:cs="宋体"/>
          <w:sz w:val="24"/>
          <w:szCs w:val="24"/>
          <w:highlight w:val="none"/>
        </w:rPr>
        <w:t>甲、乙双方根据</w:t>
      </w:r>
      <w:r>
        <w:rPr>
          <w:rFonts w:hint="eastAsia" w:ascii="宋体" w:hAnsi="宋体" w:eastAsia="宋体" w:cs="宋体"/>
          <w:sz w:val="24"/>
          <w:szCs w:val="24"/>
          <w:highlight w:val="none"/>
          <w:u w:val="single"/>
        </w:rPr>
        <w:t xml:space="preserve">                          组织的                                   </w:t>
      </w:r>
      <w:r>
        <w:rPr>
          <w:rFonts w:hint="eastAsia" w:ascii="宋体" w:hAnsi="宋体" w:eastAsia="宋体" w:cs="宋体"/>
          <w:sz w:val="24"/>
          <w:szCs w:val="24"/>
          <w:highlight w:val="none"/>
        </w:rPr>
        <w:t>项目公开招标的结果，签署本合同。</w:t>
      </w:r>
    </w:p>
    <w:p w14:paraId="1C3166EB">
      <w:pPr>
        <w:pStyle w:val="18"/>
        <w:snapToGrid w:val="0"/>
        <w:spacing w:before="120" w:after="120"/>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一、产品内容</w:t>
      </w:r>
      <w:r>
        <w:rPr>
          <w:rFonts w:hint="eastAsia" w:hAnsi="宋体" w:cs="宋体"/>
          <w:b/>
          <w:color w:val="FF0000"/>
          <w:sz w:val="24"/>
          <w:szCs w:val="24"/>
          <w:highlight w:val="none"/>
          <w:lang w:val="en-US" w:eastAsia="zh-CN"/>
        </w:rPr>
        <w:t>及服务</w:t>
      </w:r>
    </w:p>
    <w:p w14:paraId="19968D3C">
      <w:pPr>
        <w:pStyle w:val="18"/>
        <w:snapToGrid w:val="0"/>
        <w:spacing w:before="120" w:after="12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 产品名称：</w:t>
      </w:r>
    </w:p>
    <w:p w14:paraId="3717C15E">
      <w:pPr>
        <w:pStyle w:val="18"/>
        <w:snapToGrid w:val="0"/>
        <w:spacing w:before="120" w:after="12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 型号规格：</w:t>
      </w:r>
    </w:p>
    <w:p w14:paraId="63A73A22">
      <w:pPr>
        <w:pStyle w:val="18"/>
        <w:snapToGrid w:val="0"/>
        <w:spacing w:before="120" w:after="12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 数量（单位）：</w:t>
      </w:r>
    </w:p>
    <w:p w14:paraId="30D4C9D5">
      <w:pPr>
        <w:pStyle w:val="18"/>
        <w:snapToGrid w:val="0"/>
        <w:spacing w:before="120" w:after="120"/>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二、合同金额</w:t>
      </w:r>
    </w:p>
    <w:p w14:paraId="4C732525">
      <w:pPr>
        <w:pStyle w:val="18"/>
        <w:snapToGrid w:val="0"/>
        <w:spacing w:before="120" w:after="120"/>
        <w:ind w:left="547" w:leftChars="228" w:firstLine="69" w:firstLineChars="29"/>
        <w:rPr>
          <w:rFonts w:hint="eastAsia" w:ascii="宋体" w:hAnsi="宋体" w:eastAsia="宋体" w:cs="宋体"/>
          <w:sz w:val="24"/>
          <w:szCs w:val="24"/>
          <w:highlight w:val="none"/>
        </w:rPr>
      </w:pPr>
      <w:r>
        <w:rPr>
          <w:rFonts w:hint="eastAsia" w:ascii="宋体" w:hAnsi="宋体" w:eastAsia="宋体" w:cs="宋体"/>
          <w:sz w:val="24"/>
          <w:szCs w:val="24"/>
          <w:highlight w:val="none"/>
        </w:rPr>
        <w:t>2.1 本合同金额为（大写）：____________________________________圆（_______________元）人民币或其他币种。</w:t>
      </w:r>
    </w:p>
    <w:p w14:paraId="7216C98A">
      <w:pPr>
        <w:pStyle w:val="18"/>
        <w:snapToGrid w:val="0"/>
        <w:spacing w:before="120" w:after="120"/>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三、技术资料</w:t>
      </w:r>
    </w:p>
    <w:p w14:paraId="49B704AA">
      <w:pPr>
        <w:pStyle w:val="18"/>
        <w:snapToGrid w:val="0"/>
        <w:spacing w:before="120" w:after="120"/>
        <w:ind w:left="547" w:leftChars="228" w:firstLine="69" w:firstLineChars="29"/>
        <w:rPr>
          <w:rFonts w:hint="eastAsia" w:ascii="宋体" w:hAnsi="宋体" w:eastAsia="宋体" w:cs="宋体"/>
          <w:sz w:val="24"/>
          <w:szCs w:val="24"/>
          <w:highlight w:val="none"/>
        </w:rPr>
      </w:pPr>
      <w:r>
        <w:rPr>
          <w:rFonts w:hint="eastAsia" w:ascii="宋体" w:hAnsi="宋体" w:eastAsia="宋体" w:cs="宋体"/>
          <w:sz w:val="24"/>
          <w:szCs w:val="24"/>
          <w:highlight w:val="none"/>
        </w:rPr>
        <w:t>3.1乙方应按招标文件规定的时间向甲方提供使用货物的有关技术资料。</w:t>
      </w:r>
    </w:p>
    <w:p w14:paraId="13C58EF4">
      <w:pPr>
        <w:pStyle w:val="18"/>
        <w:snapToGrid w:val="0"/>
        <w:spacing w:before="120" w:after="120"/>
        <w:ind w:left="547" w:leftChars="228" w:firstLine="69" w:firstLineChars="29"/>
        <w:rPr>
          <w:rFonts w:hint="eastAsia" w:ascii="宋体" w:hAnsi="宋体" w:eastAsia="宋体" w:cs="宋体"/>
          <w:sz w:val="24"/>
          <w:szCs w:val="24"/>
          <w:highlight w:val="none"/>
        </w:rPr>
      </w:pPr>
      <w:r>
        <w:rPr>
          <w:rFonts w:hint="eastAsia" w:ascii="宋体" w:hAnsi="宋体" w:eastAsia="宋体" w:cs="宋体"/>
          <w:sz w:val="24"/>
          <w:szCs w:val="24"/>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5ECDE71">
      <w:pPr>
        <w:pStyle w:val="18"/>
        <w:snapToGrid w:val="0"/>
        <w:spacing w:before="120" w:after="120"/>
        <w:ind w:left="547" w:leftChars="228" w:firstLine="70" w:firstLineChars="29"/>
        <w:rPr>
          <w:rFonts w:hint="eastAsia" w:ascii="宋体" w:hAnsi="宋体" w:eastAsia="宋体" w:cs="宋体"/>
          <w:b/>
          <w:sz w:val="24"/>
          <w:szCs w:val="24"/>
          <w:highlight w:val="none"/>
        </w:rPr>
      </w:pPr>
      <w:r>
        <w:rPr>
          <w:rFonts w:hint="eastAsia" w:ascii="宋体" w:hAnsi="宋体" w:eastAsia="宋体" w:cs="宋体"/>
          <w:b/>
          <w:sz w:val="24"/>
          <w:szCs w:val="24"/>
          <w:highlight w:val="none"/>
        </w:rPr>
        <w:t>四、知识产权</w:t>
      </w:r>
    </w:p>
    <w:p w14:paraId="1924F9A7">
      <w:pPr>
        <w:spacing w:line="500" w:lineRule="exact"/>
        <w:ind w:firstLine="480" w:firstLineChars="200"/>
        <w:rPr>
          <w:rFonts w:hint="eastAsia" w:ascii="宋体" w:hAnsi="宋体" w:eastAsia="宋体" w:cs="宋体"/>
          <w:sz w:val="24"/>
          <w:highlight w:val="none"/>
        </w:rPr>
      </w:pPr>
      <w:r>
        <w:rPr>
          <w:rFonts w:hint="eastAsia" w:ascii="宋体" w:hAnsi="宋体" w:eastAsia="宋体" w:cs="宋体"/>
          <w:sz w:val="24"/>
          <w:szCs w:val="24"/>
          <w:highlight w:val="none"/>
        </w:rPr>
        <w:t>4.1乙</w:t>
      </w:r>
      <w:r>
        <w:rPr>
          <w:rFonts w:hint="eastAsia" w:ascii="宋体" w:hAnsi="宋体" w:eastAsia="宋体" w:cs="宋体"/>
          <w:sz w:val="24"/>
          <w:highlight w:val="none"/>
        </w:rPr>
        <w:t>方应保证甲方在使用、接受本合同货物和服务或其任何一部分时不受第三方提出侵犯其专利权、版权、商标权和工业设计权等知识产权的起诉。一旦出现侵权，由乙方负全部责任</w:t>
      </w:r>
      <w:r>
        <w:rPr>
          <w:rFonts w:hint="eastAsia" w:ascii="宋体" w:hAnsi="宋体" w:eastAsia="宋体" w:cs="宋体"/>
          <w:color w:val="FF0000"/>
          <w:sz w:val="24"/>
          <w:highlight w:val="none"/>
          <w:lang w:eastAsia="zh-CN"/>
        </w:rPr>
        <w:t>（</w:t>
      </w:r>
      <w:r>
        <w:rPr>
          <w:rFonts w:hint="eastAsia" w:ascii="宋体" w:hAnsi="宋体" w:eastAsia="宋体" w:cs="宋体"/>
          <w:color w:val="FF0000"/>
          <w:sz w:val="24"/>
          <w:highlight w:val="none"/>
          <w:lang w:val="en-US" w:eastAsia="zh-CN"/>
        </w:rPr>
        <w:t>包括甲方遭受的损失及因此支出的律师费、鉴定费、差旅费等）</w:t>
      </w:r>
      <w:r>
        <w:rPr>
          <w:rFonts w:hint="eastAsia" w:ascii="宋体" w:hAnsi="宋体" w:eastAsia="宋体" w:cs="宋体"/>
          <w:sz w:val="24"/>
          <w:highlight w:val="none"/>
        </w:rPr>
        <w:t>。</w:t>
      </w:r>
    </w:p>
    <w:p w14:paraId="6562832C">
      <w:pPr>
        <w:pStyle w:val="18"/>
        <w:snapToGrid w:val="0"/>
        <w:spacing w:before="120" w:after="120"/>
        <w:ind w:firstLine="482" w:firstLineChars="200"/>
        <w:rPr>
          <w:rFonts w:hint="eastAsia" w:ascii="宋体" w:hAnsi="宋体" w:eastAsia="宋体" w:cs="宋体"/>
          <w:sz w:val="24"/>
          <w:szCs w:val="24"/>
          <w:highlight w:val="none"/>
          <w:u w:val="single"/>
        </w:rPr>
      </w:pPr>
      <w:r>
        <w:rPr>
          <w:rFonts w:hint="eastAsia" w:ascii="宋体" w:hAnsi="宋体" w:eastAsia="宋体" w:cs="宋体"/>
          <w:b/>
          <w:sz w:val="24"/>
          <w:szCs w:val="24"/>
          <w:highlight w:val="none"/>
        </w:rPr>
        <w:t>五、产权担保</w:t>
      </w:r>
    </w:p>
    <w:p w14:paraId="1016E280">
      <w:pPr>
        <w:pStyle w:val="18"/>
        <w:snapToGrid w:val="0"/>
        <w:spacing w:before="120" w:after="120"/>
        <w:ind w:left="547" w:leftChars="228" w:firstLine="72" w:firstLineChars="3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5.1 乙方保证所交付的产品的所有权完全属于乙方且无任何抵押、查封等产权瑕疵。</w:t>
      </w:r>
    </w:p>
    <w:p w14:paraId="302905CD">
      <w:pPr>
        <w:snapToGrid w:val="0"/>
        <w:spacing w:before="145" w:beforeLines="50" w:after="145" w:afterLines="50"/>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六</w:t>
      </w:r>
      <w:r>
        <w:rPr>
          <w:rFonts w:hint="eastAsia" w:ascii="宋体" w:hAnsi="宋体" w:eastAsia="宋体" w:cs="宋体"/>
          <w:b/>
          <w:sz w:val="24"/>
          <w:szCs w:val="24"/>
          <w:highlight w:val="none"/>
        </w:rPr>
        <w:t>、转包或分包</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本项目不适用</w:t>
      </w:r>
      <w:r>
        <w:rPr>
          <w:rFonts w:hint="eastAsia" w:ascii="宋体" w:hAnsi="宋体" w:eastAsia="宋体" w:cs="宋体"/>
          <w:b/>
          <w:sz w:val="24"/>
          <w:szCs w:val="24"/>
          <w:highlight w:val="none"/>
          <w:lang w:eastAsia="zh-CN"/>
        </w:rPr>
        <w:t>）</w:t>
      </w:r>
    </w:p>
    <w:p w14:paraId="5918936D">
      <w:pPr>
        <w:snapToGrid w:val="0"/>
        <w:spacing w:before="145" w:beforeLines="50" w:after="145" w:afterLines="5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.1本合同范围的产品</w:t>
      </w:r>
      <w:r>
        <w:rPr>
          <w:rFonts w:hint="eastAsia" w:cs="宋体"/>
          <w:color w:val="FF0000"/>
          <w:sz w:val="24"/>
          <w:szCs w:val="24"/>
          <w:highlight w:val="none"/>
          <w:lang w:val="en-US" w:eastAsia="zh-CN"/>
        </w:rPr>
        <w:t>或服务</w:t>
      </w:r>
      <w:r>
        <w:rPr>
          <w:rFonts w:hint="eastAsia" w:ascii="宋体" w:hAnsi="宋体" w:eastAsia="宋体" w:cs="宋体"/>
          <w:sz w:val="24"/>
          <w:szCs w:val="24"/>
          <w:highlight w:val="none"/>
        </w:rPr>
        <w:t>，应由乙方直接供应，不得转让他人供应；</w:t>
      </w:r>
    </w:p>
    <w:p w14:paraId="157F020B">
      <w:pPr>
        <w:snapToGrid w:val="0"/>
        <w:spacing w:before="145" w:beforeLines="50" w:after="145" w:afterLines="5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.2 除非得到甲方的书面同意，乙方不得部分分包给他人供应。</w:t>
      </w:r>
    </w:p>
    <w:p w14:paraId="3DAF1F86">
      <w:pPr>
        <w:snapToGrid w:val="0"/>
        <w:spacing w:before="145" w:beforeLines="50" w:after="145" w:afterLines="5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.3如有转让和未经甲方同意的分包行为，甲方有</w:t>
      </w:r>
      <w:r>
        <w:rPr>
          <w:rFonts w:hint="eastAsia" w:ascii="宋体" w:hAnsi="宋体" w:eastAsia="宋体" w:cs="宋体"/>
          <w:color w:val="FF0000"/>
          <w:sz w:val="24"/>
          <w:szCs w:val="24"/>
          <w:highlight w:val="none"/>
        </w:rPr>
        <w:t>权</w:t>
      </w:r>
      <w:r>
        <w:rPr>
          <w:rFonts w:hint="eastAsia"/>
          <w:color w:val="FF0000"/>
          <w:highlight w:val="none"/>
          <w:lang w:val="en-US" w:eastAsia="zh-CN"/>
        </w:rPr>
        <w:t>解除合同，并要求乙方承担违约责任</w:t>
      </w:r>
      <w:r>
        <w:rPr>
          <w:rFonts w:hint="eastAsia"/>
          <w:highlight w:val="none"/>
          <w:lang w:val="en-US" w:eastAsia="zh-CN"/>
        </w:rPr>
        <w:t>。</w:t>
      </w:r>
    </w:p>
    <w:p w14:paraId="08F998B7">
      <w:pPr>
        <w:pStyle w:val="18"/>
        <w:snapToGrid w:val="0"/>
        <w:spacing w:before="120" w:after="120"/>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七</w:t>
      </w:r>
      <w:r>
        <w:rPr>
          <w:rFonts w:hint="eastAsia" w:ascii="宋体" w:hAnsi="宋体" w:eastAsia="宋体" w:cs="宋体"/>
          <w:b/>
          <w:sz w:val="24"/>
          <w:szCs w:val="24"/>
          <w:highlight w:val="none"/>
        </w:rPr>
        <w:t>、质保期</w:t>
      </w:r>
    </w:p>
    <w:p w14:paraId="688B38C8">
      <w:pPr>
        <w:pStyle w:val="18"/>
        <w:snapToGrid w:val="0"/>
        <w:spacing w:before="120" w:after="120"/>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质保期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年。（自交货验收合格之日起计）</w:t>
      </w:r>
    </w:p>
    <w:p w14:paraId="5438D4C7">
      <w:pPr>
        <w:pStyle w:val="18"/>
        <w:snapToGrid w:val="0"/>
        <w:spacing w:before="120" w:after="120"/>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八</w:t>
      </w:r>
      <w:r>
        <w:rPr>
          <w:rFonts w:hint="eastAsia" w:ascii="宋体" w:hAnsi="宋体" w:eastAsia="宋体" w:cs="宋体"/>
          <w:b/>
          <w:sz w:val="24"/>
          <w:szCs w:val="24"/>
          <w:highlight w:val="none"/>
        </w:rPr>
        <w:t>、交货期、交货方式及交货地点</w:t>
      </w:r>
    </w:p>
    <w:p w14:paraId="71DA4344">
      <w:pPr>
        <w:pStyle w:val="18"/>
        <w:snapToGrid w:val="0"/>
        <w:spacing w:before="120" w:after="120"/>
        <w:ind w:left="0" w:leftChars="0" w:firstLine="420" w:firstLineChars="175"/>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.1 交货期：</w:t>
      </w:r>
      <w:r>
        <w:rPr>
          <w:rFonts w:hint="eastAsia" w:ascii="宋体" w:hAnsi="宋体" w:eastAsia="宋体" w:cs="宋体"/>
          <w:sz w:val="24"/>
          <w:szCs w:val="24"/>
          <w:highlight w:val="none"/>
        </w:rPr>
        <w:t>__</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____</w:t>
      </w:r>
    </w:p>
    <w:p w14:paraId="1E84FF40">
      <w:pPr>
        <w:pStyle w:val="18"/>
        <w:snapToGrid w:val="0"/>
        <w:spacing w:before="120" w:after="120"/>
        <w:ind w:left="0" w:leftChars="0" w:firstLine="420" w:firstLineChars="175"/>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.2 交货方式：</w:t>
      </w:r>
      <w:r>
        <w:rPr>
          <w:rFonts w:hint="eastAsia" w:ascii="宋体" w:hAnsi="宋体" w:eastAsia="宋体" w:cs="宋体"/>
          <w:sz w:val="24"/>
          <w:szCs w:val="24"/>
          <w:highlight w:val="none"/>
        </w:rPr>
        <w:t>___________</w:t>
      </w:r>
    </w:p>
    <w:p w14:paraId="27D60A1D">
      <w:pPr>
        <w:pStyle w:val="18"/>
        <w:snapToGrid w:val="0"/>
        <w:spacing w:before="120" w:after="120"/>
        <w:ind w:left="0" w:leftChars="0" w:firstLine="420" w:firstLineChars="175"/>
        <w:rPr>
          <w:rFonts w:hint="eastAsia" w:ascii="宋体" w:hAnsi="宋体" w:eastAsia="宋体" w:cs="宋体"/>
          <w:b/>
          <w:sz w:val="24"/>
          <w:szCs w:val="24"/>
          <w:highlight w:val="none"/>
        </w:rPr>
      </w:pP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.3 交货地点：</w:t>
      </w:r>
      <w:r>
        <w:rPr>
          <w:rFonts w:hint="eastAsia" w:ascii="宋体" w:hAnsi="宋体" w:eastAsia="宋体" w:cs="宋体"/>
          <w:sz w:val="24"/>
          <w:szCs w:val="24"/>
          <w:highlight w:val="none"/>
        </w:rPr>
        <w:t>__</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___</w:t>
      </w:r>
    </w:p>
    <w:p w14:paraId="0F1AAB7B">
      <w:pPr>
        <w:pStyle w:val="18"/>
        <w:snapToGrid w:val="0"/>
        <w:spacing w:before="120" w:after="120"/>
        <w:ind w:left="0" w:leftChars="0" w:firstLine="422" w:firstLineChars="175"/>
        <w:rPr>
          <w:rFonts w:hint="eastAsia" w:ascii="宋体" w:hAnsi="宋体" w:eastAsia="宋体" w:cs="宋体"/>
          <w:bCs/>
          <w:sz w:val="24"/>
          <w:szCs w:val="24"/>
          <w:highlight w:val="none"/>
        </w:rPr>
      </w:pPr>
      <w:r>
        <w:rPr>
          <w:rFonts w:hint="eastAsia" w:ascii="宋体" w:hAnsi="宋体" w:eastAsia="宋体" w:cs="宋体"/>
          <w:b/>
          <w:sz w:val="24"/>
          <w:szCs w:val="24"/>
          <w:highlight w:val="none"/>
          <w:lang w:val="en-US" w:eastAsia="zh-CN"/>
        </w:rPr>
        <w:t>九</w:t>
      </w:r>
      <w:r>
        <w:rPr>
          <w:rFonts w:hint="eastAsia" w:ascii="宋体" w:hAnsi="宋体" w:eastAsia="宋体" w:cs="宋体"/>
          <w:b/>
          <w:sz w:val="24"/>
          <w:szCs w:val="24"/>
          <w:highlight w:val="none"/>
        </w:rPr>
        <w:t>、货款支付</w:t>
      </w:r>
    </w:p>
    <w:p w14:paraId="131F3711">
      <w:pPr>
        <w:pStyle w:val="18"/>
        <w:snapToGrid w:val="0"/>
        <w:spacing w:before="120" w:after="120"/>
        <w:ind w:left="0" w:leftChars="0" w:firstLine="420" w:firstLineChars="175"/>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.1 采购资金的支付方式、时间及条件：</w:t>
      </w:r>
      <w:r>
        <w:rPr>
          <w:rFonts w:hint="eastAsia" w:ascii="宋体" w:hAnsi="宋体" w:eastAsia="宋体" w:cs="宋体"/>
          <w:sz w:val="24"/>
          <w:szCs w:val="24"/>
          <w:highlight w:val="none"/>
        </w:rPr>
        <w:t>_________</w:t>
      </w:r>
    </w:p>
    <w:p w14:paraId="7D72A8F4">
      <w:pPr>
        <w:pStyle w:val="18"/>
        <w:snapToGrid w:val="0"/>
        <w:spacing w:before="120" w:after="120"/>
        <w:ind w:left="0" w:leftChars="0" w:firstLine="420" w:firstLineChars="175"/>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.2</w:t>
      </w:r>
      <w:r>
        <w:rPr>
          <w:rFonts w:hint="eastAsia" w:ascii="宋体" w:hAnsi="宋体" w:eastAsia="宋体" w:cs="宋体"/>
          <w:sz w:val="24"/>
          <w:szCs w:val="24"/>
          <w:highlight w:val="none"/>
        </w:rPr>
        <w:t>当采购数量与实际使用数量不一致时，乙方应根据实际使用量供货，合同的最终结算金额按实际使用量乘以成交单价进行计算。</w:t>
      </w:r>
    </w:p>
    <w:p w14:paraId="1F60FF5C">
      <w:pPr>
        <w:snapToGrid w:val="0"/>
        <w:spacing w:before="145" w:beforeLines="50" w:after="145" w:afterLines="5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十.税费</w:t>
      </w:r>
    </w:p>
    <w:p w14:paraId="268EE702">
      <w:pPr>
        <w:snapToGrid w:val="0"/>
        <w:spacing w:before="145" w:beforeLines="50" w:after="145" w:afterLines="5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.1本合同执行中相关的一切税费均由乙方负担。</w:t>
      </w:r>
    </w:p>
    <w:p w14:paraId="02D317FE">
      <w:pPr>
        <w:pStyle w:val="18"/>
        <w:snapToGrid w:val="0"/>
        <w:spacing w:before="120" w:after="120"/>
        <w:ind w:left="0" w:leftChars="0" w:firstLine="422" w:firstLineChars="175"/>
        <w:rPr>
          <w:rFonts w:hint="eastAsia" w:ascii="宋体" w:hAnsi="宋体" w:eastAsia="宋体" w:cs="宋体"/>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一</w:t>
      </w:r>
      <w:r>
        <w:rPr>
          <w:rFonts w:hint="eastAsia" w:ascii="宋体" w:hAnsi="宋体" w:eastAsia="宋体" w:cs="宋体"/>
          <w:b/>
          <w:sz w:val="24"/>
          <w:szCs w:val="24"/>
          <w:highlight w:val="none"/>
        </w:rPr>
        <w:t>、质量保证及售后服务</w:t>
      </w:r>
    </w:p>
    <w:p w14:paraId="31D98392">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.1 乙方应按招标文件规定的货物性能、技术要求、质量标准向甲方提供未经使用的全新产品</w:t>
      </w:r>
      <w:r>
        <w:rPr>
          <w:rFonts w:hint="eastAsia" w:ascii="宋体" w:hAnsi="宋体" w:eastAsia="宋体" w:cs="宋体"/>
          <w:color w:val="FF0000"/>
          <w:sz w:val="24"/>
          <w:szCs w:val="24"/>
          <w:highlight w:val="none"/>
          <w:lang w:val="en-US" w:eastAsia="zh-CN"/>
        </w:rPr>
        <w:t>并按照相应文件及合同约定标准提供运维等服务</w:t>
      </w:r>
      <w:r>
        <w:rPr>
          <w:rFonts w:hint="eastAsia" w:ascii="宋体" w:hAnsi="宋体" w:eastAsia="宋体" w:cs="宋体"/>
          <w:sz w:val="24"/>
          <w:szCs w:val="24"/>
          <w:highlight w:val="none"/>
        </w:rPr>
        <w:t>。</w:t>
      </w:r>
    </w:p>
    <w:p w14:paraId="014EDDF3">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.2 乙方提供的货物在质保期内因产品本身的质量问题发生故障，乙方应负责免费更换。对达不到技术要求者，根据实际情况，经双方协商，可按以下办法处理：</w:t>
      </w:r>
    </w:p>
    <w:p w14:paraId="4916805C">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⑴更换：由乙方承担所发生的全部费用。</w:t>
      </w:r>
    </w:p>
    <w:p w14:paraId="1362D78F">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⑵贬值处理：由甲乙双方合议定价。</w:t>
      </w:r>
    </w:p>
    <w:p w14:paraId="52AB1E4E">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⑶退货处理：乙方应退还甲方支付的合同款，同时应承担该产品的直接费用（运输、保险、检验、货款利息及银行手续费等）。</w:t>
      </w:r>
    </w:p>
    <w:p w14:paraId="27F8E0AD">
      <w:pPr>
        <w:pStyle w:val="18"/>
        <w:snapToGrid w:val="0"/>
        <w:spacing w:before="120" w:after="120"/>
        <w:ind w:left="0" w:leftChars="0" w:firstLine="420" w:firstLineChars="175"/>
        <w:rPr>
          <w:rFonts w:hint="eastAsia" w:ascii="宋体" w:hAnsi="宋体" w:eastAsia="宋体" w:cs="宋体"/>
          <w:sz w:val="24"/>
          <w:szCs w:val="24"/>
          <w:highlight w:val="none"/>
        </w:rPr>
      </w:pPr>
    </w:p>
    <w:p w14:paraId="74C2CA32">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.3 如在使用过程中发生质量问题，乙方在接到甲方通知后在_____小时内到达甲方现场。</w:t>
      </w:r>
    </w:p>
    <w:p w14:paraId="557F3F14">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.4 在质保期内，乙方应对产品出现的质量及安全问题负责处理解决并承担一切费用。</w:t>
      </w:r>
    </w:p>
    <w:p w14:paraId="1F98A7E7">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.5上述的产品的免费保修期为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年，因人为因素出现的故障不在免费保修范围内。超过保修期后，终生维修，维修时只收部件成本费。</w:t>
      </w:r>
    </w:p>
    <w:p w14:paraId="6783716B">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二</w:t>
      </w:r>
      <w:r>
        <w:rPr>
          <w:rFonts w:hint="eastAsia" w:ascii="宋体" w:hAnsi="宋体" w:eastAsia="宋体" w:cs="宋体"/>
          <w:b/>
          <w:sz w:val="24"/>
          <w:szCs w:val="24"/>
          <w:highlight w:val="none"/>
        </w:rPr>
        <w:t>、调试和验收</w:t>
      </w:r>
    </w:p>
    <w:p w14:paraId="6A3B1BF2">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096E904A">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.2 乙方交货前应对产品作出全面检查和对验收文件进行整理，并列出清单，作为甲方收货验收和使用的技术条件依据，检验的结果应随货物交甲方。</w:t>
      </w:r>
    </w:p>
    <w:p w14:paraId="1B3588BC">
      <w:pPr>
        <w:pStyle w:val="18"/>
        <w:snapToGrid w:val="0"/>
        <w:spacing w:before="120" w:after="120"/>
        <w:ind w:left="0" w:leftChars="0" w:firstLine="420" w:firstLineChars="175"/>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 甲方对乙方提供的货物在使用前进行调试时，乙方需负责安装并培训甲方的使用操作人员，并协助甲方一起调试，直到符合技术要求，甲方才做最终验收。</w:t>
      </w:r>
    </w:p>
    <w:p w14:paraId="7C783420">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.4 对技术复杂的货物，甲方可请国家认可的专业检测机构参与初步验收及最终验收，并由其出具质量检测报告。</w:t>
      </w:r>
    </w:p>
    <w:p w14:paraId="1AD038DF">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 验收时乙方必须在现场，验收完毕后作出验收结果报告；验收费用</w:t>
      </w:r>
      <w:r>
        <w:rPr>
          <w:rFonts w:hint="eastAsia" w:ascii="宋体" w:hAnsi="宋体" w:eastAsia="宋体" w:cs="宋体"/>
          <w:color w:val="FF0000"/>
          <w:sz w:val="24"/>
          <w:szCs w:val="24"/>
          <w:highlight w:val="none"/>
        </w:rPr>
        <w:t>由乙方</w:t>
      </w:r>
      <w:r>
        <w:rPr>
          <w:rFonts w:hint="eastAsia" w:hAnsi="宋体" w:cs="宋体"/>
          <w:color w:val="FF0000"/>
          <w:sz w:val="24"/>
          <w:szCs w:val="24"/>
          <w:highlight w:val="none"/>
          <w:lang w:val="en-US" w:eastAsia="zh-CN"/>
        </w:rPr>
        <w:t>负责</w:t>
      </w:r>
      <w:r>
        <w:rPr>
          <w:rFonts w:hint="eastAsia" w:ascii="宋体" w:hAnsi="宋体" w:eastAsia="宋体" w:cs="宋体"/>
          <w:sz w:val="24"/>
          <w:szCs w:val="24"/>
          <w:highlight w:val="none"/>
        </w:rPr>
        <w:t>。</w:t>
      </w:r>
    </w:p>
    <w:p w14:paraId="59C3867D">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rPr>
        <w:t>、产品包装、发运及运输</w:t>
      </w:r>
    </w:p>
    <w:p w14:paraId="2AA4BA50">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 乙方应在产品发运前对其进行满足运输距离、防潮、防震、防锈和防破损装卸等要求包装，以保证产品安全运达甲方指定地点。</w:t>
      </w:r>
    </w:p>
    <w:p w14:paraId="60FAD274">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.2 使用说明书、质量检验证明书、随配附件和工具以及清单一并附于产品内。</w:t>
      </w:r>
    </w:p>
    <w:p w14:paraId="29CACD5E">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.3 乙方在产品发运手续办理完毕后24小时内或货到甲方48小时前通知甲方，以准备接货。</w:t>
      </w:r>
    </w:p>
    <w:p w14:paraId="54AF56D7">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.4 产品在交付甲方前发生的风险均由乙方负责。</w:t>
      </w:r>
    </w:p>
    <w:p w14:paraId="52754267">
      <w:pPr>
        <w:pStyle w:val="18"/>
        <w:snapToGrid w:val="0"/>
        <w:spacing w:before="156" w:after="156"/>
        <w:ind w:left="0" w:leftChars="0" w:right="26"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.5 产品在规定的交付期限内由乙方送达甲方指定的地点视为交付，乙方同时需通知甲方产品已送达。</w:t>
      </w:r>
    </w:p>
    <w:p w14:paraId="63B0E121">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四</w:t>
      </w:r>
      <w:r>
        <w:rPr>
          <w:rFonts w:hint="eastAsia" w:ascii="宋体" w:hAnsi="宋体" w:eastAsia="宋体" w:cs="宋体"/>
          <w:b/>
          <w:sz w:val="24"/>
          <w:szCs w:val="24"/>
          <w:highlight w:val="none"/>
        </w:rPr>
        <w:t>、违约责任</w:t>
      </w:r>
    </w:p>
    <w:p w14:paraId="2BD2C277">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 甲方无正当理由拒收产品的，甲方向乙方偿付拒收货款总值的百分之五违约金。</w:t>
      </w:r>
    </w:p>
    <w:p w14:paraId="411B6418">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 甲方无故逾期验收和办理货款支付手续的,甲方应按逾期付款总额每日万分之五向乙方支付违约金。</w:t>
      </w:r>
    </w:p>
    <w:p w14:paraId="1F02FF66">
      <w:pPr>
        <w:pStyle w:val="18"/>
        <w:snapToGrid w:val="0"/>
        <w:spacing w:before="120" w:after="120"/>
        <w:ind w:left="0" w:leftChars="0" w:firstLine="420" w:firstLineChars="175"/>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 乙方逾期交付产品</w:t>
      </w:r>
      <w:r>
        <w:rPr>
          <w:rFonts w:hint="eastAsia" w:hAnsi="宋体" w:cs="宋体"/>
          <w:color w:val="FF0000"/>
          <w:sz w:val="24"/>
          <w:szCs w:val="24"/>
          <w:highlight w:val="none"/>
          <w:lang w:val="en-US" w:eastAsia="zh-CN"/>
        </w:rPr>
        <w:t>或提供服务</w:t>
      </w:r>
      <w:r>
        <w:rPr>
          <w:rFonts w:hint="eastAsia" w:ascii="宋体" w:hAnsi="宋体" w:eastAsia="宋体" w:cs="宋体"/>
          <w:sz w:val="24"/>
          <w:szCs w:val="24"/>
          <w:highlight w:val="none"/>
        </w:rPr>
        <w:t xml:space="preserve">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3C039FBC">
      <w:pPr>
        <w:pStyle w:val="18"/>
        <w:snapToGrid w:val="0"/>
        <w:spacing w:before="120" w:after="120"/>
        <w:ind w:left="0" w:leftChars="0" w:firstLine="420" w:firstLineChars="175"/>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w:t>
      </w:r>
      <w:r>
        <w:rPr>
          <w:rFonts w:hint="eastAsia" w:hAnsi="宋体" w:cs="宋体"/>
          <w:sz w:val="24"/>
          <w:szCs w:val="24"/>
          <w:highlight w:val="none"/>
          <w:lang w:val="en-US" w:eastAsia="zh-CN"/>
        </w:rPr>
        <w:t>4</w:t>
      </w:r>
      <w:r>
        <w:rPr>
          <w:rFonts w:hint="eastAsia" w:ascii="宋体" w:hAnsi="宋体" w:eastAsia="宋体" w:cs="宋体"/>
          <w:sz w:val="24"/>
          <w:szCs w:val="24"/>
          <w:highlight w:val="none"/>
        </w:rPr>
        <w:t xml:space="preserve"> 乙方所交的货物品种、型号、规格、技术参数、质量不符合合同规定及招标文件规定标准的，甲方有权拒收该货物，乙方愿意更换货物但逾期交货的，按乙方逾期交货处理。乙方拒绝更换产品的，甲方可单方面解除合同。</w:t>
      </w:r>
      <w:r>
        <w:rPr>
          <w:rFonts w:hint="eastAsia" w:hAnsi="宋体" w:cs="宋体"/>
          <w:color w:val="FF0000"/>
          <w:sz w:val="24"/>
          <w:szCs w:val="24"/>
          <w:highlight w:val="none"/>
          <w:lang w:val="en-US" w:eastAsia="zh-CN"/>
        </w:rPr>
        <w:t>乙方提供运维服务未达到约定标准5次及以上的，或经甲方要求后5日仍未整改的，甲方有权解除合同，剩余费用不予支付，由此造成甲方得全部损失由乙方承担赔偿。违约方</w:t>
      </w:r>
      <w:r>
        <w:rPr>
          <w:rFonts w:hint="eastAsia" w:ascii="宋体" w:hAnsi="宋体" w:eastAsia="宋体" w:cs="宋体"/>
          <w:color w:val="FF0000"/>
          <w:sz w:val="24"/>
          <w:szCs w:val="24"/>
          <w:highlight w:val="none"/>
          <w:lang w:val="en-US" w:eastAsia="zh-CN"/>
        </w:rPr>
        <w:t>应赔偿守约方的一切损失，包括守约方为主张权利产生的律师费、保全及保险费、鉴定评估费、调查取证费、差旅送达费等。</w:t>
      </w:r>
    </w:p>
    <w:p w14:paraId="6BECB753">
      <w:pPr>
        <w:keepNext w:val="0"/>
        <w:keepLines w:val="0"/>
        <w:widowControl/>
        <w:numPr>
          <w:ilvl w:val="0"/>
          <w:numId w:val="0"/>
        </w:numPr>
        <w:suppressLineNumbers w:val="0"/>
        <w:ind w:firstLine="480" w:firstLineChars="200"/>
        <w:jc w:val="left"/>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pPr>
      <w:r>
        <w:rPr>
          <w:rFonts w:hint="eastAsia" w:cs="宋体"/>
          <w:color w:val="auto"/>
          <w:sz w:val="24"/>
          <w:szCs w:val="24"/>
          <w:highlight w:val="none"/>
          <w:lang w:val="en-US" w:eastAsia="zh-CN"/>
        </w:rPr>
        <w:t>14.5</w:t>
      </w:r>
      <w:r>
        <w:rPr>
          <w:rFonts w:hint="eastAsia" w:hAnsi="宋体" w:cs="宋体"/>
          <w:color w:val="auto"/>
          <w:kern w:val="0"/>
          <w:sz w:val="24"/>
          <w:szCs w:val="24"/>
          <w:highlight w:val="none"/>
          <w:lang w:val="en-US" w:eastAsia="zh-CN"/>
        </w:rPr>
        <w:t>乙方在服务运维期内</w:t>
      </w:r>
      <w:r>
        <w:rPr>
          <w:rFonts w:hint="eastAsia" w:cs="宋体"/>
          <w:color w:val="auto"/>
          <w:kern w:val="0"/>
          <w:sz w:val="24"/>
          <w:szCs w:val="24"/>
          <w:highlight w:val="none"/>
          <w:lang w:val="en-US" w:eastAsia="zh-CN"/>
        </w:rPr>
        <w:t>要执行包括不限于以下</w:t>
      </w: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保密管理措施：（一）成立或者指定专门工作机构、专门工作人员，负责涉密政府采购项目保密管理工作；（二）制定保密管理工作方案，明确保密责任和人员分工；（三）与从事涉密采购业务的人员签订保密协议，明确保密管理要求；（四）用于涉密采购业务的场所、设施、设备符合国家保密规定和标准；（五）法律法规和国家保密行政管理部门规定的其他保密措施，以及与采购人约定的其他保密管理措施。</w:t>
      </w:r>
    </w:p>
    <w:p w14:paraId="6AA71D4C">
      <w:pPr>
        <w:keepNext w:val="0"/>
        <w:keepLines w:val="0"/>
        <w:widowControl/>
        <w:numPr>
          <w:ilvl w:val="0"/>
          <w:numId w:val="0"/>
        </w:numPr>
        <w:suppressLineNumbers w:val="0"/>
        <w:ind w:firstLine="480" w:firstLineChars="200"/>
        <w:jc w:val="left"/>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auto"/>
          <w:lang w:val="en-US" w:eastAsia="zh-CN" w:bidi="ar-SA"/>
        </w:rPr>
        <w:t>乙方未依法履行保密管理责任，存在严重泄密隐患的，采购人有权中止采购合同，并督促乙方整改；乙方整改后仍无法达到保密要求的，采购人可以依法终止合同；造成泄密的，依法追究直接负责的主管人员和其他直接责任人员的责任。</w:t>
      </w:r>
    </w:p>
    <w:p w14:paraId="4B2321F8">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、不可抗力事件处理</w:t>
      </w:r>
    </w:p>
    <w:p w14:paraId="17383328">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.1 在合同有效期内，任何一方因不可抗力事件导致不能履行合同，则合同履行期可延长，其延长期与不可抗力影响期相同。</w:t>
      </w:r>
    </w:p>
    <w:p w14:paraId="63263238">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.2 不可抗力事件发生后，应立即通知对方，并寄送有关权威机构出具的证明。</w:t>
      </w:r>
    </w:p>
    <w:p w14:paraId="11D368BA">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.3 不可抗力事件延续120天以上，双方应通过友好协商，确定是否继续履行合同。</w:t>
      </w:r>
    </w:p>
    <w:p w14:paraId="331CF4A2">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六</w:t>
      </w:r>
      <w:r>
        <w:rPr>
          <w:rFonts w:hint="eastAsia" w:ascii="宋体" w:hAnsi="宋体" w:eastAsia="宋体" w:cs="宋体"/>
          <w:b/>
          <w:sz w:val="24"/>
          <w:szCs w:val="24"/>
          <w:highlight w:val="none"/>
        </w:rPr>
        <w:t>、诉讼</w:t>
      </w:r>
    </w:p>
    <w:p w14:paraId="7C50E806">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 双方在执行合同中所发生的一切争议，应通过协商解决。如协商不成，可向</w:t>
      </w:r>
      <w:r>
        <w:rPr>
          <w:rFonts w:hint="eastAsia" w:ascii="宋体" w:hAnsi="宋体" w:eastAsia="宋体" w:cs="宋体"/>
          <w:color w:val="FF0000"/>
          <w:sz w:val="24"/>
          <w:szCs w:val="24"/>
          <w:highlight w:val="none"/>
          <w:lang w:val="en-US" w:eastAsia="zh-CN"/>
        </w:rPr>
        <w:t>甲方所在地法院起诉</w:t>
      </w:r>
      <w:r>
        <w:rPr>
          <w:rFonts w:hint="eastAsia" w:ascii="宋体" w:hAnsi="宋体" w:eastAsia="宋体" w:cs="宋体"/>
          <w:sz w:val="24"/>
          <w:szCs w:val="24"/>
          <w:highlight w:val="none"/>
        </w:rPr>
        <w:t>起诉，合同签订地在此约定为</w:t>
      </w:r>
      <w:r>
        <w:rPr>
          <w:rFonts w:hint="eastAsia" w:ascii="宋体" w:hAnsi="宋体" w:eastAsia="宋体" w:cs="宋体"/>
          <w:sz w:val="24"/>
          <w:szCs w:val="24"/>
          <w:highlight w:val="none"/>
          <w:u w:val="single"/>
        </w:rPr>
        <w:t>乌鲁木齐市</w:t>
      </w:r>
      <w:r>
        <w:rPr>
          <w:rFonts w:hint="eastAsia" w:ascii="宋体" w:hAnsi="宋体" w:eastAsia="宋体" w:cs="宋体"/>
          <w:color w:val="FF0000"/>
          <w:sz w:val="24"/>
          <w:szCs w:val="24"/>
          <w:highlight w:val="none"/>
          <w:u w:val="single"/>
          <w:lang w:val="en-US" w:eastAsia="zh-CN"/>
        </w:rPr>
        <w:t>新市区</w:t>
      </w:r>
      <w:r>
        <w:rPr>
          <w:rFonts w:hint="eastAsia" w:ascii="宋体" w:hAnsi="宋体" w:eastAsia="宋体" w:cs="宋体"/>
          <w:sz w:val="24"/>
          <w:szCs w:val="24"/>
          <w:highlight w:val="none"/>
        </w:rPr>
        <w:t>。</w:t>
      </w:r>
    </w:p>
    <w:p w14:paraId="034DE64F">
      <w:pPr>
        <w:pStyle w:val="18"/>
        <w:snapToGrid w:val="0"/>
        <w:spacing w:before="120" w:after="120"/>
        <w:ind w:left="0" w:leftChars="0"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en-US" w:eastAsia="zh-CN"/>
        </w:rPr>
        <w:t>七</w:t>
      </w:r>
      <w:r>
        <w:rPr>
          <w:rFonts w:hint="eastAsia" w:ascii="宋体" w:hAnsi="宋体" w:eastAsia="宋体" w:cs="宋体"/>
          <w:b/>
          <w:sz w:val="24"/>
          <w:szCs w:val="24"/>
          <w:highlight w:val="none"/>
        </w:rPr>
        <w:t>、合同生效及其它</w:t>
      </w:r>
    </w:p>
    <w:p w14:paraId="79E4E32B">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.1合同经双方法定代表人或授权委托代表人签字并加盖单位公章后生效。</w:t>
      </w:r>
    </w:p>
    <w:p w14:paraId="0343C281">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.2本合同未尽事宜，遵照</w:t>
      </w:r>
      <w:r>
        <w:rPr>
          <w:rFonts w:hint="eastAsia" w:ascii="宋体" w:hAnsi="宋体" w:eastAsia="宋体" w:cs="宋体"/>
          <w:color w:val="FF0000"/>
          <w:sz w:val="24"/>
          <w:szCs w:val="24"/>
          <w:highlight w:val="none"/>
          <w:lang w:val="en-US" w:eastAsia="zh-CN"/>
        </w:rPr>
        <w:t>相关法律规定</w:t>
      </w:r>
      <w:r>
        <w:rPr>
          <w:rFonts w:hint="eastAsia" w:ascii="宋体" w:hAnsi="宋体" w:eastAsia="宋体" w:cs="宋体"/>
          <w:sz w:val="24"/>
          <w:szCs w:val="24"/>
          <w:highlight w:val="none"/>
        </w:rPr>
        <w:t>有关条文执行。</w:t>
      </w:r>
    </w:p>
    <w:p w14:paraId="32C50DED">
      <w:pPr>
        <w:pStyle w:val="18"/>
        <w:snapToGrid w:val="0"/>
        <w:spacing w:before="120" w:after="120"/>
        <w:ind w:left="0" w:leftChars="0"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.3本合同正本一式三份，具有同等法律效力，甲方、乙方及财政监管部门各执一份。</w:t>
      </w:r>
    </w:p>
    <w:p w14:paraId="06853BC9">
      <w:pPr>
        <w:pStyle w:val="18"/>
        <w:snapToGrid w:val="0"/>
        <w:spacing w:before="120" w:after="120"/>
        <w:ind w:left="480" w:hanging="480" w:hangingChars="200"/>
        <w:rPr>
          <w:rFonts w:hint="eastAsia" w:ascii="宋体" w:hAnsi="宋体" w:eastAsia="宋体" w:cs="宋体"/>
          <w:sz w:val="24"/>
          <w:szCs w:val="24"/>
          <w:highlight w:val="none"/>
        </w:rPr>
      </w:pPr>
    </w:p>
    <w:p w14:paraId="4D75FB46">
      <w:pPr>
        <w:pStyle w:val="18"/>
        <w:snapToGrid w:val="0"/>
        <w:spacing w:before="120" w:after="120" w:line="0" w:lineRule="atLeast"/>
        <w:ind w:left="480" w:hanging="480" w:hanging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甲方：                        乙方： </w:t>
      </w:r>
    </w:p>
    <w:p w14:paraId="33E53BB6">
      <w:pPr>
        <w:pStyle w:val="18"/>
        <w:snapToGrid w:val="0"/>
        <w:spacing w:before="120" w:after="120" w:line="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地址：                        地址： </w:t>
      </w:r>
    </w:p>
    <w:p w14:paraId="56B8144C">
      <w:pPr>
        <w:pStyle w:val="18"/>
        <w:snapToGrid w:val="0"/>
        <w:spacing w:before="120" w:after="120" w:line="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法定代表人或授权代表：        法定代表人或授权代表：</w:t>
      </w:r>
    </w:p>
    <w:p w14:paraId="6B61DD82">
      <w:pPr>
        <w:pStyle w:val="18"/>
        <w:snapToGrid w:val="0"/>
        <w:spacing w:before="120" w:after="120" w:line="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联系电话：                    联系电话：          </w:t>
      </w:r>
    </w:p>
    <w:p w14:paraId="5E5C10DE">
      <w:pPr>
        <w:pStyle w:val="18"/>
        <w:snapToGrid w:val="0"/>
        <w:spacing w:before="120" w:after="120" w:line="0" w:lineRule="atLeast"/>
        <w:jc w:val="center"/>
        <w:rPr>
          <w:rFonts w:hint="eastAsia" w:ascii="宋体" w:hAnsi="宋体" w:eastAsia="宋体" w:cs="宋体"/>
          <w:sz w:val="24"/>
          <w:szCs w:val="24"/>
          <w:highlight w:val="none"/>
        </w:rPr>
      </w:pPr>
    </w:p>
    <w:p w14:paraId="14FBD246">
      <w:pPr>
        <w:pStyle w:val="18"/>
        <w:snapToGrid w:val="0"/>
        <w:spacing w:before="120" w:after="120" w:line="0" w:lineRule="atLeast"/>
        <w:jc w:val="center"/>
        <w:rPr>
          <w:rFonts w:hint="eastAsia" w:ascii="宋体" w:hAnsi="宋体" w:eastAsia="宋体" w:cs="宋体"/>
          <w:highlight w:val="none"/>
        </w:rPr>
      </w:pPr>
      <w:r>
        <w:rPr>
          <w:rFonts w:hint="eastAsia" w:ascii="宋体" w:hAnsi="宋体" w:eastAsia="宋体" w:cs="宋体"/>
          <w:highlight w:val="none"/>
        </w:rPr>
        <w:t xml:space="preserve"> 签订日期：      年  月  日</w:t>
      </w:r>
      <w:bookmarkEnd w:id="400"/>
      <w:bookmarkEnd w:id="401"/>
      <w:bookmarkEnd w:id="402"/>
      <w:bookmarkStart w:id="404" w:name="_Hlt16619369"/>
      <w:bookmarkEnd w:id="404"/>
    </w:p>
    <w:p w14:paraId="259FEBC4">
      <w:pPr>
        <w:pStyle w:val="78"/>
        <w:widowControl w:val="0"/>
        <w:numPr>
          <w:ilvl w:val="0"/>
          <w:numId w:val="0"/>
        </w:numPr>
        <w:autoSpaceDE w:val="0"/>
        <w:autoSpaceDN w:val="0"/>
        <w:adjustRightInd w:val="0"/>
        <w:spacing w:line="360" w:lineRule="auto"/>
        <w:jc w:val="both"/>
        <w:textAlignment w:val="baseline"/>
        <w:rPr>
          <w:rFonts w:hint="eastAsia" w:ascii="宋体" w:hAnsi="宋体" w:eastAsia="宋体" w:cs="宋体"/>
          <w:color w:val="auto"/>
          <w:sz w:val="30"/>
          <w:szCs w:val="30"/>
          <w:highlight w:val="none"/>
        </w:rPr>
      </w:pPr>
    </w:p>
    <w:p w14:paraId="656D2E84">
      <w:pPr>
        <w:pStyle w:val="78"/>
        <w:widowControl w:val="0"/>
        <w:numPr>
          <w:ilvl w:val="0"/>
          <w:numId w:val="0"/>
        </w:numPr>
        <w:autoSpaceDE w:val="0"/>
        <w:autoSpaceDN w:val="0"/>
        <w:adjustRightInd w:val="0"/>
        <w:spacing w:line="360" w:lineRule="auto"/>
        <w:jc w:val="both"/>
        <w:textAlignment w:val="baseline"/>
        <w:rPr>
          <w:rFonts w:hint="eastAsia" w:ascii="宋体" w:hAnsi="宋体" w:eastAsia="宋体" w:cs="宋体"/>
          <w:color w:val="auto"/>
          <w:sz w:val="30"/>
          <w:szCs w:val="30"/>
          <w:highlight w:val="none"/>
        </w:rPr>
      </w:pPr>
    </w:p>
    <w:p w14:paraId="06D35B67">
      <w:pPr>
        <w:pStyle w:val="14"/>
        <w:spacing w:after="0"/>
        <w:jc w:val="center"/>
        <w:rPr>
          <w:rFonts w:ascii="宋体" w:hAnsi="宋体" w:cs="宋体"/>
          <w:b/>
          <w:bCs/>
          <w:color w:val="auto"/>
          <w:spacing w:val="-20"/>
          <w:kern w:val="44"/>
          <w:sz w:val="48"/>
          <w:szCs w:val="48"/>
          <w:highlight w:val="none"/>
        </w:rPr>
      </w:pPr>
    </w:p>
    <w:p w14:paraId="3B059C39">
      <w:pPr>
        <w:pStyle w:val="14"/>
        <w:rPr>
          <w:color w:val="auto"/>
          <w:highlight w:val="none"/>
        </w:rPr>
      </w:pPr>
    </w:p>
    <w:p w14:paraId="1FAB85DE">
      <w:pPr>
        <w:spacing w:line="360" w:lineRule="auto"/>
        <w:rPr>
          <w:rFonts w:asciiTheme="minorEastAsia" w:hAnsiTheme="minorEastAsia" w:eastAsiaTheme="minorEastAsia"/>
          <w:color w:val="auto"/>
          <w:sz w:val="24"/>
          <w:highlight w:val="none"/>
        </w:rPr>
      </w:pPr>
    </w:p>
    <w:p w14:paraId="02ABD43E">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bookmarkEnd w:id="403"/>
    <w:p w14:paraId="557A8F2F">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bookmarkStart w:id="405" w:name="_Toc155185919"/>
    </w:p>
    <w:p w14:paraId="72D513E7">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p>
    <w:p w14:paraId="5CAF313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06" w:name="_Toc20007"/>
      <w:bookmarkStart w:id="407" w:name="_Toc15871"/>
      <w:r>
        <w:rPr>
          <w:rFonts w:hint="eastAsia" w:ascii="宋体" w:hAnsi="宋体" w:eastAsia="宋体" w:cs="宋体"/>
          <w:b/>
          <w:bCs/>
          <w:color w:val="auto"/>
          <w:kern w:val="44"/>
          <w:sz w:val="36"/>
          <w:szCs w:val="36"/>
          <w:highlight w:val="none"/>
          <w:lang w:val="en-US" w:eastAsia="zh-CN" w:bidi="ar-SA"/>
        </w:rPr>
        <w:t>第七章 投标文件格式</w:t>
      </w:r>
      <w:bookmarkEnd w:id="405"/>
      <w:bookmarkEnd w:id="406"/>
      <w:bookmarkEnd w:id="407"/>
    </w:p>
    <w:p w14:paraId="20B1063D">
      <w:pPr>
        <w:ind w:left="240" w:leftChars="100" w:firstLine="480" w:firstLineChars="200"/>
        <w:rPr>
          <w:rFonts w:cs="仿宋_GB2312"/>
          <w:color w:val="auto"/>
          <w:szCs w:val="24"/>
          <w:highlight w:val="none"/>
        </w:rPr>
      </w:pPr>
    </w:p>
    <w:p w14:paraId="29D44C5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80" w:firstLineChars="200"/>
        <w:rPr>
          <w:rFonts w:hint="eastAsia" w:cs="仿宋_GB2312"/>
          <w:color w:val="auto"/>
          <w:szCs w:val="24"/>
          <w:highlight w:val="none"/>
          <w:lang w:val="zh-CN"/>
        </w:rPr>
      </w:pPr>
    </w:p>
    <w:p w14:paraId="3D40132F">
      <w:pPr>
        <w:ind w:firstLine="480" w:firstLineChars="200"/>
        <w:rPr>
          <w:rFonts w:hint="eastAsia" w:cs="仿宋_GB2312"/>
          <w:color w:val="auto"/>
          <w:szCs w:val="24"/>
          <w:highlight w:val="none"/>
          <w:lang w:val="zh-CN"/>
        </w:rPr>
      </w:pPr>
    </w:p>
    <w:p w14:paraId="375DA883">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466A4DC">
      <w:pPr>
        <w:autoSpaceDE w:val="0"/>
        <w:autoSpaceDN w:val="0"/>
        <w:adjustRightInd w:val="0"/>
        <w:rPr>
          <w:color w:val="auto"/>
          <w:sz w:val="21"/>
          <w:szCs w:val="24"/>
          <w:highlight w:val="none"/>
        </w:rPr>
      </w:pPr>
    </w:p>
    <w:p w14:paraId="445E5BF7">
      <w:pPr>
        <w:autoSpaceDE w:val="0"/>
        <w:autoSpaceDN w:val="0"/>
        <w:adjustRightInd w:val="0"/>
        <w:rPr>
          <w:color w:val="auto"/>
          <w:sz w:val="21"/>
          <w:szCs w:val="24"/>
          <w:highlight w:val="none"/>
        </w:rPr>
      </w:pPr>
    </w:p>
    <w:p w14:paraId="4BD0E164">
      <w:pPr>
        <w:autoSpaceDE w:val="0"/>
        <w:autoSpaceDN w:val="0"/>
        <w:adjustRightInd w:val="0"/>
        <w:jc w:val="center"/>
        <w:rPr>
          <w:color w:val="auto"/>
          <w:sz w:val="21"/>
          <w:szCs w:val="24"/>
          <w:highlight w:val="none"/>
        </w:rPr>
      </w:pPr>
    </w:p>
    <w:p w14:paraId="2280C3BA">
      <w:pPr>
        <w:pStyle w:val="2"/>
        <w:bidi w:val="0"/>
        <w:spacing w:line="360" w:lineRule="auto"/>
        <w:rPr>
          <w:rFonts w:hint="eastAsia"/>
          <w:color w:val="auto"/>
          <w:sz w:val="56"/>
          <w:szCs w:val="56"/>
          <w:highlight w:val="none"/>
        </w:rPr>
      </w:pPr>
      <w:bookmarkStart w:id="408" w:name="_Toc20344"/>
      <w:r>
        <w:rPr>
          <w:rFonts w:hint="eastAsia"/>
          <w:color w:val="auto"/>
          <w:sz w:val="56"/>
          <w:szCs w:val="56"/>
          <w:highlight w:val="none"/>
        </w:rPr>
        <w:t>投 标 文 件</w:t>
      </w:r>
      <w:bookmarkEnd w:id="408"/>
    </w:p>
    <w:p w14:paraId="0FA5F802">
      <w:pPr>
        <w:pStyle w:val="2"/>
        <w:bidi w:val="0"/>
        <w:spacing w:line="360" w:lineRule="auto"/>
        <w:rPr>
          <w:rFonts w:hint="eastAsia"/>
          <w:color w:val="auto"/>
          <w:sz w:val="56"/>
          <w:szCs w:val="56"/>
          <w:highlight w:val="none"/>
        </w:rPr>
      </w:pPr>
      <w:bookmarkStart w:id="409" w:name="_Toc17637"/>
      <w:r>
        <w:rPr>
          <w:rFonts w:hint="eastAsia"/>
          <w:color w:val="auto"/>
          <w:sz w:val="56"/>
          <w:szCs w:val="56"/>
          <w:highlight w:val="none"/>
        </w:rPr>
        <w:t>资格证明文件</w:t>
      </w:r>
      <w:bookmarkEnd w:id="409"/>
    </w:p>
    <w:p w14:paraId="66E88D4F">
      <w:pPr>
        <w:autoSpaceDE w:val="0"/>
        <w:autoSpaceDN w:val="0"/>
        <w:adjustRightInd w:val="0"/>
        <w:rPr>
          <w:b/>
          <w:bCs/>
          <w:color w:val="auto"/>
          <w:sz w:val="22"/>
          <w:highlight w:val="none"/>
        </w:rPr>
      </w:pPr>
    </w:p>
    <w:p w14:paraId="537F8D86">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26E8C70">
      <w:pPr>
        <w:autoSpaceDE w:val="0"/>
        <w:autoSpaceDN w:val="0"/>
        <w:adjustRightInd w:val="0"/>
        <w:rPr>
          <w:color w:val="auto"/>
          <w:sz w:val="21"/>
          <w:szCs w:val="21"/>
          <w:highlight w:val="none"/>
        </w:rPr>
      </w:pPr>
    </w:p>
    <w:p w14:paraId="2874C375">
      <w:pPr>
        <w:pStyle w:val="3"/>
        <w:rPr>
          <w:color w:val="auto"/>
          <w:highlight w:val="none"/>
        </w:rPr>
      </w:pPr>
    </w:p>
    <w:p w14:paraId="2085130F">
      <w:pPr>
        <w:autoSpaceDE w:val="0"/>
        <w:autoSpaceDN w:val="0"/>
        <w:adjustRightInd w:val="0"/>
        <w:rPr>
          <w:color w:val="auto"/>
          <w:sz w:val="21"/>
          <w:szCs w:val="21"/>
          <w:highlight w:val="none"/>
        </w:rPr>
      </w:pPr>
    </w:p>
    <w:p w14:paraId="39700BDA">
      <w:pPr>
        <w:autoSpaceDE w:val="0"/>
        <w:autoSpaceDN w:val="0"/>
        <w:adjustRightInd w:val="0"/>
        <w:rPr>
          <w:color w:val="auto"/>
          <w:sz w:val="21"/>
          <w:szCs w:val="21"/>
          <w:highlight w:val="none"/>
        </w:rPr>
      </w:pPr>
    </w:p>
    <w:p w14:paraId="6334E3E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A643116">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710CA7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A39596D">
      <w:pPr>
        <w:ind w:left="840" w:firstLine="420"/>
        <w:rPr>
          <w:b/>
          <w:bCs/>
          <w:color w:val="auto"/>
          <w:sz w:val="28"/>
          <w:szCs w:val="28"/>
          <w:highlight w:val="none"/>
        </w:rPr>
      </w:pPr>
    </w:p>
    <w:p w14:paraId="528FBB22">
      <w:pPr>
        <w:ind w:left="840" w:firstLine="420"/>
        <w:rPr>
          <w:b/>
          <w:bCs/>
          <w:color w:val="auto"/>
          <w:sz w:val="28"/>
          <w:szCs w:val="28"/>
          <w:highlight w:val="none"/>
        </w:rPr>
      </w:pPr>
    </w:p>
    <w:p w14:paraId="0613F091">
      <w:pPr>
        <w:ind w:left="840" w:firstLine="420"/>
        <w:rPr>
          <w:b/>
          <w:bCs/>
          <w:color w:val="auto"/>
          <w:sz w:val="28"/>
          <w:szCs w:val="28"/>
          <w:highlight w:val="none"/>
        </w:rPr>
      </w:pPr>
    </w:p>
    <w:p w14:paraId="2330D405">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410" w:name="_Toc325"/>
      <w:bookmarkStart w:id="411" w:name="_Toc6767"/>
      <w:bookmarkStart w:id="412"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410"/>
      <w:bookmarkEnd w:id="411"/>
    </w:p>
    <w:bookmarkEnd w:id="412"/>
    <w:p w14:paraId="30EAECB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413" w:name="_Toc163492922"/>
      <w:bookmarkStart w:id="414" w:name="_Toc155185928"/>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091B9C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00E699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7BF838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2218C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0697F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14496D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DEF0351">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413"/>
    <w:bookmarkEnd w:id="414"/>
    <w:p w14:paraId="38A70C4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（二）具有良好的商业信誉和健全的财务会计制度；</w:t>
      </w:r>
    </w:p>
    <w:p w14:paraId="04CEBAD8">
      <w:pPr>
        <w:pStyle w:val="51"/>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15" w:name="_Toc11370"/>
      <w:bookmarkStart w:id="416" w:name="_Toc28292"/>
      <w:r>
        <w:rPr>
          <w:rFonts w:hint="eastAsia" w:ascii="宋体" w:hAnsi="宋体" w:cs="宋体"/>
          <w:color w:val="auto"/>
          <w:sz w:val="21"/>
          <w:szCs w:val="21"/>
          <w:highlight w:val="none"/>
        </w:rPr>
        <w:t>投标时，若投标人成立超过一年需提供2023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2024</w:t>
      </w:r>
      <w:r>
        <w:rPr>
          <w:rFonts w:hint="eastAsia" w:cs="宋体"/>
          <w:color w:val="auto"/>
          <w:sz w:val="21"/>
          <w:szCs w:val="21"/>
          <w:highlight w:val="none"/>
          <w:lang w:val="en-US" w:eastAsia="zh-CN"/>
        </w:rPr>
        <w:t>、2025</w:t>
      </w:r>
      <w:r>
        <w:rPr>
          <w:rFonts w:hint="eastAsia" w:ascii="宋体" w:hAnsi="宋体" w:cs="宋体"/>
          <w:color w:val="auto"/>
          <w:sz w:val="21"/>
          <w:szCs w:val="21"/>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Pr>
          <w:rFonts w:hint="eastAsia" w:ascii="宋体" w:hAnsi="宋体" w:eastAsia="宋体" w:cs="宋体"/>
          <w:b/>
          <w:bCs/>
          <w:i w:val="0"/>
          <w:iCs w:val="0"/>
          <w:color w:val="auto"/>
          <w:kern w:val="2"/>
          <w:sz w:val="24"/>
          <w:szCs w:val="24"/>
          <w:highlight w:val="none"/>
          <w:lang w:val="en-US" w:eastAsia="zh-CN" w:bidi="ar-SA"/>
        </w:rPr>
        <w:br w:type="page"/>
      </w:r>
    </w:p>
    <w:p w14:paraId="3823595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（三）有依法缴纳税收和社会保障资金的良好记录</w:t>
      </w:r>
      <w:bookmarkEnd w:id="415"/>
      <w:bookmarkEnd w:id="416"/>
    </w:p>
    <w:p w14:paraId="0DC32EE3">
      <w:pPr>
        <w:pStyle w:val="61"/>
        <w:spacing w:line="360" w:lineRule="exact"/>
        <w:ind w:left="120" w:leftChars="50"/>
        <w:rPr>
          <w:rFonts w:hint="eastAsia" w:ascii="宋体" w:hAnsi="宋体" w:cs="宋体"/>
          <w:color w:val="auto"/>
          <w:sz w:val="21"/>
          <w:szCs w:val="21"/>
          <w:highlight w:val="none"/>
        </w:rPr>
      </w:pPr>
      <w:bookmarkStart w:id="417" w:name="_Toc19442"/>
      <w:bookmarkStart w:id="418" w:name="_Toc7342"/>
      <w:r>
        <w:rPr>
          <w:rFonts w:hint="eastAsia" w:ascii="宋体" w:hAnsi="宋体" w:cs="宋体"/>
          <w:color w:val="auto"/>
          <w:sz w:val="21"/>
          <w:szCs w:val="21"/>
          <w:highlight w:val="none"/>
        </w:rPr>
        <w:t xml:space="preserve">投标人依法缴纳税收的证明材料：本项目投标截止时间前6个月内（至少提供1个月）缴纳税收的凭据（完税证、缴款书、印花税票、银行代扣（代缴）转账凭证等均可）； </w:t>
      </w:r>
    </w:p>
    <w:p w14:paraId="3ED01F22">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投标人依法缴纳社会保障资金的证明材料：本项目投标截止时间时间前6个月内（至少提供1个月）缴纳社会保险的凭据（专用收据或社会保险交纳清单）；</w:t>
      </w:r>
    </w:p>
    <w:p w14:paraId="30671E7D">
      <w:pPr>
        <w:pStyle w:val="61"/>
        <w:spacing w:line="360" w:lineRule="exact"/>
        <w:ind w:left="120" w:leftChars="50"/>
        <w:rPr>
          <w:rFonts w:hint="eastAsia" w:ascii="宋体" w:hAnsi="宋体" w:cs="宋体"/>
          <w:color w:val="auto"/>
          <w:sz w:val="21"/>
          <w:szCs w:val="21"/>
          <w:highlight w:val="none"/>
        </w:rPr>
      </w:pPr>
      <w:r>
        <w:rPr>
          <w:rFonts w:hint="eastAsia" w:ascii="宋体" w:hAnsi="宋体" w:cs="宋体"/>
          <w:color w:val="auto"/>
          <w:sz w:val="21"/>
          <w:szCs w:val="21"/>
          <w:highlight w:val="none"/>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02AF0C6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依法不需要缴纳社会保障资金的投标人，须提供相应文件证明其依法不需要缴纳社会保障资金。</w:t>
      </w:r>
    </w:p>
    <w:p w14:paraId="56C2DFC6">
      <w:pPr>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p>
    <w:p w14:paraId="6F316A7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（四）</w:t>
      </w:r>
      <w:r>
        <w:rPr>
          <w:rFonts w:hint="eastAsia" w:cs="宋体"/>
          <w:b/>
          <w:bCs/>
          <w:i w:val="0"/>
          <w:iCs w:val="0"/>
          <w:color w:val="auto"/>
          <w:kern w:val="2"/>
          <w:sz w:val="24"/>
          <w:szCs w:val="24"/>
          <w:highlight w:val="none"/>
          <w:lang w:val="en-US" w:eastAsia="zh-CN" w:bidi="ar-SA"/>
        </w:rPr>
        <w:t>投标人</w:t>
      </w:r>
      <w:r>
        <w:rPr>
          <w:rFonts w:hint="eastAsia" w:ascii="宋体" w:hAnsi="宋体" w:eastAsia="宋体" w:cs="宋体"/>
          <w:b/>
          <w:bCs/>
          <w:i w:val="0"/>
          <w:iCs w:val="0"/>
          <w:color w:val="auto"/>
          <w:kern w:val="2"/>
          <w:sz w:val="24"/>
          <w:szCs w:val="24"/>
          <w:highlight w:val="none"/>
          <w:lang w:val="en-US" w:eastAsia="zh-CN" w:bidi="ar-SA"/>
        </w:rPr>
        <w:t>须具有履行合同所必需的设备和专业技术能力，须附相关证明材料或声明：</w:t>
      </w:r>
      <w:bookmarkEnd w:id="417"/>
      <w:bookmarkEnd w:id="418"/>
    </w:p>
    <w:p w14:paraId="53C20464">
      <w:pPr>
        <w:pStyle w:val="79"/>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格式：</w:t>
      </w:r>
    </w:p>
    <w:p w14:paraId="2ABBF4C1">
      <w:pPr>
        <w:pStyle w:val="79"/>
        <w:autoSpaceDE w:val="0"/>
        <w:autoSpaceDN w:val="0"/>
        <w:adjustRightInd w:val="0"/>
        <w:spacing w:line="440" w:lineRule="exact"/>
        <w:ind w:firstLine="120" w:firstLineChars="5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w:t>
      </w:r>
      <w:r>
        <w:rPr>
          <w:rFonts w:hint="eastAsia" w:ascii="宋体" w:hAnsi="宋体" w:cs="宋体"/>
          <w:color w:val="auto"/>
          <w:kern w:val="0"/>
          <w:sz w:val="24"/>
          <w:szCs w:val="24"/>
          <w:highlight w:val="none"/>
          <w:lang w:eastAsia="zh-CN"/>
        </w:rPr>
        <w:t>投标人</w:t>
      </w:r>
      <w:r>
        <w:rPr>
          <w:rFonts w:hint="eastAsia" w:ascii="宋体" w:hAnsi="宋体" w:cs="宋体"/>
          <w:color w:val="auto"/>
          <w:kern w:val="0"/>
          <w:sz w:val="24"/>
          <w:szCs w:val="24"/>
          <w:highlight w:val="none"/>
        </w:rPr>
        <w:t>郑重声明：</w:t>
      </w:r>
    </w:p>
    <w:p w14:paraId="5A7AF1E5">
      <w:pPr>
        <w:pStyle w:val="79"/>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本公司（或单位）具备本项目履行合同所必需的设备和专业技术能力，特此承诺。 </w:t>
      </w:r>
    </w:p>
    <w:p w14:paraId="2928CD51">
      <w:pPr>
        <w:pStyle w:val="80"/>
        <w:adjustRightInd w:val="0"/>
        <w:snapToGrid w:val="0"/>
        <w:spacing w:line="500" w:lineRule="exact"/>
        <w:rPr>
          <w:rFonts w:hint="eastAsia" w:ascii="宋体" w:hAnsi="宋体" w:cs="宋体"/>
          <w:color w:val="auto"/>
          <w:sz w:val="24"/>
          <w:szCs w:val="24"/>
          <w:highlight w:val="none"/>
        </w:rPr>
      </w:pPr>
    </w:p>
    <w:p w14:paraId="0A8E487C">
      <w:pPr>
        <w:pStyle w:val="80"/>
        <w:adjustRightInd w:val="0"/>
        <w:snapToGrid w:val="0"/>
        <w:spacing w:line="500" w:lineRule="exact"/>
        <w:rPr>
          <w:rFonts w:hint="eastAsia" w:ascii="宋体" w:hAnsi="宋体" w:cs="宋体"/>
          <w:color w:val="auto"/>
          <w:sz w:val="24"/>
          <w:szCs w:val="24"/>
          <w:highlight w:val="none"/>
        </w:rPr>
      </w:pPr>
    </w:p>
    <w:p w14:paraId="3B4E0D78">
      <w:pPr>
        <w:pStyle w:val="80"/>
        <w:adjustRightInd w:val="0"/>
        <w:snapToGrid w:val="0"/>
        <w:spacing w:line="500" w:lineRule="exact"/>
        <w:rPr>
          <w:rFonts w:hint="eastAsia" w:ascii="宋体" w:hAnsi="宋体" w:cs="宋体"/>
          <w:color w:val="auto"/>
          <w:sz w:val="24"/>
          <w:szCs w:val="24"/>
          <w:highlight w:val="none"/>
        </w:rPr>
      </w:pPr>
    </w:p>
    <w:p w14:paraId="0055C44D">
      <w:pPr>
        <w:pStyle w:val="80"/>
        <w:adjustRightInd w:val="0"/>
        <w:snapToGrid w:val="0"/>
        <w:spacing w:line="500" w:lineRule="exact"/>
        <w:rPr>
          <w:rFonts w:hint="eastAsia" w:ascii="宋体" w:hAnsi="宋体" w:cs="宋体"/>
          <w:color w:val="auto"/>
          <w:sz w:val="24"/>
          <w:szCs w:val="24"/>
          <w:highlight w:val="none"/>
        </w:rPr>
      </w:pPr>
    </w:p>
    <w:p w14:paraId="748C6A17">
      <w:pPr>
        <w:pStyle w:val="80"/>
        <w:adjustRightInd w:val="0"/>
        <w:snapToGrid w:val="0"/>
        <w:spacing w:line="500" w:lineRule="exact"/>
        <w:rPr>
          <w:rFonts w:hint="eastAsia" w:ascii="宋体" w:hAnsi="宋体" w:cs="宋体"/>
          <w:color w:val="auto"/>
          <w:sz w:val="24"/>
          <w:szCs w:val="24"/>
          <w:highlight w:val="none"/>
        </w:rPr>
      </w:pPr>
    </w:p>
    <w:p w14:paraId="03367046">
      <w:pPr>
        <w:pStyle w:val="80"/>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6986A136">
      <w:pPr>
        <w:pStyle w:val="80"/>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名称（签章）：</w:t>
      </w:r>
      <w:r>
        <w:rPr>
          <w:rFonts w:hint="eastAsia" w:ascii="宋体" w:hAnsi="宋体" w:cs="宋体"/>
          <w:color w:val="auto"/>
          <w:sz w:val="24"/>
          <w:szCs w:val="24"/>
          <w:highlight w:val="none"/>
          <w:u w:val="single"/>
        </w:rPr>
        <w:t xml:space="preserve">                       </w:t>
      </w:r>
    </w:p>
    <w:p w14:paraId="56D46087">
      <w:pPr>
        <w:pStyle w:val="80"/>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5B78C284">
      <w:pPr>
        <w:pStyle w:val="79"/>
        <w:adjustRightInd w:val="0"/>
        <w:snapToGrid w:val="0"/>
        <w:spacing w:line="360" w:lineRule="auto"/>
        <w:jc w:val="left"/>
        <w:rPr>
          <w:rFonts w:hint="eastAsia" w:ascii="宋体" w:hAnsi="宋体" w:cs="宋体"/>
          <w:b/>
          <w:color w:val="auto"/>
          <w:sz w:val="24"/>
          <w:szCs w:val="24"/>
          <w:highlight w:val="none"/>
        </w:rPr>
      </w:pPr>
    </w:p>
    <w:p w14:paraId="6D9497CF">
      <w:pPr>
        <w:pStyle w:val="81"/>
        <w:outlineLvl w:val="2"/>
        <w:rPr>
          <w:rFonts w:hint="eastAsia" w:ascii="宋体" w:hAnsi="宋体" w:eastAsia="宋体" w:cs="宋体"/>
          <w:color w:val="auto"/>
          <w:highlight w:val="none"/>
        </w:rPr>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23FA26F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419" w:name="_Toc21544"/>
      <w:bookmarkStart w:id="420" w:name="_Toc16347"/>
      <w:r>
        <w:rPr>
          <w:rFonts w:hint="eastAsia" w:ascii="宋体" w:hAnsi="宋体" w:eastAsia="宋体" w:cs="宋体"/>
          <w:b/>
          <w:bCs/>
          <w:i w:val="0"/>
          <w:iCs w:val="0"/>
          <w:color w:val="auto"/>
          <w:kern w:val="2"/>
          <w:sz w:val="24"/>
          <w:szCs w:val="24"/>
          <w:highlight w:val="none"/>
          <w:lang w:val="en-US" w:eastAsia="zh-CN" w:bidi="ar-SA"/>
        </w:rPr>
        <w:t>（五）参加政府采购活动前三年内，在经营活动中没有重大违法记录的书面声明：</w:t>
      </w:r>
      <w:bookmarkEnd w:id="419"/>
      <w:bookmarkEnd w:id="420"/>
    </w:p>
    <w:p w14:paraId="0A14BF44">
      <w:pPr>
        <w:pStyle w:val="79"/>
        <w:adjustRightInd w:val="0"/>
        <w:snapToGrid w:val="0"/>
        <w:spacing w:line="360" w:lineRule="auto"/>
        <w:rPr>
          <w:rFonts w:hint="eastAsia" w:ascii="宋体" w:hAnsi="宋体" w:cs="宋体"/>
          <w:color w:val="auto"/>
          <w:sz w:val="24"/>
          <w:szCs w:val="24"/>
          <w:highlight w:val="none"/>
        </w:rPr>
      </w:pPr>
    </w:p>
    <w:p w14:paraId="5EF637EE">
      <w:pPr>
        <w:pStyle w:val="79"/>
        <w:adjustRightInd w:val="0"/>
        <w:snapToGrid w:val="0"/>
        <w:spacing w:line="360" w:lineRule="auto"/>
        <w:rPr>
          <w:rFonts w:hint="eastAsia" w:ascii="宋体" w:hAnsi="宋体" w:cs="宋体"/>
          <w:color w:val="auto"/>
          <w:sz w:val="24"/>
          <w:szCs w:val="24"/>
          <w:highlight w:val="none"/>
        </w:rPr>
      </w:pPr>
    </w:p>
    <w:p w14:paraId="263AE696">
      <w:pPr>
        <w:pStyle w:val="79"/>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格式：</w:t>
      </w:r>
    </w:p>
    <w:p w14:paraId="692666CD">
      <w:pPr>
        <w:pStyle w:val="82"/>
        <w:adjustRightInd w:val="0"/>
        <w:snapToGrid w:val="0"/>
        <w:spacing w:line="360" w:lineRule="auto"/>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无重大违法记录声明书</w:t>
      </w:r>
    </w:p>
    <w:p w14:paraId="5C6DD82E">
      <w:pPr>
        <w:pStyle w:val="79"/>
        <w:adjustRightInd w:val="0"/>
        <w:snapToGrid w:val="0"/>
        <w:spacing w:line="360" w:lineRule="auto"/>
        <w:rPr>
          <w:rFonts w:hint="eastAsia" w:ascii="宋体" w:hAnsi="宋体" w:cs="宋体"/>
          <w:color w:val="auto"/>
          <w:sz w:val="24"/>
          <w:szCs w:val="24"/>
          <w:highlight w:val="none"/>
        </w:rPr>
      </w:pPr>
    </w:p>
    <w:p w14:paraId="147754F7">
      <w:pPr>
        <w:pStyle w:val="79"/>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（采购人）         </w:t>
      </w:r>
      <w:r>
        <w:rPr>
          <w:rFonts w:hint="eastAsia" w:ascii="宋体" w:hAnsi="宋体" w:cs="宋体"/>
          <w:color w:val="auto"/>
          <w:sz w:val="24"/>
          <w:szCs w:val="24"/>
          <w:highlight w:val="none"/>
        </w:rPr>
        <w:t>：</w:t>
      </w:r>
    </w:p>
    <w:p w14:paraId="7E221E8F">
      <w:pPr>
        <w:pStyle w:val="79"/>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我公司参与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4CDE75D2">
      <w:pPr>
        <w:pStyle w:val="79"/>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特此声明  </w:t>
      </w:r>
    </w:p>
    <w:p w14:paraId="2EEA8437">
      <w:pPr>
        <w:pStyle w:val="80"/>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01CD48AC">
      <w:pPr>
        <w:pStyle w:val="80"/>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名称（签章）：</w:t>
      </w:r>
      <w:r>
        <w:rPr>
          <w:rFonts w:hint="eastAsia" w:ascii="宋体" w:hAnsi="宋体" w:cs="宋体"/>
          <w:color w:val="auto"/>
          <w:sz w:val="24"/>
          <w:szCs w:val="24"/>
          <w:highlight w:val="none"/>
          <w:u w:val="single"/>
        </w:rPr>
        <w:t xml:space="preserve">                       </w:t>
      </w:r>
    </w:p>
    <w:p w14:paraId="5A5017F6">
      <w:pPr>
        <w:pStyle w:val="80"/>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38428A86">
      <w:pPr>
        <w:pStyle w:val="79"/>
        <w:adjustRightInd w:val="0"/>
        <w:snapToGrid w:val="0"/>
        <w:spacing w:line="360" w:lineRule="auto"/>
        <w:jc w:val="left"/>
        <w:rPr>
          <w:rFonts w:hint="eastAsia" w:ascii="宋体" w:hAnsi="宋体" w:cs="宋体"/>
          <w:color w:val="auto"/>
          <w:sz w:val="24"/>
          <w:szCs w:val="24"/>
          <w:highlight w:val="none"/>
        </w:rPr>
      </w:pPr>
    </w:p>
    <w:p w14:paraId="753B8142">
      <w:pPr>
        <w:pStyle w:val="79"/>
        <w:adjustRightInd w:val="0"/>
        <w:snapToGrid w:val="0"/>
        <w:spacing w:line="360" w:lineRule="auto"/>
        <w:jc w:val="left"/>
        <w:rPr>
          <w:rFonts w:hint="eastAsia" w:ascii="宋体" w:hAnsi="宋体" w:cs="宋体"/>
          <w:b/>
          <w:color w:val="auto"/>
          <w:kern w:val="0"/>
          <w:sz w:val="32"/>
          <w:szCs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1EB4AC7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421" w:name="_Toc32053"/>
      <w:bookmarkStart w:id="422" w:name="_Toc31574"/>
      <w:r>
        <w:rPr>
          <w:rFonts w:hint="eastAsia" w:ascii="宋体" w:hAnsi="宋体" w:eastAsia="宋体" w:cs="宋体"/>
          <w:b/>
          <w:bCs/>
          <w:i w:val="0"/>
          <w:iCs w:val="0"/>
          <w:color w:val="auto"/>
          <w:kern w:val="2"/>
          <w:sz w:val="24"/>
          <w:szCs w:val="24"/>
          <w:highlight w:val="none"/>
          <w:lang w:val="en-US" w:eastAsia="zh-CN" w:bidi="ar-SA"/>
        </w:rPr>
        <w:t>（六）</w:t>
      </w:r>
      <w:r>
        <w:rPr>
          <w:rFonts w:hint="eastAsia" w:cs="宋体"/>
          <w:b/>
          <w:bCs/>
          <w:i w:val="0"/>
          <w:iCs w:val="0"/>
          <w:color w:val="auto"/>
          <w:kern w:val="2"/>
          <w:sz w:val="24"/>
          <w:szCs w:val="24"/>
          <w:highlight w:val="none"/>
          <w:lang w:val="en-US" w:eastAsia="zh-CN" w:bidi="ar-SA"/>
        </w:rPr>
        <w:t>投标人</w:t>
      </w:r>
      <w:r>
        <w:rPr>
          <w:rFonts w:hint="eastAsia" w:ascii="宋体" w:hAnsi="宋体" w:eastAsia="宋体" w:cs="宋体"/>
          <w:b/>
          <w:bCs/>
          <w:i w:val="0"/>
          <w:iCs w:val="0"/>
          <w:color w:val="auto"/>
          <w:kern w:val="2"/>
          <w:sz w:val="24"/>
          <w:szCs w:val="24"/>
          <w:highlight w:val="none"/>
          <w:lang w:val="en-US" w:eastAsia="zh-CN" w:bidi="ar-SA"/>
        </w:rPr>
        <w:t>未列入失信被执行人、重大税收违法案件当事人名单、政府采购严重违法失信行为记录名单</w:t>
      </w:r>
      <w:bookmarkEnd w:id="421"/>
      <w:bookmarkEnd w:id="422"/>
    </w:p>
    <w:p w14:paraId="4A6E5D9B">
      <w:pPr>
        <w:pStyle w:val="83"/>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“信用中国”网站查询信息：</w:t>
      </w:r>
    </w:p>
    <w:p w14:paraId="0131AED7">
      <w:pPr>
        <w:pStyle w:val="83"/>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①未被列入失信被执行人； </w:t>
      </w:r>
    </w:p>
    <w:p w14:paraId="654D1120">
      <w:pPr>
        <w:pStyle w:val="83"/>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②不是重大税收违法案件当事人名单的</w:t>
      </w:r>
      <w:r>
        <w:rPr>
          <w:rFonts w:hint="eastAsia" w:ascii="宋体" w:hAnsi="宋体" w:cs="宋体"/>
          <w:color w:val="auto"/>
          <w:spacing w:val="6"/>
          <w:kern w:val="0"/>
          <w:sz w:val="24"/>
          <w:szCs w:val="24"/>
          <w:highlight w:val="none"/>
          <w:lang w:eastAsia="zh-CN"/>
        </w:rPr>
        <w:t>投标人</w:t>
      </w:r>
      <w:r>
        <w:rPr>
          <w:rFonts w:hint="eastAsia" w:ascii="宋体" w:hAnsi="宋体" w:cs="宋体"/>
          <w:color w:val="auto"/>
          <w:spacing w:val="6"/>
          <w:kern w:val="0"/>
          <w:sz w:val="24"/>
          <w:szCs w:val="24"/>
          <w:highlight w:val="none"/>
        </w:rPr>
        <w:t xml:space="preserve">； </w:t>
      </w:r>
    </w:p>
    <w:p w14:paraId="5FF9390F">
      <w:pPr>
        <w:pStyle w:val="83"/>
        <w:spacing w:line="360" w:lineRule="auto"/>
        <w:ind w:firstLine="504" w:firstLineChars="200"/>
        <w:jc w:val="left"/>
        <w:rPr>
          <w:rFonts w:hint="eastAsia" w:ascii="宋体" w:hAnsi="宋体" w:cs="宋体"/>
          <w:color w:val="auto"/>
          <w:spacing w:val="6"/>
          <w:kern w:val="0"/>
          <w:sz w:val="24"/>
          <w:szCs w:val="24"/>
          <w:highlight w:val="none"/>
        </w:rPr>
      </w:pPr>
    </w:p>
    <w:p w14:paraId="787D24E0">
      <w:pPr>
        <w:pStyle w:val="83"/>
        <w:spacing w:line="360" w:lineRule="auto"/>
        <w:ind w:firstLine="504" w:firstLineChars="200"/>
        <w:jc w:val="left"/>
        <w:rPr>
          <w:rFonts w:hint="eastAsia" w:ascii="宋体" w:hAnsi="宋体" w:cs="宋体"/>
          <w:color w:val="auto"/>
          <w:spacing w:val="6"/>
          <w:kern w:val="0"/>
          <w:sz w:val="24"/>
          <w:szCs w:val="24"/>
          <w:highlight w:val="none"/>
        </w:rPr>
      </w:pPr>
    </w:p>
    <w:p w14:paraId="3E784B0D">
      <w:pPr>
        <w:pStyle w:val="83"/>
        <w:spacing w:line="360" w:lineRule="auto"/>
        <w:ind w:firstLine="504" w:firstLineChars="200"/>
        <w:jc w:val="left"/>
        <w:rPr>
          <w:rFonts w:hint="eastAsia" w:ascii="宋体" w:hAnsi="宋体" w:cs="宋体"/>
          <w:color w:val="auto"/>
          <w:spacing w:val="6"/>
          <w:kern w:val="0"/>
          <w:sz w:val="24"/>
          <w:szCs w:val="24"/>
          <w:highlight w:val="none"/>
        </w:rPr>
      </w:pPr>
    </w:p>
    <w:p w14:paraId="27311A63">
      <w:pPr>
        <w:pStyle w:val="83"/>
        <w:spacing w:line="360" w:lineRule="auto"/>
        <w:ind w:firstLine="504" w:firstLineChars="200"/>
        <w:jc w:val="left"/>
        <w:rPr>
          <w:rFonts w:hint="eastAsia" w:ascii="宋体" w:hAnsi="宋体" w:eastAsia="宋体" w:cs="宋体"/>
          <w:color w:val="auto"/>
          <w:spacing w:val="6"/>
          <w:kern w:val="0"/>
          <w:sz w:val="24"/>
          <w:szCs w:val="24"/>
          <w:highlight w:val="none"/>
          <w:lang w:val="en-US" w:eastAsia="zh-CN"/>
        </w:rPr>
      </w:pPr>
      <w:r>
        <w:rPr>
          <w:rFonts w:hint="eastAsia" w:ascii="宋体" w:hAnsi="宋体" w:cs="宋体"/>
          <w:color w:val="auto"/>
          <w:spacing w:val="6"/>
          <w:kern w:val="0"/>
          <w:sz w:val="24"/>
          <w:szCs w:val="24"/>
          <w:highlight w:val="none"/>
          <w:lang w:val="en-US" w:eastAsia="zh-CN"/>
        </w:rPr>
        <w:t xml:space="preserve"> </w:t>
      </w:r>
    </w:p>
    <w:p w14:paraId="017F6BDB">
      <w:pPr>
        <w:pStyle w:val="83"/>
        <w:spacing w:line="360" w:lineRule="auto"/>
        <w:ind w:firstLine="756" w:firstLineChars="300"/>
        <w:jc w:val="left"/>
        <w:rPr>
          <w:rFonts w:hint="eastAsia" w:ascii="宋体" w:hAnsi="宋体" w:cs="宋体"/>
          <w:color w:val="auto"/>
          <w:spacing w:val="6"/>
          <w:kern w:val="0"/>
          <w:sz w:val="24"/>
          <w:szCs w:val="24"/>
          <w:highlight w:val="none"/>
          <w:lang w:eastAsia="zh-CN"/>
        </w:rPr>
      </w:pPr>
      <w:r>
        <w:rPr>
          <w:rFonts w:hint="eastAsia" w:ascii="宋体" w:hAnsi="宋体" w:cs="宋体"/>
          <w:color w:val="auto"/>
          <w:spacing w:val="6"/>
          <w:kern w:val="0"/>
          <w:sz w:val="24"/>
          <w:szCs w:val="24"/>
          <w:highlight w:val="none"/>
        </w:rPr>
        <w:t>“中国政府采购网”查询信息</w:t>
      </w:r>
      <w:r>
        <w:rPr>
          <w:rFonts w:hint="eastAsia" w:ascii="宋体" w:hAnsi="宋体" w:cs="宋体"/>
          <w:color w:val="auto"/>
          <w:spacing w:val="6"/>
          <w:kern w:val="0"/>
          <w:sz w:val="24"/>
          <w:szCs w:val="24"/>
          <w:highlight w:val="none"/>
          <w:lang w:eastAsia="zh-CN"/>
        </w:rPr>
        <w:t>：</w:t>
      </w:r>
    </w:p>
    <w:p w14:paraId="0ECAD3B0">
      <w:p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rPr>
        <w:t>政府采购严重违法失信行为信息记录</w:t>
      </w:r>
      <w:r>
        <w:rPr>
          <w:rFonts w:hint="eastAsia" w:ascii="宋体" w:hAnsi="宋体" w:cs="宋体"/>
          <w:color w:val="auto"/>
          <w:sz w:val="24"/>
          <w:szCs w:val="24"/>
          <w:highlight w:val="none"/>
          <w:lang w:eastAsia="zh-CN"/>
        </w:rPr>
        <w:t>：</w:t>
      </w:r>
    </w:p>
    <w:p w14:paraId="7FA1B22F">
      <w:p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br w:type="page"/>
      </w:r>
    </w:p>
    <w:p w14:paraId="4C5A5395">
      <w:pPr>
        <w:numPr>
          <w:ilvl w:val="0"/>
          <w:numId w:val="0"/>
        </w:numPr>
        <w:spacing w:line="360" w:lineRule="auto"/>
        <w:ind w:left="420" w:left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（七）法律、行政法规规定的其他条件</w:t>
      </w:r>
    </w:p>
    <w:p w14:paraId="6BD9FB26">
      <w:pPr>
        <w:rPr>
          <w:rFonts w:hint="eastAsia" w:ascii="Arial" w:hAnsi="Arial" w:cs="Arial"/>
          <w:color w:val="auto"/>
          <w:szCs w:val="21"/>
          <w:highlight w:val="none"/>
          <w:lang w:val="en-US" w:eastAsia="zh-CN"/>
        </w:rPr>
      </w:pPr>
    </w:p>
    <w:p w14:paraId="02103427">
      <w:pPr>
        <w:jc w:val="center"/>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供应商可自行做出承诺，格式自拟。</w:t>
      </w:r>
    </w:p>
    <w:p w14:paraId="78657D61">
      <w:pPr>
        <w:widowControl/>
        <w:spacing w:line="560" w:lineRule="exact"/>
        <w:ind w:firstLine="630"/>
        <w:jc w:val="left"/>
        <w:rPr>
          <w:rFonts w:hint="eastAsia" w:ascii="宋体" w:hAnsi="宋体" w:eastAsia="宋体" w:cs="宋体"/>
          <w:color w:val="auto"/>
          <w:kern w:val="0"/>
          <w:sz w:val="24"/>
          <w:szCs w:val="24"/>
          <w:highlight w:val="none"/>
        </w:rPr>
      </w:pPr>
    </w:p>
    <w:p w14:paraId="67DF1B87">
      <w:pPr>
        <w:rPr>
          <w:rFonts w:ascii="Arial" w:hAnsi="Arial" w:cs="Arial"/>
          <w:color w:val="auto"/>
          <w:szCs w:val="21"/>
          <w:highlight w:val="none"/>
        </w:rPr>
      </w:pPr>
      <w:r>
        <w:rPr>
          <w:rFonts w:ascii="Arial" w:hAnsi="Arial" w:cs="Arial"/>
          <w:color w:val="auto"/>
          <w:szCs w:val="21"/>
          <w:highlight w:val="none"/>
        </w:rPr>
        <w:br w:type="page"/>
      </w:r>
    </w:p>
    <w:p w14:paraId="70BE810B">
      <w:pPr>
        <w:pStyle w:val="3"/>
        <w:bidi w:val="0"/>
        <w:rPr>
          <w:rFonts w:hint="eastAsia"/>
          <w:color w:val="auto"/>
          <w:sz w:val="28"/>
          <w:szCs w:val="28"/>
          <w:highlight w:val="none"/>
          <w:lang w:val="zh-CN" w:eastAsia="zh-CN"/>
        </w:rPr>
      </w:pPr>
      <w:bookmarkStart w:id="423" w:name="_Toc109899917"/>
      <w:bookmarkStart w:id="424" w:name="_Toc109899498"/>
      <w:bookmarkStart w:id="425" w:name="_Toc155185930"/>
      <w:bookmarkStart w:id="426" w:name="_Toc140132840"/>
      <w:bookmarkStart w:id="427" w:name="_Toc109900336"/>
      <w:bookmarkStart w:id="428" w:name="_Toc163492923"/>
      <w:bookmarkStart w:id="429" w:name="_Toc21134"/>
      <w:bookmarkStart w:id="430" w:name="_Toc3502"/>
      <w:r>
        <w:rPr>
          <w:rFonts w:hint="eastAsia"/>
          <w:color w:val="auto"/>
          <w:sz w:val="28"/>
          <w:szCs w:val="28"/>
          <w:highlight w:val="none"/>
          <w:lang w:val="en-US" w:eastAsia="zh-CN"/>
        </w:rPr>
        <w:t>二、</w:t>
      </w:r>
      <w:bookmarkEnd w:id="423"/>
      <w:bookmarkEnd w:id="424"/>
      <w:bookmarkEnd w:id="425"/>
      <w:bookmarkEnd w:id="426"/>
      <w:bookmarkEnd w:id="427"/>
      <w:bookmarkEnd w:id="428"/>
      <w:bookmarkStart w:id="431" w:name="_Toc155185931"/>
      <w:r>
        <w:rPr>
          <w:rFonts w:hint="eastAsia"/>
          <w:color w:val="auto"/>
          <w:sz w:val="28"/>
          <w:szCs w:val="28"/>
          <w:highlight w:val="none"/>
          <w:lang w:val="zh-CN" w:eastAsia="zh-CN"/>
        </w:rPr>
        <w:t>联合体协议书</w:t>
      </w:r>
      <w:bookmarkEnd w:id="431"/>
      <w:r>
        <w:rPr>
          <w:rFonts w:hint="eastAsia"/>
          <w:color w:val="auto"/>
          <w:sz w:val="28"/>
          <w:szCs w:val="28"/>
          <w:highlight w:val="none"/>
          <w:lang w:val="zh-CN" w:eastAsia="zh-CN"/>
        </w:rPr>
        <w:t>【如适用】</w:t>
      </w:r>
      <w:bookmarkEnd w:id="429"/>
      <w:bookmarkEnd w:id="430"/>
    </w:p>
    <w:p w14:paraId="23E3BC9F">
      <w:pPr>
        <w:snapToGrid w:val="0"/>
        <w:spacing w:line="360" w:lineRule="auto"/>
        <w:jc w:val="center"/>
        <w:outlineLvl w:val="0"/>
        <w:rPr>
          <w:rFonts w:hint="eastAsia" w:ascii="宋体" w:hAnsi="宋体" w:cs="宋体"/>
          <w:b/>
          <w:color w:val="auto"/>
          <w:kern w:val="0"/>
          <w:sz w:val="32"/>
          <w:szCs w:val="32"/>
          <w:highlight w:val="none"/>
        </w:rPr>
      </w:pPr>
      <w:bookmarkStart w:id="432" w:name="_Toc919"/>
      <w:bookmarkStart w:id="433" w:name="_Toc12650"/>
      <w:bookmarkStart w:id="434" w:name="_Toc24531"/>
      <w:r>
        <w:rPr>
          <w:rFonts w:hint="eastAsia" w:ascii="宋体" w:hAnsi="宋体" w:cs="宋体"/>
          <w:b/>
          <w:color w:val="auto"/>
          <w:kern w:val="0"/>
          <w:sz w:val="32"/>
          <w:szCs w:val="32"/>
          <w:highlight w:val="none"/>
        </w:rPr>
        <w:t>联合体协议书</w:t>
      </w:r>
      <w:bookmarkEnd w:id="432"/>
      <w:bookmarkEnd w:id="433"/>
      <w:bookmarkEnd w:id="434"/>
    </w:p>
    <w:p w14:paraId="6795462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43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35"/>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w:t>
      </w:r>
      <w:r>
        <w:rPr>
          <w:rFonts w:hint="eastAsia" w:cs="宋体"/>
          <w:color w:val="auto"/>
          <w:kern w:val="0"/>
          <w:sz w:val="24"/>
          <w:highlight w:val="none"/>
          <w:lang w:val="en-US" w:eastAsia="zh-CN"/>
        </w:rPr>
        <w:t>服务及</w:t>
      </w:r>
      <w:r>
        <w:rPr>
          <w:rFonts w:hint="eastAsia" w:ascii="宋体" w:hAnsi="宋体" w:cs="宋体"/>
          <w:color w:val="auto"/>
          <w:kern w:val="0"/>
          <w:sz w:val="24"/>
          <w:highlight w:val="none"/>
        </w:rPr>
        <w:t>货物由小微企业</w:t>
      </w:r>
      <w:r>
        <w:rPr>
          <w:rFonts w:hint="eastAsia" w:cs="宋体"/>
          <w:color w:val="auto"/>
          <w:kern w:val="0"/>
          <w:sz w:val="24"/>
          <w:highlight w:val="none"/>
          <w:lang w:val="en-US" w:eastAsia="zh-CN"/>
        </w:rPr>
        <w:t>提供和</w:t>
      </w:r>
      <w:r>
        <w:rPr>
          <w:rFonts w:hint="eastAsia" w:ascii="宋体" w:hAnsi="宋体" w:cs="宋体"/>
          <w:color w:val="auto"/>
          <w:kern w:val="0"/>
          <w:sz w:val="24"/>
          <w:highlight w:val="none"/>
        </w:rPr>
        <w:t>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75ABC4BD">
      <w:pPr>
        <w:snapToGrid w:val="0"/>
        <w:spacing w:line="360" w:lineRule="auto"/>
        <w:ind w:firstLine="576"/>
        <w:rPr>
          <w:rFonts w:hint="eastAsia" w:ascii="宋体" w:hAnsi="宋体" w:cs="宋体"/>
          <w:color w:val="auto"/>
          <w:kern w:val="0"/>
          <w:sz w:val="24"/>
          <w:highlight w:val="none"/>
          <w:lang w:val="zh-CN"/>
        </w:rPr>
      </w:pPr>
    </w:p>
    <w:p w14:paraId="4D791421">
      <w:pPr>
        <w:snapToGrid w:val="0"/>
        <w:spacing w:line="360" w:lineRule="auto"/>
        <w:ind w:firstLine="576"/>
        <w:rPr>
          <w:rFonts w:hint="eastAsia" w:ascii="宋体" w:hAnsi="宋体" w:cs="宋体"/>
          <w:color w:val="auto"/>
          <w:kern w:val="0"/>
          <w:sz w:val="24"/>
          <w:highlight w:val="none"/>
          <w:lang w:val="zh-CN"/>
        </w:rPr>
      </w:pPr>
    </w:p>
    <w:p w14:paraId="1BE31DA1">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F94648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54D30BD">
      <w:pPr>
        <w:pStyle w:val="3"/>
        <w:bidi w:val="0"/>
        <w:rPr>
          <w:rFonts w:hint="eastAsia"/>
          <w:color w:val="auto"/>
          <w:sz w:val="28"/>
          <w:szCs w:val="28"/>
          <w:highlight w:val="none"/>
          <w:lang w:val="zh-CN" w:eastAsia="zh-CN"/>
        </w:rPr>
      </w:pPr>
      <w:bookmarkStart w:id="436" w:name="_Toc156490356"/>
      <w:bookmarkStart w:id="437" w:name="_Toc10975"/>
      <w:bookmarkStart w:id="438" w:name="_Toc162299566"/>
      <w:bookmarkStart w:id="439" w:name="_Toc20320"/>
      <w:bookmarkStart w:id="440" w:name="_Hlk101169080"/>
      <w:r>
        <w:rPr>
          <w:rFonts w:hint="eastAsia"/>
          <w:color w:val="auto"/>
          <w:sz w:val="28"/>
          <w:szCs w:val="28"/>
          <w:highlight w:val="none"/>
          <w:lang w:val="en-US" w:eastAsia="zh-CN"/>
        </w:rPr>
        <w:t>三、</w:t>
      </w:r>
      <w:r>
        <w:rPr>
          <w:rFonts w:hint="eastAsia"/>
          <w:color w:val="auto"/>
          <w:sz w:val="28"/>
          <w:szCs w:val="28"/>
          <w:highlight w:val="none"/>
          <w:lang w:val="zh-CN" w:eastAsia="zh-CN"/>
        </w:rPr>
        <w:t>分包意向协议书【如适用】</w:t>
      </w:r>
      <w:bookmarkEnd w:id="436"/>
      <w:bookmarkEnd w:id="437"/>
      <w:bookmarkEnd w:id="438"/>
      <w:bookmarkEnd w:id="439"/>
    </w:p>
    <w:p w14:paraId="7214AD2B">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441" w:name="_Toc18859"/>
      <w:bookmarkStart w:id="442" w:name="_Toc14674"/>
      <w:bookmarkStart w:id="443" w:name="_Toc3174"/>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441"/>
      <w:bookmarkEnd w:id="442"/>
      <w:bookmarkEnd w:id="443"/>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3"/>
        <w:tabs>
          <w:tab w:val="left" w:pos="432"/>
        </w:tabs>
        <w:ind w:left="758" w:leftChars="316" w:firstLine="229" w:firstLineChars="95"/>
        <w:rPr>
          <w:rFonts w:ascii="宋体" w:hAnsi="宋体" w:eastAsia="宋体" w:cs="宋体"/>
          <w:color w:val="auto"/>
          <w:kern w:val="0"/>
          <w:sz w:val="24"/>
          <w:szCs w:val="24"/>
          <w:highlight w:val="none"/>
        </w:rPr>
      </w:pPr>
      <w:bookmarkStart w:id="444" w:name="_Toc9911"/>
      <w:bookmarkStart w:id="445" w:name="_Toc20300"/>
      <w:bookmarkStart w:id="446" w:name="_Toc7532"/>
      <w:r>
        <w:rPr>
          <w:rFonts w:hint="eastAsia" w:ascii="宋体" w:hAnsi="宋体" w:eastAsia="宋体" w:cs="宋体"/>
          <w:color w:val="auto"/>
          <w:kern w:val="0"/>
          <w:sz w:val="24"/>
          <w:szCs w:val="24"/>
          <w:highlight w:val="none"/>
        </w:rPr>
        <w:t>……</w:t>
      </w:r>
      <w:bookmarkEnd w:id="444"/>
      <w:bookmarkEnd w:id="445"/>
      <w:bookmarkEnd w:id="446"/>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w:t>
      </w:r>
      <w:r>
        <w:rPr>
          <w:rFonts w:hint="eastAsia" w:cs="宋体"/>
          <w:color w:val="auto"/>
          <w:kern w:val="0"/>
          <w:sz w:val="24"/>
          <w:highlight w:val="none"/>
          <w:u w:val="single"/>
          <w:lang w:val="en-US" w:eastAsia="zh-CN"/>
        </w:rPr>
        <w:t>服务</w:t>
      </w:r>
      <w:r>
        <w:rPr>
          <w:rFonts w:hint="eastAsia" w:ascii="宋体" w:hAnsi="宋体" w:cs="宋体"/>
          <w:color w:val="auto"/>
          <w:kern w:val="0"/>
          <w:sz w:val="24"/>
          <w:highlight w:val="none"/>
          <w:u w:val="single"/>
        </w:rPr>
        <w:t>全部由小微企业</w:t>
      </w:r>
      <w:r>
        <w:rPr>
          <w:rFonts w:hint="eastAsia" w:cs="宋体"/>
          <w:color w:val="auto"/>
          <w:kern w:val="0"/>
          <w:sz w:val="24"/>
          <w:highlight w:val="none"/>
          <w:u w:val="single"/>
          <w:lang w:val="en-US" w:eastAsia="zh-CN"/>
        </w:rPr>
        <w:t>承担</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4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47"/>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DC21D17">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cs="宋体"/>
          <w:color w:val="auto"/>
          <w:kern w:val="0"/>
          <w:sz w:val="24"/>
          <w:highlight w:val="none"/>
          <w:lang w:val="en-US" w:eastAsia="zh-CN"/>
        </w:rPr>
        <w:t xml:space="preserve">     </w:t>
      </w: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2869108">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3AD0D69">
      <w:pPr>
        <w:snapToGrid w:val="0"/>
        <w:spacing w:line="360" w:lineRule="auto"/>
        <w:jc w:val="right"/>
        <w:rPr>
          <w:rFonts w:ascii="宋体" w:hAnsi="宋体" w:cs="宋体"/>
          <w:color w:val="auto"/>
          <w:kern w:val="0"/>
          <w:sz w:val="24"/>
          <w:highlight w:val="none"/>
          <w:lang w:val="zh-CN"/>
        </w:rPr>
      </w:pP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4"/>
          <w:highlight w:val="none"/>
        </w:rPr>
      </w:pPr>
      <w:r>
        <w:rPr>
          <w:rFonts w:hint="eastAsia" w:ascii="宋体" w:hAnsi="宋体" w:cs="宋体"/>
          <w:color w:val="auto"/>
          <w:sz w:val="21"/>
          <w:szCs w:val="21"/>
          <w:highlight w:val="none"/>
        </w:rPr>
        <w:t>注：按本格式和要求提供。</w:t>
      </w:r>
    </w:p>
    <w:p w14:paraId="7F0D76CC">
      <w:pPr>
        <w:topLinePunct/>
        <w:ind w:firstLine="480" w:firstLineChars="200"/>
        <w:rPr>
          <w:rFonts w:hint="eastAsia"/>
          <w:color w:val="auto"/>
          <w:szCs w:val="32"/>
          <w:highlight w:val="none"/>
        </w:rPr>
      </w:pPr>
    </w:p>
    <w:p w14:paraId="5F400CB9">
      <w:pPr>
        <w:topLinePunct/>
        <w:ind w:firstLine="480" w:firstLineChars="200"/>
        <w:rPr>
          <w:rFonts w:hint="eastAsia"/>
          <w:color w:val="auto"/>
          <w:szCs w:val="32"/>
          <w:highlight w:val="none"/>
        </w:rPr>
      </w:pPr>
    </w:p>
    <w:p w14:paraId="11CAF290">
      <w:pPr>
        <w:topLinePunct/>
        <w:ind w:firstLine="480" w:firstLineChars="200"/>
        <w:rPr>
          <w:rFonts w:hint="eastAsia"/>
          <w:color w:val="auto"/>
          <w:szCs w:val="32"/>
          <w:highlight w:val="none"/>
        </w:rPr>
      </w:pPr>
    </w:p>
    <w:p w14:paraId="35CFE103">
      <w:pPr>
        <w:topLinePunct/>
        <w:ind w:firstLine="480" w:firstLineChars="200"/>
        <w:rPr>
          <w:rFonts w:hint="eastAsia"/>
          <w:color w:val="auto"/>
          <w:szCs w:val="32"/>
          <w:highlight w:val="none"/>
        </w:rPr>
      </w:pPr>
    </w:p>
    <w:bookmarkEnd w:id="440"/>
    <w:p w14:paraId="5775F461">
      <w:pPr>
        <w:ind w:left="2520" w:leftChars="1050"/>
        <w:rPr>
          <w:color w:val="auto"/>
          <w:highlight w:val="none"/>
        </w:rPr>
      </w:pPr>
      <w:r>
        <w:rPr>
          <w:rFonts w:cs="Courier New"/>
          <w:color w:val="auto"/>
          <w:szCs w:val="24"/>
          <w:highlight w:val="none"/>
        </w:rPr>
        <w:br w:type="page"/>
      </w:r>
    </w:p>
    <w:p w14:paraId="6C745F3D">
      <w:pPr>
        <w:pStyle w:val="3"/>
        <w:bidi w:val="0"/>
        <w:rPr>
          <w:rFonts w:hint="eastAsia"/>
          <w:color w:val="auto"/>
          <w:sz w:val="28"/>
          <w:szCs w:val="28"/>
          <w:highlight w:val="none"/>
          <w:lang w:val="en-US" w:eastAsia="zh-CN"/>
        </w:rPr>
      </w:pPr>
      <w:bookmarkStart w:id="448" w:name="_Toc163492926"/>
      <w:bookmarkStart w:id="449" w:name="_Toc155185932"/>
      <w:bookmarkStart w:id="450" w:name="_Toc14524"/>
      <w:bookmarkStart w:id="451" w:name="_Toc30866"/>
      <w:r>
        <w:rPr>
          <w:rFonts w:hint="eastAsia"/>
          <w:color w:val="auto"/>
          <w:sz w:val="28"/>
          <w:szCs w:val="28"/>
          <w:highlight w:val="none"/>
          <w:lang w:val="en-US" w:eastAsia="zh-CN"/>
        </w:rPr>
        <w:t>四、</w:t>
      </w:r>
      <w:bookmarkEnd w:id="448"/>
      <w:bookmarkEnd w:id="449"/>
      <w:r>
        <w:rPr>
          <w:rFonts w:hint="eastAsia"/>
          <w:color w:val="auto"/>
          <w:sz w:val="28"/>
          <w:szCs w:val="28"/>
          <w:highlight w:val="none"/>
          <w:lang w:val="en-US" w:eastAsia="zh-CN"/>
        </w:rPr>
        <w:t>落实政府采购政策相关证明文件</w:t>
      </w:r>
      <w:bookmarkEnd w:id="450"/>
      <w:bookmarkEnd w:id="451"/>
    </w:p>
    <w:p w14:paraId="0076F407">
      <w:pPr>
        <w:pStyle w:val="4"/>
        <w:bidi w:val="0"/>
        <w:rPr>
          <w:rFonts w:hint="eastAsia"/>
          <w:color w:val="auto"/>
          <w:sz w:val="24"/>
          <w:szCs w:val="24"/>
          <w:highlight w:val="none"/>
          <w:lang w:val="en-US" w:eastAsia="zh-CN"/>
        </w:rPr>
      </w:pPr>
      <w:bookmarkStart w:id="452" w:name="_Toc18227"/>
      <w:bookmarkStart w:id="453" w:name="_Toc163492938"/>
      <w:r>
        <w:rPr>
          <w:rFonts w:hint="eastAsia"/>
          <w:color w:val="auto"/>
          <w:sz w:val="24"/>
          <w:szCs w:val="24"/>
          <w:highlight w:val="none"/>
          <w:lang w:val="en-US" w:eastAsia="zh-CN"/>
        </w:rPr>
        <w:t>（一）节能环保产品清单及证明材料【如适用】</w:t>
      </w:r>
      <w:bookmarkEnd w:id="452"/>
      <w:bookmarkEnd w:id="453"/>
    </w:p>
    <w:p w14:paraId="129366EF">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51FADA0E">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214B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9BA53A1">
            <w:pPr>
              <w:pStyle w:val="51"/>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33C66ABB">
            <w:pPr>
              <w:pStyle w:val="51"/>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0A6767B6">
            <w:pPr>
              <w:pStyle w:val="51"/>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31DEE91E">
            <w:pPr>
              <w:pStyle w:val="51"/>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BB11F42">
            <w:pPr>
              <w:pStyle w:val="51"/>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146CD78D">
            <w:pPr>
              <w:pStyle w:val="51"/>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52ABF9B6">
            <w:pPr>
              <w:pStyle w:val="51"/>
              <w:jc w:val="center"/>
              <w:rPr>
                <w:color w:val="auto"/>
                <w:sz w:val="21"/>
                <w:szCs w:val="21"/>
                <w:highlight w:val="none"/>
              </w:rPr>
            </w:pPr>
            <w:r>
              <w:rPr>
                <w:rFonts w:hint="eastAsia"/>
                <w:color w:val="auto"/>
                <w:sz w:val="21"/>
                <w:szCs w:val="21"/>
                <w:highlight w:val="none"/>
              </w:rPr>
              <w:t>单价</w:t>
            </w:r>
          </w:p>
          <w:p w14:paraId="022A35EE">
            <w:pPr>
              <w:pStyle w:val="51"/>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47F9C89C">
            <w:pPr>
              <w:pStyle w:val="51"/>
              <w:jc w:val="center"/>
              <w:rPr>
                <w:color w:val="auto"/>
                <w:sz w:val="21"/>
                <w:szCs w:val="21"/>
                <w:highlight w:val="none"/>
              </w:rPr>
            </w:pPr>
            <w:r>
              <w:rPr>
                <w:rFonts w:hint="eastAsia"/>
                <w:color w:val="auto"/>
                <w:sz w:val="21"/>
                <w:szCs w:val="21"/>
                <w:highlight w:val="none"/>
              </w:rPr>
              <w:t>总价</w:t>
            </w:r>
          </w:p>
          <w:p w14:paraId="13E39665">
            <w:pPr>
              <w:pStyle w:val="51"/>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5EF1CA54">
            <w:pPr>
              <w:pStyle w:val="51"/>
              <w:jc w:val="center"/>
              <w:rPr>
                <w:color w:val="auto"/>
                <w:sz w:val="21"/>
                <w:szCs w:val="21"/>
                <w:highlight w:val="none"/>
              </w:rPr>
            </w:pPr>
            <w:r>
              <w:rPr>
                <w:rFonts w:hint="eastAsia"/>
                <w:color w:val="auto"/>
                <w:sz w:val="21"/>
                <w:szCs w:val="21"/>
                <w:highlight w:val="none"/>
              </w:rPr>
              <w:t>属强制采购或优先采购</w:t>
            </w:r>
          </w:p>
        </w:tc>
      </w:tr>
      <w:tr w14:paraId="2E90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ADB00D2">
            <w:pPr>
              <w:pStyle w:val="51"/>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3FEE94B">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10BB06E">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5A5920">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35E1910D">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648ECA9">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264C2E61">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25FE785">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64D763D">
            <w:pPr>
              <w:pStyle w:val="51"/>
              <w:jc w:val="center"/>
              <w:rPr>
                <w:color w:val="auto"/>
                <w:sz w:val="21"/>
                <w:szCs w:val="21"/>
                <w:highlight w:val="none"/>
              </w:rPr>
            </w:pPr>
          </w:p>
        </w:tc>
      </w:tr>
      <w:tr w14:paraId="37C9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FEF61DD">
            <w:pPr>
              <w:pStyle w:val="51"/>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416B1F1">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C36B510">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0AC0C7C">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67CCBE2">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BBEE273">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202F913">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965158B">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778C7D9">
            <w:pPr>
              <w:pStyle w:val="51"/>
              <w:jc w:val="center"/>
              <w:rPr>
                <w:color w:val="auto"/>
                <w:sz w:val="21"/>
                <w:szCs w:val="21"/>
                <w:highlight w:val="none"/>
              </w:rPr>
            </w:pPr>
          </w:p>
        </w:tc>
      </w:tr>
      <w:tr w14:paraId="54D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48CCAB2">
            <w:pPr>
              <w:pStyle w:val="51"/>
              <w:numPr>
                <w:ilvl w:val="0"/>
                <w:numId w:val="5"/>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25CCB97">
            <w:pPr>
              <w:pStyle w:val="51"/>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0FBEE7F">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FABF0FD">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41EE4F1">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4758BE8">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A503622">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CD9502">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1E5F4FE">
            <w:pPr>
              <w:pStyle w:val="51"/>
              <w:jc w:val="center"/>
              <w:rPr>
                <w:color w:val="auto"/>
                <w:sz w:val="21"/>
                <w:szCs w:val="21"/>
                <w:highlight w:val="none"/>
              </w:rPr>
            </w:pPr>
          </w:p>
        </w:tc>
      </w:tr>
    </w:tbl>
    <w:p w14:paraId="0BF4E52B">
      <w:pPr>
        <w:spacing w:line="300" w:lineRule="auto"/>
        <w:rPr>
          <w:rFonts w:ascii="Arial" w:hAnsi="Arial" w:cs="Arial"/>
          <w:color w:val="auto"/>
          <w:szCs w:val="21"/>
          <w:highlight w:val="none"/>
        </w:rPr>
      </w:pPr>
    </w:p>
    <w:p w14:paraId="37B13C23">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75A5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E1C37F0">
            <w:pPr>
              <w:pStyle w:val="51"/>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1FD081C">
            <w:pPr>
              <w:pStyle w:val="51"/>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29856322">
            <w:pPr>
              <w:pStyle w:val="51"/>
              <w:jc w:val="center"/>
              <w:rPr>
                <w:color w:val="auto"/>
                <w:sz w:val="21"/>
                <w:szCs w:val="21"/>
                <w:highlight w:val="none"/>
              </w:rPr>
            </w:pPr>
            <w:r>
              <w:rPr>
                <w:rFonts w:hint="eastAsia"/>
                <w:color w:val="auto"/>
                <w:sz w:val="21"/>
                <w:szCs w:val="21"/>
                <w:highlight w:val="none"/>
              </w:rPr>
              <w:t>制造商</w:t>
            </w:r>
          </w:p>
          <w:p w14:paraId="43D7ECA8">
            <w:pPr>
              <w:pStyle w:val="51"/>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3DA2F666">
            <w:pPr>
              <w:pStyle w:val="51"/>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C041C3A">
            <w:pPr>
              <w:pStyle w:val="51"/>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5EC682A5">
            <w:pPr>
              <w:pStyle w:val="51"/>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5112D1F1">
            <w:pPr>
              <w:pStyle w:val="51"/>
              <w:jc w:val="center"/>
              <w:rPr>
                <w:color w:val="auto"/>
                <w:sz w:val="21"/>
                <w:szCs w:val="21"/>
                <w:highlight w:val="none"/>
              </w:rPr>
            </w:pPr>
            <w:r>
              <w:rPr>
                <w:rFonts w:hint="eastAsia"/>
                <w:color w:val="auto"/>
                <w:sz w:val="21"/>
                <w:szCs w:val="21"/>
                <w:highlight w:val="none"/>
              </w:rPr>
              <w:t>单价</w:t>
            </w:r>
          </w:p>
          <w:p w14:paraId="0270B2E8">
            <w:pPr>
              <w:pStyle w:val="51"/>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2D01C53">
            <w:pPr>
              <w:pStyle w:val="51"/>
              <w:jc w:val="center"/>
              <w:rPr>
                <w:color w:val="auto"/>
                <w:sz w:val="21"/>
                <w:szCs w:val="21"/>
                <w:highlight w:val="none"/>
              </w:rPr>
            </w:pPr>
            <w:r>
              <w:rPr>
                <w:rFonts w:hint="eastAsia"/>
                <w:color w:val="auto"/>
                <w:sz w:val="21"/>
                <w:szCs w:val="21"/>
                <w:highlight w:val="none"/>
              </w:rPr>
              <w:t>总价</w:t>
            </w:r>
          </w:p>
          <w:p w14:paraId="461D4258">
            <w:pPr>
              <w:pStyle w:val="51"/>
              <w:jc w:val="center"/>
              <w:rPr>
                <w:color w:val="auto"/>
                <w:sz w:val="21"/>
                <w:szCs w:val="21"/>
                <w:highlight w:val="none"/>
              </w:rPr>
            </w:pPr>
            <w:r>
              <w:rPr>
                <w:rFonts w:hint="eastAsia"/>
                <w:color w:val="auto"/>
                <w:sz w:val="21"/>
                <w:szCs w:val="21"/>
                <w:highlight w:val="none"/>
              </w:rPr>
              <w:t>（万元）</w:t>
            </w:r>
          </w:p>
        </w:tc>
      </w:tr>
      <w:tr w14:paraId="3C06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7FEDD7F">
            <w:pPr>
              <w:pStyle w:val="51"/>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E411FCE">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F21DE2B">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C5EDF0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D72516A">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6E3E6DE">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8F18718">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4FAA2A4">
            <w:pPr>
              <w:pStyle w:val="51"/>
              <w:jc w:val="center"/>
              <w:rPr>
                <w:color w:val="auto"/>
                <w:sz w:val="21"/>
                <w:szCs w:val="21"/>
                <w:highlight w:val="none"/>
              </w:rPr>
            </w:pPr>
          </w:p>
        </w:tc>
      </w:tr>
      <w:tr w14:paraId="507C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CEE92A2">
            <w:pPr>
              <w:pStyle w:val="51"/>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7004DF9">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7819FE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DD8FC9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FB45CEE">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552F00C">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0679DB2">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241F95D">
            <w:pPr>
              <w:pStyle w:val="51"/>
              <w:jc w:val="center"/>
              <w:rPr>
                <w:color w:val="auto"/>
                <w:sz w:val="21"/>
                <w:szCs w:val="21"/>
                <w:highlight w:val="none"/>
              </w:rPr>
            </w:pPr>
          </w:p>
        </w:tc>
      </w:tr>
      <w:tr w14:paraId="5757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FF9C542">
            <w:pPr>
              <w:pStyle w:val="51"/>
              <w:numPr>
                <w:ilvl w:val="0"/>
                <w:numId w:val="6"/>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256190D9">
            <w:pPr>
              <w:pStyle w:val="51"/>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29185C8">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278FA62">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DC75679">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EAC5B30">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8F02ED0">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1916AC5">
            <w:pPr>
              <w:pStyle w:val="51"/>
              <w:jc w:val="center"/>
              <w:rPr>
                <w:color w:val="auto"/>
                <w:sz w:val="21"/>
                <w:szCs w:val="21"/>
                <w:highlight w:val="none"/>
              </w:rPr>
            </w:pPr>
          </w:p>
        </w:tc>
      </w:tr>
    </w:tbl>
    <w:p w14:paraId="04CE5F65">
      <w:pPr>
        <w:spacing w:line="300" w:lineRule="auto"/>
        <w:rPr>
          <w:rFonts w:ascii="Arial" w:hAnsi="Arial" w:cs="Arial"/>
          <w:color w:val="auto"/>
          <w:szCs w:val="21"/>
          <w:highlight w:val="none"/>
        </w:rPr>
      </w:pPr>
    </w:p>
    <w:p w14:paraId="4FDC8CE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4AE49928">
      <w:pPr>
        <w:spacing w:line="300" w:lineRule="auto"/>
        <w:rPr>
          <w:rFonts w:ascii="Arial" w:hAnsi="Arial" w:cs="Arial"/>
          <w:color w:val="auto"/>
          <w:szCs w:val="21"/>
          <w:highlight w:val="none"/>
        </w:rPr>
      </w:pPr>
    </w:p>
    <w:p w14:paraId="054561C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1A4D567">
      <w:pPr>
        <w:rPr>
          <w:rFonts w:ascii="Arial" w:hAnsi="Arial" w:cs="Arial"/>
          <w:color w:val="auto"/>
          <w:szCs w:val="21"/>
          <w:highlight w:val="none"/>
        </w:rPr>
      </w:pPr>
      <w:r>
        <w:rPr>
          <w:rFonts w:ascii="Arial" w:hAnsi="Arial" w:cs="Arial"/>
          <w:color w:val="auto"/>
          <w:szCs w:val="21"/>
          <w:highlight w:val="none"/>
        </w:rPr>
        <w:t>日期：</w:t>
      </w:r>
    </w:p>
    <w:p w14:paraId="0A67E61C">
      <w:pPr>
        <w:rPr>
          <w:rFonts w:ascii="Arial" w:hAnsi="Arial" w:cs="Arial"/>
          <w:color w:val="auto"/>
          <w:szCs w:val="21"/>
          <w:highlight w:val="none"/>
        </w:rPr>
      </w:pPr>
    </w:p>
    <w:p w14:paraId="70617D68">
      <w:pPr>
        <w:rPr>
          <w:rFonts w:ascii="Arial" w:hAnsi="Arial" w:cs="Arial"/>
          <w:color w:val="auto"/>
          <w:szCs w:val="21"/>
          <w:highlight w:val="none"/>
        </w:rPr>
      </w:pPr>
      <w:r>
        <w:rPr>
          <w:rFonts w:ascii="Arial" w:hAnsi="Arial" w:cs="Arial"/>
          <w:color w:val="auto"/>
          <w:szCs w:val="21"/>
          <w:highlight w:val="none"/>
        </w:rPr>
        <w:br w:type="page"/>
      </w:r>
    </w:p>
    <w:p w14:paraId="2A9F81A4">
      <w:pPr>
        <w:pStyle w:val="4"/>
        <w:bidi w:val="0"/>
        <w:rPr>
          <w:rFonts w:hint="eastAsia"/>
          <w:color w:val="auto"/>
          <w:sz w:val="24"/>
          <w:szCs w:val="24"/>
          <w:highlight w:val="none"/>
          <w:lang w:val="en-US" w:eastAsia="zh-CN"/>
        </w:rPr>
      </w:pPr>
      <w:bookmarkStart w:id="454" w:name="_Toc20772"/>
      <w:bookmarkStart w:id="455" w:name="_Toc163492939"/>
      <w:r>
        <w:rPr>
          <w:rFonts w:hint="eastAsia"/>
          <w:color w:val="auto"/>
          <w:sz w:val="24"/>
          <w:szCs w:val="24"/>
          <w:highlight w:val="none"/>
          <w:lang w:val="en-US" w:eastAsia="zh-CN"/>
        </w:rPr>
        <w:t>（二）中小企业声明函【如专门面向中小企业采购的项目，此函可放于此处，否则，应后置于“其他资格证明文件”】</w:t>
      </w:r>
      <w:bookmarkEnd w:id="454"/>
      <w:bookmarkEnd w:id="455"/>
    </w:p>
    <w:p w14:paraId="16CFCD4A">
      <w:pPr>
        <w:pStyle w:val="41"/>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0D7CD940">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5688740A">
      <w:pPr>
        <w:ind w:firstLine="504" w:firstLineChars="200"/>
        <w:rPr>
          <w:rFonts w:hint="eastAsia"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采购活动，服务全部由符合政策要求的中小企业承接。相关企业（含联合体中的中小企业、签订分包意向协议的中小企业）的具体情况如下：</w:t>
      </w:r>
    </w:p>
    <w:p w14:paraId="57A088DF">
      <w:pPr>
        <w:ind w:firstLine="504" w:firstLineChars="200"/>
        <w:rPr>
          <w:rFonts w:hint="eastAsia" w:cs="宋体"/>
          <w:color w:val="auto"/>
          <w:spacing w:val="6"/>
          <w:szCs w:val="24"/>
          <w:highlight w:val="none"/>
        </w:rPr>
      </w:pPr>
      <w:r>
        <w:rPr>
          <w:rFonts w:hint="eastAsia" w:cs="宋体"/>
          <w:color w:val="auto"/>
          <w:spacing w:val="6"/>
          <w:szCs w:val="24"/>
          <w:highlight w:val="none"/>
        </w:rPr>
        <w:t xml:space="preserve">1. </w:t>
      </w:r>
      <w:r>
        <w:rPr>
          <w:rFonts w:hint="eastAsia" w:cs="宋体"/>
          <w:color w:val="auto"/>
          <w:spacing w:val="6"/>
          <w:szCs w:val="24"/>
          <w:highlight w:val="none"/>
          <w:u w:val="single"/>
        </w:rPr>
        <w:t xml:space="preserve">（标的名称）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222AFB4D">
      <w:pPr>
        <w:ind w:firstLine="504" w:firstLineChars="200"/>
        <w:rPr>
          <w:rFonts w:hint="eastAsia"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w:t>
      </w:r>
      <w:r>
        <w:rPr>
          <w:rFonts w:hint="eastAsia" w:cs="宋体"/>
          <w:color w:val="auto"/>
          <w:spacing w:val="6"/>
          <w:szCs w:val="24"/>
          <w:highlight w:val="none"/>
        </w:rPr>
        <w:t xml:space="preserve"> ，属于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39DCDC52">
      <w:pPr>
        <w:ind w:firstLine="504" w:firstLineChars="200"/>
        <w:rPr>
          <w:rFonts w:hint="eastAsia" w:cs="宋体"/>
          <w:color w:val="auto"/>
          <w:spacing w:val="6"/>
          <w:szCs w:val="24"/>
          <w:highlight w:val="none"/>
        </w:rPr>
      </w:pPr>
      <w:r>
        <w:rPr>
          <w:rFonts w:hint="eastAsia" w:cs="宋体"/>
          <w:color w:val="auto"/>
          <w:spacing w:val="6"/>
          <w:szCs w:val="24"/>
          <w:highlight w:val="none"/>
        </w:rPr>
        <w:t>……</w:t>
      </w:r>
    </w:p>
    <w:p w14:paraId="708F1D10">
      <w:pPr>
        <w:ind w:firstLine="504" w:firstLineChars="200"/>
        <w:rPr>
          <w:rFonts w:hint="eastAsia"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02D6F1D3">
      <w:pPr>
        <w:ind w:firstLine="504" w:firstLineChars="200"/>
        <w:rPr>
          <w:rFonts w:hint="eastAsia"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1ADB2C8D">
      <w:pPr>
        <w:ind w:firstLine="504" w:firstLineChars="200"/>
        <w:rPr>
          <w:rFonts w:cs="宋体"/>
          <w:color w:val="auto"/>
          <w:spacing w:val="6"/>
          <w:szCs w:val="24"/>
          <w:highlight w:val="none"/>
        </w:rPr>
      </w:pPr>
    </w:p>
    <w:p w14:paraId="5A6D844B">
      <w:pPr>
        <w:ind w:right="1008" w:firstLine="4788" w:firstLineChars="1900"/>
        <w:rPr>
          <w:rFonts w:cs="宋体"/>
          <w:color w:val="auto"/>
          <w:spacing w:val="6"/>
          <w:szCs w:val="24"/>
          <w:highlight w:val="none"/>
        </w:rPr>
      </w:pPr>
    </w:p>
    <w:p w14:paraId="165AEE2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5183E380">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7BA8C73B">
      <w:pPr>
        <w:ind w:firstLine="504" w:firstLineChars="200"/>
        <w:rPr>
          <w:rFonts w:cs="宋体"/>
          <w:color w:val="auto"/>
          <w:spacing w:val="6"/>
          <w:szCs w:val="24"/>
          <w:highlight w:val="none"/>
        </w:rPr>
      </w:pPr>
    </w:p>
    <w:p w14:paraId="748B4DD4">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126DF3AF">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3E0A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EA8D8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EF0BA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5190A2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62EF0AA4">
      <w:pPr>
        <w:keepNext w:val="0"/>
        <w:keepLines w:val="0"/>
        <w:widowControl/>
        <w:suppressLineNumbers w:val="0"/>
        <w:ind w:firstLine="482" w:firstLineChars="200"/>
        <w:jc w:val="left"/>
        <w:rPr>
          <w:rStyle w:val="34"/>
          <w:rFonts w:hint="eastAsia" w:ascii="宋体" w:hAnsi="宋体" w:eastAsia="宋体" w:cs="宋体"/>
          <w:color w:val="auto"/>
          <w:kern w:val="0"/>
          <w:sz w:val="28"/>
          <w:szCs w:val="28"/>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1.投标（响应）供应商对</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3.如供应商提供的</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4C04">
      <w:pPr>
        <w:rPr>
          <w:rFonts w:cs="宋体"/>
          <w:color w:val="auto"/>
          <w:spacing w:val="6"/>
          <w:sz w:val="21"/>
          <w:szCs w:val="21"/>
          <w:highlight w:val="none"/>
        </w:rPr>
      </w:pPr>
      <w:r>
        <w:rPr>
          <w:rFonts w:cs="宋体"/>
          <w:color w:val="auto"/>
          <w:spacing w:val="6"/>
          <w:sz w:val="21"/>
          <w:szCs w:val="21"/>
          <w:highlight w:val="none"/>
        </w:rPr>
        <w:br w:type="page"/>
      </w: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639A9CC2">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259220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color w:val="auto"/>
          <w:spacing w:val="6"/>
          <w:sz w:val="21"/>
          <w:szCs w:val="21"/>
          <w:highlight w:val="none"/>
        </w:rPr>
      </w:pPr>
      <w:r>
        <w:rPr>
          <w:rFonts w:cs="宋体"/>
          <w:color w:val="auto"/>
          <w:spacing w:val="6"/>
          <w:sz w:val="21"/>
          <w:szCs w:val="21"/>
          <w:highlight w:val="none"/>
        </w:rPr>
        <w:br w:type="page"/>
      </w:r>
    </w:p>
    <w:p w14:paraId="07DD59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bookmarkStart w:id="456" w:name="_Toc163492940"/>
      <w:r>
        <w:rPr>
          <w:rFonts w:hint="eastAsia"/>
          <w:b/>
          <w:bCs/>
          <w:color w:val="auto"/>
          <w:highlight w:val="none"/>
          <w:lang w:val="en-US" w:eastAsia="zh-CN"/>
        </w:rPr>
        <w:t>附件3：</w:t>
      </w:r>
    </w:p>
    <w:p w14:paraId="754A877D">
      <w:pPr>
        <w:rPr>
          <w:rFonts w:hint="eastAsia" w:cs="宋体"/>
          <w:color w:val="auto"/>
          <w:spacing w:val="6"/>
          <w:sz w:val="21"/>
          <w:szCs w:val="21"/>
          <w:highlight w:val="none"/>
        </w:rPr>
      </w:pPr>
    </w:p>
    <w:p w14:paraId="36D4DB1B">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46F847F3">
      <w:pPr>
        <w:jc w:val="center"/>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 2015年9月28日</w:t>
      </w:r>
    </w:p>
    <w:p w14:paraId="2D875BF0">
      <w:pPr>
        <w:rPr>
          <w:rFonts w:hint="eastAsia" w:cs="宋体"/>
          <w:color w:val="auto"/>
          <w:spacing w:val="6"/>
          <w:sz w:val="21"/>
          <w:szCs w:val="21"/>
          <w:highlight w:val="none"/>
        </w:rPr>
      </w:pPr>
    </w:p>
    <w:p w14:paraId="3D3E2F07">
      <w:pPr>
        <w:rPr>
          <w:rFonts w:hint="eastAsia" w:cs="宋体"/>
          <w:color w:val="auto"/>
          <w:spacing w:val="6"/>
          <w:sz w:val="21"/>
          <w:szCs w:val="21"/>
          <w:highlight w:val="none"/>
          <w:lang w:val="en-US" w:eastAsia="zh-CN"/>
        </w:rPr>
      </w:pPr>
    </w:p>
    <w:p w14:paraId="7D55D2C4">
      <w:pPr>
        <w:rPr>
          <w:rFonts w:hint="eastAsia" w:cs="宋体"/>
          <w:color w:val="auto"/>
          <w:spacing w:val="6"/>
          <w:sz w:val="21"/>
          <w:szCs w:val="21"/>
          <w:highlight w:val="none"/>
          <w:lang w:val="en-US" w:eastAsia="zh-CN"/>
        </w:rPr>
      </w:pPr>
    </w:p>
    <w:p w14:paraId="535B7B3C">
      <w:pPr>
        <w:rPr>
          <w:rFonts w:hint="eastAsia" w:cs="宋体"/>
          <w:color w:val="auto"/>
          <w:spacing w:val="6"/>
          <w:sz w:val="21"/>
          <w:szCs w:val="21"/>
          <w:highlight w:val="none"/>
          <w:lang w:val="en-US" w:eastAsia="zh-CN"/>
        </w:rPr>
      </w:pPr>
    </w:p>
    <w:p w14:paraId="0003DA46">
      <w:pPr>
        <w:rPr>
          <w:rFonts w:hint="eastAsia" w:cs="宋体"/>
          <w:color w:val="auto"/>
          <w:spacing w:val="6"/>
          <w:sz w:val="21"/>
          <w:szCs w:val="21"/>
          <w:highlight w:val="none"/>
          <w:lang w:val="en-US" w:eastAsia="zh-CN"/>
        </w:rPr>
      </w:pPr>
    </w:p>
    <w:p w14:paraId="2EB5298D">
      <w:pPr>
        <w:rPr>
          <w:rFonts w:hint="eastAsia" w:cs="宋体"/>
          <w:color w:val="auto"/>
          <w:spacing w:val="6"/>
          <w:sz w:val="21"/>
          <w:szCs w:val="21"/>
          <w:highlight w:val="none"/>
          <w:lang w:val="en-US" w:eastAsia="zh-CN"/>
        </w:rPr>
      </w:pPr>
    </w:p>
    <w:p w14:paraId="22DC8AB1">
      <w:pPr>
        <w:rPr>
          <w:rFonts w:hint="eastAsia" w:cs="宋体"/>
          <w:color w:val="auto"/>
          <w:spacing w:val="6"/>
          <w:sz w:val="21"/>
          <w:szCs w:val="21"/>
          <w:highlight w:val="none"/>
          <w:lang w:val="en-US" w:eastAsia="zh-CN"/>
        </w:rPr>
      </w:pPr>
    </w:p>
    <w:p w14:paraId="62A6A0C9">
      <w:pPr>
        <w:rPr>
          <w:rFonts w:hint="eastAsia" w:cs="宋体"/>
          <w:color w:val="auto"/>
          <w:spacing w:val="6"/>
          <w:sz w:val="21"/>
          <w:szCs w:val="21"/>
          <w:highlight w:val="none"/>
          <w:lang w:val="en-US" w:eastAsia="zh-CN"/>
        </w:rPr>
      </w:pPr>
    </w:p>
    <w:p w14:paraId="10A8E63C">
      <w:pPr>
        <w:rPr>
          <w:rFonts w:hint="eastAsia" w:cs="宋体"/>
          <w:color w:val="auto"/>
          <w:spacing w:val="6"/>
          <w:sz w:val="21"/>
          <w:szCs w:val="21"/>
          <w:highlight w:val="none"/>
          <w:lang w:val="en-US" w:eastAsia="zh-CN"/>
        </w:rPr>
      </w:pPr>
    </w:p>
    <w:p w14:paraId="422FF70F">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3E48D324">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5AB18E4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D87CEE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405839B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99C178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7793BE6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20E443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3C947BA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6D9795B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6FAEF4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9CAA27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1C3C005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158B91F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78FD5B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4"/>
          <w:rFonts w:hint="eastAsia" w:cs="宋体"/>
          <w:b w:val="0"/>
          <w:bCs w:val="0"/>
          <w:color w:val="auto"/>
          <w:sz w:val="24"/>
          <w:szCs w:val="24"/>
          <w:highlight w:val="none"/>
          <w:lang w:eastAsia="zh-CN"/>
        </w:rPr>
        <w:t>。</w:t>
      </w:r>
    </w:p>
    <w:p w14:paraId="064C9A6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4"/>
          <w:rFonts w:hint="eastAsia" w:cs="宋体"/>
          <w:b w:val="0"/>
          <w:bCs w:val="0"/>
          <w:color w:val="auto"/>
          <w:sz w:val="24"/>
          <w:szCs w:val="24"/>
          <w:highlight w:val="none"/>
          <w:lang w:eastAsia="zh-CN"/>
        </w:rPr>
        <w:t>，</w:t>
      </w:r>
      <w:r>
        <w:rPr>
          <w:rStyle w:val="34"/>
          <w:rFonts w:hint="eastAsia" w:ascii="宋体" w:hAnsi="宋体" w:eastAsia="宋体" w:cs="宋体"/>
          <w:b w:val="0"/>
          <w:bCs w:val="0"/>
          <w:color w:val="auto"/>
          <w:sz w:val="24"/>
          <w:szCs w:val="24"/>
          <w:highlight w:val="none"/>
        </w:rPr>
        <w:t>方便政府部门和社会各界查询使用。</w:t>
      </w:r>
    </w:p>
    <w:p w14:paraId="2C50E64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50BE40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4"/>
          <w:rFonts w:hint="eastAsia" w:cs="宋体"/>
          <w:b w:val="0"/>
          <w:bCs w:val="0"/>
          <w:color w:val="auto"/>
          <w:sz w:val="24"/>
          <w:szCs w:val="24"/>
          <w:highlight w:val="none"/>
          <w:lang w:eastAsia="zh-CN"/>
        </w:rPr>
        <w:t>。</w:t>
      </w:r>
    </w:p>
    <w:p w14:paraId="61D82EC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4"/>
          <w:rFonts w:hint="eastAsia" w:cs="宋体"/>
          <w:b w:val="0"/>
          <w:bCs w:val="0"/>
          <w:color w:val="auto"/>
          <w:sz w:val="24"/>
          <w:szCs w:val="24"/>
          <w:highlight w:val="none"/>
          <w:lang w:eastAsia="zh-CN"/>
        </w:rPr>
        <w:t>。</w:t>
      </w:r>
    </w:p>
    <w:p w14:paraId="63FF348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十、本规定由人民银行会同银监会、证监会、保监会和统计局负责解释。</w:t>
      </w:r>
    </w:p>
    <w:p w14:paraId="01147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十一、本规定自发布之日起实施</w:t>
      </w:r>
      <w:r>
        <w:rPr>
          <w:rStyle w:val="34"/>
          <w:rFonts w:hint="eastAsia" w:cs="宋体"/>
          <w:b w:val="0"/>
          <w:bCs w:val="0"/>
          <w:color w:val="auto"/>
          <w:sz w:val="24"/>
          <w:szCs w:val="24"/>
          <w:highlight w:val="none"/>
          <w:lang w:eastAsia="zh-CN"/>
        </w:rPr>
        <w:t>。</w:t>
      </w:r>
    </w:p>
    <w:p w14:paraId="74D81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p>
    <w:p w14:paraId="4033EFE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附:金融业企业划型标准</w:t>
      </w:r>
    </w:p>
    <w:p w14:paraId="4CB94869">
      <w:pPr>
        <w:rPr>
          <w:rFonts w:cs="宋体"/>
          <w:color w:val="auto"/>
          <w:spacing w:val="6"/>
          <w:sz w:val="21"/>
          <w:szCs w:val="21"/>
          <w:highlight w:val="none"/>
        </w:rPr>
      </w:pPr>
    </w:p>
    <w:p w14:paraId="018058A8">
      <w:pPr>
        <w:rPr>
          <w:rFonts w:hint="eastAsia" w:cs="宋体"/>
          <w:color w:val="auto"/>
          <w:spacing w:val="6"/>
          <w:sz w:val="24"/>
          <w:szCs w:val="24"/>
          <w:highlight w:val="none"/>
          <w:lang w:val="en-US" w:eastAsia="zh-CN"/>
        </w:rPr>
      </w:pPr>
    </w:p>
    <w:p w14:paraId="5023B69E">
      <w:pPr>
        <w:rPr>
          <w:rFonts w:hint="eastAsia" w:cs="宋体"/>
          <w:color w:val="auto"/>
          <w:spacing w:val="6"/>
          <w:sz w:val="24"/>
          <w:szCs w:val="24"/>
          <w:highlight w:val="none"/>
          <w:lang w:val="en-US" w:eastAsia="zh-CN"/>
        </w:rPr>
      </w:pPr>
    </w:p>
    <w:p w14:paraId="5F7D4B83">
      <w:pPr>
        <w:rPr>
          <w:rFonts w:hint="eastAsia" w:cs="宋体"/>
          <w:color w:val="auto"/>
          <w:spacing w:val="6"/>
          <w:sz w:val="24"/>
          <w:szCs w:val="24"/>
          <w:highlight w:val="none"/>
          <w:lang w:val="en-US" w:eastAsia="zh-CN"/>
        </w:rPr>
      </w:pPr>
    </w:p>
    <w:p w14:paraId="20B74F82">
      <w:pPr>
        <w:rPr>
          <w:rFonts w:hint="eastAsia" w:cs="宋体"/>
          <w:color w:val="auto"/>
          <w:spacing w:val="6"/>
          <w:sz w:val="24"/>
          <w:szCs w:val="24"/>
          <w:highlight w:val="none"/>
          <w:lang w:val="en-US" w:eastAsia="zh-CN"/>
        </w:rPr>
      </w:pPr>
    </w:p>
    <w:p w14:paraId="568CB75F">
      <w:pPr>
        <w:rPr>
          <w:rFonts w:hint="eastAsia" w:cs="宋体"/>
          <w:color w:val="auto"/>
          <w:spacing w:val="6"/>
          <w:sz w:val="24"/>
          <w:szCs w:val="24"/>
          <w:highlight w:val="none"/>
          <w:lang w:val="en-US" w:eastAsia="zh-CN"/>
        </w:rPr>
      </w:pPr>
    </w:p>
    <w:p w14:paraId="46228B00">
      <w:pPr>
        <w:rPr>
          <w:rFonts w:hint="eastAsia" w:cs="宋体"/>
          <w:color w:val="auto"/>
          <w:spacing w:val="6"/>
          <w:sz w:val="24"/>
          <w:szCs w:val="24"/>
          <w:highlight w:val="none"/>
          <w:lang w:val="en-US" w:eastAsia="zh-CN"/>
        </w:rPr>
      </w:pPr>
    </w:p>
    <w:p w14:paraId="70123D58">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B97DB1">
      <w:pPr>
        <w:pStyle w:val="18"/>
        <w:keepNext w:val="0"/>
        <w:keepLines w:val="0"/>
        <w:pageBreakBefore w:val="0"/>
        <w:widowControl w:val="0"/>
        <w:kinsoku/>
        <w:wordWrap/>
        <w:overflowPunct/>
        <w:topLinePunct w:val="0"/>
        <w:autoSpaceDE/>
        <w:autoSpaceDN/>
        <w:bidi w:val="0"/>
        <w:adjustRightInd/>
        <w:snapToGrid/>
        <w:spacing w:before="100" w:after="100"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6252C9C">
      <w:pPr>
        <w:pStyle w:val="18"/>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r>
    </w:p>
    <w:p w14:paraId="0711552D">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457" w:name="_Toc4673"/>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456"/>
      <w:bookmarkEnd w:id="457"/>
    </w:p>
    <w:p w14:paraId="744F56E2">
      <w:pPr>
        <w:rPr>
          <w:rFonts w:cs="仿宋_GB2312"/>
          <w:b/>
          <w:color w:val="auto"/>
          <w:sz w:val="24"/>
          <w:szCs w:val="24"/>
          <w:highlight w:val="none"/>
        </w:rPr>
      </w:pPr>
    </w:p>
    <w:p w14:paraId="23D1BFCD">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5238DB1">
      <w:pPr>
        <w:pStyle w:val="18"/>
        <w:spacing w:line="360" w:lineRule="auto"/>
        <w:jc w:val="center"/>
        <w:rPr>
          <w:rFonts w:hint="eastAsia" w:ascii="宋体" w:hAnsi="宋体" w:eastAsia="宋体" w:cs="宋体"/>
          <w:b/>
          <w:bCs w:val="0"/>
          <w:color w:val="auto"/>
          <w:sz w:val="32"/>
          <w:szCs w:val="32"/>
          <w:highlight w:val="none"/>
        </w:rPr>
      </w:pPr>
    </w:p>
    <w:p w14:paraId="3EAA5E2A">
      <w:pPr>
        <w:pStyle w:val="18"/>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3EFA9C1">
      <w:pPr>
        <w:spacing w:line="360" w:lineRule="auto"/>
        <w:rPr>
          <w:rFonts w:hint="eastAsia" w:ascii="仿宋_GB2312" w:hAnsi="仿宋_GB2312" w:eastAsia="仿宋_GB2312" w:cs="仿宋_GB2312"/>
          <w:color w:val="auto"/>
          <w:sz w:val="32"/>
          <w:szCs w:val="32"/>
          <w:highlight w:val="none"/>
        </w:rPr>
      </w:pPr>
    </w:p>
    <w:p w14:paraId="7E6FDB37">
      <w:pPr>
        <w:ind w:firstLine="504" w:firstLineChars="200"/>
        <w:rPr>
          <w:rFonts w:hint="eastAsia" w:cs="宋体"/>
          <w:color w:val="auto"/>
          <w:spacing w:val="6"/>
          <w:szCs w:val="24"/>
          <w:highlight w:val="none"/>
        </w:rPr>
      </w:pPr>
      <w:r>
        <w:rPr>
          <w:rFonts w:hint="eastAsia" w:cs="宋体"/>
          <w:color w:val="auto"/>
          <w:spacing w:val="6"/>
          <w:szCs w:val="24"/>
          <w:highlight w:val="none"/>
        </w:rPr>
        <w:t>本公司郑重声明，根据财政部、司法部《关于政府采购支持监狱企业发展有关问题的通知》（财库</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2014</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68号）的规定，本公司为监狱企业。</w:t>
      </w:r>
    </w:p>
    <w:p w14:paraId="3C2CE4C6">
      <w:pPr>
        <w:spacing w:line="360" w:lineRule="auto"/>
        <w:rPr>
          <w:rFonts w:hint="eastAsia" w:ascii="宋体" w:hAnsi="宋体" w:eastAsia="宋体" w:cs="宋体"/>
          <w:color w:val="auto"/>
          <w:sz w:val="24"/>
          <w:szCs w:val="24"/>
          <w:highlight w:val="none"/>
        </w:rPr>
      </w:pPr>
    </w:p>
    <w:p w14:paraId="25406F97">
      <w:pPr>
        <w:ind w:firstLine="4440" w:firstLineChars="1850"/>
        <w:rPr>
          <w:rFonts w:hint="eastAsia" w:ascii="宋体" w:hAnsi="宋体" w:eastAsia="宋体" w:cs="宋体"/>
          <w:color w:val="auto"/>
          <w:sz w:val="24"/>
          <w:szCs w:val="24"/>
          <w:highlight w:val="none"/>
        </w:rPr>
      </w:pPr>
    </w:p>
    <w:p w14:paraId="44FF352C">
      <w:pPr>
        <w:ind w:firstLine="4440" w:firstLineChars="1850"/>
        <w:rPr>
          <w:rFonts w:hint="eastAsia" w:ascii="宋体" w:hAnsi="宋体" w:eastAsia="宋体" w:cs="宋体"/>
          <w:color w:val="auto"/>
          <w:sz w:val="24"/>
          <w:szCs w:val="24"/>
          <w:highlight w:val="none"/>
        </w:rPr>
      </w:pPr>
    </w:p>
    <w:p w14:paraId="0841D36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678CEA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color w:val="auto"/>
          <w:sz w:val="24"/>
          <w:szCs w:val="24"/>
          <w:highlight w:val="none"/>
        </w:rPr>
      </w:pPr>
    </w:p>
    <w:p w14:paraId="7B8735C9">
      <w:pPr>
        <w:spacing w:line="360" w:lineRule="auto"/>
        <w:ind w:firstLine="240" w:firstLineChars="100"/>
        <w:rPr>
          <w:rFonts w:hint="eastAsia" w:ascii="宋体" w:hAnsi="宋体" w:eastAsia="宋体" w:cs="宋体"/>
          <w:color w:val="auto"/>
          <w:sz w:val="24"/>
          <w:szCs w:val="24"/>
          <w:highlight w:val="none"/>
        </w:rPr>
      </w:pPr>
    </w:p>
    <w:p w14:paraId="32722C7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20204BC0">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（含新疆生产建设兵团）（盖章）：  </w:t>
      </w:r>
    </w:p>
    <w:p w14:paraId="4A414B41">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color w:val="auto"/>
          <w:sz w:val="32"/>
          <w:szCs w:val="32"/>
          <w:highlight w:val="none"/>
        </w:rPr>
      </w:pPr>
    </w:p>
    <w:p w14:paraId="206A9633">
      <w:pPr>
        <w:spacing w:line="360" w:lineRule="auto"/>
        <w:rPr>
          <w:rFonts w:hint="eastAsia" w:ascii="仿宋_GB2312" w:hAnsi="仿宋_GB2312" w:eastAsia="仿宋_GB2312" w:cs="仿宋_GB2312"/>
          <w:color w:val="auto"/>
          <w:sz w:val="32"/>
          <w:szCs w:val="32"/>
          <w:highlight w:val="none"/>
        </w:rPr>
      </w:pPr>
    </w:p>
    <w:p w14:paraId="283F77FC">
      <w:pPr>
        <w:widowControl/>
        <w:spacing w:before="100" w:beforeAutospacing="1" w:after="100" w:afterAutospacing="1"/>
        <w:rPr>
          <w:rFonts w:ascii="Arial" w:hAnsi="Arial" w:cs="Arial"/>
          <w:color w:val="auto"/>
          <w:sz w:val="21"/>
          <w:szCs w:val="21"/>
          <w:highlight w:val="none"/>
        </w:rPr>
      </w:pPr>
    </w:p>
    <w:p w14:paraId="3ACDD48E">
      <w:pPr>
        <w:widowControl/>
        <w:spacing w:before="100" w:beforeAutospacing="1" w:after="100" w:afterAutospacing="1"/>
        <w:rPr>
          <w:rFonts w:ascii="Arial" w:hAnsi="Arial" w:cs="Arial"/>
          <w:color w:val="auto"/>
          <w:sz w:val="21"/>
          <w:szCs w:val="21"/>
          <w:highlight w:val="none"/>
        </w:rPr>
      </w:pPr>
    </w:p>
    <w:p w14:paraId="22F7A202">
      <w:pPr>
        <w:widowControl/>
        <w:spacing w:before="100" w:beforeAutospacing="1" w:after="100" w:afterAutospacing="1"/>
        <w:rPr>
          <w:rFonts w:ascii="Arial" w:hAnsi="Arial" w:cs="Arial"/>
          <w:color w:val="auto"/>
          <w:sz w:val="21"/>
          <w:szCs w:val="21"/>
          <w:highlight w:val="none"/>
        </w:rPr>
      </w:pPr>
    </w:p>
    <w:p w14:paraId="24405F32">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458" w:name="_Toc163492941"/>
    </w:p>
    <w:p w14:paraId="05E6EFA2">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459" w:name="_Toc12492"/>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458"/>
      <w:bookmarkEnd w:id="459"/>
    </w:p>
    <w:p w14:paraId="0EAC9468">
      <w:pPr>
        <w:pStyle w:val="41"/>
        <w:numPr>
          <w:ilvl w:val="0"/>
          <w:numId w:val="0"/>
        </w:numPr>
        <w:ind w:left="420" w:leftChars="0" w:hanging="420" w:firstLineChars="0"/>
        <w:jc w:val="center"/>
        <w:rPr>
          <w:rFonts w:hint="eastAsia"/>
          <w:b/>
          <w:bCs/>
          <w:color w:val="auto"/>
          <w:sz w:val="32"/>
          <w:szCs w:val="32"/>
          <w:highlight w:val="none"/>
        </w:rPr>
      </w:pPr>
    </w:p>
    <w:p w14:paraId="091B47EA">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服务及</w:t>
      </w:r>
      <w:r>
        <w:rPr>
          <w:rFonts w:hint="eastAsia"/>
          <w:i w:val="0"/>
          <w:iCs w:val="0"/>
          <w:color w:val="auto"/>
          <w:szCs w:val="24"/>
          <w:highlight w:val="none"/>
        </w:rPr>
        <w:t>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提供和</w:t>
      </w:r>
      <w:r>
        <w:rPr>
          <w:rFonts w:hint="eastAsia"/>
          <w:b/>
          <w:i w:val="0"/>
          <w:iCs w:val="0"/>
          <w:color w:val="auto"/>
          <w:szCs w:val="24"/>
          <w:highlight w:val="none"/>
        </w:rPr>
        <w:t>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color w:val="auto"/>
          <w:szCs w:val="24"/>
          <w:highlight w:val="none"/>
        </w:rPr>
      </w:pPr>
      <w:r>
        <w:rPr>
          <w:rFonts w:hint="eastAsia"/>
          <w:color w:val="auto"/>
          <w:szCs w:val="24"/>
          <w:highlight w:val="none"/>
        </w:rPr>
        <w:t>本企业对上述声明内容的真实性负责。如有虚假，将依法承担相应责任。</w:t>
      </w:r>
    </w:p>
    <w:p w14:paraId="44C7A080">
      <w:pPr>
        <w:wordWrap w:val="0"/>
        <w:ind w:left="1091" w:hanging="1091" w:hangingChars="453"/>
        <w:rPr>
          <w:b/>
          <w:bCs/>
          <w:color w:val="auto"/>
          <w:szCs w:val="24"/>
          <w:highlight w:val="none"/>
        </w:rPr>
      </w:pPr>
    </w:p>
    <w:p w14:paraId="43523196">
      <w:pPr>
        <w:wordWrap w:val="0"/>
        <w:ind w:left="1091" w:hanging="1091" w:hangingChars="453"/>
        <w:rPr>
          <w:bCs/>
          <w:color w:val="auto"/>
          <w:szCs w:val="24"/>
          <w:highlight w:val="none"/>
        </w:rPr>
      </w:pPr>
      <w:r>
        <w:rPr>
          <w:rFonts w:hint="eastAsia"/>
          <w:b/>
          <w:bCs/>
          <w:color w:val="auto"/>
          <w:szCs w:val="24"/>
          <w:highlight w:val="none"/>
        </w:rPr>
        <w:t>说明：</w:t>
      </w:r>
      <w:r>
        <w:rPr>
          <w:rFonts w:hint="eastAsia"/>
          <w:bCs/>
          <w:color w:val="auto"/>
          <w:szCs w:val="24"/>
          <w:highlight w:val="none"/>
        </w:rPr>
        <w:t>1、</w:t>
      </w:r>
      <w:r>
        <w:rPr>
          <w:rFonts w:hint="eastAsia"/>
          <w:bCs/>
          <w:color w:val="auto"/>
          <w:szCs w:val="24"/>
          <w:highlight w:val="none"/>
          <w:lang w:val="en-US" w:eastAsia="zh-CN"/>
        </w:rPr>
        <w:t>服务及</w:t>
      </w:r>
      <w:r>
        <w:rPr>
          <w:rFonts w:hint="eastAsia"/>
          <w:bCs/>
          <w:color w:val="auto"/>
          <w:szCs w:val="21"/>
          <w:highlight w:val="none"/>
          <w:lang w:val="zh-CN"/>
        </w:rPr>
        <w:t>货物应当全部由符合政策要求的残疾人福利性单位</w:t>
      </w:r>
      <w:r>
        <w:rPr>
          <w:rFonts w:hint="eastAsia"/>
          <w:bCs/>
          <w:color w:val="auto"/>
          <w:szCs w:val="21"/>
          <w:highlight w:val="none"/>
          <w:lang w:val="en-US" w:eastAsia="zh-CN"/>
        </w:rPr>
        <w:t>提供及</w:t>
      </w:r>
      <w:r>
        <w:rPr>
          <w:rFonts w:hint="eastAsia"/>
          <w:bCs/>
          <w:color w:val="auto"/>
          <w:szCs w:val="21"/>
          <w:highlight w:val="none"/>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14:paraId="2288B711">
      <w:pPr>
        <w:wordWrap w:val="0"/>
        <w:ind w:left="1087" w:hanging="1087" w:hangingChars="453"/>
        <w:rPr>
          <w:rFonts w:cs="Courier New"/>
          <w:color w:val="auto"/>
          <w:szCs w:val="21"/>
          <w:highlight w:val="none"/>
        </w:rPr>
      </w:pPr>
      <w:r>
        <w:rPr>
          <w:rFonts w:hint="eastAsia"/>
          <w:bCs/>
          <w:color w:val="auto"/>
          <w:szCs w:val="21"/>
          <w:highlight w:val="none"/>
          <w:lang w:val="zh-CN"/>
        </w:rPr>
        <w:t xml:space="preserve">      2、</w:t>
      </w:r>
      <w:r>
        <w:rPr>
          <w:rFonts w:hint="eastAsia" w:cs="Courier New"/>
          <w:color w:val="auto"/>
          <w:szCs w:val="21"/>
          <w:highlight w:val="none"/>
        </w:rPr>
        <w:t>以联合体形式参加的，应</w:t>
      </w:r>
      <w:r>
        <w:rPr>
          <w:rFonts w:hint="eastAsia"/>
          <w:bCs/>
          <w:color w:val="auto"/>
          <w:szCs w:val="21"/>
          <w:highlight w:val="none"/>
          <w:lang w:val="zh-CN"/>
        </w:rPr>
        <w:t>当</w:t>
      </w:r>
      <w:r>
        <w:rPr>
          <w:rFonts w:hint="eastAsia" w:cs="Courier New"/>
          <w:color w:val="auto"/>
          <w:szCs w:val="21"/>
          <w:highlight w:val="none"/>
        </w:rPr>
        <w:t>由联合体各方盖章。</w:t>
      </w:r>
    </w:p>
    <w:p w14:paraId="71983F83">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A972AC9">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F5F8DCA">
      <w:pPr>
        <w:ind w:left="4620" w:firstLine="281" w:firstLineChars="100"/>
        <w:rPr>
          <w:rFonts w:cs="仿宋_GB2312"/>
          <w:b/>
          <w:color w:val="auto"/>
          <w:sz w:val="28"/>
          <w:szCs w:val="28"/>
          <w:highlight w:val="none"/>
        </w:rPr>
      </w:pPr>
    </w:p>
    <w:p w14:paraId="7BDD1A80">
      <w:pPr>
        <w:rPr>
          <w:color w:val="auto"/>
          <w:highlight w:val="none"/>
        </w:rPr>
      </w:pPr>
      <w:r>
        <w:rPr>
          <w:color w:val="auto"/>
          <w:highlight w:val="none"/>
        </w:rPr>
        <w:br w:type="page"/>
      </w:r>
    </w:p>
    <w:p w14:paraId="4B9EE2D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460" w:name="_Toc29560"/>
      <w:bookmarkStart w:id="461" w:name="_Toc18110"/>
      <w:r>
        <w:rPr>
          <w:rFonts w:hint="eastAsia" w:cstheme="majorBidi"/>
          <w:b/>
          <w:bCs/>
          <w:color w:val="auto"/>
          <w:kern w:val="2"/>
          <w:sz w:val="28"/>
          <w:szCs w:val="28"/>
          <w:highlight w:val="none"/>
          <w:lang w:val="en-US" w:eastAsia="zh-CN" w:bidi="ar-SA"/>
        </w:rPr>
        <w:t>五、不参与围标串标承诺书</w:t>
      </w:r>
      <w:bookmarkEnd w:id="460"/>
      <w:bookmarkEnd w:id="461"/>
    </w:p>
    <w:p w14:paraId="70D7F20B">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4"/>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4"/>
        <w:rPr>
          <w:rFonts w:hint="eastAsia"/>
          <w:color w:val="auto"/>
          <w:highlight w:val="none"/>
          <w:lang w:val="en-US" w:eastAsia="zh-CN"/>
        </w:rPr>
      </w:pPr>
    </w:p>
    <w:p w14:paraId="6FC519D1">
      <w:pPr>
        <w:pStyle w:val="14"/>
        <w:rPr>
          <w:rFonts w:hint="eastAsia"/>
          <w:color w:val="auto"/>
          <w:highlight w:val="none"/>
          <w:lang w:val="en-US" w:eastAsia="zh-CN"/>
        </w:rPr>
      </w:pPr>
    </w:p>
    <w:p w14:paraId="7500053D">
      <w:pPr>
        <w:pStyle w:val="14"/>
        <w:rPr>
          <w:rFonts w:hint="eastAsia"/>
          <w:color w:val="auto"/>
          <w:highlight w:val="none"/>
          <w:lang w:val="en-US" w:eastAsia="zh-CN"/>
        </w:rPr>
      </w:pPr>
    </w:p>
    <w:p w14:paraId="5BF64493">
      <w:pPr>
        <w:pStyle w:val="14"/>
        <w:rPr>
          <w:rFonts w:hint="eastAsia"/>
          <w:color w:val="auto"/>
          <w:highlight w:val="none"/>
          <w:lang w:val="en-US" w:eastAsia="zh-CN"/>
        </w:rPr>
      </w:pPr>
    </w:p>
    <w:p w14:paraId="5CA01A8B">
      <w:pPr>
        <w:pStyle w:val="14"/>
        <w:rPr>
          <w:rFonts w:hint="eastAsia"/>
          <w:color w:val="auto"/>
          <w:highlight w:val="none"/>
          <w:lang w:val="en-US" w:eastAsia="zh-CN"/>
        </w:rPr>
      </w:pPr>
    </w:p>
    <w:p w14:paraId="029F743D">
      <w:pPr>
        <w:pStyle w:val="14"/>
        <w:rPr>
          <w:rFonts w:hint="eastAsia"/>
          <w:color w:val="auto"/>
          <w:highlight w:val="none"/>
          <w:lang w:val="en-US" w:eastAsia="zh-CN"/>
        </w:rPr>
      </w:pPr>
    </w:p>
    <w:p w14:paraId="41587146">
      <w:pPr>
        <w:pStyle w:val="14"/>
        <w:rPr>
          <w:rFonts w:hint="eastAsia"/>
          <w:color w:val="auto"/>
          <w:highlight w:val="none"/>
          <w:lang w:val="en-US" w:eastAsia="zh-CN"/>
        </w:rPr>
      </w:pPr>
    </w:p>
    <w:p w14:paraId="7CD2757F">
      <w:pPr>
        <w:pStyle w:val="14"/>
        <w:rPr>
          <w:rFonts w:hint="eastAsia"/>
          <w:color w:val="auto"/>
          <w:highlight w:val="none"/>
          <w:lang w:val="en-US" w:eastAsia="zh-CN"/>
        </w:rPr>
      </w:pPr>
    </w:p>
    <w:p w14:paraId="7EE0D7C2">
      <w:pPr>
        <w:pStyle w:val="14"/>
        <w:rPr>
          <w:rFonts w:hint="eastAsia"/>
          <w:color w:val="auto"/>
          <w:highlight w:val="none"/>
          <w:lang w:val="en-US" w:eastAsia="zh-CN"/>
        </w:rPr>
      </w:pPr>
    </w:p>
    <w:p w14:paraId="34406338">
      <w:pPr>
        <w:pStyle w:val="14"/>
        <w:rPr>
          <w:rFonts w:hint="eastAsia"/>
          <w:color w:val="auto"/>
          <w:highlight w:val="none"/>
          <w:lang w:val="en-US" w:eastAsia="zh-CN"/>
        </w:rPr>
      </w:pPr>
    </w:p>
    <w:p w14:paraId="420858F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p>
    <w:p w14:paraId="30C8D33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462" w:name="_Toc6223"/>
      <w:bookmarkStart w:id="463" w:name="_Toc1759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462"/>
      <w:bookmarkEnd w:id="463"/>
    </w:p>
    <w:p w14:paraId="0C24F0AE">
      <w:pPr>
        <w:pStyle w:val="39"/>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9"/>
        <w:rPr>
          <w:rFonts w:hint="eastAsia"/>
          <w:color w:val="auto"/>
          <w:highlight w:val="none"/>
        </w:rPr>
      </w:pPr>
    </w:p>
    <w:p w14:paraId="58A36194">
      <w:pPr>
        <w:pStyle w:val="39"/>
        <w:rPr>
          <w:rFonts w:hint="eastAsia"/>
          <w:color w:val="auto"/>
          <w:highlight w:val="none"/>
        </w:rPr>
      </w:pPr>
    </w:p>
    <w:p w14:paraId="3553B395">
      <w:pPr>
        <w:pStyle w:val="39"/>
        <w:rPr>
          <w:rFonts w:hint="eastAsia"/>
          <w:color w:val="auto"/>
          <w:highlight w:val="none"/>
        </w:rPr>
      </w:pPr>
    </w:p>
    <w:p w14:paraId="49D404FC">
      <w:pPr>
        <w:pStyle w:val="39"/>
        <w:rPr>
          <w:rFonts w:hint="eastAsia"/>
          <w:color w:val="auto"/>
          <w:highlight w:val="none"/>
        </w:rPr>
      </w:pPr>
    </w:p>
    <w:p w14:paraId="4B98E4B6">
      <w:pPr>
        <w:pStyle w:val="39"/>
        <w:rPr>
          <w:rFonts w:hint="eastAsia"/>
          <w:color w:val="auto"/>
          <w:highlight w:val="none"/>
        </w:rPr>
      </w:pPr>
    </w:p>
    <w:p w14:paraId="737FEDD3">
      <w:pPr>
        <w:pStyle w:val="39"/>
        <w:rPr>
          <w:rFonts w:hint="eastAsia"/>
          <w:color w:val="auto"/>
          <w:highlight w:val="none"/>
        </w:rPr>
      </w:pPr>
    </w:p>
    <w:p w14:paraId="1C876135">
      <w:pPr>
        <w:pStyle w:val="39"/>
        <w:rPr>
          <w:rFonts w:hint="eastAsia"/>
          <w:color w:val="auto"/>
          <w:highlight w:val="none"/>
        </w:rPr>
      </w:pPr>
    </w:p>
    <w:p w14:paraId="7E85C842">
      <w:pPr>
        <w:pStyle w:val="39"/>
        <w:rPr>
          <w:rFonts w:hint="eastAsia"/>
          <w:color w:val="auto"/>
          <w:highlight w:val="none"/>
        </w:rPr>
      </w:pPr>
    </w:p>
    <w:p w14:paraId="4CBE3B0D">
      <w:pPr>
        <w:pStyle w:val="39"/>
        <w:rPr>
          <w:rFonts w:hint="eastAsia"/>
          <w:color w:val="auto"/>
          <w:highlight w:val="none"/>
        </w:rPr>
      </w:pPr>
    </w:p>
    <w:p w14:paraId="2E6E451F">
      <w:pPr>
        <w:pStyle w:val="39"/>
        <w:rPr>
          <w:rFonts w:hint="eastAsia"/>
          <w:color w:val="auto"/>
          <w:highlight w:val="none"/>
        </w:rPr>
      </w:pPr>
    </w:p>
    <w:p w14:paraId="38DC2C55">
      <w:pPr>
        <w:pStyle w:val="39"/>
        <w:rPr>
          <w:rFonts w:hint="eastAsia"/>
          <w:color w:val="auto"/>
          <w:highlight w:val="none"/>
        </w:rPr>
      </w:pPr>
    </w:p>
    <w:p w14:paraId="04DAFD3C">
      <w:pPr>
        <w:pStyle w:val="39"/>
        <w:rPr>
          <w:rFonts w:hint="eastAsia"/>
          <w:color w:val="auto"/>
          <w:highlight w:val="none"/>
        </w:rPr>
      </w:pPr>
    </w:p>
    <w:p w14:paraId="51E24CDC">
      <w:pPr>
        <w:pStyle w:val="39"/>
        <w:rPr>
          <w:rFonts w:hint="eastAsia"/>
          <w:color w:val="auto"/>
          <w:highlight w:val="none"/>
        </w:rPr>
      </w:pPr>
    </w:p>
    <w:p w14:paraId="1AC1942E">
      <w:pPr>
        <w:pStyle w:val="39"/>
        <w:rPr>
          <w:rFonts w:hint="eastAsia"/>
          <w:color w:val="auto"/>
          <w:highlight w:val="none"/>
        </w:rPr>
      </w:pPr>
    </w:p>
    <w:p w14:paraId="4722E259">
      <w:pPr>
        <w:pStyle w:val="39"/>
        <w:rPr>
          <w:rFonts w:hint="eastAsia"/>
          <w:color w:val="auto"/>
          <w:highlight w:val="none"/>
        </w:rPr>
      </w:pPr>
    </w:p>
    <w:p w14:paraId="07033BD3">
      <w:pPr>
        <w:pStyle w:val="39"/>
        <w:rPr>
          <w:rFonts w:hint="eastAsia"/>
          <w:color w:val="auto"/>
          <w:highlight w:val="none"/>
        </w:rPr>
      </w:pPr>
    </w:p>
    <w:p w14:paraId="6E1D094D">
      <w:pPr>
        <w:pStyle w:val="39"/>
        <w:rPr>
          <w:rFonts w:hint="eastAsia"/>
          <w:color w:val="auto"/>
          <w:highlight w:val="none"/>
        </w:rPr>
      </w:pPr>
    </w:p>
    <w:p w14:paraId="23B0DB54">
      <w:pPr>
        <w:pStyle w:val="39"/>
        <w:rPr>
          <w:rFonts w:hint="eastAsia"/>
          <w:color w:val="auto"/>
          <w:highlight w:val="none"/>
        </w:rPr>
      </w:pPr>
    </w:p>
    <w:p w14:paraId="07159DF6">
      <w:pPr>
        <w:pStyle w:val="39"/>
        <w:rPr>
          <w:rFonts w:hint="eastAsia"/>
          <w:color w:val="auto"/>
          <w:highlight w:val="none"/>
        </w:rPr>
      </w:pPr>
    </w:p>
    <w:p w14:paraId="44B3A5AA">
      <w:pPr>
        <w:pStyle w:val="39"/>
        <w:rPr>
          <w:rFonts w:hint="eastAsia"/>
          <w:color w:val="auto"/>
          <w:highlight w:val="none"/>
        </w:rPr>
      </w:pPr>
    </w:p>
    <w:p w14:paraId="05BB178A">
      <w:pPr>
        <w:pStyle w:val="39"/>
        <w:rPr>
          <w:rFonts w:hint="eastAsia"/>
          <w:color w:val="auto"/>
          <w:highlight w:val="none"/>
        </w:rPr>
      </w:pPr>
    </w:p>
    <w:p w14:paraId="0E7980AB">
      <w:pPr>
        <w:pStyle w:val="39"/>
        <w:rPr>
          <w:rFonts w:hint="eastAsia"/>
          <w:color w:val="auto"/>
          <w:highlight w:val="none"/>
        </w:rPr>
      </w:pPr>
    </w:p>
    <w:p w14:paraId="5A09B930">
      <w:pPr>
        <w:pStyle w:val="39"/>
        <w:rPr>
          <w:rFonts w:hint="eastAsia"/>
          <w:color w:val="auto"/>
          <w:highlight w:val="none"/>
        </w:rPr>
      </w:pPr>
    </w:p>
    <w:p w14:paraId="3FB1F62E">
      <w:pPr>
        <w:pStyle w:val="39"/>
        <w:rPr>
          <w:rFonts w:hint="eastAsia"/>
          <w:color w:val="auto"/>
          <w:highlight w:val="none"/>
        </w:rPr>
      </w:pPr>
    </w:p>
    <w:p w14:paraId="69D25AC1">
      <w:pPr>
        <w:pStyle w:val="39"/>
        <w:rPr>
          <w:rFonts w:hint="eastAsia"/>
          <w:color w:val="auto"/>
          <w:highlight w:val="none"/>
        </w:rPr>
      </w:pPr>
    </w:p>
    <w:p w14:paraId="3E9AC4C9">
      <w:pPr>
        <w:pStyle w:val="39"/>
        <w:rPr>
          <w:rFonts w:hint="eastAsia"/>
          <w:color w:val="auto"/>
          <w:highlight w:val="none"/>
        </w:rPr>
      </w:pPr>
    </w:p>
    <w:p w14:paraId="7FB9AF5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02CB8C4">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73A003D2">
      <w:pPr>
        <w:autoSpaceDE w:val="0"/>
        <w:autoSpaceDN w:val="0"/>
        <w:adjustRightInd w:val="0"/>
        <w:rPr>
          <w:color w:val="auto"/>
          <w:sz w:val="21"/>
          <w:szCs w:val="24"/>
          <w:highlight w:val="none"/>
        </w:rPr>
      </w:pPr>
    </w:p>
    <w:p w14:paraId="7773B439">
      <w:pPr>
        <w:autoSpaceDE w:val="0"/>
        <w:autoSpaceDN w:val="0"/>
        <w:adjustRightInd w:val="0"/>
        <w:rPr>
          <w:color w:val="auto"/>
          <w:sz w:val="21"/>
          <w:szCs w:val="24"/>
          <w:highlight w:val="none"/>
        </w:rPr>
      </w:pPr>
    </w:p>
    <w:p w14:paraId="2E04646F">
      <w:pPr>
        <w:autoSpaceDE w:val="0"/>
        <w:autoSpaceDN w:val="0"/>
        <w:adjustRightInd w:val="0"/>
        <w:jc w:val="center"/>
        <w:rPr>
          <w:color w:val="auto"/>
          <w:sz w:val="21"/>
          <w:szCs w:val="24"/>
          <w:highlight w:val="none"/>
        </w:rPr>
      </w:pPr>
    </w:p>
    <w:p w14:paraId="71180696">
      <w:pPr>
        <w:pStyle w:val="2"/>
        <w:bidi w:val="0"/>
        <w:spacing w:line="360" w:lineRule="auto"/>
        <w:rPr>
          <w:color w:val="auto"/>
          <w:sz w:val="56"/>
          <w:szCs w:val="56"/>
          <w:highlight w:val="none"/>
        </w:rPr>
      </w:pPr>
      <w:bookmarkStart w:id="464" w:name="_Toc16701"/>
      <w:r>
        <w:rPr>
          <w:rFonts w:hint="eastAsia"/>
          <w:color w:val="auto"/>
          <w:sz w:val="56"/>
          <w:szCs w:val="56"/>
          <w:highlight w:val="none"/>
        </w:rPr>
        <w:t>投 标 文 件</w:t>
      </w:r>
      <w:bookmarkEnd w:id="464"/>
    </w:p>
    <w:p w14:paraId="31C74C30">
      <w:pPr>
        <w:pStyle w:val="2"/>
        <w:bidi w:val="0"/>
        <w:spacing w:line="360" w:lineRule="auto"/>
        <w:rPr>
          <w:rFonts w:hint="eastAsia"/>
          <w:color w:val="auto"/>
          <w:sz w:val="56"/>
          <w:szCs w:val="56"/>
          <w:highlight w:val="none"/>
          <w:lang w:val="en-US" w:eastAsia="zh-CN"/>
        </w:rPr>
      </w:pPr>
      <w:bookmarkStart w:id="465" w:name="_Toc30374"/>
      <w:r>
        <w:rPr>
          <w:rFonts w:hint="eastAsia"/>
          <w:color w:val="auto"/>
          <w:sz w:val="56"/>
          <w:szCs w:val="56"/>
          <w:highlight w:val="none"/>
          <w:lang w:val="en-US" w:eastAsia="zh-CN"/>
        </w:rPr>
        <w:t>报价文件</w:t>
      </w:r>
      <w:bookmarkEnd w:id="465"/>
    </w:p>
    <w:p w14:paraId="2C10D33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01ADA03">
      <w:pPr>
        <w:pStyle w:val="3"/>
        <w:rPr>
          <w:color w:val="auto"/>
          <w:sz w:val="21"/>
          <w:szCs w:val="21"/>
          <w:highlight w:val="none"/>
        </w:rPr>
      </w:pPr>
    </w:p>
    <w:p w14:paraId="4800F1E7">
      <w:pPr>
        <w:rPr>
          <w:color w:val="auto"/>
          <w:sz w:val="21"/>
          <w:szCs w:val="21"/>
          <w:highlight w:val="none"/>
        </w:rPr>
      </w:pPr>
    </w:p>
    <w:p w14:paraId="4053884F">
      <w:pPr>
        <w:rPr>
          <w:color w:val="auto"/>
          <w:highlight w:val="none"/>
        </w:rPr>
      </w:pPr>
    </w:p>
    <w:p w14:paraId="5EABB570">
      <w:pPr>
        <w:autoSpaceDE w:val="0"/>
        <w:autoSpaceDN w:val="0"/>
        <w:adjustRightInd w:val="0"/>
        <w:rPr>
          <w:color w:val="auto"/>
          <w:sz w:val="21"/>
          <w:szCs w:val="21"/>
          <w:highlight w:val="none"/>
        </w:rPr>
      </w:pPr>
    </w:p>
    <w:p w14:paraId="4C687ECE">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01F64B59">
      <w:pPr>
        <w:ind w:left="840" w:firstLine="420"/>
        <w:rPr>
          <w:b/>
          <w:bCs/>
          <w:color w:val="auto"/>
          <w:sz w:val="28"/>
          <w:szCs w:val="28"/>
          <w:highlight w:val="none"/>
        </w:rPr>
      </w:pPr>
    </w:p>
    <w:p w14:paraId="1DC21250">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466" w:name="_Toc26789"/>
      <w:bookmarkStart w:id="467" w:name="_Toc2238"/>
      <w:r>
        <w:rPr>
          <w:rFonts w:hint="eastAsia" w:cstheme="majorBidi"/>
          <w:b/>
          <w:bCs/>
          <w:color w:val="auto"/>
          <w:kern w:val="2"/>
          <w:sz w:val="32"/>
          <w:szCs w:val="32"/>
          <w:highlight w:val="none"/>
          <w:lang w:val="en-US" w:eastAsia="zh-CN" w:bidi="ar-SA"/>
        </w:rPr>
        <w:t>一、开标一览表</w:t>
      </w:r>
      <w:bookmarkEnd w:id="466"/>
      <w:bookmarkEnd w:id="467"/>
    </w:p>
    <w:p w14:paraId="2AB3D72A">
      <w:pPr>
        <w:spacing w:line="300" w:lineRule="auto"/>
        <w:rPr>
          <w:rFonts w:cs="仿宋_GB2312"/>
          <w:color w:val="auto"/>
          <w:szCs w:val="24"/>
          <w:highlight w:val="none"/>
        </w:rPr>
      </w:pPr>
    </w:p>
    <w:p w14:paraId="33486E36">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5940ECBC">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lang w:val="en-US" w:eastAsia="zh-CN"/>
              </w:rPr>
              <w:t>服务</w:t>
            </w:r>
            <w:r>
              <w:rPr>
                <w:rFonts w:hint="eastAsia"/>
                <w:color w:val="auto"/>
                <w:sz w:val="24"/>
                <w:szCs w:val="24"/>
                <w:highlight w:val="none"/>
              </w:rPr>
              <w:t>期限</w:t>
            </w:r>
          </w:p>
        </w:tc>
        <w:tc>
          <w:tcPr>
            <w:tcW w:w="2611" w:type="dxa"/>
            <w:vAlign w:val="center"/>
          </w:tcPr>
          <w:p w14:paraId="620875ED">
            <w:pPr>
              <w:widowControl/>
              <w:autoSpaceDE w:val="0"/>
              <w:autoSpaceDN w:val="0"/>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jc w:val="center"/>
              <w:rPr>
                <w:color w:val="auto"/>
                <w:sz w:val="24"/>
                <w:szCs w:val="24"/>
                <w:highlight w:val="none"/>
              </w:rPr>
            </w:pPr>
          </w:p>
        </w:tc>
        <w:tc>
          <w:tcPr>
            <w:tcW w:w="2352" w:type="dxa"/>
            <w:vAlign w:val="center"/>
          </w:tcPr>
          <w:p w14:paraId="17320D2E">
            <w:pPr>
              <w:widowControl/>
              <w:autoSpaceDE w:val="0"/>
              <w:autoSpaceDN w:val="0"/>
              <w:spacing w:line="240" w:lineRule="auto"/>
              <w:ind w:left="851" w:hanging="851"/>
              <w:jc w:val="both"/>
              <w:textAlignment w:val="bottom"/>
              <w:rPr>
                <w:rFonts w:hint="eastAsia"/>
                <w:highlight w:val="none"/>
                <w:lang w:val="en-US" w:eastAsia="zh-CN"/>
              </w:rPr>
            </w:pPr>
            <w:r>
              <w:rPr>
                <w:rFonts w:hint="eastAsia"/>
                <w:color w:val="auto"/>
                <w:sz w:val="24"/>
                <w:szCs w:val="24"/>
                <w:highlight w:val="none"/>
                <w:lang w:val="en-US" w:eastAsia="zh-CN"/>
              </w:rPr>
              <w:t>小写：</w:t>
            </w:r>
          </w:p>
          <w:p w14:paraId="52F86517">
            <w:pPr>
              <w:jc w:val="both"/>
              <w:rPr>
                <w:color w:val="auto"/>
                <w:sz w:val="24"/>
                <w:szCs w:val="24"/>
                <w:highlight w:val="none"/>
              </w:rPr>
            </w:pPr>
            <w:r>
              <w:rPr>
                <w:rFonts w:hint="eastAsia"/>
                <w:color w:val="auto"/>
                <w:sz w:val="24"/>
                <w:szCs w:val="24"/>
                <w:highlight w:val="none"/>
                <w:lang w:val="en-US" w:eastAsia="zh-CN"/>
              </w:rPr>
              <w:t>大写：</w:t>
            </w:r>
          </w:p>
        </w:tc>
        <w:tc>
          <w:tcPr>
            <w:tcW w:w="2161" w:type="dxa"/>
            <w:vAlign w:val="center"/>
          </w:tcPr>
          <w:p w14:paraId="3409D243">
            <w:pPr>
              <w:jc w:val="center"/>
              <w:rPr>
                <w:color w:val="auto"/>
                <w:sz w:val="24"/>
                <w:szCs w:val="24"/>
                <w:highlight w:val="none"/>
              </w:rPr>
            </w:pPr>
          </w:p>
        </w:tc>
        <w:tc>
          <w:tcPr>
            <w:tcW w:w="2611" w:type="dxa"/>
            <w:vAlign w:val="center"/>
          </w:tcPr>
          <w:p w14:paraId="35602B49">
            <w:pPr>
              <w:jc w:val="center"/>
              <w:rPr>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4"/>
        <w:rPr>
          <w:rFonts w:cs="Arial"/>
          <w:color w:val="auto"/>
          <w:szCs w:val="24"/>
          <w:highlight w:val="none"/>
        </w:rPr>
      </w:pPr>
    </w:p>
    <w:p w14:paraId="4C551945">
      <w:pPr>
        <w:pStyle w:val="14"/>
        <w:rPr>
          <w:rFonts w:cs="Arial"/>
          <w:color w:val="auto"/>
          <w:szCs w:val="24"/>
          <w:highlight w:val="none"/>
        </w:rPr>
      </w:pPr>
    </w:p>
    <w:p w14:paraId="09ACCEBB">
      <w:pPr>
        <w:pStyle w:val="14"/>
        <w:rPr>
          <w:rFonts w:cs="Arial"/>
          <w:color w:val="auto"/>
          <w:szCs w:val="24"/>
          <w:highlight w:val="none"/>
        </w:rPr>
      </w:pPr>
    </w:p>
    <w:p w14:paraId="54CAC625">
      <w:pPr>
        <w:pStyle w:val="14"/>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2E86FDCE">
      <w:pPr>
        <w:pStyle w:val="14"/>
        <w:ind w:firstLine="420" w:firstLineChars="200"/>
        <w:rPr>
          <w:rFonts w:hint="eastAsia" w:ascii="宋体" w:hAnsi="宋体" w:eastAsia="宋体" w:cs="宋体"/>
          <w:color w:val="auto"/>
          <w:sz w:val="24"/>
          <w:szCs w:val="24"/>
          <w:highlight w:val="none"/>
        </w:rPr>
        <w:sectPr>
          <w:headerReference r:id="rId10" w:type="default"/>
          <w:footerReference r:id="rId11" w:type="default"/>
          <w:pgSz w:w="11905" w:h="16840"/>
          <w:pgMar w:top="1440" w:right="1797" w:bottom="1440" w:left="1797" w:header="851" w:footer="850"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468" w:name="_Toc12971"/>
      <w:bookmarkStart w:id="469" w:name="_Toc19342"/>
      <w:r>
        <w:rPr>
          <w:rFonts w:hint="eastAsia" w:cstheme="majorBidi"/>
          <w:b/>
          <w:bCs/>
          <w:color w:val="auto"/>
          <w:kern w:val="2"/>
          <w:sz w:val="32"/>
          <w:szCs w:val="32"/>
          <w:highlight w:val="none"/>
          <w:lang w:val="en-US" w:eastAsia="zh-CN" w:bidi="ar-SA"/>
        </w:rPr>
        <w:t>二、分项报价表</w:t>
      </w:r>
      <w:bookmarkEnd w:id="468"/>
      <w:bookmarkEnd w:id="469"/>
    </w:p>
    <w:p w14:paraId="25D833CC">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6FFFD51E">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64BB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359B3E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720" w:type="dxa"/>
            <w:vAlign w:val="center"/>
          </w:tcPr>
          <w:p w14:paraId="088C5C1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1065" w:type="dxa"/>
            <w:vAlign w:val="center"/>
          </w:tcPr>
          <w:p w14:paraId="73E95872">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065" w:type="dxa"/>
            <w:vAlign w:val="center"/>
          </w:tcPr>
          <w:p w14:paraId="46AE39CD">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w:t>
            </w:r>
          </w:p>
        </w:tc>
        <w:tc>
          <w:tcPr>
            <w:tcW w:w="1066" w:type="dxa"/>
            <w:vAlign w:val="center"/>
          </w:tcPr>
          <w:p w14:paraId="39D5688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w:t>
            </w:r>
            <w:r>
              <w:rPr>
                <w:rFonts w:hint="eastAsia" w:ascii="宋体" w:hAnsi="宋体" w:eastAsia="宋体" w:cs="宋体"/>
                <w:color w:val="auto"/>
                <w:sz w:val="21"/>
                <w:szCs w:val="21"/>
                <w:highlight w:val="none"/>
              </w:rPr>
              <w:t>价</w:t>
            </w:r>
          </w:p>
        </w:tc>
        <w:tc>
          <w:tcPr>
            <w:tcW w:w="947" w:type="dxa"/>
            <w:vAlign w:val="center"/>
          </w:tcPr>
          <w:p w14:paraId="7A26779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67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A5FF6D0">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720" w:type="dxa"/>
            <w:vAlign w:val="center"/>
          </w:tcPr>
          <w:p w14:paraId="07A38CC0">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0D2CE283">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47A98B0">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439055D0">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53350EE9">
            <w:pPr>
              <w:adjustRightInd w:val="0"/>
              <w:snapToGrid w:val="0"/>
              <w:spacing w:line="240" w:lineRule="auto"/>
              <w:jc w:val="center"/>
              <w:rPr>
                <w:rFonts w:hint="eastAsia" w:ascii="宋体" w:hAnsi="宋体" w:eastAsia="宋体" w:cs="宋体"/>
                <w:color w:val="auto"/>
                <w:sz w:val="21"/>
                <w:szCs w:val="21"/>
                <w:highlight w:val="none"/>
              </w:rPr>
            </w:pPr>
          </w:p>
        </w:tc>
      </w:tr>
      <w:tr w14:paraId="510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0E786EF">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720" w:type="dxa"/>
            <w:vAlign w:val="center"/>
          </w:tcPr>
          <w:p w14:paraId="19F17531">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5FA2A257">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34862ED">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04070DF">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45B52869">
            <w:pPr>
              <w:adjustRightInd w:val="0"/>
              <w:snapToGrid w:val="0"/>
              <w:spacing w:line="240" w:lineRule="auto"/>
              <w:jc w:val="center"/>
              <w:rPr>
                <w:rFonts w:hint="eastAsia" w:ascii="宋体" w:hAnsi="宋体" w:eastAsia="宋体" w:cs="宋体"/>
                <w:color w:val="auto"/>
                <w:sz w:val="21"/>
                <w:szCs w:val="21"/>
                <w:highlight w:val="none"/>
              </w:rPr>
            </w:pPr>
          </w:p>
        </w:tc>
      </w:tr>
      <w:tr w14:paraId="102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47A33D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720" w:type="dxa"/>
            <w:vAlign w:val="center"/>
          </w:tcPr>
          <w:p w14:paraId="7605B56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DB12A28">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17BFF74">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4B6F17D3">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1E8ED10E">
            <w:pPr>
              <w:adjustRightInd w:val="0"/>
              <w:snapToGrid w:val="0"/>
              <w:spacing w:line="240" w:lineRule="auto"/>
              <w:jc w:val="center"/>
              <w:rPr>
                <w:rFonts w:hint="eastAsia" w:ascii="宋体" w:hAnsi="宋体" w:eastAsia="宋体" w:cs="宋体"/>
                <w:color w:val="auto"/>
                <w:sz w:val="21"/>
                <w:szCs w:val="21"/>
                <w:highlight w:val="none"/>
              </w:rPr>
            </w:pPr>
          </w:p>
        </w:tc>
      </w:tr>
      <w:tr w14:paraId="353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BB358B2">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720" w:type="dxa"/>
            <w:vAlign w:val="center"/>
          </w:tcPr>
          <w:p w14:paraId="0B0031F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1A9AB905">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0C40B8C">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FDFD679">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C259360">
            <w:pPr>
              <w:adjustRightInd w:val="0"/>
              <w:snapToGrid w:val="0"/>
              <w:spacing w:line="240" w:lineRule="auto"/>
              <w:jc w:val="center"/>
              <w:rPr>
                <w:rFonts w:hint="eastAsia" w:ascii="宋体" w:hAnsi="宋体" w:eastAsia="宋体" w:cs="宋体"/>
                <w:color w:val="auto"/>
                <w:sz w:val="21"/>
                <w:szCs w:val="21"/>
                <w:highlight w:val="none"/>
              </w:rPr>
            </w:pPr>
          </w:p>
        </w:tc>
      </w:tr>
      <w:tr w14:paraId="51C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ED2AC16">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720" w:type="dxa"/>
            <w:vAlign w:val="center"/>
          </w:tcPr>
          <w:p w14:paraId="2B6E9910">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4E951A1">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5D9FC8D6">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745BDE0">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2F20BA25">
            <w:pPr>
              <w:adjustRightInd w:val="0"/>
              <w:snapToGrid w:val="0"/>
              <w:spacing w:line="240" w:lineRule="auto"/>
              <w:jc w:val="center"/>
              <w:rPr>
                <w:rFonts w:hint="eastAsia" w:ascii="宋体" w:hAnsi="宋体" w:eastAsia="宋体" w:cs="宋体"/>
                <w:color w:val="auto"/>
                <w:sz w:val="21"/>
                <w:szCs w:val="21"/>
                <w:highlight w:val="none"/>
              </w:rPr>
            </w:pPr>
          </w:p>
        </w:tc>
      </w:tr>
      <w:tr w14:paraId="054C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69BF075">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720" w:type="dxa"/>
            <w:vAlign w:val="center"/>
          </w:tcPr>
          <w:p w14:paraId="63E7761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BA61A9A">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7DCA522F">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8A27993">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3A904F9">
            <w:pPr>
              <w:adjustRightInd w:val="0"/>
              <w:snapToGrid w:val="0"/>
              <w:spacing w:line="240" w:lineRule="auto"/>
              <w:jc w:val="center"/>
              <w:rPr>
                <w:rFonts w:hint="eastAsia" w:ascii="宋体" w:hAnsi="宋体" w:eastAsia="宋体" w:cs="宋体"/>
                <w:color w:val="auto"/>
                <w:sz w:val="21"/>
                <w:szCs w:val="21"/>
                <w:highlight w:val="none"/>
              </w:rPr>
            </w:pPr>
          </w:p>
        </w:tc>
      </w:tr>
      <w:tr w14:paraId="57BA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8C27991">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720" w:type="dxa"/>
            <w:vAlign w:val="center"/>
          </w:tcPr>
          <w:p w14:paraId="7864625B">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2B4D906C">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A8DF27F">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54C5FBF7">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2690F475">
            <w:pPr>
              <w:adjustRightInd w:val="0"/>
              <w:snapToGrid w:val="0"/>
              <w:spacing w:line="240" w:lineRule="auto"/>
              <w:jc w:val="center"/>
              <w:rPr>
                <w:rFonts w:hint="eastAsia" w:ascii="宋体" w:hAnsi="宋体" w:eastAsia="宋体" w:cs="宋体"/>
                <w:color w:val="auto"/>
                <w:sz w:val="21"/>
                <w:szCs w:val="21"/>
                <w:highlight w:val="none"/>
              </w:rPr>
            </w:pPr>
          </w:p>
        </w:tc>
      </w:tr>
      <w:tr w14:paraId="27FC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F06304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3720" w:type="dxa"/>
            <w:vAlign w:val="center"/>
          </w:tcPr>
          <w:p w14:paraId="7C3908AC">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362E8E8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F2704AB">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79394E0B">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5A8DCEE1">
            <w:pPr>
              <w:adjustRightInd w:val="0"/>
              <w:snapToGrid w:val="0"/>
              <w:spacing w:line="240" w:lineRule="auto"/>
              <w:jc w:val="center"/>
              <w:rPr>
                <w:rFonts w:hint="eastAsia" w:ascii="宋体" w:hAnsi="宋体" w:eastAsia="宋体" w:cs="宋体"/>
                <w:color w:val="auto"/>
                <w:sz w:val="21"/>
                <w:szCs w:val="21"/>
                <w:highlight w:val="none"/>
              </w:rPr>
            </w:pPr>
          </w:p>
        </w:tc>
      </w:tr>
      <w:tr w14:paraId="2D0B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36B30C90">
            <w:pPr>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3720" w:type="dxa"/>
            <w:shd w:val="clear" w:color="auto" w:fill="auto"/>
            <w:vAlign w:val="center"/>
          </w:tcPr>
          <w:p w14:paraId="547CA859">
            <w:pPr>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1065" w:type="dxa"/>
            <w:vAlign w:val="center"/>
          </w:tcPr>
          <w:p w14:paraId="7B9DBE1E">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851C226">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39505459">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14D910E3">
            <w:pPr>
              <w:adjustRightInd w:val="0"/>
              <w:snapToGrid w:val="0"/>
              <w:spacing w:line="240" w:lineRule="auto"/>
              <w:jc w:val="center"/>
              <w:rPr>
                <w:rFonts w:hint="eastAsia" w:ascii="宋体" w:hAnsi="宋体" w:eastAsia="宋体" w:cs="宋体"/>
                <w:color w:val="auto"/>
                <w:sz w:val="21"/>
                <w:szCs w:val="21"/>
                <w:highlight w:val="none"/>
              </w:rPr>
            </w:pPr>
          </w:p>
        </w:tc>
      </w:tr>
      <w:tr w14:paraId="0CA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9727E85">
            <w:pPr>
              <w:adjustRightInd w:val="0"/>
              <w:snapToGrid w:val="0"/>
              <w:spacing w:line="240" w:lineRule="auto"/>
              <w:jc w:val="center"/>
              <w:rPr>
                <w:rFonts w:hint="eastAsia" w:ascii="宋体" w:hAnsi="宋体" w:eastAsia="宋体" w:cs="宋体"/>
                <w:color w:val="auto"/>
                <w:sz w:val="21"/>
                <w:szCs w:val="21"/>
                <w:highlight w:val="none"/>
              </w:rPr>
            </w:pPr>
          </w:p>
        </w:tc>
        <w:tc>
          <w:tcPr>
            <w:tcW w:w="3720" w:type="dxa"/>
            <w:vAlign w:val="center"/>
          </w:tcPr>
          <w:p w14:paraId="6E3D4C24">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其他费用</w:t>
            </w:r>
          </w:p>
        </w:tc>
        <w:tc>
          <w:tcPr>
            <w:tcW w:w="1065" w:type="dxa"/>
            <w:vAlign w:val="center"/>
          </w:tcPr>
          <w:p w14:paraId="34269FA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646717F9">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61629B6A">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7F337C52">
            <w:pPr>
              <w:adjustRightInd w:val="0"/>
              <w:snapToGrid w:val="0"/>
              <w:spacing w:line="240" w:lineRule="auto"/>
              <w:jc w:val="center"/>
              <w:rPr>
                <w:rFonts w:hint="eastAsia" w:ascii="宋体" w:hAnsi="宋体" w:eastAsia="宋体" w:cs="宋体"/>
                <w:color w:val="auto"/>
                <w:sz w:val="21"/>
                <w:szCs w:val="21"/>
                <w:highlight w:val="none"/>
              </w:rPr>
            </w:pPr>
          </w:p>
        </w:tc>
      </w:tr>
      <w:tr w14:paraId="209E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C355F28">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720" w:type="dxa"/>
            <w:vAlign w:val="center"/>
          </w:tcPr>
          <w:p w14:paraId="5D4BF5AE">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65" w:type="dxa"/>
            <w:vAlign w:val="center"/>
          </w:tcPr>
          <w:p w14:paraId="3E6B6F32">
            <w:pPr>
              <w:adjustRightInd w:val="0"/>
              <w:snapToGrid w:val="0"/>
              <w:spacing w:line="240" w:lineRule="auto"/>
              <w:jc w:val="center"/>
              <w:rPr>
                <w:rFonts w:hint="eastAsia" w:ascii="宋体" w:hAnsi="宋体" w:eastAsia="宋体" w:cs="宋体"/>
                <w:color w:val="auto"/>
                <w:sz w:val="21"/>
                <w:szCs w:val="21"/>
                <w:highlight w:val="none"/>
              </w:rPr>
            </w:pPr>
          </w:p>
        </w:tc>
        <w:tc>
          <w:tcPr>
            <w:tcW w:w="1065" w:type="dxa"/>
            <w:vAlign w:val="center"/>
          </w:tcPr>
          <w:p w14:paraId="02B6CE3C">
            <w:pPr>
              <w:adjustRightInd w:val="0"/>
              <w:snapToGrid w:val="0"/>
              <w:spacing w:line="240" w:lineRule="auto"/>
              <w:jc w:val="center"/>
              <w:rPr>
                <w:rFonts w:hint="eastAsia" w:ascii="宋体" w:hAnsi="宋体" w:eastAsia="宋体" w:cs="宋体"/>
                <w:color w:val="auto"/>
                <w:sz w:val="21"/>
                <w:szCs w:val="21"/>
                <w:highlight w:val="none"/>
              </w:rPr>
            </w:pPr>
          </w:p>
        </w:tc>
        <w:tc>
          <w:tcPr>
            <w:tcW w:w="1066" w:type="dxa"/>
            <w:vAlign w:val="center"/>
          </w:tcPr>
          <w:p w14:paraId="15025601">
            <w:pPr>
              <w:adjustRightInd w:val="0"/>
              <w:snapToGrid w:val="0"/>
              <w:spacing w:line="240" w:lineRule="auto"/>
              <w:jc w:val="center"/>
              <w:rPr>
                <w:rFonts w:hint="eastAsia" w:ascii="宋体" w:hAnsi="宋体" w:eastAsia="宋体" w:cs="宋体"/>
                <w:color w:val="auto"/>
                <w:sz w:val="21"/>
                <w:szCs w:val="21"/>
                <w:highlight w:val="none"/>
              </w:rPr>
            </w:pPr>
          </w:p>
        </w:tc>
        <w:tc>
          <w:tcPr>
            <w:tcW w:w="947" w:type="dxa"/>
            <w:vAlign w:val="center"/>
          </w:tcPr>
          <w:p w14:paraId="39116035">
            <w:pPr>
              <w:adjustRightInd w:val="0"/>
              <w:snapToGrid w:val="0"/>
              <w:spacing w:line="240" w:lineRule="auto"/>
              <w:jc w:val="center"/>
              <w:rPr>
                <w:rFonts w:hint="eastAsia" w:ascii="宋体" w:hAnsi="宋体" w:eastAsia="宋体" w:cs="宋体"/>
                <w:color w:val="auto"/>
                <w:sz w:val="21"/>
                <w:szCs w:val="21"/>
                <w:highlight w:val="none"/>
              </w:rPr>
            </w:pPr>
          </w:p>
        </w:tc>
      </w:tr>
      <w:tr w14:paraId="16F6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0EDD5DA9">
            <w:pPr>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投标报价合计（元）</w:t>
            </w:r>
          </w:p>
        </w:tc>
        <w:tc>
          <w:tcPr>
            <w:tcW w:w="2013" w:type="dxa"/>
            <w:gridSpan w:val="2"/>
            <w:vAlign w:val="center"/>
          </w:tcPr>
          <w:p w14:paraId="0609C717">
            <w:pPr>
              <w:adjustRightInd w:val="0"/>
              <w:snapToGrid w:val="0"/>
              <w:spacing w:line="240" w:lineRule="auto"/>
              <w:jc w:val="center"/>
              <w:rPr>
                <w:rFonts w:hint="eastAsia" w:ascii="宋体" w:hAnsi="宋体" w:eastAsia="宋体" w:cs="宋体"/>
                <w:color w:val="auto"/>
                <w:sz w:val="21"/>
                <w:szCs w:val="21"/>
                <w:highlight w:val="none"/>
              </w:rPr>
            </w:pPr>
          </w:p>
        </w:tc>
      </w:tr>
    </w:tbl>
    <w:p w14:paraId="62480CF8">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ascii="宋体" w:hAnsi="宋体" w:cs="宋体"/>
          <w:color w:val="auto"/>
          <w:kern w:val="0"/>
          <w:sz w:val="24"/>
          <w:highlight w:val="none"/>
          <w:lang w:val="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28F15BC4">
      <w:pPr>
        <w:spacing w:line="300" w:lineRule="auto"/>
        <w:rPr>
          <w:rFonts w:ascii="Arial" w:hAnsi="Arial" w:cs="Arial"/>
          <w:color w:val="auto"/>
          <w:szCs w:val="21"/>
          <w:highlight w:val="none"/>
        </w:rPr>
      </w:pPr>
    </w:p>
    <w:p w14:paraId="19373AA9">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4681585F">
      <w:pPr>
        <w:spacing w:line="360" w:lineRule="auto"/>
        <w:ind w:firstLine="435"/>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按照本表填写的各项目的投标报价合计填写到</w:t>
      </w:r>
      <w:r>
        <w:rPr>
          <w:rFonts w:hint="eastAsia" w:ascii="宋体" w:hAnsi="宋体" w:eastAsia="宋体" w:cs="宋体"/>
          <w:color w:val="auto"/>
          <w:sz w:val="21"/>
          <w:szCs w:val="21"/>
          <w:highlight w:val="none"/>
          <w:lang w:val="en-US" w:eastAsia="zh-CN"/>
        </w:rPr>
        <w:t>“开标一览表”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投标报价</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栏中。</w:t>
      </w:r>
    </w:p>
    <w:p w14:paraId="25B9431E">
      <w:pPr>
        <w:spacing w:line="360" w:lineRule="auto"/>
        <w:ind w:firstLine="435"/>
        <w:rPr>
          <w:rFonts w:hint="eastAsia" w:ascii="宋体" w:hAnsi="宋体" w:eastAsia="宋体" w:cs="宋体"/>
          <w:color w:val="auto"/>
          <w:sz w:val="24"/>
          <w:szCs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.所列服务为对应本项目需求的全部服务内容。如有漏项或缺项，投标人承担全部责任。</w:t>
      </w:r>
      <w:r>
        <w:rPr>
          <w:rFonts w:hint="eastAsia" w:ascii="宋体" w:hAnsi="宋体" w:eastAsia="宋体" w:cs="宋体"/>
          <w:color w:val="auto"/>
          <w:sz w:val="24"/>
          <w:szCs w:val="24"/>
          <w:highlight w:val="none"/>
        </w:rPr>
        <w:br w:type="page"/>
      </w:r>
    </w:p>
    <w:p w14:paraId="2C323B6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470" w:name="_Toc28343"/>
      <w:bookmarkStart w:id="471" w:name="_Toc4379"/>
      <w:r>
        <w:rPr>
          <w:rFonts w:hint="eastAsia" w:cstheme="majorBidi"/>
          <w:b/>
          <w:bCs/>
          <w:color w:val="auto"/>
          <w:kern w:val="2"/>
          <w:sz w:val="32"/>
          <w:szCs w:val="32"/>
          <w:highlight w:val="none"/>
          <w:lang w:val="en-US" w:eastAsia="zh-CN" w:bidi="ar-SA"/>
        </w:rPr>
        <w:t>三、关于符合本国产品标准的声明函或财政部规定的其他</w:t>
      </w:r>
      <w:bookmarkEnd w:id="470"/>
    </w:p>
    <w:p w14:paraId="478C52C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472" w:name="_Toc15816"/>
      <w:r>
        <w:rPr>
          <w:rFonts w:hint="eastAsia" w:cstheme="majorBidi"/>
          <w:b/>
          <w:bCs/>
          <w:color w:val="auto"/>
          <w:kern w:val="2"/>
          <w:sz w:val="32"/>
          <w:szCs w:val="32"/>
          <w:highlight w:val="none"/>
          <w:lang w:val="en-US" w:eastAsia="zh-CN" w:bidi="ar-SA"/>
        </w:rPr>
        <w:t>证明文件</w:t>
      </w:r>
      <w:bookmarkEnd w:id="471"/>
      <w:bookmarkEnd w:id="472"/>
    </w:p>
    <w:p w14:paraId="27D77DB3">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5676474C">
      <w:pPr>
        <w:keepNext w:val="0"/>
        <w:keepLines w:val="0"/>
        <w:widowControl/>
        <w:suppressLineNumbers w:val="0"/>
        <w:ind w:firstLine="482" w:firstLineChars="200"/>
        <w:jc w:val="center"/>
        <w:rPr>
          <w:rFonts w:hint="eastAsia" w:ascii="宋体" w:hAnsi="宋体" w:eastAsia="宋体" w:cs="宋体"/>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（一）</w:t>
      </w:r>
      <w:r>
        <w:rPr>
          <w:rFonts w:hint="eastAsia" w:ascii="宋体" w:hAnsi="宋体" w:eastAsia="宋体" w:cs="宋体"/>
          <w:b/>
          <w:bCs/>
          <w:color w:val="auto"/>
          <w:kern w:val="0"/>
          <w:sz w:val="24"/>
          <w:szCs w:val="24"/>
          <w:highlight w:val="none"/>
          <w:lang w:val="en-US" w:eastAsia="zh-CN" w:bidi="ar"/>
        </w:rPr>
        <w:t>关于符合本国产品标准的声明函</w:t>
      </w:r>
    </w:p>
    <w:p w14:paraId="4E43082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本公司（单位）郑重声明，根据《国务院办公厅关于在政府采购中实施本国产品标准及相关政策的通知》（国办发〔2025〕34号）的规定，本公司（单位）提供的以下产品属于本国产品。具体情况如下：</w:t>
      </w:r>
    </w:p>
    <w:p w14:paraId="57EC3BE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1，生产厂为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2，厂址为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4在中国境内生产。</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（关键工序）</w:t>
      </w:r>
      <w:r>
        <w:rPr>
          <w:rFonts w:hint="eastAsia" w:ascii="宋体" w:hAnsi="宋体" w:eastAsia="宋体" w:cs="宋体"/>
          <w:color w:val="auto"/>
          <w:kern w:val="0"/>
          <w:sz w:val="21"/>
          <w:szCs w:val="21"/>
          <w:highlight w:val="none"/>
          <w:lang w:val="en-US" w:eastAsia="zh-CN" w:bidi="ar"/>
        </w:rPr>
        <w:t>5在中国境内完成。</w:t>
      </w:r>
    </w:p>
    <w:p w14:paraId="3167887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在中国境内生产。</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的（关键工序）在中国境内完成。</w:t>
      </w:r>
    </w:p>
    <w:p w14:paraId="39D5F96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p w14:paraId="0D9C897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本公司（单位）对上述声明内容的真实性负责。如有虚假，愿承担相应法律责任。</w:t>
      </w:r>
    </w:p>
    <w:p w14:paraId="1ADA7C7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0BFACF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公司（单位）名称（盖章）：　        </w:t>
      </w:r>
    </w:p>
    <w:p w14:paraId="7EB9AE8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  日         </w:t>
      </w:r>
    </w:p>
    <w:p w14:paraId="72A84A2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p>
    <w:p w14:paraId="3C20D06F">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cs="宋体"/>
          <w:b/>
          <w:bCs/>
          <w:color w:val="auto"/>
          <w:kern w:val="0"/>
          <w:sz w:val="21"/>
          <w:szCs w:val="21"/>
          <w:highlight w:val="none"/>
          <w:lang w:val="en-US" w:eastAsia="zh-CN" w:bidi="ar"/>
        </w:rPr>
        <w:t>注：</w:t>
      </w:r>
      <w:r>
        <w:rPr>
          <w:rFonts w:hint="eastAsia" w:ascii="宋体" w:hAnsi="宋体" w:eastAsia="宋体" w:cs="宋体"/>
          <w:color w:val="auto"/>
          <w:kern w:val="0"/>
          <w:sz w:val="21"/>
          <w:szCs w:val="21"/>
          <w:highlight w:val="none"/>
          <w:lang w:val="en-US" w:eastAsia="zh-CN" w:bidi="ar"/>
        </w:rPr>
        <w:t>1.产品如有型号，请在“产品名称”栏一并填写。</w:t>
      </w:r>
    </w:p>
    <w:p w14:paraId="7826741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2.生产厂名与厂址应与生产厂营业执照载明的相关信息保持一致。</w:t>
      </w:r>
    </w:p>
    <w:p w14:paraId="497E7BB9">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3.该产品的中国境内生产的组件成本占比相关要求实施前，“规定比例”栏可不填，下同。</w:t>
      </w:r>
    </w:p>
    <w:p w14:paraId="509B4AC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4.该产品的关键组件要求实施前，“关键组件”栏可不填，下同。</w:t>
      </w:r>
    </w:p>
    <w:p w14:paraId="301AB172">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5.该产品的关键工序要求实施前，“关键工序”栏可不填，下同。</w:t>
      </w:r>
    </w:p>
    <w:p w14:paraId="4AE36C1C">
      <w:pPr>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br w:type="page"/>
      </w:r>
    </w:p>
    <w:p w14:paraId="0F8F4702">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附件2</w:t>
      </w:r>
    </w:p>
    <w:p w14:paraId="6662B597">
      <w:pPr>
        <w:jc w:val="center"/>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本国产品成本占比承诺函</w:t>
      </w:r>
    </w:p>
    <w:p w14:paraId="1E46F03A">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color w:val="auto"/>
          <w:sz w:val="24"/>
          <w:szCs w:val="24"/>
          <w:highlight w:val="none"/>
        </w:rPr>
      </w:pPr>
    </w:p>
    <w:p w14:paraId="58B0E73F">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致:[采购人/采购代理机构名称]</w:t>
      </w:r>
    </w:p>
    <w:p w14:paraId="35665E38">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本单位就参与[项目名称      、编号      ]政府采购项目，郑重承诺如下:</w:t>
      </w:r>
    </w:p>
    <w:p w14:paraId="2F0FA20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本单位为该项目(或采购包)提供的符合本国产品标准的产品成本之和，占所提供全部产品成本之和的比例为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%。本承诺内容真实有效，若存在虚假承诺，愿意承担相应法律责任，放弃中标(成交)资格，并接受政府采购监管部门处罚。</w:t>
      </w:r>
    </w:p>
    <w:p w14:paraId="2FEAB4C6">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23191A52">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承诺人(供应商公章):</w:t>
      </w:r>
    </w:p>
    <w:p w14:paraId="492D49F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法定代表人或授权代表签字:</w:t>
      </w:r>
    </w:p>
    <w:p w14:paraId="28BE864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w:t>
      </w:r>
    </w:p>
    <w:p w14:paraId="62B3730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49A0CD8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4B4300D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547ADD6E">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E91AD6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C1085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5ED9EE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1B57883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0CC4D55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23C5A32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bidi="ar"/>
        </w:rPr>
      </w:pPr>
    </w:p>
    <w:p w14:paraId="5E3FA7A7">
      <w:pPr>
        <w:keepNext w:val="0"/>
        <w:keepLines w:val="0"/>
        <w:widowControl/>
        <w:suppressLineNumbers w:val="0"/>
        <w:jc w:val="both"/>
        <w:rPr>
          <w:rFonts w:hint="default" w:cs="宋体"/>
          <w:strike w:val="0"/>
          <w:dstrike w:val="0"/>
          <w:color w:val="auto"/>
          <w:kern w:val="0"/>
          <w:sz w:val="21"/>
          <w:szCs w:val="21"/>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宋体" w:hAnsi="宋体" w:eastAsia="宋体" w:cs="宋体"/>
          <w:b/>
          <w:bCs/>
          <w:strike w:val="0"/>
          <w:dstrike w:val="0"/>
          <w:color w:val="auto"/>
          <w:kern w:val="0"/>
          <w:sz w:val="21"/>
          <w:szCs w:val="21"/>
          <w:highlight w:val="none"/>
          <w:lang w:val="en-US" w:eastAsia="zh-CN" w:bidi="ar"/>
        </w:rPr>
        <w:t>注：</w:t>
      </w:r>
      <w:r>
        <w:rPr>
          <w:rFonts w:hint="eastAsia" w:ascii="宋体" w:hAnsi="宋体" w:eastAsia="宋体" w:cs="宋体"/>
          <w:strike w:val="0"/>
          <w:dstrike w:val="0"/>
          <w:color w:val="auto"/>
          <w:kern w:val="0"/>
          <w:sz w:val="21"/>
          <w:szCs w:val="21"/>
          <w:highlight w:val="none"/>
          <w:lang w:val="en-US" w:eastAsia="zh-CN" w:bidi="ar"/>
        </w:rPr>
        <w:t>若供应商所投产品均符合本国产品标准，且已提供《声明函》，可不填写《承诺函》。</w:t>
      </w:r>
    </w:p>
    <w:p w14:paraId="6D484F75">
      <w:pPr>
        <w:spacing w:line="360" w:lineRule="auto"/>
        <w:ind w:firstLine="435"/>
        <w:rPr>
          <w:rFonts w:hint="eastAsia" w:ascii="宋体" w:hAnsi="宋体" w:eastAsia="宋体" w:cs="宋体"/>
          <w:color w:val="auto"/>
          <w:sz w:val="24"/>
          <w:szCs w:val="24"/>
          <w:highlight w:val="none"/>
        </w:rPr>
      </w:pPr>
    </w:p>
    <w:p w14:paraId="4A59D45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253C07">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69E9F7">
      <w:pPr>
        <w:autoSpaceDE w:val="0"/>
        <w:autoSpaceDN w:val="0"/>
        <w:adjustRightInd w:val="0"/>
        <w:rPr>
          <w:color w:val="auto"/>
          <w:sz w:val="21"/>
          <w:szCs w:val="24"/>
          <w:highlight w:val="none"/>
        </w:rPr>
      </w:pPr>
    </w:p>
    <w:p w14:paraId="7545DFD8">
      <w:pPr>
        <w:autoSpaceDE w:val="0"/>
        <w:autoSpaceDN w:val="0"/>
        <w:adjustRightInd w:val="0"/>
        <w:rPr>
          <w:color w:val="auto"/>
          <w:sz w:val="21"/>
          <w:szCs w:val="24"/>
          <w:highlight w:val="none"/>
        </w:rPr>
      </w:pPr>
    </w:p>
    <w:p w14:paraId="6E9DF04D">
      <w:pPr>
        <w:autoSpaceDE w:val="0"/>
        <w:autoSpaceDN w:val="0"/>
        <w:adjustRightInd w:val="0"/>
        <w:jc w:val="center"/>
        <w:rPr>
          <w:color w:val="auto"/>
          <w:sz w:val="21"/>
          <w:szCs w:val="24"/>
          <w:highlight w:val="none"/>
        </w:rPr>
      </w:pPr>
    </w:p>
    <w:p w14:paraId="4A09F0AA">
      <w:pPr>
        <w:pStyle w:val="2"/>
        <w:bidi w:val="0"/>
        <w:rPr>
          <w:color w:val="auto"/>
          <w:sz w:val="56"/>
          <w:szCs w:val="56"/>
          <w:highlight w:val="none"/>
        </w:rPr>
      </w:pPr>
      <w:bookmarkStart w:id="473" w:name="_Toc29933"/>
      <w:r>
        <w:rPr>
          <w:rFonts w:hint="eastAsia"/>
          <w:color w:val="auto"/>
          <w:sz w:val="56"/>
          <w:szCs w:val="56"/>
          <w:highlight w:val="none"/>
        </w:rPr>
        <w:t>投 标 文 件</w:t>
      </w:r>
      <w:bookmarkEnd w:id="473"/>
    </w:p>
    <w:p w14:paraId="4E8ADE01">
      <w:pPr>
        <w:pStyle w:val="2"/>
        <w:bidi w:val="0"/>
        <w:rPr>
          <w:rFonts w:hint="eastAsia"/>
          <w:color w:val="auto"/>
          <w:sz w:val="56"/>
          <w:szCs w:val="56"/>
          <w:highlight w:val="none"/>
          <w:lang w:val="en-US" w:eastAsia="zh-CN"/>
        </w:rPr>
      </w:pPr>
      <w:bookmarkStart w:id="474" w:name="_Toc6309"/>
      <w:r>
        <w:rPr>
          <w:rFonts w:hint="eastAsia"/>
          <w:color w:val="auto"/>
          <w:sz w:val="56"/>
          <w:szCs w:val="56"/>
          <w:highlight w:val="none"/>
          <w:lang w:val="en-US" w:eastAsia="zh-CN"/>
        </w:rPr>
        <w:t>商务技术文件</w:t>
      </w:r>
      <w:bookmarkEnd w:id="474"/>
    </w:p>
    <w:p w14:paraId="570FB9DD">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3BFF9900">
      <w:pPr>
        <w:pStyle w:val="3"/>
        <w:rPr>
          <w:color w:val="auto"/>
          <w:sz w:val="21"/>
          <w:szCs w:val="21"/>
          <w:highlight w:val="none"/>
        </w:rPr>
      </w:pPr>
    </w:p>
    <w:p w14:paraId="3304790D">
      <w:pPr>
        <w:rPr>
          <w:color w:val="auto"/>
          <w:sz w:val="21"/>
          <w:szCs w:val="21"/>
          <w:highlight w:val="none"/>
        </w:rPr>
      </w:pPr>
    </w:p>
    <w:p w14:paraId="414CC1ED">
      <w:pPr>
        <w:rPr>
          <w:color w:val="auto"/>
          <w:highlight w:val="none"/>
        </w:rPr>
      </w:pPr>
    </w:p>
    <w:p w14:paraId="789512AB">
      <w:pPr>
        <w:autoSpaceDE w:val="0"/>
        <w:autoSpaceDN w:val="0"/>
        <w:adjustRightInd w:val="0"/>
        <w:rPr>
          <w:color w:val="auto"/>
          <w:sz w:val="21"/>
          <w:szCs w:val="21"/>
          <w:highlight w:val="none"/>
        </w:rPr>
      </w:pPr>
    </w:p>
    <w:p w14:paraId="4BE21783">
      <w:pPr>
        <w:autoSpaceDE w:val="0"/>
        <w:autoSpaceDN w:val="0"/>
        <w:adjustRightInd w:val="0"/>
        <w:rPr>
          <w:color w:val="auto"/>
          <w:sz w:val="21"/>
          <w:szCs w:val="21"/>
          <w:highlight w:val="none"/>
        </w:rPr>
      </w:pPr>
    </w:p>
    <w:p w14:paraId="037029E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420" w:leftChars="175"/>
        <w:rPr>
          <w:rFonts w:ascii="黑体" w:hAnsi="黑体" w:eastAsia="黑体"/>
          <w:color w:val="auto"/>
          <w:sz w:val="32"/>
          <w:szCs w:val="32"/>
          <w:highlight w:val="none"/>
        </w:rPr>
      </w:pPr>
    </w:p>
    <w:p w14:paraId="70A32CAD">
      <w:pPr>
        <w:ind w:left="840" w:firstLine="420"/>
        <w:rPr>
          <w:b/>
          <w:bCs/>
          <w:color w:val="auto"/>
          <w:sz w:val="28"/>
          <w:szCs w:val="28"/>
          <w:highlight w:val="none"/>
        </w:rPr>
      </w:pPr>
    </w:p>
    <w:p w14:paraId="25D3DD60">
      <w:pPr>
        <w:ind w:left="840" w:firstLine="420"/>
        <w:rPr>
          <w:b/>
          <w:bCs/>
          <w:color w:val="auto"/>
          <w:sz w:val="28"/>
          <w:szCs w:val="28"/>
          <w:highlight w:val="none"/>
        </w:rPr>
      </w:pPr>
    </w:p>
    <w:p w14:paraId="2F9296DD">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75" w:name="_Toc109900327"/>
      <w:bookmarkStart w:id="476" w:name="_Toc3577"/>
      <w:bookmarkStart w:id="477" w:name="_Toc13736"/>
      <w:bookmarkStart w:id="478" w:name="_Toc140132831"/>
      <w:bookmarkStart w:id="479" w:name="_Toc28532"/>
      <w:bookmarkStart w:id="480" w:name="_Toc109899489"/>
      <w:bookmarkStart w:id="481" w:name="_Toc25402"/>
      <w:bookmarkStart w:id="482" w:name="_Toc155185921"/>
      <w:bookmarkStart w:id="483" w:name="_Toc109899908"/>
      <w:r>
        <w:rPr>
          <w:rFonts w:hint="eastAsia" w:eastAsia="宋体" w:asciiTheme="majorHAnsi" w:hAnsiTheme="majorHAnsi" w:cstheme="majorBidi"/>
          <w:b/>
          <w:bCs/>
          <w:color w:val="auto"/>
          <w:kern w:val="2"/>
          <w:sz w:val="32"/>
          <w:szCs w:val="32"/>
          <w:highlight w:val="none"/>
          <w:lang w:val="en-US" w:eastAsia="zh-CN" w:bidi="ar-SA"/>
        </w:rPr>
        <w:t>一、投标函</w:t>
      </w:r>
      <w:bookmarkEnd w:id="475"/>
      <w:bookmarkEnd w:id="476"/>
      <w:bookmarkEnd w:id="477"/>
      <w:bookmarkEnd w:id="478"/>
      <w:bookmarkEnd w:id="479"/>
      <w:bookmarkEnd w:id="480"/>
      <w:bookmarkEnd w:id="481"/>
      <w:bookmarkEnd w:id="482"/>
      <w:bookmarkEnd w:id="483"/>
    </w:p>
    <w:p w14:paraId="0ABD9EA3">
      <w:pPr>
        <w:rPr>
          <w:color w:val="auto"/>
          <w:highlight w:val="none"/>
        </w:rPr>
      </w:pPr>
      <w:r>
        <w:rPr>
          <w:rFonts w:hint="eastAsia"/>
          <w:color w:val="auto"/>
          <w:highlight w:val="none"/>
        </w:rPr>
        <w:t>致：（采购人）</w:t>
      </w:r>
    </w:p>
    <w:p w14:paraId="35C4266A">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所附投标价格表中规定的应提交和交付的服务和</w:t>
      </w:r>
      <w:r>
        <w:rPr>
          <w:rFonts w:hint="eastAsia" w:cs="Arial"/>
          <w:color w:val="auto"/>
          <w:szCs w:val="24"/>
          <w:highlight w:val="none"/>
          <w:lang w:val="en-US" w:eastAsia="zh-CN"/>
        </w:rPr>
        <w:t>相关</w:t>
      </w:r>
      <w:r>
        <w:rPr>
          <w:rFonts w:hint="eastAsia" w:cs="Arial"/>
          <w:color w:val="auto"/>
          <w:szCs w:val="24"/>
          <w:highlight w:val="none"/>
        </w:rPr>
        <w:t>货物（如有）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w:t>
      </w:r>
      <w:r>
        <w:rPr>
          <w:rFonts w:cs="Arial"/>
          <w:i w:val="0"/>
          <w:iCs w:val="0"/>
          <w:color w:val="auto"/>
          <w:szCs w:val="24"/>
          <w:highlight w:val="none"/>
        </w:rPr>
        <w:t>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投标有效期为自提交投标文件的截止之日起</w:t>
      </w:r>
      <w:r>
        <w:rPr>
          <w:rFonts w:hint="eastAsia" w:cs="Arial"/>
          <w:i w:val="0"/>
          <w:iCs w:val="0"/>
          <w:color w:val="auto"/>
          <w:szCs w:val="24"/>
          <w:highlight w:val="none"/>
          <w:u w:val="single"/>
        </w:rPr>
        <w:t xml:space="preserve"> （由投标人填写）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招标</w:t>
      </w:r>
      <w:r>
        <w:rPr>
          <w:rFonts w:hint="eastAsia" w:cs="Arial"/>
          <w:i w:val="0"/>
          <w:iCs w:val="0"/>
          <w:color w:val="auto"/>
          <w:szCs w:val="24"/>
          <w:highlight w:val="none"/>
        </w:rPr>
        <w:t>文件</w:t>
      </w:r>
      <w:r>
        <w:rPr>
          <w:rFonts w:cs="Arial"/>
          <w:i w:val="0"/>
          <w:iCs w:val="0"/>
          <w:color w:val="auto"/>
          <w:szCs w:val="24"/>
          <w:highlight w:val="none"/>
        </w:rPr>
        <w:t>要求的与投标有关的一切数据或资料，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（由投标人如实填写）</w:t>
      </w:r>
      <w:r>
        <w:rPr>
          <w:rFonts w:hint="eastAsia"/>
          <w:i w:val="0"/>
          <w:iCs w:val="0"/>
          <w:color w:val="auto"/>
          <w:szCs w:val="24"/>
          <w:highlight w:val="none"/>
        </w:rPr>
        <w:t>。</w:t>
      </w:r>
    </w:p>
    <w:p w14:paraId="4FC84088">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80" w:firstLineChars="200"/>
        <w:rPr>
          <w:color w:val="auto"/>
          <w:szCs w:val="24"/>
          <w:highlight w:val="none"/>
        </w:rPr>
      </w:pPr>
      <w:r>
        <w:rPr>
          <w:rFonts w:hint="eastAsia"/>
          <w:color w:val="auto"/>
          <w:szCs w:val="24"/>
          <w:highlight w:val="none"/>
        </w:rPr>
        <w:t>5）</w:t>
      </w:r>
      <w:bookmarkStart w:id="484" w:name="_Hlk161604053"/>
      <w:r>
        <w:rPr>
          <w:rFonts w:hint="eastAsia"/>
          <w:color w:val="auto"/>
          <w:szCs w:val="24"/>
          <w:highlight w:val="none"/>
        </w:rPr>
        <w:t>我方承诺本《投标函》的签章对本投标文件全部内容具有约束力并承担法律责任。</w:t>
      </w:r>
      <w:bookmarkEnd w:id="484"/>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2DB608AC">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投 </w:t>
      </w:r>
      <w:r>
        <w:rPr>
          <w:rFonts w:cs="宋体"/>
          <w:color w:val="auto"/>
          <w:highlight w:val="none"/>
        </w:rPr>
        <w:t xml:space="preserve">   </w:t>
      </w:r>
      <w:r>
        <w:rPr>
          <w:rFonts w:hint="eastAsia" w:cs="宋体"/>
          <w:color w:val="auto"/>
          <w:highlight w:val="none"/>
        </w:rPr>
        <w:t xml:space="preserve">标 </w:t>
      </w:r>
      <w:r>
        <w:rPr>
          <w:rFonts w:cs="宋体"/>
          <w:color w:val="auto"/>
          <w:highlight w:val="none"/>
        </w:rPr>
        <w:t xml:space="preserve">   </w:t>
      </w:r>
      <w:r>
        <w:rPr>
          <w:rFonts w:hint="eastAsia" w:cs="宋体"/>
          <w:color w:val="auto"/>
          <w:highlight w:val="none"/>
        </w:rPr>
        <w:t>人</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B632FCF">
      <w:pPr>
        <w:autoSpaceDE w:val="0"/>
        <w:autoSpaceDN w:val="0"/>
        <w:adjustRightInd w:val="0"/>
        <w:snapToGrid w:val="0"/>
        <w:ind w:firstLine="480" w:firstLineChars="200"/>
        <w:rPr>
          <w:rFonts w:hint="eastAsia" w:cs="宋体"/>
          <w:color w:val="auto"/>
          <w:highlight w:val="none"/>
        </w:rPr>
      </w:pPr>
      <w:r>
        <w:rPr>
          <w:rFonts w:hint="eastAsia" w:cs="宋体"/>
          <w:color w:val="auto"/>
          <w:highlight w:val="none"/>
        </w:rPr>
        <w:t>法定代表人或授权代表</w:t>
      </w:r>
      <w:r>
        <w:rPr>
          <w:rFonts w:hint="eastAsia" w:cs="宋体"/>
          <w:color w:val="auto"/>
          <w:highlight w:val="none"/>
          <w:lang w:eastAsia="zh-CN"/>
        </w:rPr>
        <w:t>（</w:t>
      </w:r>
      <w:r>
        <w:rPr>
          <w:rFonts w:hint="eastAsia" w:cs="宋体"/>
          <w:color w:val="auto"/>
          <w:highlight w:val="none"/>
        </w:rPr>
        <w:t>签字或印章</w:t>
      </w:r>
      <w:r>
        <w:rPr>
          <w:rFonts w:hint="eastAsia" w:cs="宋体"/>
          <w:color w:val="auto"/>
          <w:highlight w:val="none"/>
          <w:lang w:eastAsia="zh-CN"/>
        </w:rPr>
        <w:t>）</w:t>
      </w:r>
      <w:r>
        <w:rPr>
          <w:rFonts w:hint="eastAsia" w:cs="宋体"/>
          <w:color w:val="auto"/>
          <w:highlight w:val="none"/>
        </w:rPr>
        <w:t>：</w:t>
      </w:r>
    </w:p>
    <w:p w14:paraId="4CCC9D16">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63C92097">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85" w:name="_Toc518"/>
      <w:bookmarkStart w:id="486" w:name="_Toc3285"/>
      <w:bookmarkStart w:id="487" w:name="_Toc155185924"/>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485"/>
      <w:bookmarkEnd w:id="486"/>
      <w:bookmarkEnd w:id="487"/>
    </w:p>
    <w:p w14:paraId="46CF1AA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84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88" w:name="_Toc22585"/>
      <w:bookmarkStart w:id="489" w:name="_Toc29531"/>
      <w:bookmarkStart w:id="490" w:name="_Toc155185925"/>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488"/>
      <w:bookmarkEnd w:id="489"/>
      <w:bookmarkEnd w:id="490"/>
    </w:p>
    <w:p w14:paraId="593F068D">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eastAsia" w:ascii="DejaVuSans" w:hAnsi="DejaVuSans" w:eastAsia="DejaVuSans" w:cs="DejaVuSans"/>
          <w:color w:val="auto"/>
          <w:kern w:val="0"/>
          <w:sz w:val="24"/>
          <w:szCs w:val="24"/>
          <w:highlight w:val="none"/>
          <w:u w:val="single"/>
          <w:lang w:val="en-US" w:eastAsia="zh-CN" w:bidi="ar"/>
        </w:rPr>
        <w:t xml:space="preserve">               </w:t>
      </w:r>
      <w:r>
        <w:rPr>
          <w:rFonts w:hint="default" w:ascii="DejaVuSans" w:hAnsi="DejaVuSans" w:eastAsia="DejaVuSans" w:cs="DejaVuSans"/>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91" w:name="_Toc163492928"/>
      <w:bookmarkStart w:id="492" w:name="_Toc155185934"/>
      <w:bookmarkStart w:id="493" w:name="_Toc30910"/>
      <w:bookmarkStart w:id="494" w:name="_Toc12455"/>
      <w:r>
        <w:rPr>
          <w:rFonts w:hint="eastAsia" w:cstheme="majorBidi"/>
          <w:b/>
          <w:bCs/>
          <w:color w:val="auto"/>
          <w:kern w:val="2"/>
          <w:sz w:val="32"/>
          <w:szCs w:val="32"/>
          <w:highlight w:val="none"/>
          <w:lang w:val="en-US" w:eastAsia="zh-CN" w:bidi="ar-SA"/>
        </w:rPr>
        <w:t>四</w:t>
      </w:r>
      <w:r>
        <w:rPr>
          <w:rFonts w:hint="eastAsia" w:eastAsia="宋体" w:asciiTheme="majorHAnsi" w:hAnsiTheme="majorHAnsi" w:cstheme="majorBidi"/>
          <w:b/>
          <w:bCs/>
          <w:color w:val="auto"/>
          <w:kern w:val="2"/>
          <w:sz w:val="32"/>
          <w:szCs w:val="32"/>
          <w:highlight w:val="none"/>
          <w:lang w:val="en-US" w:eastAsia="zh-CN" w:bidi="ar-SA"/>
        </w:rPr>
        <w:t>、</w:t>
      </w:r>
      <w:bookmarkEnd w:id="491"/>
      <w:bookmarkEnd w:id="492"/>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493"/>
      <w:bookmarkEnd w:id="494"/>
    </w:p>
    <w:p w14:paraId="2AB445CF">
      <w:pPr>
        <w:pStyle w:val="14"/>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w:t>
      </w:r>
      <w:r>
        <w:rPr>
          <w:rFonts w:hint="eastAsia" w:ascii="宋体" w:hAnsi="宋体" w:cs="宋体"/>
          <w:color w:val="auto"/>
          <w:kern w:val="0"/>
          <w:sz w:val="24"/>
          <w:szCs w:val="24"/>
          <w:highlight w:val="none"/>
          <w:lang w:val="en-US" w:eastAsia="zh-CN"/>
        </w:rPr>
        <w:t>文件</w:t>
      </w:r>
      <w:r>
        <w:rPr>
          <w:rFonts w:hint="eastAsia" w:ascii="宋体" w:hAnsi="宋体" w:cs="宋体"/>
          <w:color w:val="auto"/>
          <w:kern w:val="0"/>
          <w:sz w:val="24"/>
          <w:szCs w:val="24"/>
          <w:highlight w:val="none"/>
          <w:lang w:val="zh-CN"/>
        </w:rPr>
        <w:t>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w:t>
      </w:r>
      <w:r>
        <w:rPr>
          <w:rFonts w:hint="eastAsia"/>
          <w:color w:val="auto"/>
          <w:highlight w:val="none"/>
        </w:rPr>
        <w:t>《中华人民共和国政府采购法</w:t>
      </w:r>
      <w:r>
        <w:rPr>
          <w:rFonts w:hint="eastAsia"/>
          <w:color w:val="auto"/>
          <w:highlight w:val="none"/>
          <w:lang w:val="en-US" w:eastAsia="zh-CN"/>
        </w:rPr>
        <w:t>实施条例</w:t>
      </w:r>
      <w:r>
        <w:rPr>
          <w:rFonts w:hint="eastAsia"/>
          <w:color w:val="auto"/>
          <w:highlight w:val="none"/>
        </w:rPr>
        <w:t>》</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新疆财政厅</w:t>
      </w:r>
      <w:r>
        <w:rPr>
          <w:rFonts w:hint="eastAsia" w:ascii="宋体" w:hAnsi="宋体" w:cs="宋体"/>
          <w:color w:val="auto"/>
          <w:kern w:val="0"/>
          <w:sz w:val="24"/>
          <w:szCs w:val="24"/>
          <w:highlight w:val="none"/>
          <w:lang w:val="zh-CN"/>
        </w:rPr>
        <w:t>。由此引起的相应损失均由我单位承担。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4"/>
        <w:rPr>
          <w:rFonts w:hint="eastAsia" w:eastAsia="宋体" w:asciiTheme="majorHAnsi" w:hAnsiTheme="majorHAnsi" w:cstheme="majorBidi"/>
          <w:b/>
          <w:bCs/>
          <w:color w:val="auto"/>
          <w:kern w:val="2"/>
          <w:sz w:val="24"/>
          <w:szCs w:val="24"/>
          <w:highlight w:val="none"/>
          <w:lang w:val="en-US" w:eastAsia="zh-CN" w:bidi="ar-SA"/>
        </w:rPr>
      </w:pPr>
    </w:p>
    <w:p w14:paraId="2CC927CA">
      <w:pPr>
        <w:pStyle w:val="14"/>
        <w:rPr>
          <w:rFonts w:hint="eastAsia" w:eastAsia="宋体" w:asciiTheme="majorHAnsi" w:hAnsiTheme="majorHAnsi" w:cstheme="majorBidi"/>
          <w:b/>
          <w:bCs/>
          <w:color w:val="auto"/>
          <w:kern w:val="2"/>
          <w:sz w:val="24"/>
          <w:szCs w:val="24"/>
          <w:highlight w:val="none"/>
          <w:lang w:val="en-US" w:eastAsia="zh-CN" w:bidi="ar-SA"/>
        </w:rPr>
      </w:pPr>
    </w:p>
    <w:p w14:paraId="18FDCDE0">
      <w:pPr>
        <w:pStyle w:val="14"/>
        <w:rPr>
          <w:rFonts w:hint="eastAsia" w:eastAsia="宋体" w:asciiTheme="majorHAnsi" w:hAnsiTheme="majorHAnsi" w:cstheme="majorBidi"/>
          <w:b/>
          <w:bCs/>
          <w:color w:val="auto"/>
          <w:kern w:val="2"/>
          <w:sz w:val="24"/>
          <w:szCs w:val="24"/>
          <w:highlight w:val="none"/>
          <w:lang w:val="en-US" w:eastAsia="zh-CN" w:bidi="ar-SA"/>
        </w:rPr>
      </w:pPr>
    </w:p>
    <w:p w14:paraId="74E8B7C7">
      <w:pPr>
        <w:pStyle w:val="3"/>
        <w:bidi w:val="0"/>
        <w:jc w:val="center"/>
        <w:rPr>
          <w:rFonts w:hint="default"/>
          <w:color w:val="auto"/>
          <w:highlight w:val="none"/>
          <w:lang w:val="en-US" w:eastAsia="zh-CN"/>
        </w:rPr>
      </w:pPr>
      <w:bookmarkStart w:id="495" w:name="_Toc18432"/>
      <w:bookmarkStart w:id="496" w:name="_Toc1633"/>
      <w:r>
        <w:rPr>
          <w:rFonts w:hint="eastAsia"/>
          <w:color w:val="auto"/>
          <w:highlight w:val="none"/>
          <w:lang w:val="en-US" w:eastAsia="zh-CN"/>
        </w:rPr>
        <w:t>五、</w:t>
      </w:r>
      <w:r>
        <w:rPr>
          <w:rFonts w:hint="eastAsia"/>
          <w:color w:val="auto"/>
          <w:highlight w:val="none"/>
          <w:lang w:val="zh-CN" w:eastAsia="zh-CN"/>
        </w:rPr>
        <w:t>实质性响应一览表【</w:t>
      </w:r>
      <w:r>
        <w:rPr>
          <w:rFonts w:hint="eastAsia"/>
          <w:color w:val="auto"/>
          <w:highlight w:val="none"/>
          <w:lang w:val="en-US" w:eastAsia="zh-CN"/>
        </w:rPr>
        <w:t>本表须与第五章的一致】</w:t>
      </w:r>
      <w:bookmarkEnd w:id="495"/>
      <w:bookmarkEnd w:id="496"/>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5"/>
        <w:rPr>
          <w:rFonts w:hint="eastAsia" w:ascii="宋体" w:hAnsi="宋体" w:cs="宋体"/>
          <w:color w:val="auto"/>
          <w:highlight w:val="none"/>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73"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文件要求的实质性响应内容</w:t>
            </w:r>
          </w:p>
        </w:tc>
        <w:tc>
          <w:tcPr>
            <w:tcW w:w="1010"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395"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color w:val="auto"/>
                <w:highlight w:val="none"/>
              </w:rPr>
            </w:pPr>
          </w:p>
        </w:tc>
        <w:tc>
          <w:tcPr>
            <w:tcW w:w="1075"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cs="宋体"/>
                <w:color w:val="auto"/>
                <w:sz w:val="24"/>
                <w:highlight w:val="none"/>
                <w:lang w:val="en-US" w:eastAsia="zh-CN"/>
              </w:rPr>
              <w:t>实质性要求</w:t>
            </w:r>
          </w:p>
        </w:tc>
        <w:tc>
          <w:tcPr>
            <w:tcW w:w="2298"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cs="宋体"/>
                <w:color w:val="auto"/>
                <w:sz w:val="24"/>
                <w:highlight w:val="none"/>
                <w:lang w:val="en-US" w:eastAsia="zh-CN"/>
              </w:rPr>
              <w:t>招标文件中的规定</w:t>
            </w:r>
          </w:p>
        </w:tc>
        <w:tc>
          <w:tcPr>
            <w:tcW w:w="1010"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395"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75"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298"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0"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220"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75"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298"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0"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075" w:type="pct"/>
            <w:shd w:val="clear" w:color="auto" w:fill="auto"/>
            <w:noWrap w:val="0"/>
            <w:vAlign w:val="center"/>
          </w:tcPr>
          <w:p w14:paraId="46BFE239">
            <w:pPr>
              <w:pStyle w:val="51"/>
              <w:rPr>
                <w:rFonts w:hint="eastAsia" w:ascii="宋体" w:hAnsi="宋体" w:eastAsia="宋体" w:cstheme="minorBidi"/>
                <w:color w:val="auto"/>
                <w:kern w:val="2"/>
                <w:sz w:val="24"/>
                <w:szCs w:val="22"/>
                <w:highlight w:val="none"/>
                <w:lang w:val="en-US" w:eastAsia="zh-CN" w:bidi="ar-SA"/>
              </w:rPr>
            </w:pPr>
          </w:p>
        </w:tc>
        <w:tc>
          <w:tcPr>
            <w:tcW w:w="2298" w:type="pct"/>
            <w:shd w:val="clear" w:color="auto" w:fill="auto"/>
            <w:noWrap w:val="0"/>
            <w:vAlign w:val="center"/>
          </w:tcPr>
          <w:p w14:paraId="486ABA85">
            <w:pPr>
              <w:pStyle w:val="51"/>
              <w:rPr>
                <w:rFonts w:hint="eastAsia" w:ascii="宋体" w:hAnsi="宋体" w:eastAsia="宋体" w:cstheme="minorBidi"/>
                <w:color w:val="auto"/>
                <w:kern w:val="2"/>
                <w:sz w:val="24"/>
                <w:szCs w:val="22"/>
                <w:highlight w:val="none"/>
                <w:lang w:val="en-US" w:eastAsia="zh-CN" w:bidi="ar-SA"/>
              </w:rPr>
            </w:pPr>
          </w:p>
        </w:tc>
        <w:tc>
          <w:tcPr>
            <w:tcW w:w="1010"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075" w:type="pct"/>
            <w:shd w:val="clear" w:color="auto" w:fill="auto"/>
            <w:noWrap w:val="0"/>
            <w:vAlign w:val="center"/>
          </w:tcPr>
          <w:p w14:paraId="1D3E0310">
            <w:pPr>
              <w:pStyle w:val="51"/>
              <w:rPr>
                <w:rFonts w:hint="eastAsia" w:ascii="宋体" w:hAnsi="宋体" w:eastAsia="宋体" w:cstheme="minorBidi"/>
                <w:color w:val="auto"/>
                <w:kern w:val="2"/>
                <w:sz w:val="24"/>
                <w:szCs w:val="22"/>
                <w:highlight w:val="none"/>
                <w:lang w:val="en-US" w:eastAsia="zh-CN" w:bidi="ar-SA"/>
              </w:rPr>
            </w:pPr>
          </w:p>
        </w:tc>
        <w:tc>
          <w:tcPr>
            <w:tcW w:w="2298" w:type="pct"/>
            <w:shd w:val="clear" w:color="auto" w:fill="auto"/>
            <w:noWrap w:val="0"/>
            <w:vAlign w:val="center"/>
          </w:tcPr>
          <w:p w14:paraId="281089E1">
            <w:pPr>
              <w:pStyle w:val="51"/>
              <w:rPr>
                <w:rFonts w:hint="eastAsia" w:ascii="宋体" w:hAnsi="宋体" w:eastAsia="宋体" w:cstheme="minorBidi"/>
                <w:color w:val="auto"/>
                <w:kern w:val="2"/>
                <w:sz w:val="24"/>
                <w:szCs w:val="22"/>
                <w:highlight w:val="none"/>
                <w:lang w:val="en-US" w:eastAsia="zh-CN" w:bidi="ar-SA"/>
              </w:rPr>
            </w:pPr>
          </w:p>
        </w:tc>
        <w:tc>
          <w:tcPr>
            <w:tcW w:w="1010"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075"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310F1D1A">
            <w:pPr>
              <w:pStyle w:val="75"/>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10"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075"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10"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075"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10"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0"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075"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298"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10"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95"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3588AE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97" w:name="_Toc17991"/>
      <w:bookmarkStart w:id="498" w:name="_Toc28344"/>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497"/>
      <w:bookmarkEnd w:id="498"/>
    </w:p>
    <w:p w14:paraId="1D186498">
      <w:pPr>
        <w:rPr>
          <w:rFonts w:cs="仿宋_GB2312"/>
          <w:color w:val="auto"/>
          <w:szCs w:val="24"/>
          <w:highlight w:val="none"/>
        </w:rPr>
      </w:pPr>
      <w:r>
        <w:rPr>
          <w:rFonts w:hint="eastAsia" w:cs="仿宋_GB2312"/>
          <w:color w:val="auto"/>
          <w:szCs w:val="24"/>
          <w:highlight w:val="none"/>
        </w:rPr>
        <w:t xml:space="preserve">项目名称：                                         </w:t>
      </w:r>
    </w:p>
    <w:p w14:paraId="49D93B1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3312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61EA105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49200A2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2B47A59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0A22DBC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030997F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2C90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F94D57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4BC6C9AE">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5FBB365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0BE3ED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38155B65">
            <w:pPr>
              <w:pStyle w:val="51"/>
              <w:jc w:val="center"/>
              <w:rPr>
                <w:rFonts w:hint="eastAsia" w:ascii="宋体" w:hAnsi="宋体" w:eastAsia="宋体" w:cs="宋体"/>
                <w:color w:val="auto"/>
                <w:sz w:val="21"/>
                <w:szCs w:val="21"/>
                <w:highlight w:val="none"/>
              </w:rPr>
            </w:pPr>
          </w:p>
        </w:tc>
      </w:tr>
      <w:tr w14:paraId="2C68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1A99A4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45C9EA1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78716E3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FF2D014">
            <w:pPr>
              <w:pStyle w:val="51"/>
              <w:jc w:val="center"/>
              <w:rPr>
                <w:rFonts w:hint="eastAsia" w:ascii="宋体" w:hAnsi="宋体" w:eastAsia="宋体" w:cs="宋体"/>
                <w:color w:val="auto"/>
                <w:sz w:val="21"/>
                <w:szCs w:val="21"/>
                <w:highlight w:val="none"/>
              </w:rPr>
            </w:pPr>
          </w:p>
        </w:tc>
        <w:tc>
          <w:tcPr>
            <w:tcW w:w="1090" w:type="pct"/>
            <w:vAlign w:val="center"/>
          </w:tcPr>
          <w:p w14:paraId="4FD2DF22">
            <w:pPr>
              <w:pStyle w:val="51"/>
              <w:jc w:val="center"/>
              <w:rPr>
                <w:rFonts w:hint="eastAsia" w:ascii="宋体" w:hAnsi="宋体" w:eastAsia="宋体" w:cs="宋体"/>
                <w:color w:val="auto"/>
                <w:sz w:val="21"/>
                <w:szCs w:val="21"/>
                <w:highlight w:val="none"/>
              </w:rPr>
            </w:pPr>
          </w:p>
        </w:tc>
      </w:tr>
      <w:tr w14:paraId="3CF1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1DCD2E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69CD644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8A48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4CBAA73E">
            <w:pPr>
              <w:pStyle w:val="51"/>
              <w:jc w:val="center"/>
              <w:rPr>
                <w:rFonts w:hint="eastAsia" w:ascii="宋体" w:hAnsi="宋体" w:eastAsia="宋体" w:cs="宋体"/>
                <w:color w:val="auto"/>
                <w:sz w:val="21"/>
                <w:szCs w:val="21"/>
                <w:highlight w:val="none"/>
              </w:rPr>
            </w:pPr>
          </w:p>
        </w:tc>
        <w:tc>
          <w:tcPr>
            <w:tcW w:w="1090" w:type="pct"/>
            <w:vAlign w:val="center"/>
          </w:tcPr>
          <w:p w14:paraId="7E83BCC4">
            <w:pPr>
              <w:pStyle w:val="51"/>
              <w:jc w:val="center"/>
              <w:rPr>
                <w:rFonts w:hint="eastAsia" w:ascii="宋体" w:hAnsi="宋体" w:eastAsia="宋体" w:cs="宋体"/>
                <w:color w:val="auto"/>
                <w:sz w:val="21"/>
                <w:szCs w:val="21"/>
                <w:highlight w:val="none"/>
              </w:rPr>
            </w:pPr>
          </w:p>
        </w:tc>
      </w:tr>
      <w:tr w14:paraId="15C0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F30B680">
            <w:pPr>
              <w:pStyle w:val="51"/>
              <w:jc w:val="center"/>
              <w:rPr>
                <w:rFonts w:hint="eastAsia" w:ascii="宋体" w:hAnsi="宋体" w:eastAsia="宋体" w:cs="宋体"/>
                <w:color w:val="auto"/>
                <w:sz w:val="21"/>
                <w:szCs w:val="21"/>
                <w:highlight w:val="none"/>
              </w:rPr>
            </w:pPr>
          </w:p>
        </w:tc>
        <w:tc>
          <w:tcPr>
            <w:tcW w:w="1395" w:type="pct"/>
            <w:vAlign w:val="center"/>
          </w:tcPr>
          <w:p w14:paraId="4AADEA29">
            <w:pPr>
              <w:pStyle w:val="51"/>
              <w:jc w:val="center"/>
              <w:rPr>
                <w:rFonts w:hint="eastAsia" w:ascii="宋体" w:hAnsi="宋体" w:eastAsia="宋体" w:cs="宋体"/>
                <w:color w:val="auto"/>
                <w:sz w:val="21"/>
                <w:szCs w:val="21"/>
                <w:highlight w:val="none"/>
              </w:rPr>
            </w:pPr>
          </w:p>
        </w:tc>
        <w:tc>
          <w:tcPr>
            <w:tcW w:w="1002" w:type="pct"/>
            <w:vAlign w:val="center"/>
          </w:tcPr>
          <w:p w14:paraId="38D5F739">
            <w:pPr>
              <w:pStyle w:val="51"/>
              <w:jc w:val="center"/>
              <w:rPr>
                <w:rFonts w:hint="eastAsia" w:ascii="宋体" w:hAnsi="宋体" w:eastAsia="宋体" w:cs="宋体"/>
                <w:color w:val="auto"/>
                <w:sz w:val="21"/>
                <w:szCs w:val="21"/>
                <w:highlight w:val="none"/>
              </w:rPr>
            </w:pPr>
          </w:p>
        </w:tc>
        <w:tc>
          <w:tcPr>
            <w:tcW w:w="1090" w:type="pct"/>
            <w:vAlign w:val="center"/>
          </w:tcPr>
          <w:p w14:paraId="225853EF">
            <w:pPr>
              <w:pStyle w:val="51"/>
              <w:jc w:val="center"/>
              <w:rPr>
                <w:rFonts w:hint="eastAsia" w:ascii="宋体" w:hAnsi="宋体" w:eastAsia="宋体" w:cs="宋体"/>
                <w:color w:val="auto"/>
                <w:sz w:val="21"/>
                <w:szCs w:val="21"/>
                <w:highlight w:val="none"/>
              </w:rPr>
            </w:pPr>
          </w:p>
        </w:tc>
        <w:tc>
          <w:tcPr>
            <w:tcW w:w="1090" w:type="pct"/>
            <w:vAlign w:val="center"/>
          </w:tcPr>
          <w:p w14:paraId="701964E1">
            <w:pPr>
              <w:pStyle w:val="51"/>
              <w:jc w:val="center"/>
              <w:rPr>
                <w:rFonts w:hint="eastAsia" w:ascii="宋体" w:hAnsi="宋体" w:eastAsia="宋体" w:cs="宋体"/>
                <w:color w:val="auto"/>
                <w:sz w:val="21"/>
                <w:szCs w:val="21"/>
                <w:highlight w:val="none"/>
              </w:rPr>
            </w:pPr>
          </w:p>
        </w:tc>
      </w:tr>
      <w:tr w14:paraId="0D3D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5F3EE02">
            <w:pPr>
              <w:pStyle w:val="51"/>
              <w:jc w:val="center"/>
              <w:rPr>
                <w:rFonts w:hint="eastAsia" w:ascii="宋体" w:hAnsi="宋体" w:eastAsia="宋体" w:cs="宋体"/>
                <w:color w:val="auto"/>
                <w:sz w:val="21"/>
                <w:szCs w:val="21"/>
                <w:highlight w:val="none"/>
              </w:rPr>
            </w:pPr>
          </w:p>
        </w:tc>
        <w:tc>
          <w:tcPr>
            <w:tcW w:w="1395" w:type="pct"/>
            <w:vAlign w:val="center"/>
          </w:tcPr>
          <w:p w14:paraId="4393079D">
            <w:pPr>
              <w:pStyle w:val="51"/>
              <w:jc w:val="center"/>
              <w:rPr>
                <w:rFonts w:hint="eastAsia" w:ascii="宋体" w:hAnsi="宋体" w:eastAsia="宋体" w:cs="宋体"/>
                <w:color w:val="auto"/>
                <w:sz w:val="21"/>
                <w:szCs w:val="21"/>
                <w:highlight w:val="none"/>
              </w:rPr>
            </w:pPr>
          </w:p>
        </w:tc>
        <w:tc>
          <w:tcPr>
            <w:tcW w:w="1002" w:type="pct"/>
            <w:vAlign w:val="center"/>
          </w:tcPr>
          <w:p w14:paraId="25A3A5BC">
            <w:pPr>
              <w:pStyle w:val="51"/>
              <w:jc w:val="center"/>
              <w:rPr>
                <w:rFonts w:hint="eastAsia" w:ascii="宋体" w:hAnsi="宋体" w:eastAsia="宋体" w:cs="宋体"/>
                <w:color w:val="auto"/>
                <w:sz w:val="21"/>
                <w:szCs w:val="21"/>
                <w:highlight w:val="none"/>
              </w:rPr>
            </w:pPr>
          </w:p>
        </w:tc>
        <w:tc>
          <w:tcPr>
            <w:tcW w:w="1090" w:type="pct"/>
            <w:vAlign w:val="center"/>
          </w:tcPr>
          <w:p w14:paraId="1B49FF8B">
            <w:pPr>
              <w:pStyle w:val="51"/>
              <w:jc w:val="center"/>
              <w:rPr>
                <w:rFonts w:hint="eastAsia" w:ascii="宋体" w:hAnsi="宋体" w:eastAsia="宋体" w:cs="宋体"/>
                <w:color w:val="auto"/>
                <w:sz w:val="21"/>
                <w:szCs w:val="21"/>
                <w:highlight w:val="none"/>
              </w:rPr>
            </w:pPr>
          </w:p>
        </w:tc>
        <w:tc>
          <w:tcPr>
            <w:tcW w:w="1090" w:type="pct"/>
            <w:vAlign w:val="center"/>
          </w:tcPr>
          <w:p w14:paraId="7AD8A67B">
            <w:pPr>
              <w:pStyle w:val="51"/>
              <w:jc w:val="center"/>
              <w:rPr>
                <w:rFonts w:hint="eastAsia" w:ascii="宋体" w:hAnsi="宋体" w:eastAsia="宋体" w:cs="宋体"/>
                <w:color w:val="auto"/>
                <w:sz w:val="21"/>
                <w:szCs w:val="21"/>
                <w:highlight w:val="none"/>
              </w:rPr>
            </w:pPr>
          </w:p>
        </w:tc>
      </w:tr>
      <w:tr w14:paraId="193F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8504A9">
            <w:pPr>
              <w:pStyle w:val="51"/>
              <w:jc w:val="center"/>
              <w:rPr>
                <w:rFonts w:hint="eastAsia" w:ascii="宋体" w:hAnsi="宋体" w:eastAsia="宋体" w:cs="宋体"/>
                <w:color w:val="auto"/>
                <w:sz w:val="21"/>
                <w:szCs w:val="21"/>
                <w:highlight w:val="none"/>
              </w:rPr>
            </w:pPr>
          </w:p>
        </w:tc>
        <w:tc>
          <w:tcPr>
            <w:tcW w:w="1395" w:type="pct"/>
            <w:vAlign w:val="center"/>
          </w:tcPr>
          <w:p w14:paraId="0B05BA21">
            <w:pPr>
              <w:pStyle w:val="51"/>
              <w:jc w:val="center"/>
              <w:rPr>
                <w:rFonts w:hint="eastAsia" w:ascii="宋体" w:hAnsi="宋体" w:eastAsia="宋体" w:cs="宋体"/>
                <w:color w:val="auto"/>
                <w:sz w:val="21"/>
                <w:szCs w:val="21"/>
                <w:highlight w:val="none"/>
              </w:rPr>
            </w:pPr>
          </w:p>
        </w:tc>
        <w:tc>
          <w:tcPr>
            <w:tcW w:w="1002" w:type="pct"/>
            <w:vAlign w:val="center"/>
          </w:tcPr>
          <w:p w14:paraId="6EE2FD7A">
            <w:pPr>
              <w:pStyle w:val="51"/>
              <w:jc w:val="center"/>
              <w:rPr>
                <w:rFonts w:hint="eastAsia" w:ascii="宋体" w:hAnsi="宋体" w:eastAsia="宋体" w:cs="宋体"/>
                <w:color w:val="auto"/>
                <w:sz w:val="21"/>
                <w:szCs w:val="21"/>
                <w:highlight w:val="none"/>
              </w:rPr>
            </w:pPr>
          </w:p>
        </w:tc>
        <w:tc>
          <w:tcPr>
            <w:tcW w:w="1090" w:type="pct"/>
            <w:vAlign w:val="center"/>
          </w:tcPr>
          <w:p w14:paraId="3C3EE3D6">
            <w:pPr>
              <w:pStyle w:val="51"/>
              <w:jc w:val="center"/>
              <w:rPr>
                <w:rFonts w:hint="eastAsia" w:ascii="宋体" w:hAnsi="宋体" w:eastAsia="宋体" w:cs="宋体"/>
                <w:color w:val="auto"/>
                <w:sz w:val="21"/>
                <w:szCs w:val="21"/>
                <w:highlight w:val="none"/>
              </w:rPr>
            </w:pPr>
          </w:p>
        </w:tc>
        <w:tc>
          <w:tcPr>
            <w:tcW w:w="1090" w:type="pct"/>
            <w:vAlign w:val="center"/>
          </w:tcPr>
          <w:p w14:paraId="0D0213B3">
            <w:pPr>
              <w:pStyle w:val="51"/>
              <w:jc w:val="center"/>
              <w:rPr>
                <w:rFonts w:hint="eastAsia" w:ascii="宋体" w:hAnsi="宋体" w:eastAsia="宋体" w:cs="宋体"/>
                <w:color w:val="auto"/>
                <w:sz w:val="21"/>
                <w:szCs w:val="21"/>
                <w:highlight w:val="none"/>
              </w:rPr>
            </w:pPr>
          </w:p>
        </w:tc>
      </w:tr>
      <w:tr w14:paraId="05BC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DE1BBEB">
            <w:pPr>
              <w:pStyle w:val="51"/>
              <w:jc w:val="center"/>
              <w:rPr>
                <w:rFonts w:hint="eastAsia" w:ascii="宋体" w:hAnsi="宋体" w:eastAsia="宋体" w:cs="宋体"/>
                <w:color w:val="auto"/>
                <w:sz w:val="21"/>
                <w:szCs w:val="21"/>
                <w:highlight w:val="none"/>
              </w:rPr>
            </w:pPr>
          </w:p>
        </w:tc>
        <w:tc>
          <w:tcPr>
            <w:tcW w:w="1395" w:type="pct"/>
            <w:vAlign w:val="center"/>
          </w:tcPr>
          <w:p w14:paraId="2369E7CE">
            <w:pPr>
              <w:pStyle w:val="51"/>
              <w:jc w:val="center"/>
              <w:rPr>
                <w:rFonts w:hint="eastAsia" w:ascii="宋体" w:hAnsi="宋体" w:eastAsia="宋体" w:cs="宋体"/>
                <w:color w:val="auto"/>
                <w:sz w:val="21"/>
                <w:szCs w:val="21"/>
                <w:highlight w:val="none"/>
              </w:rPr>
            </w:pPr>
          </w:p>
        </w:tc>
        <w:tc>
          <w:tcPr>
            <w:tcW w:w="1002" w:type="pct"/>
            <w:vAlign w:val="center"/>
          </w:tcPr>
          <w:p w14:paraId="1C290511">
            <w:pPr>
              <w:pStyle w:val="51"/>
              <w:jc w:val="center"/>
              <w:rPr>
                <w:rFonts w:hint="eastAsia" w:ascii="宋体" w:hAnsi="宋体" w:eastAsia="宋体" w:cs="宋体"/>
                <w:color w:val="auto"/>
                <w:sz w:val="21"/>
                <w:szCs w:val="21"/>
                <w:highlight w:val="none"/>
              </w:rPr>
            </w:pPr>
          </w:p>
        </w:tc>
        <w:tc>
          <w:tcPr>
            <w:tcW w:w="1090" w:type="pct"/>
            <w:vAlign w:val="center"/>
          </w:tcPr>
          <w:p w14:paraId="2E4702A6">
            <w:pPr>
              <w:pStyle w:val="51"/>
              <w:jc w:val="center"/>
              <w:rPr>
                <w:rFonts w:hint="eastAsia" w:ascii="宋体" w:hAnsi="宋体" w:eastAsia="宋体" w:cs="宋体"/>
                <w:color w:val="auto"/>
                <w:sz w:val="21"/>
                <w:szCs w:val="21"/>
                <w:highlight w:val="none"/>
              </w:rPr>
            </w:pPr>
          </w:p>
        </w:tc>
        <w:tc>
          <w:tcPr>
            <w:tcW w:w="1090" w:type="pct"/>
            <w:vAlign w:val="center"/>
          </w:tcPr>
          <w:p w14:paraId="65DCC158">
            <w:pPr>
              <w:pStyle w:val="51"/>
              <w:jc w:val="center"/>
              <w:rPr>
                <w:rFonts w:hint="eastAsia" w:ascii="宋体" w:hAnsi="宋体" w:eastAsia="宋体" w:cs="宋体"/>
                <w:color w:val="auto"/>
                <w:sz w:val="21"/>
                <w:szCs w:val="21"/>
                <w:highlight w:val="none"/>
              </w:rPr>
            </w:pPr>
          </w:p>
        </w:tc>
      </w:tr>
      <w:tr w14:paraId="086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A27D4B4">
            <w:pPr>
              <w:pStyle w:val="51"/>
              <w:jc w:val="center"/>
              <w:rPr>
                <w:rFonts w:hint="eastAsia" w:ascii="宋体" w:hAnsi="宋体" w:eastAsia="宋体" w:cs="宋体"/>
                <w:color w:val="auto"/>
                <w:sz w:val="21"/>
                <w:szCs w:val="21"/>
                <w:highlight w:val="none"/>
              </w:rPr>
            </w:pPr>
          </w:p>
        </w:tc>
        <w:tc>
          <w:tcPr>
            <w:tcW w:w="1395" w:type="pct"/>
            <w:vAlign w:val="center"/>
          </w:tcPr>
          <w:p w14:paraId="15CE8362">
            <w:pPr>
              <w:pStyle w:val="51"/>
              <w:jc w:val="center"/>
              <w:rPr>
                <w:rFonts w:hint="eastAsia" w:ascii="宋体" w:hAnsi="宋体" w:eastAsia="宋体" w:cs="宋体"/>
                <w:color w:val="auto"/>
                <w:sz w:val="21"/>
                <w:szCs w:val="21"/>
                <w:highlight w:val="none"/>
              </w:rPr>
            </w:pPr>
          </w:p>
        </w:tc>
        <w:tc>
          <w:tcPr>
            <w:tcW w:w="1002" w:type="pct"/>
            <w:vAlign w:val="center"/>
          </w:tcPr>
          <w:p w14:paraId="78520959">
            <w:pPr>
              <w:pStyle w:val="51"/>
              <w:jc w:val="center"/>
              <w:rPr>
                <w:rFonts w:hint="eastAsia" w:ascii="宋体" w:hAnsi="宋体" w:eastAsia="宋体" w:cs="宋体"/>
                <w:color w:val="auto"/>
                <w:sz w:val="21"/>
                <w:szCs w:val="21"/>
                <w:highlight w:val="none"/>
              </w:rPr>
            </w:pPr>
          </w:p>
        </w:tc>
        <w:tc>
          <w:tcPr>
            <w:tcW w:w="1090" w:type="pct"/>
            <w:vAlign w:val="center"/>
          </w:tcPr>
          <w:p w14:paraId="6B647A83">
            <w:pPr>
              <w:pStyle w:val="51"/>
              <w:jc w:val="center"/>
              <w:rPr>
                <w:rFonts w:hint="eastAsia" w:ascii="宋体" w:hAnsi="宋体" w:eastAsia="宋体" w:cs="宋体"/>
                <w:color w:val="auto"/>
                <w:sz w:val="21"/>
                <w:szCs w:val="21"/>
                <w:highlight w:val="none"/>
              </w:rPr>
            </w:pPr>
          </w:p>
        </w:tc>
        <w:tc>
          <w:tcPr>
            <w:tcW w:w="1090" w:type="pct"/>
            <w:vAlign w:val="center"/>
          </w:tcPr>
          <w:p w14:paraId="53ABE546">
            <w:pPr>
              <w:pStyle w:val="51"/>
              <w:jc w:val="center"/>
              <w:rPr>
                <w:rFonts w:hint="eastAsia" w:ascii="宋体" w:hAnsi="宋体" w:eastAsia="宋体" w:cs="宋体"/>
                <w:color w:val="auto"/>
                <w:sz w:val="21"/>
                <w:szCs w:val="21"/>
                <w:highlight w:val="none"/>
              </w:rPr>
            </w:pPr>
          </w:p>
        </w:tc>
      </w:tr>
      <w:tr w14:paraId="2CD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BECA690">
            <w:pPr>
              <w:pStyle w:val="51"/>
              <w:jc w:val="center"/>
              <w:rPr>
                <w:rFonts w:hint="eastAsia" w:ascii="宋体" w:hAnsi="宋体" w:eastAsia="宋体" w:cs="宋体"/>
                <w:color w:val="auto"/>
                <w:sz w:val="21"/>
                <w:szCs w:val="21"/>
                <w:highlight w:val="none"/>
              </w:rPr>
            </w:pPr>
          </w:p>
        </w:tc>
        <w:tc>
          <w:tcPr>
            <w:tcW w:w="1395" w:type="pct"/>
            <w:vAlign w:val="center"/>
          </w:tcPr>
          <w:p w14:paraId="1376A9AF">
            <w:pPr>
              <w:pStyle w:val="51"/>
              <w:jc w:val="center"/>
              <w:rPr>
                <w:rFonts w:hint="eastAsia" w:ascii="宋体" w:hAnsi="宋体" w:eastAsia="宋体" w:cs="宋体"/>
                <w:color w:val="auto"/>
                <w:sz w:val="21"/>
                <w:szCs w:val="21"/>
                <w:highlight w:val="none"/>
              </w:rPr>
            </w:pPr>
          </w:p>
        </w:tc>
        <w:tc>
          <w:tcPr>
            <w:tcW w:w="1002" w:type="pct"/>
            <w:vAlign w:val="center"/>
          </w:tcPr>
          <w:p w14:paraId="021889CB">
            <w:pPr>
              <w:pStyle w:val="51"/>
              <w:jc w:val="center"/>
              <w:rPr>
                <w:rFonts w:hint="eastAsia" w:ascii="宋体" w:hAnsi="宋体" w:eastAsia="宋体" w:cs="宋体"/>
                <w:color w:val="auto"/>
                <w:sz w:val="21"/>
                <w:szCs w:val="21"/>
                <w:highlight w:val="none"/>
              </w:rPr>
            </w:pPr>
          </w:p>
        </w:tc>
        <w:tc>
          <w:tcPr>
            <w:tcW w:w="1090" w:type="pct"/>
            <w:vAlign w:val="center"/>
          </w:tcPr>
          <w:p w14:paraId="1AA6C389">
            <w:pPr>
              <w:pStyle w:val="51"/>
              <w:jc w:val="center"/>
              <w:rPr>
                <w:rFonts w:hint="eastAsia" w:ascii="宋体" w:hAnsi="宋体" w:eastAsia="宋体" w:cs="宋体"/>
                <w:color w:val="auto"/>
                <w:sz w:val="21"/>
                <w:szCs w:val="21"/>
                <w:highlight w:val="none"/>
              </w:rPr>
            </w:pPr>
          </w:p>
        </w:tc>
        <w:tc>
          <w:tcPr>
            <w:tcW w:w="1090" w:type="pct"/>
            <w:vAlign w:val="center"/>
          </w:tcPr>
          <w:p w14:paraId="326386ED">
            <w:pPr>
              <w:pStyle w:val="51"/>
              <w:jc w:val="center"/>
              <w:rPr>
                <w:rFonts w:hint="eastAsia" w:ascii="宋体" w:hAnsi="宋体" w:eastAsia="宋体" w:cs="宋体"/>
                <w:color w:val="auto"/>
                <w:sz w:val="21"/>
                <w:szCs w:val="21"/>
                <w:highlight w:val="none"/>
              </w:rPr>
            </w:pPr>
          </w:p>
        </w:tc>
      </w:tr>
      <w:tr w14:paraId="53B1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06D2AB5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799470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460CD4A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6A23004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68EC7DE5">
            <w:pPr>
              <w:pStyle w:val="51"/>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258EF608">
      <w:pPr>
        <w:ind w:firstLine="420"/>
        <w:rPr>
          <w:rFonts w:cs="仿宋_GB2312"/>
          <w:color w:val="auto"/>
          <w:szCs w:val="24"/>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ind w:firstLine="420"/>
        <w:rPr>
          <w:rFonts w:cs="仿宋_GB2312"/>
          <w:color w:val="auto"/>
          <w:szCs w:val="24"/>
          <w:highlight w:val="none"/>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99" w:name="_Toc17815"/>
      <w:bookmarkStart w:id="500" w:name="_Toc2100"/>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499"/>
      <w:bookmarkEnd w:id="500"/>
    </w:p>
    <w:p w14:paraId="7DB08DA5">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4A687997">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1"/>
        <w:tblW w:w="8722"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180"/>
        <w:gridCol w:w="1364"/>
        <w:gridCol w:w="1419"/>
        <w:gridCol w:w="1402"/>
        <w:gridCol w:w="1495"/>
        <w:gridCol w:w="1049"/>
      </w:tblGrid>
      <w:tr w14:paraId="0BB3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3" w:type="dxa"/>
            <w:vAlign w:val="center"/>
          </w:tcPr>
          <w:p w14:paraId="37278D52">
            <w:pPr>
              <w:jc w:val="center"/>
              <w:rPr>
                <w:rFonts w:hint="eastAsia" w:ascii="宋体" w:hAnsi="宋体" w:eastAsia="宋体" w:cs="宋体"/>
                <w:color w:val="auto"/>
                <w:sz w:val="21"/>
                <w:szCs w:val="21"/>
                <w:highlight w:val="none"/>
              </w:rPr>
            </w:pPr>
            <w:bookmarkStart w:id="501" w:name="_Hlk46779239"/>
            <w:r>
              <w:rPr>
                <w:rFonts w:hint="eastAsia" w:ascii="宋体" w:hAnsi="宋体" w:eastAsia="宋体" w:cs="宋体"/>
                <w:color w:val="auto"/>
                <w:sz w:val="21"/>
                <w:szCs w:val="21"/>
                <w:highlight w:val="none"/>
              </w:rPr>
              <w:t>序号</w:t>
            </w:r>
          </w:p>
        </w:tc>
        <w:tc>
          <w:tcPr>
            <w:tcW w:w="1180" w:type="dxa"/>
            <w:shd w:val="clear" w:color="auto" w:fill="auto"/>
            <w:vAlign w:val="center"/>
          </w:tcPr>
          <w:p w14:paraId="5EA65C0E">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64" w:type="dxa"/>
            <w:shd w:val="clear" w:color="auto" w:fill="auto"/>
            <w:vAlign w:val="center"/>
          </w:tcPr>
          <w:p w14:paraId="15F71199">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419" w:type="dxa"/>
            <w:shd w:val="clear" w:color="auto" w:fill="auto"/>
            <w:vAlign w:val="center"/>
          </w:tcPr>
          <w:p w14:paraId="7F2B957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402" w:type="dxa"/>
            <w:shd w:val="clear" w:color="auto" w:fill="auto"/>
            <w:vAlign w:val="center"/>
          </w:tcPr>
          <w:p w14:paraId="56A87752">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495" w:type="dxa"/>
            <w:shd w:val="clear" w:color="auto" w:fill="auto"/>
            <w:vAlign w:val="center"/>
          </w:tcPr>
          <w:p w14:paraId="55D436A5">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49" w:type="dxa"/>
            <w:shd w:val="clear" w:color="auto" w:fill="auto"/>
            <w:vAlign w:val="center"/>
          </w:tcPr>
          <w:p w14:paraId="0DD0D2D4">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49BD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61F1D1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80" w:type="dxa"/>
            <w:vAlign w:val="center"/>
          </w:tcPr>
          <w:p w14:paraId="25A72089">
            <w:pPr>
              <w:rPr>
                <w:rFonts w:hint="eastAsia" w:ascii="宋体" w:hAnsi="宋体" w:eastAsia="宋体" w:cs="宋体"/>
                <w:color w:val="auto"/>
                <w:sz w:val="21"/>
                <w:szCs w:val="21"/>
                <w:highlight w:val="none"/>
              </w:rPr>
            </w:pPr>
          </w:p>
        </w:tc>
        <w:tc>
          <w:tcPr>
            <w:tcW w:w="1364" w:type="dxa"/>
            <w:vAlign w:val="center"/>
          </w:tcPr>
          <w:p w14:paraId="6F3805E3">
            <w:pPr>
              <w:rPr>
                <w:rFonts w:hint="eastAsia" w:ascii="宋体" w:hAnsi="宋体" w:eastAsia="宋体" w:cs="宋体"/>
                <w:color w:val="auto"/>
                <w:sz w:val="21"/>
                <w:szCs w:val="21"/>
                <w:highlight w:val="none"/>
              </w:rPr>
            </w:pPr>
          </w:p>
        </w:tc>
        <w:tc>
          <w:tcPr>
            <w:tcW w:w="1419" w:type="dxa"/>
            <w:vAlign w:val="center"/>
          </w:tcPr>
          <w:p w14:paraId="7CB7C00C">
            <w:pPr>
              <w:rPr>
                <w:rFonts w:hint="eastAsia" w:ascii="宋体" w:hAnsi="宋体" w:eastAsia="宋体" w:cs="宋体"/>
                <w:color w:val="auto"/>
                <w:sz w:val="21"/>
                <w:szCs w:val="21"/>
                <w:highlight w:val="none"/>
              </w:rPr>
            </w:pPr>
          </w:p>
        </w:tc>
        <w:tc>
          <w:tcPr>
            <w:tcW w:w="1402" w:type="dxa"/>
            <w:vAlign w:val="center"/>
          </w:tcPr>
          <w:p w14:paraId="60DAC622">
            <w:pPr>
              <w:rPr>
                <w:rFonts w:hint="eastAsia" w:ascii="宋体" w:hAnsi="宋体" w:eastAsia="宋体" w:cs="宋体"/>
                <w:color w:val="auto"/>
                <w:sz w:val="21"/>
                <w:szCs w:val="21"/>
                <w:highlight w:val="none"/>
              </w:rPr>
            </w:pPr>
          </w:p>
        </w:tc>
        <w:tc>
          <w:tcPr>
            <w:tcW w:w="1495" w:type="dxa"/>
            <w:vAlign w:val="center"/>
          </w:tcPr>
          <w:p w14:paraId="5436BEC1">
            <w:pPr>
              <w:rPr>
                <w:rFonts w:hint="eastAsia" w:ascii="宋体" w:hAnsi="宋体" w:eastAsia="宋体" w:cs="宋体"/>
                <w:color w:val="auto"/>
                <w:sz w:val="21"/>
                <w:szCs w:val="21"/>
                <w:highlight w:val="none"/>
              </w:rPr>
            </w:pPr>
          </w:p>
        </w:tc>
        <w:tc>
          <w:tcPr>
            <w:tcW w:w="1049" w:type="dxa"/>
            <w:vAlign w:val="center"/>
          </w:tcPr>
          <w:p w14:paraId="4A8D26BB">
            <w:pPr>
              <w:rPr>
                <w:rFonts w:hint="eastAsia" w:ascii="宋体" w:hAnsi="宋体" w:eastAsia="宋体" w:cs="宋体"/>
                <w:color w:val="auto"/>
                <w:sz w:val="21"/>
                <w:szCs w:val="21"/>
                <w:highlight w:val="none"/>
              </w:rPr>
            </w:pPr>
          </w:p>
        </w:tc>
      </w:tr>
      <w:tr w14:paraId="4367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0317484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80" w:type="dxa"/>
            <w:vAlign w:val="center"/>
          </w:tcPr>
          <w:p w14:paraId="3C7437EA">
            <w:pPr>
              <w:rPr>
                <w:rFonts w:hint="eastAsia" w:ascii="宋体" w:hAnsi="宋体" w:eastAsia="宋体" w:cs="宋体"/>
                <w:color w:val="auto"/>
                <w:sz w:val="21"/>
                <w:szCs w:val="21"/>
                <w:highlight w:val="none"/>
              </w:rPr>
            </w:pPr>
          </w:p>
        </w:tc>
        <w:tc>
          <w:tcPr>
            <w:tcW w:w="1364" w:type="dxa"/>
            <w:vAlign w:val="center"/>
          </w:tcPr>
          <w:p w14:paraId="753A8A2D">
            <w:pPr>
              <w:rPr>
                <w:rFonts w:hint="eastAsia" w:ascii="宋体" w:hAnsi="宋体" w:eastAsia="宋体" w:cs="宋体"/>
                <w:color w:val="auto"/>
                <w:sz w:val="21"/>
                <w:szCs w:val="21"/>
                <w:highlight w:val="none"/>
              </w:rPr>
            </w:pPr>
          </w:p>
        </w:tc>
        <w:tc>
          <w:tcPr>
            <w:tcW w:w="1419" w:type="dxa"/>
            <w:vAlign w:val="center"/>
          </w:tcPr>
          <w:p w14:paraId="02634890">
            <w:pPr>
              <w:rPr>
                <w:rFonts w:hint="eastAsia" w:ascii="宋体" w:hAnsi="宋体" w:eastAsia="宋体" w:cs="宋体"/>
                <w:color w:val="auto"/>
                <w:sz w:val="21"/>
                <w:szCs w:val="21"/>
                <w:highlight w:val="none"/>
              </w:rPr>
            </w:pPr>
          </w:p>
        </w:tc>
        <w:tc>
          <w:tcPr>
            <w:tcW w:w="1402" w:type="dxa"/>
            <w:vAlign w:val="center"/>
          </w:tcPr>
          <w:p w14:paraId="3563AED4">
            <w:pPr>
              <w:rPr>
                <w:rFonts w:hint="eastAsia" w:ascii="宋体" w:hAnsi="宋体" w:eastAsia="宋体" w:cs="宋体"/>
                <w:color w:val="auto"/>
                <w:sz w:val="21"/>
                <w:szCs w:val="21"/>
                <w:highlight w:val="none"/>
              </w:rPr>
            </w:pPr>
          </w:p>
        </w:tc>
        <w:tc>
          <w:tcPr>
            <w:tcW w:w="1495" w:type="dxa"/>
            <w:vAlign w:val="center"/>
          </w:tcPr>
          <w:p w14:paraId="4ED6DFCE">
            <w:pPr>
              <w:rPr>
                <w:rFonts w:hint="eastAsia" w:ascii="宋体" w:hAnsi="宋体" w:eastAsia="宋体" w:cs="宋体"/>
                <w:color w:val="auto"/>
                <w:sz w:val="21"/>
                <w:szCs w:val="21"/>
                <w:highlight w:val="none"/>
              </w:rPr>
            </w:pPr>
          </w:p>
        </w:tc>
        <w:tc>
          <w:tcPr>
            <w:tcW w:w="1049" w:type="dxa"/>
            <w:vAlign w:val="center"/>
          </w:tcPr>
          <w:p w14:paraId="3DDF15B1">
            <w:pPr>
              <w:rPr>
                <w:rFonts w:hint="eastAsia" w:ascii="宋体" w:hAnsi="宋体" w:eastAsia="宋体" w:cs="宋体"/>
                <w:color w:val="auto"/>
                <w:sz w:val="21"/>
                <w:szCs w:val="21"/>
                <w:highlight w:val="none"/>
              </w:rPr>
            </w:pPr>
          </w:p>
        </w:tc>
      </w:tr>
      <w:tr w14:paraId="026F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6CB6EA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80" w:type="dxa"/>
            <w:vAlign w:val="center"/>
          </w:tcPr>
          <w:p w14:paraId="5AFF132B">
            <w:pPr>
              <w:rPr>
                <w:rFonts w:hint="eastAsia" w:ascii="宋体" w:hAnsi="宋体" w:eastAsia="宋体" w:cs="宋体"/>
                <w:color w:val="auto"/>
                <w:sz w:val="21"/>
                <w:szCs w:val="21"/>
                <w:highlight w:val="none"/>
              </w:rPr>
            </w:pPr>
          </w:p>
        </w:tc>
        <w:tc>
          <w:tcPr>
            <w:tcW w:w="1364" w:type="dxa"/>
            <w:vAlign w:val="center"/>
          </w:tcPr>
          <w:p w14:paraId="40DFA463">
            <w:pPr>
              <w:rPr>
                <w:rFonts w:hint="eastAsia" w:ascii="宋体" w:hAnsi="宋体" w:eastAsia="宋体" w:cs="宋体"/>
                <w:color w:val="auto"/>
                <w:sz w:val="21"/>
                <w:szCs w:val="21"/>
                <w:highlight w:val="none"/>
              </w:rPr>
            </w:pPr>
          </w:p>
        </w:tc>
        <w:tc>
          <w:tcPr>
            <w:tcW w:w="1419" w:type="dxa"/>
            <w:vAlign w:val="center"/>
          </w:tcPr>
          <w:p w14:paraId="192188BA">
            <w:pPr>
              <w:rPr>
                <w:rFonts w:hint="eastAsia" w:ascii="宋体" w:hAnsi="宋体" w:eastAsia="宋体" w:cs="宋体"/>
                <w:color w:val="auto"/>
                <w:sz w:val="21"/>
                <w:szCs w:val="21"/>
                <w:highlight w:val="none"/>
              </w:rPr>
            </w:pPr>
          </w:p>
        </w:tc>
        <w:tc>
          <w:tcPr>
            <w:tcW w:w="1402" w:type="dxa"/>
            <w:vAlign w:val="center"/>
          </w:tcPr>
          <w:p w14:paraId="58044B96">
            <w:pPr>
              <w:rPr>
                <w:rFonts w:hint="eastAsia" w:ascii="宋体" w:hAnsi="宋体" w:eastAsia="宋体" w:cs="宋体"/>
                <w:color w:val="auto"/>
                <w:sz w:val="21"/>
                <w:szCs w:val="21"/>
                <w:highlight w:val="none"/>
              </w:rPr>
            </w:pPr>
          </w:p>
        </w:tc>
        <w:tc>
          <w:tcPr>
            <w:tcW w:w="1495" w:type="dxa"/>
            <w:vAlign w:val="center"/>
          </w:tcPr>
          <w:p w14:paraId="10BAB04D">
            <w:pPr>
              <w:rPr>
                <w:rFonts w:hint="eastAsia" w:ascii="宋体" w:hAnsi="宋体" w:eastAsia="宋体" w:cs="宋体"/>
                <w:color w:val="auto"/>
                <w:sz w:val="21"/>
                <w:szCs w:val="21"/>
                <w:highlight w:val="none"/>
              </w:rPr>
            </w:pPr>
          </w:p>
        </w:tc>
        <w:tc>
          <w:tcPr>
            <w:tcW w:w="1049" w:type="dxa"/>
            <w:vAlign w:val="center"/>
          </w:tcPr>
          <w:p w14:paraId="38FE3D5D">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3"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80" w:type="dxa"/>
            <w:vAlign w:val="center"/>
          </w:tcPr>
          <w:p w14:paraId="12629B54">
            <w:pPr>
              <w:rPr>
                <w:rFonts w:hint="eastAsia" w:ascii="宋体" w:hAnsi="宋体" w:eastAsia="宋体" w:cs="宋体"/>
                <w:color w:val="auto"/>
                <w:sz w:val="21"/>
                <w:szCs w:val="21"/>
                <w:highlight w:val="none"/>
              </w:rPr>
            </w:pPr>
          </w:p>
        </w:tc>
        <w:tc>
          <w:tcPr>
            <w:tcW w:w="1364" w:type="dxa"/>
            <w:vAlign w:val="center"/>
          </w:tcPr>
          <w:p w14:paraId="278EE304">
            <w:pPr>
              <w:rPr>
                <w:rFonts w:hint="eastAsia" w:ascii="宋体" w:hAnsi="宋体" w:eastAsia="宋体" w:cs="宋体"/>
                <w:color w:val="auto"/>
                <w:sz w:val="21"/>
                <w:szCs w:val="21"/>
                <w:highlight w:val="none"/>
              </w:rPr>
            </w:pPr>
          </w:p>
        </w:tc>
        <w:tc>
          <w:tcPr>
            <w:tcW w:w="1419" w:type="dxa"/>
            <w:vAlign w:val="center"/>
          </w:tcPr>
          <w:p w14:paraId="502FE2B6">
            <w:pPr>
              <w:rPr>
                <w:rFonts w:hint="eastAsia" w:ascii="宋体" w:hAnsi="宋体" w:eastAsia="宋体" w:cs="宋体"/>
                <w:color w:val="auto"/>
                <w:sz w:val="21"/>
                <w:szCs w:val="21"/>
                <w:highlight w:val="none"/>
              </w:rPr>
            </w:pPr>
          </w:p>
        </w:tc>
        <w:tc>
          <w:tcPr>
            <w:tcW w:w="1402" w:type="dxa"/>
            <w:vAlign w:val="center"/>
          </w:tcPr>
          <w:p w14:paraId="44F7BE63">
            <w:pPr>
              <w:rPr>
                <w:rFonts w:hint="eastAsia" w:ascii="宋体" w:hAnsi="宋体" w:eastAsia="宋体" w:cs="宋体"/>
                <w:color w:val="auto"/>
                <w:sz w:val="21"/>
                <w:szCs w:val="21"/>
                <w:highlight w:val="none"/>
              </w:rPr>
            </w:pPr>
          </w:p>
        </w:tc>
        <w:tc>
          <w:tcPr>
            <w:tcW w:w="1495" w:type="dxa"/>
            <w:vAlign w:val="center"/>
          </w:tcPr>
          <w:p w14:paraId="463BDC1B">
            <w:pPr>
              <w:rPr>
                <w:rFonts w:hint="eastAsia" w:ascii="宋体" w:hAnsi="宋体" w:eastAsia="宋体" w:cs="宋体"/>
                <w:color w:val="auto"/>
                <w:sz w:val="21"/>
                <w:szCs w:val="21"/>
                <w:highlight w:val="none"/>
              </w:rPr>
            </w:pPr>
          </w:p>
        </w:tc>
        <w:tc>
          <w:tcPr>
            <w:tcW w:w="1049" w:type="dxa"/>
            <w:vAlign w:val="center"/>
          </w:tcPr>
          <w:p w14:paraId="5208210B">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80" w:type="dxa"/>
            <w:vAlign w:val="center"/>
          </w:tcPr>
          <w:p w14:paraId="1728B663">
            <w:pPr>
              <w:rPr>
                <w:rFonts w:hint="eastAsia" w:ascii="宋体" w:hAnsi="宋体" w:eastAsia="宋体" w:cs="宋体"/>
                <w:color w:val="auto"/>
                <w:sz w:val="21"/>
                <w:szCs w:val="21"/>
                <w:highlight w:val="none"/>
              </w:rPr>
            </w:pPr>
          </w:p>
        </w:tc>
        <w:tc>
          <w:tcPr>
            <w:tcW w:w="1364" w:type="dxa"/>
            <w:vAlign w:val="center"/>
          </w:tcPr>
          <w:p w14:paraId="5B701B38">
            <w:pPr>
              <w:rPr>
                <w:rFonts w:hint="eastAsia" w:ascii="宋体" w:hAnsi="宋体" w:eastAsia="宋体" w:cs="宋体"/>
                <w:color w:val="auto"/>
                <w:sz w:val="21"/>
                <w:szCs w:val="21"/>
                <w:highlight w:val="none"/>
              </w:rPr>
            </w:pPr>
          </w:p>
        </w:tc>
        <w:tc>
          <w:tcPr>
            <w:tcW w:w="1419" w:type="dxa"/>
            <w:vAlign w:val="center"/>
          </w:tcPr>
          <w:p w14:paraId="0BFD5658">
            <w:pPr>
              <w:rPr>
                <w:rFonts w:hint="eastAsia" w:ascii="宋体" w:hAnsi="宋体" w:eastAsia="宋体" w:cs="宋体"/>
                <w:color w:val="auto"/>
                <w:sz w:val="21"/>
                <w:szCs w:val="21"/>
                <w:highlight w:val="none"/>
              </w:rPr>
            </w:pPr>
          </w:p>
        </w:tc>
        <w:tc>
          <w:tcPr>
            <w:tcW w:w="1402" w:type="dxa"/>
            <w:vAlign w:val="center"/>
          </w:tcPr>
          <w:p w14:paraId="56955758">
            <w:pPr>
              <w:rPr>
                <w:rFonts w:hint="eastAsia" w:ascii="宋体" w:hAnsi="宋体" w:eastAsia="宋体" w:cs="宋体"/>
                <w:color w:val="auto"/>
                <w:sz w:val="21"/>
                <w:szCs w:val="21"/>
                <w:highlight w:val="none"/>
              </w:rPr>
            </w:pPr>
          </w:p>
        </w:tc>
        <w:tc>
          <w:tcPr>
            <w:tcW w:w="1495" w:type="dxa"/>
            <w:vAlign w:val="center"/>
          </w:tcPr>
          <w:p w14:paraId="6AF4F252">
            <w:pPr>
              <w:rPr>
                <w:rFonts w:hint="eastAsia" w:ascii="宋体" w:hAnsi="宋体" w:eastAsia="宋体" w:cs="宋体"/>
                <w:color w:val="auto"/>
                <w:sz w:val="21"/>
                <w:szCs w:val="21"/>
                <w:highlight w:val="none"/>
              </w:rPr>
            </w:pPr>
          </w:p>
        </w:tc>
        <w:tc>
          <w:tcPr>
            <w:tcW w:w="1049" w:type="dxa"/>
            <w:vAlign w:val="center"/>
          </w:tcPr>
          <w:p w14:paraId="0E461DD3">
            <w:pPr>
              <w:rPr>
                <w:rFonts w:hint="eastAsia" w:ascii="宋体" w:hAnsi="宋体" w:eastAsia="宋体" w:cs="宋体"/>
                <w:color w:val="auto"/>
                <w:sz w:val="21"/>
                <w:szCs w:val="21"/>
                <w:highlight w:val="none"/>
              </w:rPr>
            </w:pPr>
          </w:p>
        </w:tc>
      </w:tr>
      <w:tr w14:paraId="682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3" w:type="dxa"/>
            <w:vAlign w:val="center"/>
          </w:tcPr>
          <w:p w14:paraId="5EB02E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80" w:type="dxa"/>
            <w:vAlign w:val="center"/>
          </w:tcPr>
          <w:p w14:paraId="30E7C832">
            <w:pPr>
              <w:rPr>
                <w:rFonts w:hint="eastAsia" w:ascii="宋体" w:hAnsi="宋体" w:eastAsia="宋体" w:cs="宋体"/>
                <w:color w:val="auto"/>
                <w:sz w:val="21"/>
                <w:szCs w:val="21"/>
                <w:highlight w:val="none"/>
              </w:rPr>
            </w:pPr>
          </w:p>
        </w:tc>
        <w:tc>
          <w:tcPr>
            <w:tcW w:w="1364" w:type="dxa"/>
            <w:vAlign w:val="center"/>
          </w:tcPr>
          <w:p w14:paraId="147B2F98">
            <w:pPr>
              <w:rPr>
                <w:rFonts w:hint="eastAsia" w:ascii="宋体" w:hAnsi="宋体" w:eastAsia="宋体" w:cs="宋体"/>
                <w:color w:val="auto"/>
                <w:sz w:val="21"/>
                <w:szCs w:val="21"/>
                <w:highlight w:val="none"/>
              </w:rPr>
            </w:pPr>
          </w:p>
        </w:tc>
        <w:tc>
          <w:tcPr>
            <w:tcW w:w="1419" w:type="dxa"/>
            <w:vAlign w:val="center"/>
          </w:tcPr>
          <w:p w14:paraId="61B0E0D4">
            <w:pPr>
              <w:rPr>
                <w:rFonts w:hint="eastAsia" w:ascii="宋体" w:hAnsi="宋体" w:eastAsia="宋体" w:cs="宋体"/>
                <w:color w:val="auto"/>
                <w:sz w:val="21"/>
                <w:szCs w:val="21"/>
                <w:highlight w:val="none"/>
              </w:rPr>
            </w:pPr>
          </w:p>
        </w:tc>
        <w:tc>
          <w:tcPr>
            <w:tcW w:w="1402" w:type="dxa"/>
            <w:vAlign w:val="center"/>
          </w:tcPr>
          <w:p w14:paraId="6B918799">
            <w:pPr>
              <w:rPr>
                <w:rFonts w:hint="eastAsia" w:ascii="宋体" w:hAnsi="宋体" w:eastAsia="宋体" w:cs="宋体"/>
                <w:color w:val="auto"/>
                <w:sz w:val="21"/>
                <w:szCs w:val="21"/>
                <w:highlight w:val="none"/>
              </w:rPr>
            </w:pPr>
          </w:p>
        </w:tc>
        <w:tc>
          <w:tcPr>
            <w:tcW w:w="1495" w:type="dxa"/>
            <w:vAlign w:val="center"/>
          </w:tcPr>
          <w:p w14:paraId="1BCEEA1A">
            <w:pPr>
              <w:rPr>
                <w:rFonts w:hint="eastAsia" w:ascii="宋体" w:hAnsi="宋体" w:eastAsia="宋体" w:cs="宋体"/>
                <w:color w:val="auto"/>
                <w:sz w:val="21"/>
                <w:szCs w:val="21"/>
                <w:highlight w:val="none"/>
              </w:rPr>
            </w:pPr>
          </w:p>
        </w:tc>
        <w:tc>
          <w:tcPr>
            <w:tcW w:w="1049" w:type="dxa"/>
            <w:vAlign w:val="center"/>
          </w:tcPr>
          <w:p w14:paraId="4A3F6BEC">
            <w:pPr>
              <w:rPr>
                <w:rFonts w:hint="eastAsia" w:ascii="宋体" w:hAnsi="宋体" w:eastAsia="宋体" w:cs="宋体"/>
                <w:color w:val="auto"/>
                <w:sz w:val="21"/>
                <w:szCs w:val="21"/>
                <w:highlight w:val="none"/>
              </w:rPr>
            </w:pPr>
          </w:p>
        </w:tc>
      </w:tr>
      <w:bookmarkEnd w:id="501"/>
    </w:tbl>
    <w:p w14:paraId="217BAF3D">
      <w:pPr>
        <w:rPr>
          <w:rFonts w:hint="eastAsia" w:cs="仿宋_GB2312"/>
          <w:color w:val="auto"/>
          <w:szCs w:val="24"/>
          <w:highlight w:val="none"/>
        </w:rPr>
      </w:pPr>
    </w:p>
    <w:p w14:paraId="088168D4">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7D75AD1">
      <w:pPr>
        <w:rPr>
          <w:rFonts w:cs="仿宋_GB2312"/>
          <w:color w:val="auto"/>
          <w:szCs w:val="24"/>
          <w:highlight w:val="none"/>
        </w:rPr>
      </w:pPr>
    </w:p>
    <w:p w14:paraId="5DB99613">
      <w:pPr>
        <w:widowControl/>
        <w:spacing w:before="100" w:beforeAutospacing="1" w:after="100" w:afterAutospacing="1"/>
        <w:rPr>
          <w:rFonts w:cs="Arial"/>
          <w:color w:val="auto"/>
          <w:szCs w:val="21"/>
          <w:highlight w:val="none"/>
        </w:rPr>
      </w:pPr>
    </w:p>
    <w:p w14:paraId="68FCBA1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02" w:name="_Toc24146"/>
      <w:bookmarkStart w:id="503" w:name="_Toc22277"/>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502"/>
      <w:bookmarkEnd w:id="503"/>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4" w:hRule="atLeast"/>
        </w:trPr>
        <w:tc>
          <w:tcPr>
            <w:tcW w:w="773" w:type="dxa"/>
            <w:vAlign w:val="center"/>
          </w:tcPr>
          <w:p w14:paraId="6B0F782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0940B260">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1"/>
              <w:jc w:val="center"/>
              <w:rPr>
                <w:rFonts w:hint="eastAsia" w:ascii="宋体" w:hAnsi="宋体" w:eastAsia="宋体" w:cs="宋体"/>
                <w:color w:val="auto"/>
                <w:sz w:val="21"/>
                <w:szCs w:val="21"/>
                <w:highlight w:val="none"/>
              </w:rPr>
            </w:pPr>
            <w:bookmarkStart w:id="504" w:name="_Toc99533292"/>
            <w:bookmarkStart w:id="505" w:name="_Toc100090784"/>
            <w:r>
              <w:rPr>
                <w:rFonts w:hint="eastAsia" w:ascii="宋体" w:hAnsi="宋体" w:eastAsia="宋体" w:cs="宋体"/>
                <w:color w:val="auto"/>
                <w:sz w:val="21"/>
                <w:szCs w:val="21"/>
                <w:highlight w:val="none"/>
              </w:rPr>
              <w:t>1</w:t>
            </w:r>
            <w:bookmarkEnd w:id="504"/>
            <w:bookmarkEnd w:id="505"/>
          </w:p>
        </w:tc>
        <w:tc>
          <w:tcPr>
            <w:tcW w:w="1267" w:type="dxa"/>
            <w:vAlign w:val="center"/>
          </w:tcPr>
          <w:p w14:paraId="04D72608">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1"/>
              <w:jc w:val="center"/>
              <w:rPr>
                <w:rFonts w:hint="eastAsia" w:ascii="宋体" w:hAnsi="宋体" w:eastAsia="宋体" w:cs="宋体"/>
                <w:color w:val="auto"/>
                <w:sz w:val="21"/>
                <w:szCs w:val="21"/>
                <w:highlight w:val="none"/>
              </w:rPr>
            </w:pPr>
          </w:p>
        </w:tc>
        <w:tc>
          <w:tcPr>
            <w:tcW w:w="1860" w:type="dxa"/>
            <w:vAlign w:val="center"/>
          </w:tcPr>
          <w:p w14:paraId="7F355EC3">
            <w:pPr>
              <w:pStyle w:val="51"/>
              <w:jc w:val="center"/>
              <w:rPr>
                <w:rFonts w:hint="eastAsia" w:ascii="宋体" w:hAnsi="宋体" w:eastAsia="宋体" w:cs="宋体"/>
                <w:color w:val="auto"/>
                <w:sz w:val="21"/>
                <w:szCs w:val="21"/>
                <w:highlight w:val="none"/>
              </w:rPr>
            </w:pPr>
          </w:p>
        </w:tc>
        <w:tc>
          <w:tcPr>
            <w:tcW w:w="1356" w:type="dxa"/>
            <w:vAlign w:val="center"/>
          </w:tcPr>
          <w:p w14:paraId="11476DCE">
            <w:pPr>
              <w:pStyle w:val="51"/>
              <w:jc w:val="center"/>
              <w:rPr>
                <w:rFonts w:hint="eastAsia" w:ascii="宋体" w:hAnsi="宋体" w:eastAsia="宋体" w:cs="宋体"/>
                <w:color w:val="auto"/>
                <w:sz w:val="21"/>
                <w:szCs w:val="21"/>
                <w:highlight w:val="none"/>
              </w:rPr>
            </w:pPr>
          </w:p>
        </w:tc>
        <w:tc>
          <w:tcPr>
            <w:tcW w:w="816" w:type="dxa"/>
            <w:vAlign w:val="center"/>
          </w:tcPr>
          <w:p w14:paraId="30F5864D">
            <w:pPr>
              <w:pStyle w:val="51"/>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1"/>
              <w:jc w:val="center"/>
              <w:rPr>
                <w:rFonts w:hint="eastAsia" w:ascii="宋体" w:hAnsi="宋体" w:eastAsia="宋体" w:cs="宋体"/>
                <w:color w:val="auto"/>
                <w:sz w:val="21"/>
                <w:szCs w:val="21"/>
                <w:highlight w:val="none"/>
              </w:rPr>
            </w:pPr>
            <w:bookmarkStart w:id="506" w:name="_Toc99533293"/>
            <w:bookmarkStart w:id="507" w:name="_Toc100090785"/>
            <w:r>
              <w:rPr>
                <w:rFonts w:hint="eastAsia" w:ascii="宋体" w:hAnsi="宋体" w:eastAsia="宋体" w:cs="宋体"/>
                <w:color w:val="auto"/>
                <w:sz w:val="21"/>
                <w:szCs w:val="21"/>
                <w:highlight w:val="none"/>
              </w:rPr>
              <w:t>2</w:t>
            </w:r>
            <w:bookmarkEnd w:id="506"/>
            <w:bookmarkEnd w:id="507"/>
          </w:p>
        </w:tc>
        <w:tc>
          <w:tcPr>
            <w:tcW w:w="1267" w:type="dxa"/>
            <w:vAlign w:val="center"/>
          </w:tcPr>
          <w:p w14:paraId="3AE14FF6">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1"/>
              <w:jc w:val="center"/>
              <w:rPr>
                <w:rFonts w:hint="eastAsia" w:ascii="宋体" w:hAnsi="宋体" w:eastAsia="宋体" w:cs="宋体"/>
                <w:color w:val="auto"/>
                <w:sz w:val="21"/>
                <w:szCs w:val="21"/>
                <w:highlight w:val="none"/>
              </w:rPr>
            </w:pPr>
          </w:p>
        </w:tc>
        <w:tc>
          <w:tcPr>
            <w:tcW w:w="1860" w:type="dxa"/>
            <w:vAlign w:val="center"/>
          </w:tcPr>
          <w:p w14:paraId="390E678F">
            <w:pPr>
              <w:pStyle w:val="51"/>
              <w:jc w:val="center"/>
              <w:rPr>
                <w:rFonts w:hint="eastAsia" w:ascii="宋体" w:hAnsi="宋体" w:eastAsia="宋体" w:cs="宋体"/>
                <w:color w:val="auto"/>
                <w:sz w:val="21"/>
                <w:szCs w:val="21"/>
                <w:highlight w:val="none"/>
              </w:rPr>
            </w:pPr>
          </w:p>
        </w:tc>
        <w:tc>
          <w:tcPr>
            <w:tcW w:w="1356" w:type="dxa"/>
            <w:vAlign w:val="center"/>
          </w:tcPr>
          <w:p w14:paraId="44B4146B">
            <w:pPr>
              <w:pStyle w:val="51"/>
              <w:jc w:val="center"/>
              <w:rPr>
                <w:rFonts w:hint="eastAsia" w:ascii="宋体" w:hAnsi="宋体" w:eastAsia="宋体" w:cs="宋体"/>
                <w:color w:val="auto"/>
                <w:sz w:val="21"/>
                <w:szCs w:val="21"/>
                <w:highlight w:val="none"/>
              </w:rPr>
            </w:pPr>
          </w:p>
        </w:tc>
        <w:tc>
          <w:tcPr>
            <w:tcW w:w="816" w:type="dxa"/>
            <w:vAlign w:val="center"/>
          </w:tcPr>
          <w:p w14:paraId="3D8C0BFB">
            <w:pPr>
              <w:pStyle w:val="51"/>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1"/>
              <w:jc w:val="center"/>
              <w:rPr>
                <w:rFonts w:hint="eastAsia" w:ascii="宋体" w:hAnsi="宋体" w:eastAsia="宋体" w:cs="宋体"/>
                <w:color w:val="auto"/>
                <w:sz w:val="21"/>
                <w:szCs w:val="21"/>
                <w:highlight w:val="none"/>
              </w:rPr>
            </w:pPr>
            <w:bookmarkStart w:id="508" w:name="_Toc100090786"/>
            <w:bookmarkStart w:id="509" w:name="_Toc99533294"/>
            <w:r>
              <w:rPr>
                <w:rFonts w:hint="eastAsia" w:ascii="宋体" w:hAnsi="宋体" w:eastAsia="宋体" w:cs="宋体"/>
                <w:color w:val="auto"/>
                <w:sz w:val="21"/>
                <w:szCs w:val="21"/>
                <w:highlight w:val="none"/>
              </w:rPr>
              <w:t>3</w:t>
            </w:r>
            <w:bookmarkEnd w:id="508"/>
            <w:bookmarkEnd w:id="509"/>
          </w:p>
        </w:tc>
        <w:tc>
          <w:tcPr>
            <w:tcW w:w="1267" w:type="dxa"/>
            <w:vAlign w:val="center"/>
          </w:tcPr>
          <w:p w14:paraId="19C12411">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1"/>
              <w:jc w:val="center"/>
              <w:rPr>
                <w:rFonts w:hint="eastAsia" w:ascii="宋体" w:hAnsi="宋体" w:eastAsia="宋体" w:cs="宋体"/>
                <w:color w:val="auto"/>
                <w:sz w:val="21"/>
                <w:szCs w:val="21"/>
                <w:highlight w:val="none"/>
              </w:rPr>
            </w:pPr>
          </w:p>
        </w:tc>
        <w:tc>
          <w:tcPr>
            <w:tcW w:w="1860" w:type="dxa"/>
            <w:vAlign w:val="center"/>
          </w:tcPr>
          <w:p w14:paraId="3F31D2CD">
            <w:pPr>
              <w:pStyle w:val="51"/>
              <w:jc w:val="center"/>
              <w:rPr>
                <w:rFonts w:hint="eastAsia" w:ascii="宋体" w:hAnsi="宋体" w:eastAsia="宋体" w:cs="宋体"/>
                <w:color w:val="auto"/>
                <w:sz w:val="21"/>
                <w:szCs w:val="21"/>
                <w:highlight w:val="none"/>
              </w:rPr>
            </w:pPr>
          </w:p>
        </w:tc>
        <w:tc>
          <w:tcPr>
            <w:tcW w:w="1356" w:type="dxa"/>
            <w:vAlign w:val="center"/>
          </w:tcPr>
          <w:p w14:paraId="3A9D9DD7">
            <w:pPr>
              <w:pStyle w:val="51"/>
              <w:jc w:val="center"/>
              <w:rPr>
                <w:rFonts w:hint="eastAsia" w:ascii="宋体" w:hAnsi="宋体" w:eastAsia="宋体" w:cs="宋体"/>
                <w:color w:val="auto"/>
                <w:sz w:val="21"/>
                <w:szCs w:val="21"/>
                <w:highlight w:val="none"/>
              </w:rPr>
            </w:pPr>
          </w:p>
        </w:tc>
        <w:tc>
          <w:tcPr>
            <w:tcW w:w="816" w:type="dxa"/>
            <w:vAlign w:val="center"/>
          </w:tcPr>
          <w:p w14:paraId="0ED9D4FB">
            <w:pPr>
              <w:pStyle w:val="51"/>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1"/>
              <w:jc w:val="center"/>
              <w:rPr>
                <w:rFonts w:hint="eastAsia" w:ascii="宋体" w:hAnsi="宋体" w:eastAsia="宋体" w:cs="宋体"/>
                <w:color w:val="auto"/>
                <w:sz w:val="21"/>
                <w:szCs w:val="21"/>
                <w:highlight w:val="none"/>
              </w:rPr>
            </w:pPr>
            <w:bookmarkStart w:id="510" w:name="_Toc100090787"/>
            <w:bookmarkStart w:id="511" w:name="_Toc99533295"/>
            <w:r>
              <w:rPr>
                <w:rFonts w:hint="eastAsia" w:ascii="宋体" w:hAnsi="宋体" w:eastAsia="宋体" w:cs="宋体"/>
                <w:color w:val="auto"/>
                <w:sz w:val="21"/>
                <w:szCs w:val="21"/>
                <w:highlight w:val="none"/>
              </w:rPr>
              <w:t>4</w:t>
            </w:r>
            <w:bookmarkEnd w:id="510"/>
            <w:bookmarkEnd w:id="511"/>
          </w:p>
        </w:tc>
        <w:tc>
          <w:tcPr>
            <w:tcW w:w="1267" w:type="dxa"/>
            <w:vAlign w:val="center"/>
          </w:tcPr>
          <w:p w14:paraId="42DE0F63">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1"/>
              <w:jc w:val="center"/>
              <w:rPr>
                <w:rFonts w:hint="eastAsia" w:ascii="宋体" w:hAnsi="宋体" w:eastAsia="宋体" w:cs="宋体"/>
                <w:color w:val="auto"/>
                <w:sz w:val="21"/>
                <w:szCs w:val="21"/>
                <w:highlight w:val="none"/>
              </w:rPr>
            </w:pPr>
          </w:p>
        </w:tc>
        <w:tc>
          <w:tcPr>
            <w:tcW w:w="1860" w:type="dxa"/>
            <w:vAlign w:val="center"/>
          </w:tcPr>
          <w:p w14:paraId="068007BF">
            <w:pPr>
              <w:pStyle w:val="51"/>
              <w:jc w:val="center"/>
              <w:rPr>
                <w:rFonts w:hint="eastAsia" w:ascii="宋体" w:hAnsi="宋体" w:eastAsia="宋体" w:cs="宋体"/>
                <w:color w:val="auto"/>
                <w:sz w:val="21"/>
                <w:szCs w:val="21"/>
                <w:highlight w:val="none"/>
              </w:rPr>
            </w:pPr>
          </w:p>
        </w:tc>
        <w:tc>
          <w:tcPr>
            <w:tcW w:w="1356" w:type="dxa"/>
            <w:vAlign w:val="center"/>
          </w:tcPr>
          <w:p w14:paraId="5A94DC72">
            <w:pPr>
              <w:pStyle w:val="51"/>
              <w:jc w:val="center"/>
              <w:rPr>
                <w:rFonts w:hint="eastAsia" w:ascii="宋体" w:hAnsi="宋体" w:eastAsia="宋体" w:cs="宋体"/>
                <w:color w:val="auto"/>
                <w:sz w:val="21"/>
                <w:szCs w:val="21"/>
                <w:highlight w:val="none"/>
              </w:rPr>
            </w:pPr>
          </w:p>
        </w:tc>
        <w:tc>
          <w:tcPr>
            <w:tcW w:w="816" w:type="dxa"/>
            <w:vAlign w:val="center"/>
          </w:tcPr>
          <w:p w14:paraId="01F1E6DB">
            <w:pPr>
              <w:pStyle w:val="51"/>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1"/>
              <w:jc w:val="center"/>
              <w:rPr>
                <w:rFonts w:hint="eastAsia" w:ascii="宋体" w:hAnsi="宋体" w:eastAsia="宋体" w:cs="宋体"/>
                <w:color w:val="auto"/>
                <w:sz w:val="21"/>
                <w:szCs w:val="21"/>
                <w:highlight w:val="none"/>
              </w:rPr>
            </w:pPr>
            <w:bookmarkStart w:id="512" w:name="_Toc99533296"/>
            <w:bookmarkStart w:id="513" w:name="_Toc100090788"/>
            <w:r>
              <w:rPr>
                <w:rFonts w:hint="eastAsia" w:ascii="宋体" w:hAnsi="宋体" w:eastAsia="宋体" w:cs="宋体"/>
                <w:color w:val="auto"/>
                <w:sz w:val="21"/>
                <w:szCs w:val="21"/>
                <w:highlight w:val="none"/>
              </w:rPr>
              <w:t>5</w:t>
            </w:r>
            <w:bookmarkEnd w:id="512"/>
            <w:bookmarkEnd w:id="513"/>
          </w:p>
        </w:tc>
        <w:tc>
          <w:tcPr>
            <w:tcW w:w="1267" w:type="dxa"/>
            <w:vAlign w:val="center"/>
          </w:tcPr>
          <w:p w14:paraId="3241008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1"/>
              <w:jc w:val="center"/>
              <w:rPr>
                <w:rFonts w:hint="eastAsia" w:ascii="宋体" w:hAnsi="宋体" w:eastAsia="宋体" w:cs="宋体"/>
                <w:color w:val="auto"/>
                <w:sz w:val="21"/>
                <w:szCs w:val="21"/>
                <w:highlight w:val="none"/>
              </w:rPr>
            </w:pPr>
          </w:p>
        </w:tc>
        <w:tc>
          <w:tcPr>
            <w:tcW w:w="1860" w:type="dxa"/>
            <w:vAlign w:val="center"/>
          </w:tcPr>
          <w:p w14:paraId="12AB49C0">
            <w:pPr>
              <w:pStyle w:val="51"/>
              <w:jc w:val="center"/>
              <w:rPr>
                <w:rFonts w:hint="eastAsia" w:ascii="宋体" w:hAnsi="宋体" w:eastAsia="宋体" w:cs="宋体"/>
                <w:color w:val="auto"/>
                <w:sz w:val="21"/>
                <w:szCs w:val="21"/>
                <w:highlight w:val="none"/>
              </w:rPr>
            </w:pPr>
          </w:p>
        </w:tc>
        <w:tc>
          <w:tcPr>
            <w:tcW w:w="1356" w:type="dxa"/>
            <w:vAlign w:val="center"/>
          </w:tcPr>
          <w:p w14:paraId="1659A511">
            <w:pPr>
              <w:pStyle w:val="51"/>
              <w:jc w:val="center"/>
              <w:rPr>
                <w:rFonts w:hint="eastAsia" w:ascii="宋体" w:hAnsi="宋体" w:eastAsia="宋体" w:cs="宋体"/>
                <w:color w:val="auto"/>
                <w:sz w:val="21"/>
                <w:szCs w:val="21"/>
                <w:highlight w:val="none"/>
              </w:rPr>
            </w:pPr>
          </w:p>
        </w:tc>
        <w:tc>
          <w:tcPr>
            <w:tcW w:w="816" w:type="dxa"/>
            <w:vAlign w:val="center"/>
          </w:tcPr>
          <w:p w14:paraId="5FBE7410">
            <w:pPr>
              <w:pStyle w:val="51"/>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1"/>
              <w:jc w:val="center"/>
              <w:rPr>
                <w:rFonts w:hint="eastAsia" w:ascii="宋体" w:hAnsi="宋体" w:eastAsia="宋体" w:cs="宋体"/>
                <w:color w:val="auto"/>
                <w:sz w:val="21"/>
                <w:szCs w:val="21"/>
                <w:highlight w:val="none"/>
              </w:rPr>
            </w:pPr>
            <w:bookmarkStart w:id="514" w:name="_Toc99533297"/>
            <w:bookmarkStart w:id="515" w:name="_Toc100090789"/>
            <w:r>
              <w:rPr>
                <w:rFonts w:hint="eastAsia" w:ascii="宋体" w:hAnsi="宋体" w:eastAsia="宋体" w:cs="宋体"/>
                <w:color w:val="auto"/>
                <w:sz w:val="21"/>
                <w:szCs w:val="21"/>
                <w:highlight w:val="none"/>
              </w:rPr>
              <w:t>6</w:t>
            </w:r>
            <w:bookmarkEnd w:id="514"/>
            <w:bookmarkEnd w:id="515"/>
          </w:p>
        </w:tc>
        <w:tc>
          <w:tcPr>
            <w:tcW w:w="1267" w:type="dxa"/>
            <w:vAlign w:val="center"/>
          </w:tcPr>
          <w:p w14:paraId="40527E11">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1"/>
              <w:jc w:val="center"/>
              <w:rPr>
                <w:rFonts w:hint="eastAsia" w:ascii="宋体" w:hAnsi="宋体" w:eastAsia="宋体" w:cs="宋体"/>
                <w:color w:val="auto"/>
                <w:sz w:val="21"/>
                <w:szCs w:val="21"/>
                <w:highlight w:val="none"/>
              </w:rPr>
            </w:pPr>
          </w:p>
        </w:tc>
        <w:tc>
          <w:tcPr>
            <w:tcW w:w="1860" w:type="dxa"/>
            <w:vAlign w:val="center"/>
          </w:tcPr>
          <w:p w14:paraId="51ADEB68">
            <w:pPr>
              <w:pStyle w:val="51"/>
              <w:jc w:val="center"/>
              <w:rPr>
                <w:rFonts w:hint="eastAsia" w:ascii="宋体" w:hAnsi="宋体" w:eastAsia="宋体" w:cs="宋体"/>
                <w:color w:val="auto"/>
                <w:sz w:val="21"/>
                <w:szCs w:val="21"/>
                <w:highlight w:val="none"/>
              </w:rPr>
            </w:pPr>
          </w:p>
        </w:tc>
        <w:tc>
          <w:tcPr>
            <w:tcW w:w="1356" w:type="dxa"/>
            <w:vAlign w:val="center"/>
          </w:tcPr>
          <w:p w14:paraId="1CED2476">
            <w:pPr>
              <w:pStyle w:val="51"/>
              <w:jc w:val="center"/>
              <w:rPr>
                <w:rFonts w:hint="eastAsia" w:ascii="宋体" w:hAnsi="宋体" w:eastAsia="宋体" w:cs="宋体"/>
                <w:color w:val="auto"/>
                <w:sz w:val="21"/>
                <w:szCs w:val="21"/>
                <w:highlight w:val="none"/>
              </w:rPr>
            </w:pPr>
          </w:p>
        </w:tc>
        <w:tc>
          <w:tcPr>
            <w:tcW w:w="816" w:type="dxa"/>
            <w:vAlign w:val="center"/>
          </w:tcPr>
          <w:p w14:paraId="4EF8AB8A">
            <w:pPr>
              <w:pStyle w:val="51"/>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1"/>
              <w:jc w:val="center"/>
              <w:rPr>
                <w:rFonts w:hint="eastAsia" w:ascii="宋体" w:hAnsi="宋体" w:eastAsia="宋体" w:cs="宋体"/>
                <w:color w:val="auto"/>
                <w:sz w:val="21"/>
                <w:szCs w:val="21"/>
                <w:highlight w:val="none"/>
              </w:rPr>
            </w:pPr>
            <w:bookmarkStart w:id="516" w:name="_Toc100090790"/>
            <w:bookmarkStart w:id="517" w:name="_Toc99533298"/>
            <w:r>
              <w:rPr>
                <w:rFonts w:hint="eastAsia" w:ascii="宋体" w:hAnsi="宋体" w:eastAsia="宋体" w:cs="宋体"/>
                <w:color w:val="auto"/>
                <w:sz w:val="21"/>
                <w:szCs w:val="21"/>
                <w:highlight w:val="none"/>
              </w:rPr>
              <w:t>7</w:t>
            </w:r>
            <w:bookmarkEnd w:id="516"/>
            <w:bookmarkEnd w:id="517"/>
          </w:p>
        </w:tc>
        <w:tc>
          <w:tcPr>
            <w:tcW w:w="1267" w:type="dxa"/>
            <w:vAlign w:val="center"/>
          </w:tcPr>
          <w:p w14:paraId="3F3B684D">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1"/>
              <w:jc w:val="center"/>
              <w:rPr>
                <w:rFonts w:hint="eastAsia" w:ascii="宋体" w:hAnsi="宋体" w:eastAsia="宋体" w:cs="宋体"/>
                <w:color w:val="auto"/>
                <w:sz w:val="21"/>
                <w:szCs w:val="21"/>
                <w:highlight w:val="none"/>
              </w:rPr>
            </w:pPr>
          </w:p>
        </w:tc>
        <w:tc>
          <w:tcPr>
            <w:tcW w:w="1860" w:type="dxa"/>
            <w:vAlign w:val="center"/>
          </w:tcPr>
          <w:p w14:paraId="7E9B2A2D">
            <w:pPr>
              <w:pStyle w:val="51"/>
              <w:jc w:val="center"/>
              <w:rPr>
                <w:rFonts w:hint="eastAsia" w:ascii="宋体" w:hAnsi="宋体" w:eastAsia="宋体" w:cs="宋体"/>
                <w:color w:val="auto"/>
                <w:sz w:val="21"/>
                <w:szCs w:val="21"/>
                <w:highlight w:val="none"/>
              </w:rPr>
            </w:pPr>
          </w:p>
        </w:tc>
        <w:tc>
          <w:tcPr>
            <w:tcW w:w="1356" w:type="dxa"/>
            <w:vAlign w:val="center"/>
          </w:tcPr>
          <w:p w14:paraId="4A11C356">
            <w:pPr>
              <w:pStyle w:val="51"/>
              <w:jc w:val="center"/>
              <w:rPr>
                <w:rFonts w:hint="eastAsia" w:ascii="宋体" w:hAnsi="宋体" w:eastAsia="宋体" w:cs="宋体"/>
                <w:color w:val="auto"/>
                <w:sz w:val="21"/>
                <w:szCs w:val="21"/>
                <w:highlight w:val="none"/>
              </w:rPr>
            </w:pPr>
          </w:p>
        </w:tc>
        <w:tc>
          <w:tcPr>
            <w:tcW w:w="816" w:type="dxa"/>
            <w:vAlign w:val="center"/>
          </w:tcPr>
          <w:p w14:paraId="718DD530">
            <w:pPr>
              <w:pStyle w:val="51"/>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1"/>
              <w:jc w:val="center"/>
              <w:rPr>
                <w:rFonts w:hint="eastAsia" w:ascii="宋体" w:hAnsi="宋体" w:eastAsia="宋体" w:cs="宋体"/>
                <w:color w:val="auto"/>
                <w:sz w:val="21"/>
                <w:szCs w:val="21"/>
                <w:highlight w:val="none"/>
              </w:rPr>
            </w:pPr>
            <w:bookmarkStart w:id="518" w:name="_Toc100090791"/>
            <w:bookmarkStart w:id="519" w:name="_Toc99533299"/>
            <w:r>
              <w:rPr>
                <w:rFonts w:hint="eastAsia" w:ascii="宋体" w:hAnsi="宋体" w:eastAsia="宋体" w:cs="宋体"/>
                <w:color w:val="auto"/>
                <w:sz w:val="21"/>
                <w:szCs w:val="21"/>
                <w:highlight w:val="none"/>
              </w:rPr>
              <w:t>8</w:t>
            </w:r>
            <w:bookmarkEnd w:id="518"/>
            <w:bookmarkEnd w:id="519"/>
          </w:p>
        </w:tc>
        <w:tc>
          <w:tcPr>
            <w:tcW w:w="1267" w:type="dxa"/>
            <w:vAlign w:val="center"/>
          </w:tcPr>
          <w:p w14:paraId="20BD29D0">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1"/>
              <w:jc w:val="center"/>
              <w:rPr>
                <w:rFonts w:hint="eastAsia" w:ascii="宋体" w:hAnsi="宋体" w:eastAsia="宋体" w:cs="宋体"/>
                <w:color w:val="auto"/>
                <w:sz w:val="21"/>
                <w:szCs w:val="21"/>
                <w:highlight w:val="none"/>
              </w:rPr>
            </w:pPr>
          </w:p>
        </w:tc>
        <w:tc>
          <w:tcPr>
            <w:tcW w:w="1860" w:type="dxa"/>
            <w:vAlign w:val="center"/>
          </w:tcPr>
          <w:p w14:paraId="292DF220">
            <w:pPr>
              <w:pStyle w:val="51"/>
              <w:jc w:val="center"/>
              <w:rPr>
                <w:rFonts w:hint="eastAsia" w:ascii="宋体" w:hAnsi="宋体" w:eastAsia="宋体" w:cs="宋体"/>
                <w:color w:val="auto"/>
                <w:sz w:val="21"/>
                <w:szCs w:val="21"/>
                <w:highlight w:val="none"/>
              </w:rPr>
            </w:pPr>
          </w:p>
        </w:tc>
        <w:tc>
          <w:tcPr>
            <w:tcW w:w="1356" w:type="dxa"/>
            <w:vAlign w:val="center"/>
          </w:tcPr>
          <w:p w14:paraId="70F58594">
            <w:pPr>
              <w:pStyle w:val="51"/>
              <w:jc w:val="center"/>
              <w:rPr>
                <w:rFonts w:hint="eastAsia" w:ascii="宋体" w:hAnsi="宋体" w:eastAsia="宋体" w:cs="宋体"/>
                <w:color w:val="auto"/>
                <w:sz w:val="21"/>
                <w:szCs w:val="21"/>
                <w:highlight w:val="none"/>
              </w:rPr>
            </w:pPr>
          </w:p>
        </w:tc>
        <w:tc>
          <w:tcPr>
            <w:tcW w:w="816" w:type="dxa"/>
            <w:vAlign w:val="center"/>
          </w:tcPr>
          <w:p w14:paraId="247AF589">
            <w:pPr>
              <w:pStyle w:val="51"/>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1"/>
              <w:jc w:val="center"/>
              <w:rPr>
                <w:rFonts w:hint="eastAsia" w:ascii="宋体" w:hAnsi="宋体" w:eastAsia="宋体" w:cs="宋体"/>
                <w:color w:val="auto"/>
                <w:sz w:val="21"/>
                <w:szCs w:val="21"/>
                <w:highlight w:val="none"/>
              </w:rPr>
            </w:pPr>
            <w:bookmarkStart w:id="520" w:name="_Toc100090792"/>
            <w:bookmarkStart w:id="521" w:name="_Toc99533300"/>
            <w:r>
              <w:rPr>
                <w:rFonts w:hint="eastAsia" w:ascii="宋体" w:hAnsi="宋体" w:eastAsia="宋体" w:cs="宋体"/>
                <w:color w:val="auto"/>
                <w:sz w:val="21"/>
                <w:szCs w:val="21"/>
                <w:highlight w:val="none"/>
              </w:rPr>
              <w:t>9</w:t>
            </w:r>
            <w:bookmarkEnd w:id="520"/>
            <w:bookmarkEnd w:id="521"/>
          </w:p>
        </w:tc>
        <w:tc>
          <w:tcPr>
            <w:tcW w:w="1267" w:type="dxa"/>
            <w:vAlign w:val="center"/>
          </w:tcPr>
          <w:p w14:paraId="6C5090E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1"/>
              <w:jc w:val="center"/>
              <w:rPr>
                <w:rFonts w:hint="eastAsia" w:ascii="宋体" w:hAnsi="宋体" w:eastAsia="宋体" w:cs="宋体"/>
                <w:color w:val="auto"/>
                <w:sz w:val="21"/>
                <w:szCs w:val="21"/>
                <w:highlight w:val="none"/>
              </w:rPr>
            </w:pPr>
          </w:p>
        </w:tc>
        <w:tc>
          <w:tcPr>
            <w:tcW w:w="1860" w:type="dxa"/>
            <w:vAlign w:val="center"/>
          </w:tcPr>
          <w:p w14:paraId="337B4053">
            <w:pPr>
              <w:pStyle w:val="51"/>
              <w:jc w:val="center"/>
              <w:rPr>
                <w:rFonts w:hint="eastAsia" w:ascii="宋体" w:hAnsi="宋体" w:eastAsia="宋体" w:cs="宋体"/>
                <w:color w:val="auto"/>
                <w:sz w:val="21"/>
                <w:szCs w:val="21"/>
                <w:highlight w:val="none"/>
              </w:rPr>
            </w:pPr>
          </w:p>
        </w:tc>
        <w:tc>
          <w:tcPr>
            <w:tcW w:w="1356" w:type="dxa"/>
            <w:vAlign w:val="center"/>
          </w:tcPr>
          <w:p w14:paraId="7D6C0C38">
            <w:pPr>
              <w:pStyle w:val="51"/>
              <w:jc w:val="center"/>
              <w:rPr>
                <w:rFonts w:hint="eastAsia" w:ascii="宋体" w:hAnsi="宋体" w:eastAsia="宋体" w:cs="宋体"/>
                <w:color w:val="auto"/>
                <w:sz w:val="21"/>
                <w:szCs w:val="21"/>
                <w:highlight w:val="none"/>
              </w:rPr>
            </w:pPr>
          </w:p>
        </w:tc>
        <w:tc>
          <w:tcPr>
            <w:tcW w:w="816" w:type="dxa"/>
            <w:vAlign w:val="center"/>
          </w:tcPr>
          <w:p w14:paraId="45D99552">
            <w:pPr>
              <w:pStyle w:val="51"/>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1"/>
              <w:jc w:val="center"/>
              <w:rPr>
                <w:rFonts w:hint="eastAsia" w:ascii="宋体" w:hAnsi="宋体" w:eastAsia="宋体" w:cs="宋体"/>
                <w:color w:val="auto"/>
                <w:sz w:val="21"/>
                <w:szCs w:val="21"/>
                <w:highlight w:val="none"/>
              </w:rPr>
            </w:pPr>
            <w:bookmarkStart w:id="522" w:name="_Toc100090793"/>
            <w:bookmarkStart w:id="523" w:name="_Toc99533301"/>
            <w:r>
              <w:rPr>
                <w:rFonts w:hint="eastAsia" w:ascii="宋体" w:hAnsi="宋体" w:eastAsia="宋体" w:cs="宋体"/>
                <w:color w:val="auto"/>
                <w:sz w:val="21"/>
                <w:szCs w:val="21"/>
                <w:highlight w:val="none"/>
              </w:rPr>
              <w:t>10</w:t>
            </w:r>
            <w:bookmarkEnd w:id="522"/>
            <w:bookmarkEnd w:id="523"/>
          </w:p>
        </w:tc>
        <w:tc>
          <w:tcPr>
            <w:tcW w:w="1267" w:type="dxa"/>
            <w:vAlign w:val="center"/>
          </w:tcPr>
          <w:p w14:paraId="0D84E205">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1"/>
              <w:jc w:val="center"/>
              <w:rPr>
                <w:rFonts w:hint="eastAsia" w:ascii="宋体" w:hAnsi="宋体" w:eastAsia="宋体" w:cs="宋体"/>
                <w:color w:val="auto"/>
                <w:sz w:val="21"/>
                <w:szCs w:val="21"/>
                <w:highlight w:val="none"/>
              </w:rPr>
            </w:pPr>
          </w:p>
        </w:tc>
        <w:tc>
          <w:tcPr>
            <w:tcW w:w="1860" w:type="dxa"/>
            <w:vAlign w:val="center"/>
          </w:tcPr>
          <w:p w14:paraId="7790D037">
            <w:pPr>
              <w:pStyle w:val="51"/>
              <w:jc w:val="center"/>
              <w:rPr>
                <w:rFonts w:hint="eastAsia" w:ascii="宋体" w:hAnsi="宋体" w:eastAsia="宋体" w:cs="宋体"/>
                <w:color w:val="auto"/>
                <w:sz w:val="21"/>
                <w:szCs w:val="21"/>
                <w:highlight w:val="none"/>
              </w:rPr>
            </w:pPr>
          </w:p>
        </w:tc>
        <w:tc>
          <w:tcPr>
            <w:tcW w:w="1356" w:type="dxa"/>
            <w:vAlign w:val="center"/>
          </w:tcPr>
          <w:p w14:paraId="7B74B27D">
            <w:pPr>
              <w:pStyle w:val="51"/>
              <w:jc w:val="center"/>
              <w:rPr>
                <w:rFonts w:hint="eastAsia" w:ascii="宋体" w:hAnsi="宋体" w:eastAsia="宋体" w:cs="宋体"/>
                <w:color w:val="auto"/>
                <w:sz w:val="21"/>
                <w:szCs w:val="21"/>
                <w:highlight w:val="none"/>
              </w:rPr>
            </w:pPr>
          </w:p>
        </w:tc>
        <w:tc>
          <w:tcPr>
            <w:tcW w:w="816" w:type="dxa"/>
            <w:vAlign w:val="center"/>
          </w:tcPr>
          <w:p w14:paraId="77E1C162">
            <w:pPr>
              <w:pStyle w:val="51"/>
              <w:jc w:val="center"/>
              <w:rPr>
                <w:rFonts w:hint="eastAsia" w:ascii="宋体" w:hAnsi="宋体" w:eastAsia="宋体" w:cs="宋体"/>
                <w:color w:val="auto"/>
                <w:sz w:val="21"/>
                <w:szCs w:val="21"/>
                <w:highlight w:val="none"/>
              </w:rPr>
            </w:pPr>
          </w:p>
        </w:tc>
      </w:tr>
    </w:tbl>
    <w:p w14:paraId="72DBC0B8">
      <w:pPr>
        <w:rPr>
          <w:color w:val="auto"/>
          <w:highlight w:val="none"/>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51ED7B0D">
      <w:pPr>
        <w:ind w:firstLine="420" w:firstLineChars="200"/>
        <w:rPr>
          <w:color w:val="auto"/>
          <w:highlight w:val="none"/>
        </w:rPr>
      </w:pPr>
      <w:r>
        <w:rPr>
          <w:rFonts w:hint="eastAsia" w:cs="仿宋_GB2312"/>
          <w:color w:val="auto"/>
          <w:sz w:val="21"/>
          <w:szCs w:val="21"/>
          <w:highlight w:val="none"/>
          <w:lang w:val="en-US" w:eastAsia="zh-CN"/>
        </w:rPr>
        <w:t>2.如投标人中标，须按本表项目组成人员操作，不得随意更换。</w:t>
      </w:r>
      <w:r>
        <w:rPr>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24" w:name="_Toc3121"/>
      <w:bookmarkStart w:id="525" w:name="_Toc5387"/>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524"/>
      <w:bookmarkEnd w:id="525"/>
    </w:p>
    <w:p w14:paraId="7EE50E6A">
      <w:pPr>
        <w:rPr>
          <w:rFonts w:cs="仿宋_GB2312"/>
          <w:color w:val="auto"/>
          <w:szCs w:val="24"/>
          <w:highlight w:val="none"/>
        </w:rPr>
      </w:pPr>
      <w:r>
        <w:rPr>
          <w:rFonts w:hint="eastAsia" w:cs="仿宋_GB2312"/>
          <w:color w:val="auto"/>
          <w:szCs w:val="24"/>
          <w:highlight w:val="none"/>
        </w:rPr>
        <w:t xml:space="preserve">项目名称：                                         </w:t>
      </w:r>
    </w:p>
    <w:p w14:paraId="3BECE8B1">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7644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0FCCCEA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69669C7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71DD4B6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AB54F2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1F49E7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3F1EB79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vAlign w:val="center"/>
          </w:tcPr>
          <w:p w14:paraId="3E3F1E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7F92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1390C61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23DD644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466927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C5A608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3F3AE223">
            <w:pPr>
              <w:pStyle w:val="51"/>
              <w:jc w:val="center"/>
              <w:rPr>
                <w:rFonts w:hint="eastAsia" w:ascii="宋体" w:hAnsi="宋体" w:eastAsia="宋体" w:cs="宋体"/>
                <w:color w:val="auto"/>
                <w:sz w:val="21"/>
                <w:szCs w:val="21"/>
                <w:highlight w:val="none"/>
              </w:rPr>
            </w:pPr>
          </w:p>
        </w:tc>
      </w:tr>
      <w:tr w14:paraId="16F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681E1A2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1B1CC67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3CDA845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1753229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1786AA8B">
            <w:pPr>
              <w:pStyle w:val="51"/>
              <w:jc w:val="center"/>
              <w:rPr>
                <w:rFonts w:hint="eastAsia" w:ascii="宋体" w:hAnsi="宋体" w:eastAsia="宋体" w:cs="宋体"/>
                <w:color w:val="auto"/>
                <w:sz w:val="21"/>
                <w:szCs w:val="21"/>
                <w:highlight w:val="none"/>
              </w:rPr>
            </w:pPr>
          </w:p>
        </w:tc>
      </w:tr>
      <w:tr w14:paraId="3346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shd w:val="clear" w:color="auto" w:fill="auto"/>
            <w:vAlign w:val="center"/>
          </w:tcPr>
          <w:p w14:paraId="4CADFE13">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shd w:val="clear" w:color="auto" w:fill="auto"/>
            <w:vAlign w:val="center"/>
          </w:tcPr>
          <w:p w14:paraId="7EAC22E8">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031" w:type="pct"/>
            <w:shd w:val="clear" w:color="auto" w:fill="auto"/>
            <w:vAlign w:val="center"/>
          </w:tcPr>
          <w:p w14:paraId="1261D841">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265" w:type="pct"/>
            <w:shd w:val="clear" w:color="auto" w:fill="auto"/>
            <w:vAlign w:val="center"/>
          </w:tcPr>
          <w:p w14:paraId="21AB0CEA">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vAlign w:val="center"/>
          </w:tcPr>
          <w:p w14:paraId="02205EF5">
            <w:pPr>
              <w:pStyle w:val="51"/>
              <w:jc w:val="center"/>
              <w:rPr>
                <w:rFonts w:hint="eastAsia" w:ascii="宋体" w:hAnsi="宋体" w:eastAsia="宋体" w:cs="宋体"/>
                <w:color w:val="auto"/>
                <w:sz w:val="21"/>
                <w:szCs w:val="21"/>
                <w:highlight w:val="none"/>
              </w:rPr>
            </w:pPr>
          </w:p>
        </w:tc>
      </w:tr>
      <w:tr w14:paraId="547E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2615990F">
            <w:pPr>
              <w:pStyle w:val="51"/>
              <w:jc w:val="center"/>
              <w:rPr>
                <w:rFonts w:hint="eastAsia" w:ascii="宋体" w:hAnsi="宋体" w:eastAsia="宋体" w:cs="宋体"/>
                <w:color w:val="auto"/>
                <w:sz w:val="21"/>
                <w:szCs w:val="21"/>
                <w:highlight w:val="none"/>
              </w:rPr>
            </w:pPr>
          </w:p>
        </w:tc>
        <w:tc>
          <w:tcPr>
            <w:tcW w:w="1159" w:type="pct"/>
            <w:vAlign w:val="center"/>
          </w:tcPr>
          <w:p w14:paraId="4EFDD3F7">
            <w:pPr>
              <w:pStyle w:val="51"/>
              <w:jc w:val="center"/>
              <w:rPr>
                <w:rFonts w:hint="eastAsia" w:ascii="宋体" w:hAnsi="宋体" w:eastAsia="宋体" w:cs="宋体"/>
                <w:color w:val="auto"/>
                <w:sz w:val="21"/>
                <w:szCs w:val="21"/>
                <w:highlight w:val="none"/>
              </w:rPr>
            </w:pPr>
          </w:p>
        </w:tc>
        <w:tc>
          <w:tcPr>
            <w:tcW w:w="1031" w:type="pct"/>
            <w:vAlign w:val="center"/>
          </w:tcPr>
          <w:p w14:paraId="6F3FE338">
            <w:pPr>
              <w:pStyle w:val="51"/>
              <w:jc w:val="center"/>
              <w:rPr>
                <w:rFonts w:hint="eastAsia" w:ascii="宋体" w:hAnsi="宋体" w:eastAsia="宋体" w:cs="宋体"/>
                <w:color w:val="auto"/>
                <w:sz w:val="21"/>
                <w:szCs w:val="21"/>
                <w:highlight w:val="none"/>
              </w:rPr>
            </w:pPr>
          </w:p>
        </w:tc>
        <w:tc>
          <w:tcPr>
            <w:tcW w:w="1265" w:type="pct"/>
            <w:vAlign w:val="center"/>
          </w:tcPr>
          <w:p w14:paraId="1DE7F15C">
            <w:pPr>
              <w:pStyle w:val="51"/>
              <w:jc w:val="center"/>
              <w:rPr>
                <w:rFonts w:hint="eastAsia" w:ascii="宋体" w:hAnsi="宋体" w:eastAsia="宋体" w:cs="宋体"/>
                <w:color w:val="auto"/>
                <w:sz w:val="21"/>
                <w:szCs w:val="21"/>
                <w:highlight w:val="none"/>
              </w:rPr>
            </w:pPr>
          </w:p>
        </w:tc>
        <w:tc>
          <w:tcPr>
            <w:tcW w:w="1136" w:type="pct"/>
            <w:vAlign w:val="center"/>
          </w:tcPr>
          <w:p w14:paraId="7E461BBA">
            <w:pPr>
              <w:pStyle w:val="51"/>
              <w:jc w:val="center"/>
              <w:rPr>
                <w:rFonts w:hint="eastAsia" w:ascii="宋体" w:hAnsi="宋体" w:eastAsia="宋体" w:cs="宋体"/>
                <w:color w:val="auto"/>
                <w:sz w:val="21"/>
                <w:szCs w:val="21"/>
                <w:highlight w:val="none"/>
              </w:rPr>
            </w:pPr>
          </w:p>
        </w:tc>
      </w:tr>
      <w:tr w14:paraId="054E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21914A14">
            <w:pPr>
              <w:pStyle w:val="51"/>
              <w:jc w:val="center"/>
              <w:rPr>
                <w:rFonts w:hint="eastAsia" w:ascii="宋体" w:hAnsi="宋体" w:eastAsia="宋体" w:cs="宋体"/>
                <w:color w:val="auto"/>
                <w:sz w:val="21"/>
                <w:szCs w:val="21"/>
                <w:highlight w:val="none"/>
              </w:rPr>
            </w:pPr>
          </w:p>
        </w:tc>
        <w:tc>
          <w:tcPr>
            <w:tcW w:w="1159" w:type="pct"/>
            <w:vAlign w:val="center"/>
          </w:tcPr>
          <w:p w14:paraId="01FAF6FF">
            <w:pPr>
              <w:pStyle w:val="51"/>
              <w:jc w:val="center"/>
              <w:rPr>
                <w:rFonts w:hint="eastAsia" w:ascii="宋体" w:hAnsi="宋体" w:eastAsia="宋体" w:cs="宋体"/>
                <w:color w:val="auto"/>
                <w:sz w:val="21"/>
                <w:szCs w:val="21"/>
                <w:highlight w:val="none"/>
              </w:rPr>
            </w:pPr>
          </w:p>
        </w:tc>
        <w:tc>
          <w:tcPr>
            <w:tcW w:w="1031" w:type="pct"/>
            <w:vAlign w:val="center"/>
          </w:tcPr>
          <w:p w14:paraId="7C7F56A7">
            <w:pPr>
              <w:pStyle w:val="51"/>
              <w:jc w:val="center"/>
              <w:rPr>
                <w:rFonts w:hint="eastAsia" w:ascii="宋体" w:hAnsi="宋体" w:eastAsia="宋体" w:cs="宋体"/>
                <w:color w:val="auto"/>
                <w:sz w:val="21"/>
                <w:szCs w:val="21"/>
                <w:highlight w:val="none"/>
              </w:rPr>
            </w:pPr>
          </w:p>
        </w:tc>
        <w:tc>
          <w:tcPr>
            <w:tcW w:w="1265" w:type="pct"/>
            <w:vAlign w:val="center"/>
          </w:tcPr>
          <w:p w14:paraId="611127F1">
            <w:pPr>
              <w:pStyle w:val="51"/>
              <w:jc w:val="center"/>
              <w:rPr>
                <w:rFonts w:hint="eastAsia" w:ascii="宋体" w:hAnsi="宋体" w:eastAsia="宋体" w:cs="宋体"/>
                <w:color w:val="auto"/>
                <w:sz w:val="21"/>
                <w:szCs w:val="21"/>
                <w:highlight w:val="none"/>
              </w:rPr>
            </w:pPr>
          </w:p>
        </w:tc>
        <w:tc>
          <w:tcPr>
            <w:tcW w:w="1136" w:type="pct"/>
            <w:vAlign w:val="center"/>
          </w:tcPr>
          <w:p w14:paraId="0E4A26B6">
            <w:pPr>
              <w:pStyle w:val="51"/>
              <w:jc w:val="center"/>
              <w:rPr>
                <w:rFonts w:hint="eastAsia" w:ascii="宋体" w:hAnsi="宋体" w:eastAsia="宋体" w:cs="宋体"/>
                <w:color w:val="auto"/>
                <w:sz w:val="21"/>
                <w:szCs w:val="21"/>
                <w:highlight w:val="none"/>
              </w:rPr>
            </w:pPr>
          </w:p>
        </w:tc>
      </w:tr>
      <w:tr w14:paraId="6E8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30C5ED4E">
            <w:pPr>
              <w:pStyle w:val="51"/>
              <w:jc w:val="center"/>
              <w:rPr>
                <w:rFonts w:hint="eastAsia" w:ascii="宋体" w:hAnsi="宋体" w:eastAsia="宋体" w:cs="宋体"/>
                <w:color w:val="auto"/>
                <w:sz w:val="21"/>
                <w:szCs w:val="21"/>
                <w:highlight w:val="none"/>
              </w:rPr>
            </w:pPr>
          </w:p>
        </w:tc>
        <w:tc>
          <w:tcPr>
            <w:tcW w:w="1159" w:type="pct"/>
            <w:vAlign w:val="center"/>
          </w:tcPr>
          <w:p w14:paraId="5C4DD07B">
            <w:pPr>
              <w:pStyle w:val="51"/>
              <w:jc w:val="center"/>
              <w:rPr>
                <w:rFonts w:hint="eastAsia" w:ascii="宋体" w:hAnsi="宋体" w:eastAsia="宋体" w:cs="宋体"/>
                <w:color w:val="auto"/>
                <w:sz w:val="21"/>
                <w:szCs w:val="21"/>
                <w:highlight w:val="none"/>
              </w:rPr>
            </w:pPr>
          </w:p>
        </w:tc>
        <w:tc>
          <w:tcPr>
            <w:tcW w:w="1031" w:type="pct"/>
            <w:vAlign w:val="center"/>
          </w:tcPr>
          <w:p w14:paraId="26683DD4">
            <w:pPr>
              <w:pStyle w:val="51"/>
              <w:jc w:val="center"/>
              <w:rPr>
                <w:rFonts w:hint="eastAsia" w:ascii="宋体" w:hAnsi="宋体" w:eastAsia="宋体" w:cs="宋体"/>
                <w:color w:val="auto"/>
                <w:sz w:val="21"/>
                <w:szCs w:val="21"/>
                <w:highlight w:val="none"/>
              </w:rPr>
            </w:pPr>
          </w:p>
        </w:tc>
        <w:tc>
          <w:tcPr>
            <w:tcW w:w="1265" w:type="pct"/>
            <w:vAlign w:val="center"/>
          </w:tcPr>
          <w:p w14:paraId="4D8C3BA1">
            <w:pPr>
              <w:pStyle w:val="51"/>
              <w:jc w:val="center"/>
              <w:rPr>
                <w:rFonts w:hint="eastAsia" w:ascii="宋体" w:hAnsi="宋体" w:eastAsia="宋体" w:cs="宋体"/>
                <w:color w:val="auto"/>
                <w:sz w:val="21"/>
                <w:szCs w:val="21"/>
                <w:highlight w:val="none"/>
              </w:rPr>
            </w:pPr>
          </w:p>
        </w:tc>
        <w:tc>
          <w:tcPr>
            <w:tcW w:w="1136" w:type="pct"/>
            <w:vAlign w:val="center"/>
          </w:tcPr>
          <w:p w14:paraId="2E8B5F67">
            <w:pPr>
              <w:pStyle w:val="51"/>
              <w:jc w:val="center"/>
              <w:rPr>
                <w:rFonts w:hint="eastAsia" w:ascii="宋体" w:hAnsi="宋体" w:eastAsia="宋体" w:cs="宋体"/>
                <w:color w:val="auto"/>
                <w:sz w:val="21"/>
                <w:szCs w:val="21"/>
                <w:highlight w:val="none"/>
              </w:rPr>
            </w:pPr>
          </w:p>
        </w:tc>
      </w:tr>
      <w:tr w14:paraId="361F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1F51D1EA">
            <w:pPr>
              <w:pStyle w:val="51"/>
              <w:jc w:val="center"/>
              <w:rPr>
                <w:rFonts w:hint="eastAsia" w:ascii="宋体" w:hAnsi="宋体" w:eastAsia="宋体" w:cs="宋体"/>
                <w:color w:val="auto"/>
                <w:sz w:val="21"/>
                <w:szCs w:val="21"/>
                <w:highlight w:val="none"/>
              </w:rPr>
            </w:pPr>
          </w:p>
        </w:tc>
        <w:tc>
          <w:tcPr>
            <w:tcW w:w="1159" w:type="pct"/>
            <w:vAlign w:val="center"/>
          </w:tcPr>
          <w:p w14:paraId="1204324D">
            <w:pPr>
              <w:pStyle w:val="51"/>
              <w:jc w:val="center"/>
              <w:rPr>
                <w:rFonts w:hint="eastAsia" w:ascii="宋体" w:hAnsi="宋体" w:eastAsia="宋体" w:cs="宋体"/>
                <w:color w:val="auto"/>
                <w:sz w:val="21"/>
                <w:szCs w:val="21"/>
                <w:highlight w:val="none"/>
              </w:rPr>
            </w:pPr>
          </w:p>
        </w:tc>
        <w:tc>
          <w:tcPr>
            <w:tcW w:w="1031" w:type="pct"/>
            <w:vAlign w:val="center"/>
          </w:tcPr>
          <w:p w14:paraId="36FD0F55">
            <w:pPr>
              <w:pStyle w:val="51"/>
              <w:jc w:val="center"/>
              <w:rPr>
                <w:rFonts w:hint="eastAsia" w:ascii="宋体" w:hAnsi="宋体" w:eastAsia="宋体" w:cs="宋体"/>
                <w:color w:val="auto"/>
                <w:sz w:val="21"/>
                <w:szCs w:val="21"/>
                <w:highlight w:val="none"/>
              </w:rPr>
            </w:pPr>
          </w:p>
        </w:tc>
        <w:tc>
          <w:tcPr>
            <w:tcW w:w="1265" w:type="pct"/>
            <w:vAlign w:val="center"/>
          </w:tcPr>
          <w:p w14:paraId="6D3AA7E1">
            <w:pPr>
              <w:pStyle w:val="51"/>
              <w:jc w:val="center"/>
              <w:rPr>
                <w:rFonts w:hint="eastAsia" w:ascii="宋体" w:hAnsi="宋体" w:eastAsia="宋体" w:cs="宋体"/>
                <w:color w:val="auto"/>
                <w:sz w:val="21"/>
                <w:szCs w:val="21"/>
                <w:highlight w:val="none"/>
              </w:rPr>
            </w:pPr>
          </w:p>
        </w:tc>
        <w:tc>
          <w:tcPr>
            <w:tcW w:w="1136" w:type="pct"/>
            <w:vAlign w:val="center"/>
          </w:tcPr>
          <w:p w14:paraId="449BE1FC">
            <w:pPr>
              <w:pStyle w:val="51"/>
              <w:jc w:val="center"/>
              <w:rPr>
                <w:rFonts w:hint="eastAsia" w:ascii="宋体" w:hAnsi="宋体" w:eastAsia="宋体" w:cs="宋体"/>
                <w:color w:val="auto"/>
                <w:sz w:val="21"/>
                <w:szCs w:val="21"/>
                <w:highlight w:val="none"/>
              </w:rPr>
            </w:pPr>
          </w:p>
        </w:tc>
      </w:tr>
      <w:tr w14:paraId="7E84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6" w:type="pct"/>
            <w:vAlign w:val="center"/>
          </w:tcPr>
          <w:p w14:paraId="6ECE9C6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69EDFD2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D19C04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16652C7B">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vAlign w:val="center"/>
          </w:tcPr>
          <w:p w14:paraId="7E732B44">
            <w:pPr>
              <w:pStyle w:val="51"/>
              <w:jc w:val="center"/>
              <w:rPr>
                <w:rFonts w:hint="eastAsia" w:ascii="宋体" w:hAnsi="宋体" w:eastAsia="宋体" w:cs="宋体"/>
                <w:color w:val="auto"/>
                <w:sz w:val="21"/>
                <w:szCs w:val="21"/>
                <w:highlight w:val="none"/>
              </w:rPr>
            </w:pPr>
          </w:p>
        </w:tc>
      </w:tr>
    </w:tbl>
    <w:p w14:paraId="7D87EEFE">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1685FB85">
      <w:pPr>
        <w:ind w:firstLine="420"/>
        <w:rPr>
          <w:rFonts w:cs="仿宋_GB2312"/>
          <w:color w:val="auto"/>
          <w:szCs w:val="24"/>
          <w:highlight w:val="none"/>
        </w:rPr>
      </w:pPr>
    </w:p>
    <w:p w14:paraId="695CF97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2C3D97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67B3A4D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ADFBBD2">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D0BE6F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0865D440">
      <w:pPr>
        <w:ind w:firstLine="420"/>
        <w:rPr>
          <w:rFonts w:hint="eastAsia" w:cs="仿宋_GB2312"/>
          <w:color w:val="auto"/>
          <w:szCs w:val="24"/>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49A1A5E5">
      <w:pPr>
        <w:ind w:firstLine="420"/>
        <w:rPr>
          <w:rFonts w:cs="仿宋_GB2312"/>
          <w:color w:val="auto"/>
          <w:szCs w:val="24"/>
          <w:highlight w:val="none"/>
        </w:rPr>
      </w:pPr>
      <w:r>
        <w:rPr>
          <w:rFonts w:cs="仿宋_GB2312"/>
          <w:color w:val="auto"/>
          <w:szCs w:val="24"/>
          <w:highlight w:val="none"/>
        </w:rPr>
        <w:br w:type="page"/>
      </w: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26" w:name="_Toc24401"/>
      <w:bookmarkStart w:id="527" w:name="_Toc28036"/>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、技术方案</w:t>
      </w:r>
      <w:bookmarkEnd w:id="526"/>
      <w:bookmarkEnd w:id="527"/>
    </w:p>
    <w:p w14:paraId="7078B366">
      <w:pPr>
        <w:pStyle w:val="39"/>
        <w:rPr>
          <w:rFonts w:hint="eastAsia"/>
          <w:color w:val="auto"/>
          <w:highlight w:val="none"/>
        </w:rPr>
      </w:pPr>
      <w:r>
        <w:rPr>
          <w:rFonts w:hint="eastAsia"/>
          <w:color w:val="auto"/>
          <w:highlight w:val="none"/>
        </w:rPr>
        <w:t>投标人应按照招标文件的要求，提供详细的服务方案，包括文字描述或图表显示。格式自拟。</w:t>
      </w:r>
    </w:p>
    <w:p w14:paraId="7EE77353">
      <w:pPr>
        <w:pStyle w:val="39"/>
        <w:rPr>
          <w:color w:val="auto"/>
          <w:highlight w:val="none"/>
        </w:rPr>
      </w:pPr>
      <w:r>
        <w:rPr>
          <w:color w:val="auto"/>
          <w:highlight w:val="none"/>
        </w:rPr>
        <w:br w:type="page"/>
      </w:r>
    </w:p>
    <w:p w14:paraId="01EB5657">
      <w:pPr>
        <w:ind w:firstLine="420"/>
        <w:rPr>
          <w:rFonts w:hint="eastAsia" w:cs="仿宋_GB2312"/>
          <w:color w:val="auto"/>
          <w:sz w:val="21"/>
          <w:szCs w:val="21"/>
          <w:highlight w:val="none"/>
          <w:lang w:val="en-US" w:eastAsia="zh-CN"/>
        </w:rPr>
      </w:pPr>
    </w:p>
    <w:p w14:paraId="3D75587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28" w:name="_Toc8606"/>
      <w:bookmarkStart w:id="529" w:name="_Toc22006"/>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一</w:t>
      </w:r>
      <w:r>
        <w:rPr>
          <w:rFonts w:hint="eastAsia" w:eastAsia="宋体" w:asciiTheme="majorHAnsi" w:hAnsiTheme="majorHAnsi" w:cstheme="majorBidi"/>
          <w:b/>
          <w:bCs/>
          <w:color w:val="auto"/>
          <w:kern w:val="2"/>
          <w:sz w:val="32"/>
          <w:szCs w:val="32"/>
          <w:highlight w:val="none"/>
          <w:lang w:val="en-US" w:eastAsia="zh-CN" w:bidi="ar-SA"/>
        </w:rPr>
        <w:t>、其他文件</w:t>
      </w:r>
      <w:bookmarkEnd w:id="528"/>
      <w:bookmarkEnd w:id="529"/>
    </w:p>
    <w:p w14:paraId="6EF40482">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09B7BCDB">
      <w:pPr>
        <w:pStyle w:val="39"/>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399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DAB5D76">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7E8BFF2C">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27FEC6CB">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C82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0EF63A6">
            <w:pPr>
              <w:pStyle w:val="39"/>
              <w:rPr>
                <w:rFonts w:hint="eastAsia" w:ascii="宋体" w:hAnsi="宋体" w:eastAsia="宋体" w:cs="宋体"/>
                <w:color w:val="auto"/>
                <w:sz w:val="24"/>
                <w:szCs w:val="24"/>
                <w:highlight w:val="none"/>
                <w:vertAlign w:val="baseline"/>
                <w:lang w:val="en-US" w:eastAsia="zh-CN"/>
              </w:rPr>
            </w:pPr>
          </w:p>
        </w:tc>
        <w:tc>
          <w:tcPr>
            <w:tcW w:w="2841" w:type="dxa"/>
          </w:tcPr>
          <w:p w14:paraId="2C8A474B">
            <w:pPr>
              <w:pStyle w:val="39"/>
              <w:rPr>
                <w:rFonts w:hint="eastAsia" w:ascii="宋体" w:hAnsi="宋体" w:eastAsia="宋体" w:cs="宋体"/>
                <w:color w:val="auto"/>
                <w:sz w:val="24"/>
                <w:szCs w:val="24"/>
                <w:highlight w:val="none"/>
                <w:vertAlign w:val="baseline"/>
                <w:lang w:val="en-US" w:eastAsia="zh-CN"/>
              </w:rPr>
            </w:pPr>
          </w:p>
        </w:tc>
        <w:tc>
          <w:tcPr>
            <w:tcW w:w="2743" w:type="dxa"/>
          </w:tcPr>
          <w:p w14:paraId="2F4800D6">
            <w:pPr>
              <w:pStyle w:val="39"/>
              <w:rPr>
                <w:rFonts w:hint="eastAsia" w:ascii="宋体" w:hAnsi="宋体" w:eastAsia="宋体" w:cs="宋体"/>
                <w:color w:val="auto"/>
                <w:sz w:val="24"/>
                <w:szCs w:val="24"/>
                <w:highlight w:val="none"/>
                <w:vertAlign w:val="baseline"/>
                <w:lang w:val="en-US" w:eastAsia="zh-CN"/>
              </w:rPr>
            </w:pPr>
          </w:p>
        </w:tc>
      </w:tr>
      <w:tr w14:paraId="2A15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8538042">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5D28C08">
            <w:pPr>
              <w:pStyle w:val="39"/>
              <w:rPr>
                <w:rFonts w:hint="eastAsia" w:ascii="宋体" w:hAnsi="宋体" w:eastAsia="宋体" w:cs="宋体"/>
                <w:color w:val="auto"/>
                <w:sz w:val="24"/>
                <w:szCs w:val="24"/>
                <w:highlight w:val="none"/>
                <w:vertAlign w:val="baseline"/>
                <w:lang w:val="en-US" w:eastAsia="zh-CN"/>
              </w:rPr>
            </w:pPr>
          </w:p>
        </w:tc>
        <w:tc>
          <w:tcPr>
            <w:tcW w:w="2743" w:type="dxa"/>
          </w:tcPr>
          <w:p w14:paraId="31FE53FE">
            <w:pPr>
              <w:pStyle w:val="39"/>
              <w:rPr>
                <w:rFonts w:hint="eastAsia" w:ascii="宋体" w:hAnsi="宋体" w:eastAsia="宋体" w:cs="宋体"/>
                <w:color w:val="auto"/>
                <w:sz w:val="24"/>
                <w:szCs w:val="24"/>
                <w:highlight w:val="none"/>
                <w:vertAlign w:val="baseline"/>
                <w:lang w:val="en-US" w:eastAsia="zh-CN"/>
              </w:rPr>
            </w:pPr>
          </w:p>
        </w:tc>
      </w:tr>
      <w:tr w14:paraId="74D5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EF0ABBA">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5A0EA10">
            <w:pPr>
              <w:pStyle w:val="39"/>
              <w:rPr>
                <w:rFonts w:hint="eastAsia" w:ascii="宋体" w:hAnsi="宋体" w:eastAsia="宋体" w:cs="宋体"/>
                <w:color w:val="auto"/>
                <w:sz w:val="24"/>
                <w:szCs w:val="24"/>
                <w:highlight w:val="none"/>
                <w:vertAlign w:val="baseline"/>
                <w:lang w:val="en-US" w:eastAsia="zh-CN"/>
              </w:rPr>
            </w:pPr>
          </w:p>
        </w:tc>
        <w:tc>
          <w:tcPr>
            <w:tcW w:w="2743" w:type="dxa"/>
          </w:tcPr>
          <w:p w14:paraId="4DD25543">
            <w:pPr>
              <w:pStyle w:val="39"/>
              <w:rPr>
                <w:rFonts w:hint="eastAsia" w:ascii="宋体" w:hAnsi="宋体" w:eastAsia="宋体" w:cs="宋体"/>
                <w:color w:val="auto"/>
                <w:sz w:val="24"/>
                <w:szCs w:val="24"/>
                <w:highlight w:val="none"/>
                <w:vertAlign w:val="baseline"/>
                <w:lang w:val="en-US" w:eastAsia="zh-CN"/>
              </w:rPr>
            </w:pPr>
          </w:p>
        </w:tc>
      </w:tr>
      <w:tr w14:paraId="000F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B6D0E2F">
            <w:pPr>
              <w:pStyle w:val="39"/>
              <w:rPr>
                <w:rFonts w:hint="eastAsia" w:ascii="宋体" w:hAnsi="宋体" w:eastAsia="宋体" w:cs="宋体"/>
                <w:color w:val="auto"/>
                <w:sz w:val="24"/>
                <w:szCs w:val="24"/>
                <w:highlight w:val="none"/>
                <w:vertAlign w:val="baseline"/>
                <w:lang w:val="en-US" w:eastAsia="zh-CN"/>
              </w:rPr>
            </w:pPr>
          </w:p>
        </w:tc>
        <w:tc>
          <w:tcPr>
            <w:tcW w:w="2841" w:type="dxa"/>
          </w:tcPr>
          <w:p w14:paraId="7437EC56">
            <w:pPr>
              <w:pStyle w:val="39"/>
              <w:rPr>
                <w:rFonts w:hint="eastAsia" w:ascii="宋体" w:hAnsi="宋体" w:eastAsia="宋体" w:cs="宋体"/>
                <w:color w:val="auto"/>
                <w:sz w:val="24"/>
                <w:szCs w:val="24"/>
                <w:highlight w:val="none"/>
                <w:vertAlign w:val="baseline"/>
                <w:lang w:val="en-US" w:eastAsia="zh-CN"/>
              </w:rPr>
            </w:pPr>
          </w:p>
        </w:tc>
        <w:tc>
          <w:tcPr>
            <w:tcW w:w="2743" w:type="dxa"/>
          </w:tcPr>
          <w:p w14:paraId="769E8F28">
            <w:pPr>
              <w:pStyle w:val="39"/>
              <w:rPr>
                <w:rFonts w:hint="eastAsia" w:ascii="宋体" w:hAnsi="宋体" w:eastAsia="宋体" w:cs="宋体"/>
                <w:color w:val="auto"/>
                <w:sz w:val="24"/>
                <w:szCs w:val="24"/>
                <w:highlight w:val="none"/>
                <w:vertAlign w:val="baseline"/>
                <w:lang w:val="en-US" w:eastAsia="zh-CN"/>
              </w:rPr>
            </w:pPr>
          </w:p>
        </w:tc>
      </w:tr>
    </w:tbl>
    <w:p w14:paraId="3318F9F0">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53D1AE7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C85D95C">
      <w:pPr>
        <w:pStyle w:val="39"/>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9"/>
        <w:rPr>
          <w:rFonts w:hint="eastAsia"/>
          <w:color w:val="auto"/>
          <w:sz w:val="28"/>
          <w:szCs w:val="28"/>
          <w:highlight w:val="none"/>
          <w:lang w:val="en-US" w:eastAsia="zh-CN"/>
        </w:rPr>
      </w:pPr>
    </w:p>
    <w:p w14:paraId="3CD7B018">
      <w:pPr>
        <w:pStyle w:val="39"/>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45C8EB48">
      <w:pPr>
        <w:pStyle w:val="39"/>
        <w:ind w:left="0" w:leftChars="0" w:firstLine="0" w:firstLineChars="0"/>
        <w:rPr>
          <w:rFonts w:hint="eastAsia"/>
          <w:b/>
          <w:bCs/>
          <w:color w:val="auto"/>
          <w:sz w:val="24"/>
          <w:szCs w:val="24"/>
          <w:highlight w:val="none"/>
          <w:lang w:eastAsia="zh-CN"/>
        </w:rPr>
      </w:pPr>
    </w:p>
    <w:p w14:paraId="7DF13FE9">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6DA29BFF">
      <w:pPr>
        <w:pStyle w:val="39"/>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9E38E1-DB9A-44A3-A6D8-4C3E4E9D2F4E}"/>
  </w:font>
  <w:font w:name="Arial">
    <w:panose1 w:val="020B0604020202020204"/>
    <w:charset w:val="01"/>
    <w:family w:val="swiss"/>
    <w:pitch w:val="default"/>
    <w:sig w:usb0="E0002EFF" w:usb1="C000785B" w:usb2="00000009" w:usb3="00000000" w:csb0="400001FF" w:csb1="FFFF0000"/>
    <w:embedRegular r:id="rId2" w:fontKey="{DF5EE70B-C4B7-499B-8F68-20442874F41D}"/>
  </w:font>
  <w:font w:name="黑体">
    <w:panose1 w:val="02010609060101010101"/>
    <w:charset w:val="86"/>
    <w:family w:val="auto"/>
    <w:pitch w:val="default"/>
    <w:sig w:usb0="800002BF" w:usb1="38CF7CFA" w:usb2="00000016" w:usb3="00000000" w:csb0="00040001" w:csb1="00000000"/>
    <w:embedRegular r:id="rId3" w:fontKey="{1A1CBF64-DD0C-4566-A992-83C76444A9BD}"/>
  </w:font>
  <w:font w:name="Courier New">
    <w:panose1 w:val="02070309020205020404"/>
    <w:charset w:val="01"/>
    <w:family w:val="modern"/>
    <w:pitch w:val="default"/>
    <w:sig w:usb0="E0002EFF" w:usb1="C0007843" w:usb2="00000009" w:usb3="00000000" w:csb0="400001FF" w:csb1="FFFF0000"/>
    <w:embedRegular r:id="rId4" w:fontKey="{77EE1248-EA87-45DC-BFBE-AC9615A5F0C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56F0DFBE-DF43-4790-B5D1-F314D9257061}"/>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6" w:fontKey="{63216E09-F109-4EDD-A541-FEFD12C16C59}"/>
  </w:font>
  <w:font w:name="仿宋_GB2312">
    <w:panose1 w:val="02010609030101010101"/>
    <w:charset w:val="86"/>
    <w:family w:val="modern"/>
    <w:pitch w:val="default"/>
    <w:sig w:usb0="00000001" w:usb1="080E0000" w:usb2="00000000" w:usb3="00000000" w:csb0="00040000" w:csb1="00000000"/>
    <w:embedRegular r:id="rId7" w:fontKey="{701217F2-EB12-4CDC-8823-DD546F71B1B4}"/>
  </w:font>
  <w:font w:name="华文楷体">
    <w:panose1 w:val="02010600040101010101"/>
    <w:charset w:val="86"/>
    <w:family w:val="auto"/>
    <w:pitch w:val="default"/>
    <w:sig w:usb0="00000287" w:usb1="080F0000" w:usb2="00000000" w:usb3="00000000" w:csb0="0004009F" w:csb1="DFD70000"/>
  </w:font>
  <w:font w:name="Helvetica">
    <w:altName w:val="Arial"/>
    <w:panose1 w:val="020B0504020202030204"/>
    <w:charset w:val="00"/>
    <w:family w:val="swiss"/>
    <w:pitch w:val="default"/>
    <w:sig w:usb0="00000000" w:usb1="00000000" w:usb2="00000000" w:usb3="00000000" w:csb0="00000093" w:csb1="00000000"/>
    <w:embedRegular r:id="rId8" w:fontKey="{D72AA164-19BB-4704-811F-ACBAAAB56B68}"/>
  </w:font>
  <w:font w:name="Nimbus Roman No9 L">
    <w:altName w:val="Noto Sans SC"/>
    <w:panose1 w:val="00000000000000000000"/>
    <w:charset w:val="00"/>
    <w:family w:val="auto"/>
    <w:pitch w:val="default"/>
    <w:sig w:usb0="00000000" w:usb1="00000000" w:usb2="00000000" w:usb3="00000000" w:csb0="00040001" w:csb1="00000000"/>
    <w:embedRegular r:id="rId9" w:fontKey="{BF46880B-BABA-416E-BCBA-EE87B758F765}"/>
  </w:font>
  <w:font w:name="Noto Sans SC">
    <w:panose1 w:val="020B0200000000000000"/>
    <w:charset w:val="86"/>
    <w:family w:val="auto"/>
    <w:pitch w:val="default"/>
    <w:sig w:usb0="20000083" w:usb1="2ADF3C10" w:usb2="00000016" w:usb3="00000000" w:csb0="60060107" w:csb1="00000000"/>
  </w:font>
  <w:font w:name="东文宋体">
    <w:altName w:val="宋体"/>
    <w:panose1 w:val="00000000000000000000"/>
    <w:charset w:val="00"/>
    <w:family w:val="auto"/>
    <w:pitch w:val="default"/>
    <w:sig w:usb0="00000000" w:usb1="00000000" w:usb2="00000000" w:usb3="00000000" w:csb0="00040001" w:csb1="00000000"/>
    <w:embedRegular r:id="rId10" w:fontKey="{B70A5BB9-0AAA-4225-A1FD-EC225B71D566}"/>
  </w:font>
  <w:font w:name="Tahoma">
    <w:panose1 w:val="020B0604030504040204"/>
    <w:charset w:val="00"/>
    <w:family w:val="swiss"/>
    <w:pitch w:val="default"/>
    <w:sig w:usb0="E1002EFF" w:usb1="C000605B" w:usb2="00000029" w:usb3="00000000" w:csb0="200101FF" w:csb1="20280000"/>
    <w:embedRegular r:id="rId11" w:fontKey="{E8E5E8C6-66A4-4DD6-8784-5D1029019065}"/>
  </w:font>
  <w:font w:name="方正小标宋_GBK">
    <w:panose1 w:val="03000509000000000000"/>
    <w:charset w:val="86"/>
    <w:family w:val="auto"/>
    <w:pitch w:val="default"/>
    <w:sig w:usb0="00000001" w:usb1="080E0000" w:usb2="00000000" w:usb3="00000000" w:csb0="00040000" w:csb1="00000000"/>
    <w:embedRegular r:id="rId12" w:fontKey="{A1D7767B-5CB0-4F92-A5DF-1470FEA0F235}"/>
  </w:font>
  <w:font w:name="微软雅黑">
    <w:panose1 w:val="020B0503020204020204"/>
    <w:charset w:val="86"/>
    <w:family w:val="auto"/>
    <w:pitch w:val="default"/>
    <w:sig w:usb0="80000287" w:usb1="2ACF3C50" w:usb2="00000016" w:usb3="00000000" w:csb0="0004001F" w:csb1="00000000"/>
    <w:embedRegular r:id="rId13" w:fontKey="{4D57C4F8-9341-4C8D-AE27-CD4685A414DE}"/>
  </w:font>
  <w:font w:name="DejaVuSans">
    <w:altName w:val="Segoe Print"/>
    <w:panose1 w:val="00000000000000000000"/>
    <w:charset w:val="00"/>
    <w:family w:val="auto"/>
    <w:pitch w:val="default"/>
    <w:sig w:usb0="00000000" w:usb1="00000000" w:usb2="00000000" w:usb3="00000000" w:csb0="00000000" w:csb1="00000000"/>
    <w:embedRegular r:id="rId14" w:fontKey="{EE87CCFF-FF3C-4F72-9BDD-7AED0F35F7F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1C02">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2A52F">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052A52F">
                    <w:pPr>
                      <w:pStyle w:val="21"/>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273"/>
                            <w:showingPlcHdr/>
                          </w:sdtPr>
                          <w:sdtContent>
                            <w:p w14:paraId="1DBF07E4">
                              <w:pPr>
                                <w:pStyle w:val="21"/>
                                <w:jc w:val="center"/>
                              </w:pPr>
                              <w:r>
                                <w:rPr>
                                  <w:rFonts w:hint="eastAsia"/>
                                  <w:lang w:eastAsia="zh-CN"/>
                                </w:rPr>
                                <w:t xml:space="preserve">     </w:t>
                              </w:r>
                            </w:p>
                          </w:sdtContent>
                        </w:sdt>
                        <w:p w14:paraId="2BF1767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67273"/>
                      <w:showingPlcHdr/>
                    </w:sdtPr>
                    <w:sdtContent>
                      <w:p w14:paraId="1DBF07E4">
                        <w:pPr>
                          <w:pStyle w:val="21"/>
                          <w:jc w:val="center"/>
                        </w:pPr>
                        <w:r>
                          <w:rPr>
                            <w:rFonts w:hint="eastAsia"/>
                            <w:lang w:eastAsia="zh-CN"/>
                          </w:rPr>
                          <w:t xml:space="preserve">     </w:t>
                        </w:r>
                      </w:p>
                    </w:sdtContent>
                  </w:sdt>
                  <w:p w14:paraId="2BF1767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07145">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CB9A7">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73CB9A7">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1"/>
      <w:keepNext w:val="0"/>
      <w:keepLines w:val="0"/>
      <w:pageBreakBefore w:val="0"/>
      <w:widowControl w:val="0"/>
      <w:kinsoku/>
      <w:wordWrap/>
      <w:overflowPunct/>
      <w:topLinePunct w:val="0"/>
      <w:bidi w:val="0"/>
      <w:adjustRightInd/>
      <w:snapToGrid w:val="0"/>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2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1383F">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E85C">
    <w:pPr>
      <w:pStyle w:val="22"/>
      <w:keepNext w:val="0"/>
      <w:keepLines w:val="0"/>
      <w:pageBreakBefore w:val="0"/>
      <w:widowControl w:val="0"/>
      <w:kinsoku/>
      <w:wordWrap/>
      <w:overflowPunct/>
      <w:topLinePunct w:val="0"/>
      <w:bidi w:val="0"/>
      <w:adjustRightInd/>
      <w:snapToGrid w:val="0"/>
      <w:jc w:val="right"/>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14F0">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D992027"/>
    <w:multiLevelType w:val="multilevel"/>
    <w:tmpl w:val="7D992027"/>
    <w:lvl w:ilvl="0" w:tentative="0">
      <w:start w:val="1"/>
      <w:numFmt w:val="decimalEnclosedCircle"/>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7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5592"/>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3480"/>
    <w:rsid w:val="00181988"/>
    <w:rsid w:val="00182557"/>
    <w:rsid w:val="0018304A"/>
    <w:rsid w:val="001904E9"/>
    <w:rsid w:val="001A77DE"/>
    <w:rsid w:val="001B36EC"/>
    <w:rsid w:val="001D7B23"/>
    <w:rsid w:val="001E2F56"/>
    <w:rsid w:val="002062E6"/>
    <w:rsid w:val="00207131"/>
    <w:rsid w:val="0022214D"/>
    <w:rsid w:val="00223585"/>
    <w:rsid w:val="002235CA"/>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29A"/>
    <w:rsid w:val="00390D4A"/>
    <w:rsid w:val="0039222E"/>
    <w:rsid w:val="0039288A"/>
    <w:rsid w:val="00393395"/>
    <w:rsid w:val="0039372E"/>
    <w:rsid w:val="00394AF5"/>
    <w:rsid w:val="003A19A4"/>
    <w:rsid w:val="003A1A1B"/>
    <w:rsid w:val="003A4485"/>
    <w:rsid w:val="003A4878"/>
    <w:rsid w:val="003B4310"/>
    <w:rsid w:val="003B4E5F"/>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C3A"/>
    <w:rsid w:val="004851CA"/>
    <w:rsid w:val="0048656E"/>
    <w:rsid w:val="00493221"/>
    <w:rsid w:val="004A302C"/>
    <w:rsid w:val="004B539D"/>
    <w:rsid w:val="004C1FA1"/>
    <w:rsid w:val="004C3DCC"/>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76CE9"/>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7FFD"/>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3C36"/>
    <w:rsid w:val="00924B8E"/>
    <w:rsid w:val="00930024"/>
    <w:rsid w:val="009344DE"/>
    <w:rsid w:val="009357E5"/>
    <w:rsid w:val="00936087"/>
    <w:rsid w:val="00945D1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36B5B"/>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5F53"/>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C7C64"/>
    <w:rsid w:val="00ED00D6"/>
    <w:rsid w:val="00EE26DC"/>
    <w:rsid w:val="00EE3FF1"/>
    <w:rsid w:val="00EE5816"/>
    <w:rsid w:val="00EF3D7E"/>
    <w:rsid w:val="00F03292"/>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E61E2"/>
    <w:rsid w:val="014F4893"/>
    <w:rsid w:val="01541EA9"/>
    <w:rsid w:val="01580C56"/>
    <w:rsid w:val="01673B72"/>
    <w:rsid w:val="01781929"/>
    <w:rsid w:val="01877B89"/>
    <w:rsid w:val="019E3125"/>
    <w:rsid w:val="01C144D9"/>
    <w:rsid w:val="01D0068D"/>
    <w:rsid w:val="01D775B9"/>
    <w:rsid w:val="02026E30"/>
    <w:rsid w:val="020B6A0C"/>
    <w:rsid w:val="02132174"/>
    <w:rsid w:val="02186A33"/>
    <w:rsid w:val="0224187C"/>
    <w:rsid w:val="023130F5"/>
    <w:rsid w:val="024737BC"/>
    <w:rsid w:val="024C2B81"/>
    <w:rsid w:val="028604AE"/>
    <w:rsid w:val="029D33DC"/>
    <w:rsid w:val="02AD3196"/>
    <w:rsid w:val="02AE1145"/>
    <w:rsid w:val="02C44E0D"/>
    <w:rsid w:val="02DA63DE"/>
    <w:rsid w:val="02ED7EC0"/>
    <w:rsid w:val="03200295"/>
    <w:rsid w:val="035E2B6B"/>
    <w:rsid w:val="0361440A"/>
    <w:rsid w:val="036D7252"/>
    <w:rsid w:val="03773C2D"/>
    <w:rsid w:val="03922815"/>
    <w:rsid w:val="03C350C4"/>
    <w:rsid w:val="03CD13CB"/>
    <w:rsid w:val="03E2554B"/>
    <w:rsid w:val="03EA08A3"/>
    <w:rsid w:val="03F51722"/>
    <w:rsid w:val="03F62DA4"/>
    <w:rsid w:val="04066E90"/>
    <w:rsid w:val="045126D0"/>
    <w:rsid w:val="045D72C7"/>
    <w:rsid w:val="047A5783"/>
    <w:rsid w:val="04820ADC"/>
    <w:rsid w:val="0487418D"/>
    <w:rsid w:val="04893C18"/>
    <w:rsid w:val="04B14F1D"/>
    <w:rsid w:val="04C17856"/>
    <w:rsid w:val="04F01EE9"/>
    <w:rsid w:val="04F574FF"/>
    <w:rsid w:val="04F72882"/>
    <w:rsid w:val="04FF212C"/>
    <w:rsid w:val="05235E1B"/>
    <w:rsid w:val="052D0A47"/>
    <w:rsid w:val="052E656D"/>
    <w:rsid w:val="053E0EA6"/>
    <w:rsid w:val="053E47A5"/>
    <w:rsid w:val="053F247C"/>
    <w:rsid w:val="054A2471"/>
    <w:rsid w:val="05595CE0"/>
    <w:rsid w:val="057C377D"/>
    <w:rsid w:val="05812B41"/>
    <w:rsid w:val="059E4F18"/>
    <w:rsid w:val="05AA653C"/>
    <w:rsid w:val="05C72C4A"/>
    <w:rsid w:val="05CB2336"/>
    <w:rsid w:val="05D15877"/>
    <w:rsid w:val="05D215EF"/>
    <w:rsid w:val="05D2339D"/>
    <w:rsid w:val="05D37841"/>
    <w:rsid w:val="05DB04A3"/>
    <w:rsid w:val="05E530D0"/>
    <w:rsid w:val="06127C3D"/>
    <w:rsid w:val="061A4B24"/>
    <w:rsid w:val="06231E4A"/>
    <w:rsid w:val="06253E14"/>
    <w:rsid w:val="0633208D"/>
    <w:rsid w:val="064A387B"/>
    <w:rsid w:val="06587D46"/>
    <w:rsid w:val="067032E2"/>
    <w:rsid w:val="067A6ECC"/>
    <w:rsid w:val="067E3A29"/>
    <w:rsid w:val="06856661"/>
    <w:rsid w:val="069114AA"/>
    <w:rsid w:val="06AE7966"/>
    <w:rsid w:val="06B07B82"/>
    <w:rsid w:val="06DD649D"/>
    <w:rsid w:val="06EC66E0"/>
    <w:rsid w:val="06F04422"/>
    <w:rsid w:val="07020C1A"/>
    <w:rsid w:val="0709089A"/>
    <w:rsid w:val="071C5217"/>
    <w:rsid w:val="071D4AEC"/>
    <w:rsid w:val="07210A39"/>
    <w:rsid w:val="072242D3"/>
    <w:rsid w:val="072440CC"/>
    <w:rsid w:val="072C25C9"/>
    <w:rsid w:val="0737795B"/>
    <w:rsid w:val="073F4A62"/>
    <w:rsid w:val="07442078"/>
    <w:rsid w:val="076C53FA"/>
    <w:rsid w:val="076D22AC"/>
    <w:rsid w:val="0784404A"/>
    <w:rsid w:val="078608E3"/>
    <w:rsid w:val="07941252"/>
    <w:rsid w:val="07A25DD3"/>
    <w:rsid w:val="07A64AE1"/>
    <w:rsid w:val="07B55348"/>
    <w:rsid w:val="07EA70C4"/>
    <w:rsid w:val="07F0083A"/>
    <w:rsid w:val="08255DBC"/>
    <w:rsid w:val="08687FE8"/>
    <w:rsid w:val="08935065"/>
    <w:rsid w:val="08997D8A"/>
    <w:rsid w:val="08A76D63"/>
    <w:rsid w:val="08AD2074"/>
    <w:rsid w:val="08BB45BC"/>
    <w:rsid w:val="08C6368D"/>
    <w:rsid w:val="08D306C7"/>
    <w:rsid w:val="08D538D0"/>
    <w:rsid w:val="08D77648"/>
    <w:rsid w:val="08DD7A6D"/>
    <w:rsid w:val="08E04023"/>
    <w:rsid w:val="08EE4992"/>
    <w:rsid w:val="09077801"/>
    <w:rsid w:val="091C32AD"/>
    <w:rsid w:val="09212671"/>
    <w:rsid w:val="0926010A"/>
    <w:rsid w:val="09664528"/>
    <w:rsid w:val="09970B85"/>
    <w:rsid w:val="09975029"/>
    <w:rsid w:val="09AC1C5B"/>
    <w:rsid w:val="09AD03A9"/>
    <w:rsid w:val="09CE174C"/>
    <w:rsid w:val="09E613EC"/>
    <w:rsid w:val="09EA6F07"/>
    <w:rsid w:val="09F23B8C"/>
    <w:rsid w:val="09FE29B2"/>
    <w:rsid w:val="0A1C108A"/>
    <w:rsid w:val="0A1E12A6"/>
    <w:rsid w:val="0A2148F3"/>
    <w:rsid w:val="0A391C3C"/>
    <w:rsid w:val="0A3D172D"/>
    <w:rsid w:val="0A3E680D"/>
    <w:rsid w:val="0A831432"/>
    <w:rsid w:val="0A9B6453"/>
    <w:rsid w:val="0AAB338B"/>
    <w:rsid w:val="0AAF1EFF"/>
    <w:rsid w:val="0ABF0394"/>
    <w:rsid w:val="0AD84599"/>
    <w:rsid w:val="0B05734A"/>
    <w:rsid w:val="0B0E131B"/>
    <w:rsid w:val="0B115FB9"/>
    <w:rsid w:val="0B1A381C"/>
    <w:rsid w:val="0B352404"/>
    <w:rsid w:val="0B386398"/>
    <w:rsid w:val="0B536D2E"/>
    <w:rsid w:val="0B5C2086"/>
    <w:rsid w:val="0B6727D9"/>
    <w:rsid w:val="0B674587"/>
    <w:rsid w:val="0B6B4077"/>
    <w:rsid w:val="0B6E5916"/>
    <w:rsid w:val="0B745622"/>
    <w:rsid w:val="0B76679F"/>
    <w:rsid w:val="0B772A1C"/>
    <w:rsid w:val="0B7F5D75"/>
    <w:rsid w:val="0BB24C22"/>
    <w:rsid w:val="0BE45BD8"/>
    <w:rsid w:val="0BF202F5"/>
    <w:rsid w:val="0BFE313E"/>
    <w:rsid w:val="0C02649C"/>
    <w:rsid w:val="0C0A3890"/>
    <w:rsid w:val="0C1E6205"/>
    <w:rsid w:val="0C28640C"/>
    <w:rsid w:val="0C3C5A14"/>
    <w:rsid w:val="0C41302A"/>
    <w:rsid w:val="0C452B1A"/>
    <w:rsid w:val="0C5A4DAC"/>
    <w:rsid w:val="0C874EE1"/>
    <w:rsid w:val="0C8A677F"/>
    <w:rsid w:val="0CAA0BCF"/>
    <w:rsid w:val="0CC04897"/>
    <w:rsid w:val="0CD520F0"/>
    <w:rsid w:val="0CD67C16"/>
    <w:rsid w:val="0CD81BE1"/>
    <w:rsid w:val="0D0C53E6"/>
    <w:rsid w:val="0D1C7D1F"/>
    <w:rsid w:val="0D2210AE"/>
    <w:rsid w:val="0D2766C4"/>
    <w:rsid w:val="0D6B6E82"/>
    <w:rsid w:val="0D9875BE"/>
    <w:rsid w:val="0D9D0734"/>
    <w:rsid w:val="0DA90E87"/>
    <w:rsid w:val="0DAF0B93"/>
    <w:rsid w:val="0DB241E0"/>
    <w:rsid w:val="0DB74AC1"/>
    <w:rsid w:val="0DC12F25"/>
    <w:rsid w:val="0DC14423"/>
    <w:rsid w:val="0DC83A03"/>
    <w:rsid w:val="0DCD1019"/>
    <w:rsid w:val="0DE10B00"/>
    <w:rsid w:val="0DEF71E2"/>
    <w:rsid w:val="0E0D58BA"/>
    <w:rsid w:val="0E0F1632"/>
    <w:rsid w:val="0E342E47"/>
    <w:rsid w:val="0E460DCC"/>
    <w:rsid w:val="0E464928"/>
    <w:rsid w:val="0E651252"/>
    <w:rsid w:val="0E653000"/>
    <w:rsid w:val="0E6D45AA"/>
    <w:rsid w:val="0E72396F"/>
    <w:rsid w:val="0E796AAB"/>
    <w:rsid w:val="0E7C0027"/>
    <w:rsid w:val="0E7F6315"/>
    <w:rsid w:val="0E8276FE"/>
    <w:rsid w:val="0E92317E"/>
    <w:rsid w:val="0E9543D1"/>
    <w:rsid w:val="0EA33B28"/>
    <w:rsid w:val="0EB36461"/>
    <w:rsid w:val="0EB45D35"/>
    <w:rsid w:val="0EBD75FE"/>
    <w:rsid w:val="0EC817E1"/>
    <w:rsid w:val="0ECA5559"/>
    <w:rsid w:val="0ED53B2A"/>
    <w:rsid w:val="0EF600FC"/>
    <w:rsid w:val="0F096081"/>
    <w:rsid w:val="0F1B5913"/>
    <w:rsid w:val="0F2442A2"/>
    <w:rsid w:val="0F3B3B23"/>
    <w:rsid w:val="0F3D21CF"/>
    <w:rsid w:val="0F4C0664"/>
    <w:rsid w:val="0F5A5835"/>
    <w:rsid w:val="0F9D4A1B"/>
    <w:rsid w:val="0FA638D0"/>
    <w:rsid w:val="0FAB538A"/>
    <w:rsid w:val="0FD33C3D"/>
    <w:rsid w:val="0FE8213B"/>
    <w:rsid w:val="0FF52AA9"/>
    <w:rsid w:val="10045CAD"/>
    <w:rsid w:val="10047D52"/>
    <w:rsid w:val="10150A56"/>
    <w:rsid w:val="10240C99"/>
    <w:rsid w:val="102723E9"/>
    <w:rsid w:val="102B64CB"/>
    <w:rsid w:val="107439CE"/>
    <w:rsid w:val="1090632E"/>
    <w:rsid w:val="109220A6"/>
    <w:rsid w:val="109B71AD"/>
    <w:rsid w:val="10A92DD3"/>
    <w:rsid w:val="10AF4A06"/>
    <w:rsid w:val="10BD54A5"/>
    <w:rsid w:val="10C55FD8"/>
    <w:rsid w:val="10C85AC8"/>
    <w:rsid w:val="11036B00"/>
    <w:rsid w:val="11082369"/>
    <w:rsid w:val="11357D2A"/>
    <w:rsid w:val="113849FC"/>
    <w:rsid w:val="113A4C18"/>
    <w:rsid w:val="113D2012"/>
    <w:rsid w:val="11457119"/>
    <w:rsid w:val="1147614B"/>
    <w:rsid w:val="116E48C1"/>
    <w:rsid w:val="11785740"/>
    <w:rsid w:val="11845E93"/>
    <w:rsid w:val="11867E5D"/>
    <w:rsid w:val="11A2456B"/>
    <w:rsid w:val="11AE5258"/>
    <w:rsid w:val="11B12A00"/>
    <w:rsid w:val="11B30526"/>
    <w:rsid w:val="11DA1F57"/>
    <w:rsid w:val="11DF30C9"/>
    <w:rsid w:val="11FA6155"/>
    <w:rsid w:val="12130FC5"/>
    <w:rsid w:val="12371157"/>
    <w:rsid w:val="12483364"/>
    <w:rsid w:val="127001C5"/>
    <w:rsid w:val="12771554"/>
    <w:rsid w:val="127759F8"/>
    <w:rsid w:val="127A0C92"/>
    <w:rsid w:val="127F48AC"/>
    <w:rsid w:val="129E4D32"/>
    <w:rsid w:val="12AD766B"/>
    <w:rsid w:val="12B91B6C"/>
    <w:rsid w:val="12BA7692"/>
    <w:rsid w:val="12BB2ABD"/>
    <w:rsid w:val="12BC165D"/>
    <w:rsid w:val="12CC5D44"/>
    <w:rsid w:val="12DE7825"/>
    <w:rsid w:val="12E3308D"/>
    <w:rsid w:val="12E7390C"/>
    <w:rsid w:val="12EF558E"/>
    <w:rsid w:val="12F64B6E"/>
    <w:rsid w:val="13021765"/>
    <w:rsid w:val="13037AFF"/>
    <w:rsid w:val="134338D7"/>
    <w:rsid w:val="13453400"/>
    <w:rsid w:val="13456351"/>
    <w:rsid w:val="134C0C32"/>
    <w:rsid w:val="137B79E1"/>
    <w:rsid w:val="137D0DEC"/>
    <w:rsid w:val="13833F28"/>
    <w:rsid w:val="13A03104"/>
    <w:rsid w:val="13B357D8"/>
    <w:rsid w:val="13E470BD"/>
    <w:rsid w:val="13E62E35"/>
    <w:rsid w:val="14065285"/>
    <w:rsid w:val="14223741"/>
    <w:rsid w:val="143F42F3"/>
    <w:rsid w:val="144731A8"/>
    <w:rsid w:val="145457CD"/>
    <w:rsid w:val="1457788F"/>
    <w:rsid w:val="14717C9A"/>
    <w:rsid w:val="147F2942"/>
    <w:rsid w:val="14AF7789"/>
    <w:rsid w:val="14BF5434"/>
    <w:rsid w:val="14BF71E2"/>
    <w:rsid w:val="14D50D33"/>
    <w:rsid w:val="14EF1875"/>
    <w:rsid w:val="14F450DE"/>
    <w:rsid w:val="14F50E56"/>
    <w:rsid w:val="150A4901"/>
    <w:rsid w:val="150B1D24"/>
    <w:rsid w:val="151E65FF"/>
    <w:rsid w:val="152030DE"/>
    <w:rsid w:val="1537321C"/>
    <w:rsid w:val="154020D1"/>
    <w:rsid w:val="15681628"/>
    <w:rsid w:val="159D7523"/>
    <w:rsid w:val="15A840F3"/>
    <w:rsid w:val="15C9656A"/>
    <w:rsid w:val="15EA4F33"/>
    <w:rsid w:val="15F6407C"/>
    <w:rsid w:val="15F82B4C"/>
    <w:rsid w:val="15FB249C"/>
    <w:rsid w:val="15FF3D3A"/>
    <w:rsid w:val="1602382A"/>
    <w:rsid w:val="1644573E"/>
    <w:rsid w:val="16565924"/>
    <w:rsid w:val="16640041"/>
    <w:rsid w:val="16646293"/>
    <w:rsid w:val="16685D83"/>
    <w:rsid w:val="167C182F"/>
    <w:rsid w:val="167D1103"/>
    <w:rsid w:val="167D2FDD"/>
    <w:rsid w:val="1688288B"/>
    <w:rsid w:val="168B406D"/>
    <w:rsid w:val="169052DA"/>
    <w:rsid w:val="16AE5760"/>
    <w:rsid w:val="16AE750E"/>
    <w:rsid w:val="16B40FC8"/>
    <w:rsid w:val="16BE3BF5"/>
    <w:rsid w:val="16C46D32"/>
    <w:rsid w:val="16D23887"/>
    <w:rsid w:val="16D84122"/>
    <w:rsid w:val="16E1737A"/>
    <w:rsid w:val="16E3540A"/>
    <w:rsid w:val="16E442B3"/>
    <w:rsid w:val="1711641B"/>
    <w:rsid w:val="1719707D"/>
    <w:rsid w:val="17215F32"/>
    <w:rsid w:val="172872C1"/>
    <w:rsid w:val="17457E73"/>
    <w:rsid w:val="174C1201"/>
    <w:rsid w:val="174F6F43"/>
    <w:rsid w:val="176821F4"/>
    <w:rsid w:val="17710C68"/>
    <w:rsid w:val="177C760C"/>
    <w:rsid w:val="177E1C86"/>
    <w:rsid w:val="179B7A92"/>
    <w:rsid w:val="17AD77C6"/>
    <w:rsid w:val="17CB7119"/>
    <w:rsid w:val="17D2722C"/>
    <w:rsid w:val="17EE5EB2"/>
    <w:rsid w:val="17FB49D5"/>
    <w:rsid w:val="18041ADC"/>
    <w:rsid w:val="18253800"/>
    <w:rsid w:val="182E6B59"/>
    <w:rsid w:val="187C5B16"/>
    <w:rsid w:val="188164C0"/>
    <w:rsid w:val="189246B5"/>
    <w:rsid w:val="189D783A"/>
    <w:rsid w:val="18A706B9"/>
    <w:rsid w:val="18C272A1"/>
    <w:rsid w:val="18CB43A7"/>
    <w:rsid w:val="18DA283C"/>
    <w:rsid w:val="18F733EE"/>
    <w:rsid w:val="18F90F15"/>
    <w:rsid w:val="19197809"/>
    <w:rsid w:val="1924244E"/>
    <w:rsid w:val="19251057"/>
    <w:rsid w:val="192D6E10"/>
    <w:rsid w:val="1934019F"/>
    <w:rsid w:val="19373862"/>
    <w:rsid w:val="19520625"/>
    <w:rsid w:val="19526877"/>
    <w:rsid w:val="195E2798"/>
    <w:rsid w:val="19B465B5"/>
    <w:rsid w:val="19C534ED"/>
    <w:rsid w:val="19D2300F"/>
    <w:rsid w:val="1A0214BE"/>
    <w:rsid w:val="1A0E5C74"/>
    <w:rsid w:val="1A197394"/>
    <w:rsid w:val="1A352420"/>
    <w:rsid w:val="1A512FD2"/>
    <w:rsid w:val="1A5D54D3"/>
    <w:rsid w:val="1A5F124B"/>
    <w:rsid w:val="1A6124EF"/>
    <w:rsid w:val="1A710493"/>
    <w:rsid w:val="1AB33908"/>
    <w:rsid w:val="1ADA2FC8"/>
    <w:rsid w:val="1AE259D8"/>
    <w:rsid w:val="1AE35507"/>
    <w:rsid w:val="1AEB2ADF"/>
    <w:rsid w:val="1AF23DA0"/>
    <w:rsid w:val="1B3E3557"/>
    <w:rsid w:val="1B636B19"/>
    <w:rsid w:val="1B6805D3"/>
    <w:rsid w:val="1B7716F3"/>
    <w:rsid w:val="1B7E1468"/>
    <w:rsid w:val="1B825739"/>
    <w:rsid w:val="1B83540D"/>
    <w:rsid w:val="1BA85854"/>
    <w:rsid w:val="1BC17CE4"/>
    <w:rsid w:val="1BCC0B62"/>
    <w:rsid w:val="1BDD4B1E"/>
    <w:rsid w:val="1BE718C7"/>
    <w:rsid w:val="1C0A3439"/>
    <w:rsid w:val="1C146065"/>
    <w:rsid w:val="1C4032FE"/>
    <w:rsid w:val="1C406E5A"/>
    <w:rsid w:val="1C495921"/>
    <w:rsid w:val="1C744D56"/>
    <w:rsid w:val="1C7A6810"/>
    <w:rsid w:val="1C7B7E93"/>
    <w:rsid w:val="1C980A44"/>
    <w:rsid w:val="1C9C6787"/>
    <w:rsid w:val="1CA05B4B"/>
    <w:rsid w:val="1CA90EA4"/>
    <w:rsid w:val="1CAA6093"/>
    <w:rsid w:val="1CAC717C"/>
    <w:rsid w:val="1CBF0268"/>
    <w:rsid w:val="1CD770EC"/>
    <w:rsid w:val="1CE43C8A"/>
    <w:rsid w:val="1D0A4E23"/>
    <w:rsid w:val="1D183933"/>
    <w:rsid w:val="1D1B3B0E"/>
    <w:rsid w:val="1D210A3A"/>
    <w:rsid w:val="1D214EDE"/>
    <w:rsid w:val="1D3E3364"/>
    <w:rsid w:val="1D4A4435"/>
    <w:rsid w:val="1D524C10"/>
    <w:rsid w:val="1D61177E"/>
    <w:rsid w:val="1D7E7C3A"/>
    <w:rsid w:val="1D821654"/>
    <w:rsid w:val="1D86436A"/>
    <w:rsid w:val="1D8D4321"/>
    <w:rsid w:val="1D9C27B6"/>
    <w:rsid w:val="1DA97ED8"/>
    <w:rsid w:val="1DAA4ED3"/>
    <w:rsid w:val="1DC53ABB"/>
    <w:rsid w:val="1DC835AB"/>
    <w:rsid w:val="1DCF0496"/>
    <w:rsid w:val="1DE2466D"/>
    <w:rsid w:val="1E206F43"/>
    <w:rsid w:val="1E2F7187"/>
    <w:rsid w:val="1E340C41"/>
    <w:rsid w:val="1E372DD5"/>
    <w:rsid w:val="1E401394"/>
    <w:rsid w:val="1E4E3AB1"/>
    <w:rsid w:val="1E51534F"/>
    <w:rsid w:val="1E5310C7"/>
    <w:rsid w:val="1E6908EA"/>
    <w:rsid w:val="1E766B63"/>
    <w:rsid w:val="1E9B2A6E"/>
    <w:rsid w:val="1EAC07D7"/>
    <w:rsid w:val="1EBA1146"/>
    <w:rsid w:val="1EC45B21"/>
    <w:rsid w:val="1EC527E7"/>
    <w:rsid w:val="1EC73863"/>
    <w:rsid w:val="1ED63AA6"/>
    <w:rsid w:val="1EDF295B"/>
    <w:rsid w:val="1F046865"/>
    <w:rsid w:val="1F0A70F1"/>
    <w:rsid w:val="1F0E3B3C"/>
    <w:rsid w:val="1F130856"/>
    <w:rsid w:val="1F1D16D5"/>
    <w:rsid w:val="1F4536E0"/>
    <w:rsid w:val="1F525822"/>
    <w:rsid w:val="1F58270D"/>
    <w:rsid w:val="1F5D7D23"/>
    <w:rsid w:val="1F5F1CED"/>
    <w:rsid w:val="1F7237CF"/>
    <w:rsid w:val="1F770DE5"/>
    <w:rsid w:val="1F8D0609"/>
    <w:rsid w:val="1F923E71"/>
    <w:rsid w:val="1FA96FA3"/>
    <w:rsid w:val="1FB82BC8"/>
    <w:rsid w:val="1FE31481"/>
    <w:rsid w:val="1FF468DA"/>
    <w:rsid w:val="200368E1"/>
    <w:rsid w:val="200B6E05"/>
    <w:rsid w:val="200F101E"/>
    <w:rsid w:val="200F54C2"/>
    <w:rsid w:val="201B5C14"/>
    <w:rsid w:val="202D1DEC"/>
    <w:rsid w:val="2039253E"/>
    <w:rsid w:val="204607B7"/>
    <w:rsid w:val="204A02A8"/>
    <w:rsid w:val="204D7D98"/>
    <w:rsid w:val="205331F0"/>
    <w:rsid w:val="20690166"/>
    <w:rsid w:val="207B2DC6"/>
    <w:rsid w:val="20803CC9"/>
    <w:rsid w:val="209239FD"/>
    <w:rsid w:val="20B47E17"/>
    <w:rsid w:val="20B91875"/>
    <w:rsid w:val="20DA3F99"/>
    <w:rsid w:val="20E71F9A"/>
    <w:rsid w:val="20E97AC1"/>
    <w:rsid w:val="20EA2A65"/>
    <w:rsid w:val="20EF2BFD"/>
    <w:rsid w:val="210112AE"/>
    <w:rsid w:val="212F12B7"/>
    <w:rsid w:val="214E2A84"/>
    <w:rsid w:val="21817CF9"/>
    <w:rsid w:val="21884BA0"/>
    <w:rsid w:val="219428FB"/>
    <w:rsid w:val="219519F6"/>
    <w:rsid w:val="2197576F"/>
    <w:rsid w:val="219E6AFD"/>
    <w:rsid w:val="21A659B2"/>
    <w:rsid w:val="21B55BF5"/>
    <w:rsid w:val="21DE15EF"/>
    <w:rsid w:val="21F93D33"/>
    <w:rsid w:val="22105521"/>
    <w:rsid w:val="2217240B"/>
    <w:rsid w:val="221C5C74"/>
    <w:rsid w:val="222039B6"/>
    <w:rsid w:val="2228094B"/>
    <w:rsid w:val="222B5EB7"/>
    <w:rsid w:val="224A27E1"/>
    <w:rsid w:val="227635D6"/>
    <w:rsid w:val="22794E74"/>
    <w:rsid w:val="22876F41"/>
    <w:rsid w:val="22AF6B26"/>
    <w:rsid w:val="22BB723B"/>
    <w:rsid w:val="22C87E24"/>
    <w:rsid w:val="22C95DFC"/>
    <w:rsid w:val="22CB4555"/>
    <w:rsid w:val="22EE06E2"/>
    <w:rsid w:val="22F84FC6"/>
    <w:rsid w:val="22FD3CF7"/>
    <w:rsid w:val="23250B58"/>
    <w:rsid w:val="233B7D50"/>
    <w:rsid w:val="23411E36"/>
    <w:rsid w:val="234D0B5D"/>
    <w:rsid w:val="235C6C70"/>
    <w:rsid w:val="23614286"/>
    <w:rsid w:val="23C04D7D"/>
    <w:rsid w:val="23CC5B62"/>
    <w:rsid w:val="23CD510E"/>
    <w:rsid w:val="24170DE9"/>
    <w:rsid w:val="243472A5"/>
    <w:rsid w:val="2440076D"/>
    <w:rsid w:val="245D4A46"/>
    <w:rsid w:val="24A563F4"/>
    <w:rsid w:val="24B228BF"/>
    <w:rsid w:val="24C15199"/>
    <w:rsid w:val="24CE288D"/>
    <w:rsid w:val="24EF7670"/>
    <w:rsid w:val="24F46A34"/>
    <w:rsid w:val="25034EC9"/>
    <w:rsid w:val="25136934"/>
    <w:rsid w:val="251946ED"/>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143832"/>
    <w:rsid w:val="2622149E"/>
    <w:rsid w:val="262275D1"/>
    <w:rsid w:val="263712CE"/>
    <w:rsid w:val="264B4D7A"/>
    <w:rsid w:val="264D6D44"/>
    <w:rsid w:val="265330BE"/>
    <w:rsid w:val="26644EA7"/>
    <w:rsid w:val="266A3452"/>
    <w:rsid w:val="26977FBF"/>
    <w:rsid w:val="26AF355A"/>
    <w:rsid w:val="26B50445"/>
    <w:rsid w:val="26B7479A"/>
    <w:rsid w:val="26CD1C32"/>
    <w:rsid w:val="26DA55FB"/>
    <w:rsid w:val="26DC11F6"/>
    <w:rsid w:val="26EC191F"/>
    <w:rsid w:val="26F251F5"/>
    <w:rsid w:val="26FC3FD7"/>
    <w:rsid w:val="270C62B7"/>
    <w:rsid w:val="271E5FEA"/>
    <w:rsid w:val="272D55E7"/>
    <w:rsid w:val="272F7095"/>
    <w:rsid w:val="276B56D3"/>
    <w:rsid w:val="276E687B"/>
    <w:rsid w:val="277125BE"/>
    <w:rsid w:val="27802801"/>
    <w:rsid w:val="278A123C"/>
    <w:rsid w:val="279F537D"/>
    <w:rsid w:val="27AC3146"/>
    <w:rsid w:val="27CB7F20"/>
    <w:rsid w:val="27D52B4D"/>
    <w:rsid w:val="27D53AEE"/>
    <w:rsid w:val="27D843EB"/>
    <w:rsid w:val="27EE00B2"/>
    <w:rsid w:val="27FC457D"/>
    <w:rsid w:val="2802590C"/>
    <w:rsid w:val="280451E0"/>
    <w:rsid w:val="280508D2"/>
    <w:rsid w:val="280E7BD2"/>
    <w:rsid w:val="28153891"/>
    <w:rsid w:val="28177609"/>
    <w:rsid w:val="281C077C"/>
    <w:rsid w:val="28245427"/>
    <w:rsid w:val="28247630"/>
    <w:rsid w:val="282615FA"/>
    <w:rsid w:val="283E4B96"/>
    <w:rsid w:val="28414686"/>
    <w:rsid w:val="2849353B"/>
    <w:rsid w:val="284D6B87"/>
    <w:rsid w:val="28550131"/>
    <w:rsid w:val="28612632"/>
    <w:rsid w:val="286B2A85"/>
    <w:rsid w:val="28757E8C"/>
    <w:rsid w:val="287E4F92"/>
    <w:rsid w:val="28887BBF"/>
    <w:rsid w:val="28AB1AFF"/>
    <w:rsid w:val="28AD2A89"/>
    <w:rsid w:val="28CB21A2"/>
    <w:rsid w:val="28E62B38"/>
    <w:rsid w:val="28F96D0F"/>
    <w:rsid w:val="290B7A2E"/>
    <w:rsid w:val="291A2C18"/>
    <w:rsid w:val="292533AF"/>
    <w:rsid w:val="292A6EC8"/>
    <w:rsid w:val="293B10D5"/>
    <w:rsid w:val="2944442E"/>
    <w:rsid w:val="294550C5"/>
    <w:rsid w:val="29493E9D"/>
    <w:rsid w:val="294D2BB7"/>
    <w:rsid w:val="294F2293"/>
    <w:rsid w:val="29606D8E"/>
    <w:rsid w:val="2964062C"/>
    <w:rsid w:val="29787C34"/>
    <w:rsid w:val="29927747"/>
    <w:rsid w:val="29A749BD"/>
    <w:rsid w:val="29C9048F"/>
    <w:rsid w:val="29CB06AB"/>
    <w:rsid w:val="29DA4194"/>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FE685E"/>
    <w:rsid w:val="2B027774"/>
    <w:rsid w:val="2B0D0850"/>
    <w:rsid w:val="2B116592"/>
    <w:rsid w:val="2B122D8D"/>
    <w:rsid w:val="2B193698"/>
    <w:rsid w:val="2B1C4F36"/>
    <w:rsid w:val="2B2142FB"/>
    <w:rsid w:val="2B2160A9"/>
    <w:rsid w:val="2B3202B6"/>
    <w:rsid w:val="2B361B54"/>
    <w:rsid w:val="2B367DA6"/>
    <w:rsid w:val="2B3803FA"/>
    <w:rsid w:val="2B400C25"/>
    <w:rsid w:val="2B4714A0"/>
    <w:rsid w:val="2B606BD1"/>
    <w:rsid w:val="2B6C5576"/>
    <w:rsid w:val="2B717030"/>
    <w:rsid w:val="2B74267D"/>
    <w:rsid w:val="2B93739B"/>
    <w:rsid w:val="2B994370"/>
    <w:rsid w:val="2BA50A88"/>
    <w:rsid w:val="2BB60EE7"/>
    <w:rsid w:val="2BC034DB"/>
    <w:rsid w:val="2BD819BD"/>
    <w:rsid w:val="2BEF4305"/>
    <w:rsid w:val="2BFD6B16"/>
    <w:rsid w:val="2C0037A4"/>
    <w:rsid w:val="2C06131E"/>
    <w:rsid w:val="2C077995"/>
    <w:rsid w:val="2C235EB7"/>
    <w:rsid w:val="2C2B5431"/>
    <w:rsid w:val="2C3C763E"/>
    <w:rsid w:val="2C453AC0"/>
    <w:rsid w:val="2C610E53"/>
    <w:rsid w:val="2C646B95"/>
    <w:rsid w:val="2C6646BB"/>
    <w:rsid w:val="2C83526D"/>
    <w:rsid w:val="2C9A0B92"/>
    <w:rsid w:val="2C9F3729"/>
    <w:rsid w:val="2CB73169"/>
    <w:rsid w:val="2CCF3D47"/>
    <w:rsid w:val="2CE47D2A"/>
    <w:rsid w:val="2CED0939"/>
    <w:rsid w:val="2CED6B8B"/>
    <w:rsid w:val="2CF27CFD"/>
    <w:rsid w:val="2CFA3055"/>
    <w:rsid w:val="2D012636"/>
    <w:rsid w:val="2D016C6B"/>
    <w:rsid w:val="2D0B5263"/>
    <w:rsid w:val="2D0D2D89"/>
    <w:rsid w:val="2D2B1461"/>
    <w:rsid w:val="2D2D1B91"/>
    <w:rsid w:val="2D404F0C"/>
    <w:rsid w:val="2D5B3AF4"/>
    <w:rsid w:val="2D8D7A26"/>
    <w:rsid w:val="2DA2135E"/>
    <w:rsid w:val="2DA34768"/>
    <w:rsid w:val="2DB9081B"/>
    <w:rsid w:val="2DCB70CE"/>
    <w:rsid w:val="2DCE2518"/>
    <w:rsid w:val="2DCE5BE2"/>
    <w:rsid w:val="2DD218DC"/>
    <w:rsid w:val="2DDB69E3"/>
    <w:rsid w:val="2DEF7457"/>
    <w:rsid w:val="2DFD6208"/>
    <w:rsid w:val="2E045F3A"/>
    <w:rsid w:val="2E093AD9"/>
    <w:rsid w:val="2E1B451A"/>
    <w:rsid w:val="2E2A34C6"/>
    <w:rsid w:val="2E426A62"/>
    <w:rsid w:val="2E6C48D9"/>
    <w:rsid w:val="2E786928"/>
    <w:rsid w:val="2E8F4F19"/>
    <w:rsid w:val="2EA63495"/>
    <w:rsid w:val="2EB57234"/>
    <w:rsid w:val="2ED7364E"/>
    <w:rsid w:val="2EF35FAE"/>
    <w:rsid w:val="2EFA6A37"/>
    <w:rsid w:val="2F167CA6"/>
    <w:rsid w:val="2F196260"/>
    <w:rsid w:val="2F1A353B"/>
    <w:rsid w:val="2F452CAE"/>
    <w:rsid w:val="2F542EF1"/>
    <w:rsid w:val="2F5D70AC"/>
    <w:rsid w:val="2F8B61E7"/>
    <w:rsid w:val="2FA36C75"/>
    <w:rsid w:val="2FA84FEB"/>
    <w:rsid w:val="2FBE036A"/>
    <w:rsid w:val="2FD858D0"/>
    <w:rsid w:val="2FEA43F0"/>
    <w:rsid w:val="302428C3"/>
    <w:rsid w:val="30297EDA"/>
    <w:rsid w:val="302C5C1C"/>
    <w:rsid w:val="303074BA"/>
    <w:rsid w:val="30405223"/>
    <w:rsid w:val="306929CC"/>
    <w:rsid w:val="306B405E"/>
    <w:rsid w:val="306C7DC6"/>
    <w:rsid w:val="307F1BC0"/>
    <w:rsid w:val="30832D34"/>
    <w:rsid w:val="30872E52"/>
    <w:rsid w:val="308C4B30"/>
    <w:rsid w:val="30993ECC"/>
    <w:rsid w:val="30A75681"/>
    <w:rsid w:val="30C714A1"/>
    <w:rsid w:val="30F41419"/>
    <w:rsid w:val="30FC114A"/>
    <w:rsid w:val="310D77FB"/>
    <w:rsid w:val="310E0E7D"/>
    <w:rsid w:val="313D0ED1"/>
    <w:rsid w:val="314A68DF"/>
    <w:rsid w:val="31523460"/>
    <w:rsid w:val="315620B8"/>
    <w:rsid w:val="316311C9"/>
    <w:rsid w:val="317F1D7B"/>
    <w:rsid w:val="31841AC8"/>
    <w:rsid w:val="31A737AC"/>
    <w:rsid w:val="31A87524"/>
    <w:rsid w:val="31B00187"/>
    <w:rsid w:val="31CB6D6E"/>
    <w:rsid w:val="31D200FD"/>
    <w:rsid w:val="31E64732"/>
    <w:rsid w:val="31EA5447"/>
    <w:rsid w:val="31EE27EE"/>
    <w:rsid w:val="32140715"/>
    <w:rsid w:val="32230959"/>
    <w:rsid w:val="324059AE"/>
    <w:rsid w:val="326351F9"/>
    <w:rsid w:val="327D078A"/>
    <w:rsid w:val="3284589B"/>
    <w:rsid w:val="32933D30"/>
    <w:rsid w:val="329802B9"/>
    <w:rsid w:val="329A6B16"/>
    <w:rsid w:val="32B31CDC"/>
    <w:rsid w:val="32C75788"/>
    <w:rsid w:val="32CC7242"/>
    <w:rsid w:val="32D92613"/>
    <w:rsid w:val="32E165BD"/>
    <w:rsid w:val="32FA3DAF"/>
    <w:rsid w:val="334F40FB"/>
    <w:rsid w:val="33641229"/>
    <w:rsid w:val="337A3932"/>
    <w:rsid w:val="337B243F"/>
    <w:rsid w:val="338673F1"/>
    <w:rsid w:val="339D48A3"/>
    <w:rsid w:val="33BF2903"/>
    <w:rsid w:val="33CF6FEA"/>
    <w:rsid w:val="33EA3E24"/>
    <w:rsid w:val="33F64577"/>
    <w:rsid w:val="33FB1B8D"/>
    <w:rsid w:val="34056568"/>
    <w:rsid w:val="341E3ACD"/>
    <w:rsid w:val="34525525"/>
    <w:rsid w:val="346040E6"/>
    <w:rsid w:val="34945B3E"/>
    <w:rsid w:val="34A0589E"/>
    <w:rsid w:val="34A67F96"/>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7240D1"/>
    <w:rsid w:val="35CE6E2D"/>
    <w:rsid w:val="35DB7EC8"/>
    <w:rsid w:val="35EE2046"/>
    <w:rsid w:val="35F41640"/>
    <w:rsid w:val="362A0508"/>
    <w:rsid w:val="36394BEF"/>
    <w:rsid w:val="364652E8"/>
    <w:rsid w:val="36603F29"/>
    <w:rsid w:val="36653C36"/>
    <w:rsid w:val="366A4DA8"/>
    <w:rsid w:val="36897924"/>
    <w:rsid w:val="369116D0"/>
    <w:rsid w:val="36941E25"/>
    <w:rsid w:val="3699568D"/>
    <w:rsid w:val="369F7E9A"/>
    <w:rsid w:val="36B67FED"/>
    <w:rsid w:val="36C46BAE"/>
    <w:rsid w:val="36CC15BF"/>
    <w:rsid w:val="36D3294D"/>
    <w:rsid w:val="36D91A01"/>
    <w:rsid w:val="36F916A3"/>
    <w:rsid w:val="370E607B"/>
    <w:rsid w:val="37112969"/>
    <w:rsid w:val="37180CA8"/>
    <w:rsid w:val="372907BF"/>
    <w:rsid w:val="37294C63"/>
    <w:rsid w:val="373830F8"/>
    <w:rsid w:val="374D6BA3"/>
    <w:rsid w:val="375647D6"/>
    <w:rsid w:val="377A726D"/>
    <w:rsid w:val="377E4FAF"/>
    <w:rsid w:val="37893954"/>
    <w:rsid w:val="37971BCD"/>
    <w:rsid w:val="37A75B88"/>
    <w:rsid w:val="37D921E5"/>
    <w:rsid w:val="37F92887"/>
    <w:rsid w:val="37FC2378"/>
    <w:rsid w:val="380C2A2C"/>
    <w:rsid w:val="381C51E0"/>
    <w:rsid w:val="38365B8F"/>
    <w:rsid w:val="384B3FA8"/>
    <w:rsid w:val="3854528C"/>
    <w:rsid w:val="38565141"/>
    <w:rsid w:val="38602906"/>
    <w:rsid w:val="388414BF"/>
    <w:rsid w:val="389F176C"/>
    <w:rsid w:val="38A00F55"/>
    <w:rsid w:val="38B95B73"/>
    <w:rsid w:val="38C509BB"/>
    <w:rsid w:val="38CF183A"/>
    <w:rsid w:val="38E30E42"/>
    <w:rsid w:val="38EF5A38"/>
    <w:rsid w:val="38F33028"/>
    <w:rsid w:val="39036257"/>
    <w:rsid w:val="390F1199"/>
    <w:rsid w:val="39367F12"/>
    <w:rsid w:val="394538AA"/>
    <w:rsid w:val="39495149"/>
    <w:rsid w:val="394D5E49"/>
    <w:rsid w:val="39553AED"/>
    <w:rsid w:val="3986014B"/>
    <w:rsid w:val="39993E51"/>
    <w:rsid w:val="39AD02F7"/>
    <w:rsid w:val="39B5458C"/>
    <w:rsid w:val="39B60304"/>
    <w:rsid w:val="39C6205A"/>
    <w:rsid w:val="39DA2245"/>
    <w:rsid w:val="39DA3FF3"/>
    <w:rsid w:val="39DB054C"/>
    <w:rsid w:val="39DF3CFF"/>
    <w:rsid w:val="39E81075"/>
    <w:rsid w:val="39F71049"/>
    <w:rsid w:val="3A013C75"/>
    <w:rsid w:val="3A12378C"/>
    <w:rsid w:val="3A2B6F44"/>
    <w:rsid w:val="3A322081"/>
    <w:rsid w:val="3A331955"/>
    <w:rsid w:val="3A361B71"/>
    <w:rsid w:val="3A456E52"/>
    <w:rsid w:val="3A463AB7"/>
    <w:rsid w:val="3A4B6C9E"/>
    <w:rsid w:val="3A631110"/>
    <w:rsid w:val="3A7C32FC"/>
    <w:rsid w:val="3A854074"/>
    <w:rsid w:val="3AB94E96"/>
    <w:rsid w:val="3AC70A1B"/>
    <w:rsid w:val="3AD66EB0"/>
    <w:rsid w:val="3AEA64B7"/>
    <w:rsid w:val="3AF92B9E"/>
    <w:rsid w:val="3AFA0DF0"/>
    <w:rsid w:val="3B236ECD"/>
    <w:rsid w:val="3B337CE9"/>
    <w:rsid w:val="3B337E5E"/>
    <w:rsid w:val="3B343BD6"/>
    <w:rsid w:val="3B3C653D"/>
    <w:rsid w:val="3B4728CC"/>
    <w:rsid w:val="3B497682"/>
    <w:rsid w:val="3B49769C"/>
    <w:rsid w:val="3B53405D"/>
    <w:rsid w:val="3B691AD2"/>
    <w:rsid w:val="3B6E533A"/>
    <w:rsid w:val="3B7F0C6A"/>
    <w:rsid w:val="3B7F30A4"/>
    <w:rsid w:val="3B8561E0"/>
    <w:rsid w:val="3B8B1A48"/>
    <w:rsid w:val="3B9A415A"/>
    <w:rsid w:val="3BA06121"/>
    <w:rsid w:val="3BA2244B"/>
    <w:rsid w:val="3BB07701"/>
    <w:rsid w:val="3BB2349B"/>
    <w:rsid w:val="3BB865B6"/>
    <w:rsid w:val="3BBF7944"/>
    <w:rsid w:val="3BC82C9D"/>
    <w:rsid w:val="3BEE1F9C"/>
    <w:rsid w:val="3BF04D81"/>
    <w:rsid w:val="3C0D4B53"/>
    <w:rsid w:val="3C2105FF"/>
    <w:rsid w:val="3C372D23"/>
    <w:rsid w:val="3C410F87"/>
    <w:rsid w:val="3C447E49"/>
    <w:rsid w:val="3C4517F0"/>
    <w:rsid w:val="3C4B380F"/>
    <w:rsid w:val="3C4F6F1A"/>
    <w:rsid w:val="3C511E12"/>
    <w:rsid w:val="3C5F2ED5"/>
    <w:rsid w:val="3C7D38D1"/>
    <w:rsid w:val="3C8414ED"/>
    <w:rsid w:val="3C97441D"/>
    <w:rsid w:val="3CA408E8"/>
    <w:rsid w:val="3CA64660"/>
    <w:rsid w:val="3CBD0327"/>
    <w:rsid w:val="3CC14C1F"/>
    <w:rsid w:val="3CD0758C"/>
    <w:rsid w:val="3CDE6FFD"/>
    <w:rsid w:val="3CE55188"/>
    <w:rsid w:val="3CF56BC9"/>
    <w:rsid w:val="3D0A4BEF"/>
    <w:rsid w:val="3D0D04B9"/>
    <w:rsid w:val="3D1F37E4"/>
    <w:rsid w:val="3D211F38"/>
    <w:rsid w:val="3D235CB1"/>
    <w:rsid w:val="3D31113A"/>
    <w:rsid w:val="3D37175C"/>
    <w:rsid w:val="3D695DB9"/>
    <w:rsid w:val="3D762284"/>
    <w:rsid w:val="3D7D3613"/>
    <w:rsid w:val="3D864BBD"/>
    <w:rsid w:val="3DDD67A7"/>
    <w:rsid w:val="3DE23DBE"/>
    <w:rsid w:val="3E09134A"/>
    <w:rsid w:val="3E09294E"/>
    <w:rsid w:val="3E1A70B4"/>
    <w:rsid w:val="3E330175"/>
    <w:rsid w:val="3E655E3A"/>
    <w:rsid w:val="3E667746"/>
    <w:rsid w:val="3E885B96"/>
    <w:rsid w:val="3E8E35FE"/>
    <w:rsid w:val="3EB43064"/>
    <w:rsid w:val="3EB92D70"/>
    <w:rsid w:val="3EBA7B5C"/>
    <w:rsid w:val="3ECD4126"/>
    <w:rsid w:val="3EE057E6"/>
    <w:rsid w:val="3EF1250A"/>
    <w:rsid w:val="3F0C66A8"/>
    <w:rsid w:val="3F163D1F"/>
    <w:rsid w:val="3F281CA4"/>
    <w:rsid w:val="3F2B709E"/>
    <w:rsid w:val="3F4500E9"/>
    <w:rsid w:val="3F450160"/>
    <w:rsid w:val="3F4C14EF"/>
    <w:rsid w:val="3F692622"/>
    <w:rsid w:val="3F7153F9"/>
    <w:rsid w:val="3F720A50"/>
    <w:rsid w:val="3F917849"/>
    <w:rsid w:val="3F9B0612"/>
    <w:rsid w:val="3F9D1D4A"/>
    <w:rsid w:val="3FA241A2"/>
    <w:rsid w:val="3FA550A3"/>
    <w:rsid w:val="3FAA4467"/>
    <w:rsid w:val="3FAC01DF"/>
    <w:rsid w:val="3FB4343D"/>
    <w:rsid w:val="3FD85478"/>
    <w:rsid w:val="40155D85"/>
    <w:rsid w:val="403A57EB"/>
    <w:rsid w:val="404B3E9C"/>
    <w:rsid w:val="4061546E"/>
    <w:rsid w:val="4079067E"/>
    <w:rsid w:val="407927B7"/>
    <w:rsid w:val="4093139F"/>
    <w:rsid w:val="409343AF"/>
    <w:rsid w:val="409A0980"/>
    <w:rsid w:val="40AC655D"/>
    <w:rsid w:val="40BE01CA"/>
    <w:rsid w:val="40D75730"/>
    <w:rsid w:val="40E63BC5"/>
    <w:rsid w:val="40FA4F7A"/>
    <w:rsid w:val="41362456"/>
    <w:rsid w:val="413C37E5"/>
    <w:rsid w:val="41487F61"/>
    <w:rsid w:val="414A5F02"/>
    <w:rsid w:val="415648A7"/>
    <w:rsid w:val="415A71E1"/>
    <w:rsid w:val="41630D72"/>
    <w:rsid w:val="416D399E"/>
    <w:rsid w:val="419B675D"/>
    <w:rsid w:val="419F484B"/>
    <w:rsid w:val="41AA69A0"/>
    <w:rsid w:val="41B15F81"/>
    <w:rsid w:val="41C31810"/>
    <w:rsid w:val="41E225DE"/>
    <w:rsid w:val="41F8595E"/>
    <w:rsid w:val="420C600C"/>
    <w:rsid w:val="42100EF9"/>
    <w:rsid w:val="4214206C"/>
    <w:rsid w:val="421B164C"/>
    <w:rsid w:val="422246E7"/>
    <w:rsid w:val="422B5D33"/>
    <w:rsid w:val="42312D26"/>
    <w:rsid w:val="42454372"/>
    <w:rsid w:val="42573796"/>
    <w:rsid w:val="426E5C20"/>
    <w:rsid w:val="42786A9F"/>
    <w:rsid w:val="428561C6"/>
    <w:rsid w:val="428B67D2"/>
    <w:rsid w:val="428E0070"/>
    <w:rsid w:val="42943344"/>
    <w:rsid w:val="42975177"/>
    <w:rsid w:val="42AD6C5D"/>
    <w:rsid w:val="42C615B8"/>
    <w:rsid w:val="42D77C69"/>
    <w:rsid w:val="42FC322C"/>
    <w:rsid w:val="43046BE3"/>
    <w:rsid w:val="43132551"/>
    <w:rsid w:val="43171E14"/>
    <w:rsid w:val="4329542D"/>
    <w:rsid w:val="43484F88"/>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34666"/>
    <w:rsid w:val="44564BBE"/>
    <w:rsid w:val="44617431"/>
    <w:rsid w:val="44641089"/>
    <w:rsid w:val="446948F1"/>
    <w:rsid w:val="449936FC"/>
    <w:rsid w:val="44C11AA6"/>
    <w:rsid w:val="44D04970"/>
    <w:rsid w:val="44D426B2"/>
    <w:rsid w:val="44E346A3"/>
    <w:rsid w:val="44E67CEF"/>
    <w:rsid w:val="44EE4DF6"/>
    <w:rsid w:val="44F3240C"/>
    <w:rsid w:val="45110AAC"/>
    <w:rsid w:val="45123CB8"/>
    <w:rsid w:val="451A208F"/>
    <w:rsid w:val="45350C77"/>
    <w:rsid w:val="45415D40"/>
    <w:rsid w:val="45435142"/>
    <w:rsid w:val="45451DF1"/>
    <w:rsid w:val="45490111"/>
    <w:rsid w:val="45524726"/>
    <w:rsid w:val="455530C7"/>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DE3016"/>
    <w:rsid w:val="46E14C12"/>
    <w:rsid w:val="470D3C59"/>
    <w:rsid w:val="472B1462"/>
    <w:rsid w:val="473B0E1B"/>
    <w:rsid w:val="473F27FF"/>
    <w:rsid w:val="476017C6"/>
    <w:rsid w:val="476B0980"/>
    <w:rsid w:val="47745A86"/>
    <w:rsid w:val="477A0BC3"/>
    <w:rsid w:val="47811F51"/>
    <w:rsid w:val="47833F1C"/>
    <w:rsid w:val="478E2D76"/>
    <w:rsid w:val="479F062A"/>
    <w:rsid w:val="47A65E5C"/>
    <w:rsid w:val="47AB6FCE"/>
    <w:rsid w:val="47B71E17"/>
    <w:rsid w:val="47E67FE2"/>
    <w:rsid w:val="47F0014A"/>
    <w:rsid w:val="481903DC"/>
    <w:rsid w:val="482E3A5F"/>
    <w:rsid w:val="483C0420"/>
    <w:rsid w:val="4851608C"/>
    <w:rsid w:val="486C0E54"/>
    <w:rsid w:val="48740AF8"/>
    <w:rsid w:val="487B247F"/>
    <w:rsid w:val="48907EB9"/>
    <w:rsid w:val="489A3E9E"/>
    <w:rsid w:val="489D100D"/>
    <w:rsid w:val="489E6122"/>
    <w:rsid w:val="48B56357"/>
    <w:rsid w:val="48B87BF5"/>
    <w:rsid w:val="48B955C2"/>
    <w:rsid w:val="48B9571B"/>
    <w:rsid w:val="48BA396D"/>
    <w:rsid w:val="48F30C2D"/>
    <w:rsid w:val="48F759E7"/>
    <w:rsid w:val="48F86243"/>
    <w:rsid w:val="490177EE"/>
    <w:rsid w:val="49025314"/>
    <w:rsid w:val="490270C2"/>
    <w:rsid w:val="490D6193"/>
    <w:rsid w:val="490E1F0B"/>
    <w:rsid w:val="491352B1"/>
    <w:rsid w:val="492B090F"/>
    <w:rsid w:val="4932003B"/>
    <w:rsid w:val="49382AE4"/>
    <w:rsid w:val="49417BEA"/>
    <w:rsid w:val="494873AB"/>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3E237C"/>
    <w:rsid w:val="4A421E6C"/>
    <w:rsid w:val="4A730023"/>
    <w:rsid w:val="4A8833F8"/>
    <w:rsid w:val="4A8A619F"/>
    <w:rsid w:val="4A9D70A2"/>
    <w:rsid w:val="4AA2290B"/>
    <w:rsid w:val="4AD46AF0"/>
    <w:rsid w:val="4ADB406F"/>
    <w:rsid w:val="4ADF76BB"/>
    <w:rsid w:val="4AE1272C"/>
    <w:rsid w:val="4AF64A04"/>
    <w:rsid w:val="4B125FF6"/>
    <w:rsid w:val="4B2B2900"/>
    <w:rsid w:val="4B3F45FD"/>
    <w:rsid w:val="4B4614E8"/>
    <w:rsid w:val="4B5736F5"/>
    <w:rsid w:val="4B6C4CC7"/>
    <w:rsid w:val="4B7D0C82"/>
    <w:rsid w:val="4B8057E5"/>
    <w:rsid w:val="4B893ACB"/>
    <w:rsid w:val="4B8B339F"/>
    <w:rsid w:val="4B92472D"/>
    <w:rsid w:val="4BA97CC9"/>
    <w:rsid w:val="4BD016F9"/>
    <w:rsid w:val="4BF47196"/>
    <w:rsid w:val="4C0575F5"/>
    <w:rsid w:val="4C0D46FC"/>
    <w:rsid w:val="4C1C49DF"/>
    <w:rsid w:val="4C231829"/>
    <w:rsid w:val="4C2B503E"/>
    <w:rsid w:val="4C312198"/>
    <w:rsid w:val="4C3253A4"/>
    <w:rsid w:val="4C481290"/>
    <w:rsid w:val="4C5C4D3B"/>
    <w:rsid w:val="4C63273B"/>
    <w:rsid w:val="4C787DC7"/>
    <w:rsid w:val="4C8449BE"/>
    <w:rsid w:val="4C987D10"/>
    <w:rsid w:val="4CA94424"/>
    <w:rsid w:val="4CAA3CF8"/>
    <w:rsid w:val="4CBE77A4"/>
    <w:rsid w:val="4CC56D84"/>
    <w:rsid w:val="4CD62D3F"/>
    <w:rsid w:val="4CE0771A"/>
    <w:rsid w:val="4CF051AC"/>
    <w:rsid w:val="4CF737C6"/>
    <w:rsid w:val="4D057181"/>
    <w:rsid w:val="4D0C050F"/>
    <w:rsid w:val="4D1D44CA"/>
    <w:rsid w:val="4D275349"/>
    <w:rsid w:val="4D331F40"/>
    <w:rsid w:val="4D3B0DF4"/>
    <w:rsid w:val="4D7F6F33"/>
    <w:rsid w:val="4D8409ED"/>
    <w:rsid w:val="4D9549A9"/>
    <w:rsid w:val="4D9D16E6"/>
    <w:rsid w:val="4DB017E2"/>
    <w:rsid w:val="4DB82445"/>
    <w:rsid w:val="4DC25072"/>
    <w:rsid w:val="4DC96400"/>
    <w:rsid w:val="4DD05DCD"/>
    <w:rsid w:val="4DE106CB"/>
    <w:rsid w:val="4DEB281B"/>
    <w:rsid w:val="4E10402F"/>
    <w:rsid w:val="4E121B55"/>
    <w:rsid w:val="4E2B2C17"/>
    <w:rsid w:val="4E2D698F"/>
    <w:rsid w:val="4E505C68"/>
    <w:rsid w:val="4E573A0C"/>
    <w:rsid w:val="4E5C1022"/>
    <w:rsid w:val="4E5E11BD"/>
    <w:rsid w:val="4E760336"/>
    <w:rsid w:val="4E7C16C5"/>
    <w:rsid w:val="4EAC6FD6"/>
    <w:rsid w:val="4EB250E6"/>
    <w:rsid w:val="4EBE1CDD"/>
    <w:rsid w:val="4EC05A55"/>
    <w:rsid w:val="4ECA0682"/>
    <w:rsid w:val="4ECB1458"/>
    <w:rsid w:val="4ECD0674"/>
    <w:rsid w:val="4EE16FA6"/>
    <w:rsid w:val="4EE47996"/>
    <w:rsid w:val="4EE74D90"/>
    <w:rsid w:val="4EEF633A"/>
    <w:rsid w:val="4EFB083B"/>
    <w:rsid w:val="4F1D6A04"/>
    <w:rsid w:val="4F2846B4"/>
    <w:rsid w:val="4F2935FA"/>
    <w:rsid w:val="4F495A4B"/>
    <w:rsid w:val="4F587A3C"/>
    <w:rsid w:val="4F6C6BDA"/>
    <w:rsid w:val="4F7E394E"/>
    <w:rsid w:val="4F7F2029"/>
    <w:rsid w:val="4F870321"/>
    <w:rsid w:val="4F9071D6"/>
    <w:rsid w:val="4F9547EC"/>
    <w:rsid w:val="4FCF1083"/>
    <w:rsid w:val="4FE6773D"/>
    <w:rsid w:val="4FF43AC5"/>
    <w:rsid w:val="4FF77255"/>
    <w:rsid w:val="4FFE4A87"/>
    <w:rsid w:val="50000824"/>
    <w:rsid w:val="50106568"/>
    <w:rsid w:val="501222E0"/>
    <w:rsid w:val="501F0559"/>
    <w:rsid w:val="5023629C"/>
    <w:rsid w:val="50306FB5"/>
    <w:rsid w:val="503A5393"/>
    <w:rsid w:val="503F29AA"/>
    <w:rsid w:val="5043249A"/>
    <w:rsid w:val="505521CD"/>
    <w:rsid w:val="50827466"/>
    <w:rsid w:val="508A6E38"/>
    <w:rsid w:val="50A078EC"/>
    <w:rsid w:val="50B679A2"/>
    <w:rsid w:val="50D21A70"/>
    <w:rsid w:val="50D457E8"/>
    <w:rsid w:val="50D75B0C"/>
    <w:rsid w:val="50EA1701"/>
    <w:rsid w:val="50EC2A1D"/>
    <w:rsid w:val="50FB4B23"/>
    <w:rsid w:val="51163F32"/>
    <w:rsid w:val="51183927"/>
    <w:rsid w:val="51226553"/>
    <w:rsid w:val="514E7348"/>
    <w:rsid w:val="51516E38"/>
    <w:rsid w:val="517A40CC"/>
    <w:rsid w:val="5180327A"/>
    <w:rsid w:val="519A433C"/>
    <w:rsid w:val="51AE366B"/>
    <w:rsid w:val="51CF52D9"/>
    <w:rsid w:val="51D823BF"/>
    <w:rsid w:val="51DF0427"/>
    <w:rsid w:val="51E67581"/>
    <w:rsid w:val="51F83758"/>
    <w:rsid w:val="520B3E30"/>
    <w:rsid w:val="521A547C"/>
    <w:rsid w:val="521F6F37"/>
    <w:rsid w:val="52212CE3"/>
    <w:rsid w:val="5246001F"/>
    <w:rsid w:val="52972F71"/>
    <w:rsid w:val="529F5E1B"/>
    <w:rsid w:val="52B0193D"/>
    <w:rsid w:val="52B633F7"/>
    <w:rsid w:val="52BC29D7"/>
    <w:rsid w:val="52C8312A"/>
    <w:rsid w:val="52DB5A27"/>
    <w:rsid w:val="52DD4E28"/>
    <w:rsid w:val="52DE4AD3"/>
    <w:rsid w:val="52E70521"/>
    <w:rsid w:val="52FB52AE"/>
    <w:rsid w:val="52FE08FA"/>
    <w:rsid w:val="531F04EC"/>
    <w:rsid w:val="532145E9"/>
    <w:rsid w:val="53220A8C"/>
    <w:rsid w:val="532E2213"/>
    <w:rsid w:val="533026AA"/>
    <w:rsid w:val="53487DC7"/>
    <w:rsid w:val="534C78B7"/>
    <w:rsid w:val="534D3630"/>
    <w:rsid w:val="53807561"/>
    <w:rsid w:val="5382152B"/>
    <w:rsid w:val="538708F0"/>
    <w:rsid w:val="538E7D0E"/>
    <w:rsid w:val="53A56FC8"/>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F3CBD"/>
    <w:rsid w:val="54823599"/>
    <w:rsid w:val="548C301C"/>
    <w:rsid w:val="54AA0D3A"/>
    <w:rsid w:val="54AB6860"/>
    <w:rsid w:val="54BB2F47"/>
    <w:rsid w:val="54BE216E"/>
    <w:rsid w:val="54BF40B9"/>
    <w:rsid w:val="54D45DB6"/>
    <w:rsid w:val="54D73AF9"/>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818D6"/>
    <w:rsid w:val="55DB3175"/>
    <w:rsid w:val="55EE4C56"/>
    <w:rsid w:val="55F61D5C"/>
    <w:rsid w:val="56051FA0"/>
    <w:rsid w:val="56222B52"/>
    <w:rsid w:val="562A1B91"/>
    <w:rsid w:val="562B40FC"/>
    <w:rsid w:val="562B5B9A"/>
    <w:rsid w:val="56331D5B"/>
    <w:rsid w:val="5637484F"/>
    <w:rsid w:val="5640122A"/>
    <w:rsid w:val="56570A4D"/>
    <w:rsid w:val="565E627F"/>
    <w:rsid w:val="56867F50"/>
    <w:rsid w:val="568A7075"/>
    <w:rsid w:val="56945138"/>
    <w:rsid w:val="56AB7BA5"/>
    <w:rsid w:val="56AF3861"/>
    <w:rsid w:val="56B85264"/>
    <w:rsid w:val="56CA56C3"/>
    <w:rsid w:val="56CF0F2B"/>
    <w:rsid w:val="56DC53F6"/>
    <w:rsid w:val="56ED1575"/>
    <w:rsid w:val="56F55B47"/>
    <w:rsid w:val="571406EC"/>
    <w:rsid w:val="5714693E"/>
    <w:rsid w:val="573A37A0"/>
    <w:rsid w:val="573F67D1"/>
    <w:rsid w:val="575C2093"/>
    <w:rsid w:val="576D604E"/>
    <w:rsid w:val="57706229"/>
    <w:rsid w:val="578C2978"/>
    <w:rsid w:val="579E26AC"/>
    <w:rsid w:val="57BE4AFC"/>
    <w:rsid w:val="57C2639A"/>
    <w:rsid w:val="57CE11E3"/>
    <w:rsid w:val="57CF2865"/>
    <w:rsid w:val="57E07028"/>
    <w:rsid w:val="57E207EA"/>
    <w:rsid w:val="57EC78BB"/>
    <w:rsid w:val="57F549C2"/>
    <w:rsid w:val="580764A3"/>
    <w:rsid w:val="58260F8E"/>
    <w:rsid w:val="582C5F09"/>
    <w:rsid w:val="586C6306"/>
    <w:rsid w:val="58737694"/>
    <w:rsid w:val="587F072F"/>
    <w:rsid w:val="58BA1767"/>
    <w:rsid w:val="58FB25DD"/>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A5338"/>
    <w:rsid w:val="59AD4E28"/>
    <w:rsid w:val="59BD150F"/>
    <w:rsid w:val="59BE0DE3"/>
    <w:rsid w:val="59C53F20"/>
    <w:rsid w:val="59D535F0"/>
    <w:rsid w:val="59F36D01"/>
    <w:rsid w:val="5A0228E9"/>
    <w:rsid w:val="5A146C55"/>
    <w:rsid w:val="5A151F73"/>
    <w:rsid w:val="5A582FE6"/>
    <w:rsid w:val="5AA77AC9"/>
    <w:rsid w:val="5AA91A93"/>
    <w:rsid w:val="5ABE4B07"/>
    <w:rsid w:val="5AC03D87"/>
    <w:rsid w:val="5AC266B1"/>
    <w:rsid w:val="5ADE1027"/>
    <w:rsid w:val="5AEE74A6"/>
    <w:rsid w:val="5AFA409D"/>
    <w:rsid w:val="5AFA5E4B"/>
    <w:rsid w:val="5B307ABF"/>
    <w:rsid w:val="5B321A89"/>
    <w:rsid w:val="5B32273E"/>
    <w:rsid w:val="5B353327"/>
    <w:rsid w:val="5B381511"/>
    <w:rsid w:val="5B386973"/>
    <w:rsid w:val="5B4602DF"/>
    <w:rsid w:val="5B4A6DD2"/>
    <w:rsid w:val="5B55545B"/>
    <w:rsid w:val="5B57329D"/>
    <w:rsid w:val="5B6F6839"/>
    <w:rsid w:val="5B70610D"/>
    <w:rsid w:val="5B751975"/>
    <w:rsid w:val="5B765E19"/>
    <w:rsid w:val="5B8147BE"/>
    <w:rsid w:val="5B920779"/>
    <w:rsid w:val="5B977B3E"/>
    <w:rsid w:val="5BAB5397"/>
    <w:rsid w:val="5BB74B2C"/>
    <w:rsid w:val="5BBB382C"/>
    <w:rsid w:val="5BCC1E57"/>
    <w:rsid w:val="5BD41E6E"/>
    <w:rsid w:val="5BEA2363"/>
    <w:rsid w:val="5BEA5EBF"/>
    <w:rsid w:val="5BF64864"/>
    <w:rsid w:val="5C2C64D8"/>
    <w:rsid w:val="5C3A6E47"/>
    <w:rsid w:val="5C3B1922"/>
    <w:rsid w:val="5C537F09"/>
    <w:rsid w:val="5C5477DD"/>
    <w:rsid w:val="5C5E2B95"/>
    <w:rsid w:val="5C7C6C93"/>
    <w:rsid w:val="5C9A5B38"/>
    <w:rsid w:val="5C9C18B0"/>
    <w:rsid w:val="5CA17B70"/>
    <w:rsid w:val="5CA40764"/>
    <w:rsid w:val="5CAB5170"/>
    <w:rsid w:val="5CBD5382"/>
    <w:rsid w:val="5CD32DF8"/>
    <w:rsid w:val="5CE62B2B"/>
    <w:rsid w:val="5D0C07A2"/>
    <w:rsid w:val="5D290C69"/>
    <w:rsid w:val="5D2A6084"/>
    <w:rsid w:val="5D9F465B"/>
    <w:rsid w:val="5DA0717E"/>
    <w:rsid w:val="5DB42C29"/>
    <w:rsid w:val="5DBD1FCA"/>
    <w:rsid w:val="5DD15589"/>
    <w:rsid w:val="5DEF65CC"/>
    <w:rsid w:val="5E192A8C"/>
    <w:rsid w:val="5E1C432A"/>
    <w:rsid w:val="5E257683"/>
    <w:rsid w:val="5E282CCF"/>
    <w:rsid w:val="5E3A1BB3"/>
    <w:rsid w:val="5E4D0988"/>
    <w:rsid w:val="5E510478"/>
    <w:rsid w:val="5E714676"/>
    <w:rsid w:val="5E8425FB"/>
    <w:rsid w:val="5E8C6F99"/>
    <w:rsid w:val="5E8E347A"/>
    <w:rsid w:val="5EB73031"/>
    <w:rsid w:val="5ECF75EF"/>
    <w:rsid w:val="5ED54C05"/>
    <w:rsid w:val="5EF2352E"/>
    <w:rsid w:val="5EF57055"/>
    <w:rsid w:val="5EF763C6"/>
    <w:rsid w:val="5F08322C"/>
    <w:rsid w:val="5F261904"/>
    <w:rsid w:val="5F4E6765"/>
    <w:rsid w:val="5F5D7160"/>
    <w:rsid w:val="5F7206A6"/>
    <w:rsid w:val="5F7408C2"/>
    <w:rsid w:val="5F797C86"/>
    <w:rsid w:val="5F887EC9"/>
    <w:rsid w:val="5F893C41"/>
    <w:rsid w:val="5F8B79B9"/>
    <w:rsid w:val="5FB23198"/>
    <w:rsid w:val="5FD70E51"/>
    <w:rsid w:val="5FEF7F48"/>
    <w:rsid w:val="5FF217E7"/>
    <w:rsid w:val="5FF27A39"/>
    <w:rsid w:val="5FF76DFD"/>
    <w:rsid w:val="5FFE1F39"/>
    <w:rsid w:val="60060FEE"/>
    <w:rsid w:val="602A0F80"/>
    <w:rsid w:val="60462E90"/>
    <w:rsid w:val="60536729"/>
    <w:rsid w:val="60597AB8"/>
    <w:rsid w:val="608368E3"/>
    <w:rsid w:val="608F7035"/>
    <w:rsid w:val="60A30D33"/>
    <w:rsid w:val="60A96349"/>
    <w:rsid w:val="60C2740B"/>
    <w:rsid w:val="60D64C64"/>
    <w:rsid w:val="60D94755"/>
    <w:rsid w:val="60F021CA"/>
    <w:rsid w:val="611834CF"/>
    <w:rsid w:val="61530A39"/>
    <w:rsid w:val="6158147D"/>
    <w:rsid w:val="61637D56"/>
    <w:rsid w:val="6183303E"/>
    <w:rsid w:val="61923281"/>
    <w:rsid w:val="61AC3CD1"/>
    <w:rsid w:val="61B054B5"/>
    <w:rsid w:val="61D07906"/>
    <w:rsid w:val="61FA4982"/>
    <w:rsid w:val="61FE695C"/>
    <w:rsid w:val="620F7B24"/>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ED5EBF"/>
    <w:rsid w:val="62FB09B2"/>
    <w:rsid w:val="62FB4E56"/>
    <w:rsid w:val="62FE04A2"/>
    <w:rsid w:val="630401A7"/>
    <w:rsid w:val="631D29EB"/>
    <w:rsid w:val="63270F9D"/>
    <w:rsid w:val="633C6169"/>
    <w:rsid w:val="63500CFE"/>
    <w:rsid w:val="637A3FCD"/>
    <w:rsid w:val="637F325A"/>
    <w:rsid w:val="63822EAD"/>
    <w:rsid w:val="638E1826"/>
    <w:rsid w:val="639F3A33"/>
    <w:rsid w:val="63B70D7D"/>
    <w:rsid w:val="63D23E09"/>
    <w:rsid w:val="63E234B7"/>
    <w:rsid w:val="63F773CC"/>
    <w:rsid w:val="64047D3A"/>
    <w:rsid w:val="64300F47"/>
    <w:rsid w:val="64483336"/>
    <w:rsid w:val="644F0FB6"/>
    <w:rsid w:val="645E38EF"/>
    <w:rsid w:val="646C600B"/>
    <w:rsid w:val="64942E6C"/>
    <w:rsid w:val="64AC6408"/>
    <w:rsid w:val="64AE53F9"/>
    <w:rsid w:val="64C64FF0"/>
    <w:rsid w:val="64D63485"/>
    <w:rsid w:val="6500647B"/>
    <w:rsid w:val="65085608"/>
    <w:rsid w:val="65091AAC"/>
    <w:rsid w:val="65110961"/>
    <w:rsid w:val="6518767F"/>
    <w:rsid w:val="65237AC1"/>
    <w:rsid w:val="653603C7"/>
    <w:rsid w:val="65362175"/>
    <w:rsid w:val="656767D3"/>
    <w:rsid w:val="657E63AE"/>
    <w:rsid w:val="65801643"/>
    <w:rsid w:val="658A39AA"/>
    <w:rsid w:val="6598698C"/>
    <w:rsid w:val="65A13CC9"/>
    <w:rsid w:val="65E120E1"/>
    <w:rsid w:val="65FD2C93"/>
    <w:rsid w:val="660D737A"/>
    <w:rsid w:val="661A38C3"/>
    <w:rsid w:val="661E2CB4"/>
    <w:rsid w:val="6632293D"/>
    <w:rsid w:val="664E603D"/>
    <w:rsid w:val="665135D2"/>
    <w:rsid w:val="666F1DE3"/>
    <w:rsid w:val="669F7DAD"/>
    <w:rsid w:val="66A870A3"/>
    <w:rsid w:val="66AC748B"/>
    <w:rsid w:val="66AD46B9"/>
    <w:rsid w:val="66C1550E"/>
    <w:rsid w:val="66C739CD"/>
    <w:rsid w:val="66CD4D5B"/>
    <w:rsid w:val="66DD6797"/>
    <w:rsid w:val="66F66060"/>
    <w:rsid w:val="66F67E0E"/>
    <w:rsid w:val="670818F0"/>
    <w:rsid w:val="67193AFD"/>
    <w:rsid w:val="671D183F"/>
    <w:rsid w:val="67293782"/>
    <w:rsid w:val="673646AF"/>
    <w:rsid w:val="675114E9"/>
    <w:rsid w:val="675863D3"/>
    <w:rsid w:val="679703E1"/>
    <w:rsid w:val="67A17496"/>
    <w:rsid w:val="67A965FC"/>
    <w:rsid w:val="67B43B47"/>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EF06C4"/>
    <w:rsid w:val="68F570FB"/>
    <w:rsid w:val="69146BC6"/>
    <w:rsid w:val="691C2678"/>
    <w:rsid w:val="691F2E8A"/>
    <w:rsid w:val="69227DA0"/>
    <w:rsid w:val="69456E2B"/>
    <w:rsid w:val="69531548"/>
    <w:rsid w:val="695A5DE1"/>
    <w:rsid w:val="696F3EA8"/>
    <w:rsid w:val="69731BEA"/>
    <w:rsid w:val="69765236"/>
    <w:rsid w:val="69790883"/>
    <w:rsid w:val="697A2F79"/>
    <w:rsid w:val="69935DE8"/>
    <w:rsid w:val="69A47FF6"/>
    <w:rsid w:val="69A87C65"/>
    <w:rsid w:val="69AE4EDC"/>
    <w:rsid w:val="69EE301F"/>
    <w:rsid w:val="69FA19C4"/>
    <w:rsid w:val="69FB1963"/>
    <w:rsid w:val="6A5D1F52"/>
    <w:rsid w:val="6A7C062B"/>
    <w:rsid w:val="6AA25BA0"/>
    <w:rsid w:val="6AA3205B"/>
    <w:rsid w:val="6AAB0F10"/>
    <w:rsid w:val="6AAD2EDA"/>
    <w:rsid w:val="6AB8548E"/>
    <w:rsid w:val="6ABC577D"/>
    <w:rsid w:val="6AC11E58"/>
    <w:rsid w:val="6ACD70D8"/>
    <w:rsid w:val="6AE12B83"/>
    <w:rsid w:val="6AE42367"/>
    <w:rsid w:val="6AFE7291"/>
    <w:rsid w:val="6B054AC4"/>
    <w:rsid w:val="6B106FC5"/>
    <w:rsid w:val="6B225676"/>
    <w:rsid w:val="6B3A462E"/>
    <w:rsid w:val="6B422808"/>
    <w:rsid w:val="6B474C31"/>
    <w:rsid w:val="6B476E8A"/>
    <w:rsid w:val="6B4B5217"/>
    <w:rsid w:val="6B680BAF"/>
    <w:rsid w:val="6B8A1717"/>
    <w:rsid w:val="6B8C6F93"/>
    <w:rsid w:val="6BC56001"/>
    <w:rsid w:val="6BCC7390"/>
    <w:rsid w:val="6BD36970"/>
    <w:rsid w:val="6BD526E8"/>
    <w:rsid w:val="6BE52DAD"/>
    <w:rsid w:val="6C092392"/>
    <w:rsid w:val="6C17069E"/>
    <w:rsid w:val="6C2225DD"/>
    <w:rsid w:val="6C2830FF"/>
    <w:rsid w:val="6C5850C7"/>
    <w:rsid w:val="6C6B0957"/>
    <w:rsid w:val="6C832144"/>
    <w:rsid w:val="6C89702F"/>
    <w:rsid w:val="6C9C18EB"/>
    <w:rsid w:val="6CCD7863"/>
    <w:rsid w:val="6CD504C6"/>
    <w:rsid w:val="6CD52274"/>
    <w:rsid w:val="6CDD364E"/>
    <w:rsid w:val="6CF46B9E"/>
    <w:rsid w:val="6CF92406"/>
    <w:rsid w:val="6CFC3CA5"/>
    <w:rsid w:val="6D147240"/>
    <w:rsid w:val="6D196605"/>
    <w:rsid w:val="6D21370B"/>
    <w:rsid w:val="6D3B18E0"/>
    <w:rsid w:val="6D3B18E9"/>
    <w:rsid w:val="6D57537F"/>
    <w:rsid w:val="6D6C42DF"/>
    <w:rsid w:val="6D77332B"/>
    <w:rsid w:val="6D800432"/>
    <w:rsid w:val="6D940381"/>
    <w:rsid w:val="6D99743E"/>
    <w:rsid w:val="6D9C3AFC"/>
    <w:rsid w:val="6DAC1227"/>
    <w:rsid w:val="6DBB76BC"/>
    <w:rsid w:val="6DD469CF"/>
    <w:rsid w:val="6E22773B"/>
    <w:rsid w:val="6E25722B"/>
    <w:rsid w:val="6E2A4841"/>
    <w:rsid w:val="6E443B55"/>
    <w:rsid w:val="6E4E0530"/>
    <w:rsid w:val="6E5B2C4D"/>
    <w:rsid w:val="6E5F44EB"/>
    <w:rsid w:val="6E6164B5"/>
    <w:rsid w:val="6E6236E7"/>
    <w:rsid w:val="6E6935BC"/>
    <w:rsid w:val="6E91041D"/>
    <w:rsid w:val="6E9F4B86"/>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BD3BBF"/>
    <w:rsid w:val="6FC14D32"/>
    <w:rsid w:val="6FCD1928"/>
    <w:rsid w:val="6FD902CD"/>
    <w:rsid w:val="6FDE58E3"/>
    <w:rsid w:val="6FE61F3E"/>
    <w:rsid w:val="6FF9428D"/>
    <w:rsid w:val="70161521"/>
    <w:rsid w:val="702F613F"/>
    <w:rsid w:val="703244E4"/>
    <w:rsid w:val="705636CC"/>
    <w:rsid w:val="70B0145F"/>
    <w:rsid w:val="70D31B19"/>
    <w:rsid w:val="70ED6B95"/>
    <w:rsid w:val="70F20F70"/>
    <w:rsid w:val="70FD0CB3"/>
    <w:rsid w:val="71135B83"/>
    <w:rsid w:val="711E0B5E"/>
    <w:rsid w:val="712A5284"/>
    <w:rsid w:val="7130216F"/>
    <w:rsid w:val="713C4FB8"/>
    <w:rsid w:val="71687AE4"/>
    <w:rsid w:val="718F158B"/>
    <w:rsid w:val="718F4B15"/>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B50B7E"/>
    <w:rsid w:val="72BB015E"/>
    <w:rsid w:val="72C139C6"/>
    <w:rsid w:val="72C62D8B"/>
    <w:rsid w:val="72D57833"/>
    <w:rsid w:val="72DC25AE"/>
    <w:rsid w:val="72FC49FE"/>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95EE8"/>
    <w:rsid w:val="73EA4857"/>
    <w:rsid w:val="73F6144E"/>
    <w:rsid w:val="73F97190"/>
    <w:rsid w:val="74085625"/>
    <w:rsid w:val="74185868"/>
    <w:rsid w:val="742023C5"/>
    <w:rsid w:val="744C3764"/>
    <w:rsid w:val="744E13C7"/>
    <w:rsid w:val="74534AF2"/>
    <w:rsid w:val="74766D79"/>
    <w:rsid w:val="747E57F8"/>
    <w:rsid w:val="748D1686"/>
    <w:rsid w:val="74CF1255"/>
    <w:rsid w:val="74CF5A4A"/>
    <w:rsid w:val="74F040EF"/>
    <w:rsid w:val="75090455"/>
    <w:rsid w:val="751122B7"/>
    <w:rsid w:val="75157FF9"/>
    <w:rsid w:val="75360DBC"/>
    <w:rsid w:val="75387844"/>
    <w:rsid w:val="756920F3"/>
    <w:rsid w:val="756B5E6B"/>
    <w:rsid w:val="756D0E75"/>
    <w:rsid w:val="756D573F"/>
    <w:rsid w:val="75866801"/>
    <w:rsid w:val="758807CB"/>
    <w:rsid w:val="7595799F"/>
    <w:rsid w:val="759F78C3"/>
    <w:rsid w:val="75BA64AB"/>
    <w:rsid w:val="75E35A02"/>
    <w:rsid w:val="75EA3234"/>
    <w:rsid w:val="762027B2"/>
    <w:rsid w:val="7630676D"/>
    <w:rsid w:val="76312C11"/>
    <w:rsid w:val="763224E5"/>
    <w:rsid w:val="76361FD5"/>
    <w:rsid w:val="76505878"/>
    <w:rsid w:val="7671125F"/>
    <w:rsid w:val="767945B8"/>
    <w:rsid w:val="76794AF8"/>
    <w:rsid w:val="76850C08"/>
    <w:rsid w:val="76AE1106"/>
    <w:rsid w:val="76BB24DB"/>
    <w:rsid w:val="76C84BF7"/>
    <w:rsid w:val="76D11CFE"/>
    <w:rsid w:val="76D67314"/>
    <w:rsid w:val="76FC6DDC"/>
    <w:rsid w:val="770519A8"/>
    <w:rsid w:val="772E2227"/>
    <w:rsid w:val="772E3505"/>
    <w:rsid w:val="77302EC9"/>
    <w:rsid w:val="7731279D"/>
    <w:rsid w:val="77533CC6"/>
    <w:rsid w:val="775748F9"/>
    <w:rsid w:val="7760252B"/>
    <w:rsid w:val="776058DA"/>
    <w:rsid w:val="77626DFA"/>
    <w:rsid w:val="777032C5"/>
    <w:rsid w:val="777803CC"/>
    <w:rsid w:val="777D1E86"/>
    <w:rsid w:val="779276DF"/>
    <w:rsid w:val="77B70517"/>
    <w:rsid w:val="77E043E3"/>
    <w:rsid w:val="77F40160"/>
    <w:rsid w:val="78342545"/>
    <w:rsid w:val="78412EB3"/>
    <w:rsid w:val="785030F6"/>
    <w:rsid w:val="78550E5C"/>
    <w:rsid w:val="78632E2A"/>
    <w:rsid w:val="78654DF4"/>
    <w:rsid w:val="787B0173"/>
    <w:rsid w:val="787D0429"/>
    <w:rsid w:val="78B24F5D"/>
    <w:rsid w:val="78BC0735"/>
    <w:rsid w:val="78CB5DA1"/>
    <w:rsid w:val="78EF46BD"/>
    <w:rsid w:val="790740FD"/>
    <w:rsid w:val="791660EE"/>
    <w:rsid w:val="791D122B"/>
    <w:rsid w:val="791F31F5"/>
    <w:rsid w:val="79265756"/>
    <w:rsid w:val="793F5645"/>
    <w:rsid w:val="794157FA"/>
    <w:rsid w:val="794511BD"/>
    <w:rsid w:val="794A5D98"/>
    <w:rsid w:val="794C38BE"/>
    <w:rsid w:val="794E7636"/>
    <w:rsid w:val="79892D64"/>
    <w:rsid w:val="798E037A"/>
    <w:rsid w:val="79960FDD"/>
    <w:rsid w:val="79997202"/>
    <w:rsid w:val="799E680F"/>
    <w:rsid w:val="79AE52BD"/>
    <w:rsid w:val="79FF5F21"/>
    <w:rsid w:val="7A1563A6"/>
    <w:rsid w:val="7A1B3962"/>
    <w:rsid w:val="7A2111EE"/>
    <w:rsid w:val="7A2F56B9"/>
    <w:rsid w:val="7A6D48C0"/>
    <w:rsid w:val="7A7268AA"/>
    <w:rsid w:val="7A765096"/>
    <w:rsid w:val="7A924929"/>
    <w:rsid w:val="7A974046"/>
    <w:rsid w:val="7AA01215"/>
    <w:rsid w:val="7AAC6081"/>
    <w:rsid w:val="7AAD65DE"/>
    <w:rsid w:val="7AB074B0"/>
    <w:rsid w:val="7AC53928"/>
    <w:rsid w:val="7AC878BC"/>
    <w:rsid w:val="7ACA7190"/>
    <w:rsid w:val="7AD911F2"/>
    <w:rsid w:val="7AEF309B"/>
    <w:rsid w:val="7AFD2AA0"/>
    <w:rsid w:val="7AFD57B8"/>
    <w:rsid w:val="7AFF1FD8"/>
    <w:rsid w:val="7B007056"/>
    <w:rsid w:val="7B02692A"/>
    <w:rsid w:val="7B2368A0"/>
    <w:rsid w:val="7B705F89"/>
    <w:rsid w:val="7B735A7A"/>
    <w:rsid w:val="7B887EC5"/>
    <w:rsid w:val="7B914152"/>
    <w:rsid w:val="7BAE0860"/>
    <w:rsid w:val="7BB17EFC"/>
    <w:rsid w:val="7BC60184"/>
    <w:rsid w:val="7BD5403F"/>
    <w:rsid w:val="7BE349AD"/>
    <w:rsid w:val="7BE73A8B"/>
    <w:rsid w:val="7BEC3136"/>
    <w:rsid w:val="7BF471EA"/>
    <w:rsid w:val="7C011556"/>
    <w:rsid w:val="7C012C90"/>
    <w:rsid w:val="7C18217D"/>
    <w:rsid w:val="7C3C40BE"/>
    <w:rsid w:val="7C507B69"/>
    <w:rsid w:val="7C596A1E"/>
    <w:rsid w:val="7C5E2286"/>
    <w:rsid w:val="7C701FB9"/>
    <w:rsid w:val="7C817D22"/>
    <w:rsid w:val="7CD24A22"/>
    <w:rsid w:val="7CEA1D6C"/>
    <w:rsid w:val="7CF95D03"/>
    <w:rsid w:val="7D0746CC"/>
    <w:rsid w:val="7D0C3A90"/>
    <w:rsid w:val="7D0E5A5A"/>
    <w:rsid w:val="7D360B0D"/>
    <w:rsid w:val="7D406A1E"/>
    <w:rsid w:val="7D494CE4"/>
    <w:rsid w:val="7D637428"/>
    <w:rsid w:val="7D717D97"/>
    <w:rsid w:val="7D7653AD"/>
    <w:rsid w:val="7D823D52"/>
    <w:rsid w:val="7D851A94"/>
    <w:rsid w:val="7D8E1E41"/>
    <w:rsid w:val="7D9121E7"/>
    <w:rsid w:val="7D965A4F"/>
    <w:rsid w:val="7DC73E5B"/>
    <w:rsid w:val="7DCB56F9"/>
    <w:rsid w:val="7DF34C50"/>
    <w:rsid w:val="7E0D00F2"/>
    <w:rsid w:val="7E105802"/>
    <w:rsid w:val="7E1A21DD"/>
    <w:rsid w:val="7E4234E1"/>
    <w:rsid w:val="7E486D4A"/>
    <w:rsid w:val="7E5D031B"/>
    <w:rsid w:val="7E5F22E5"/>
    <w:rsid w:val="7E7C7B82"/>
    <w:rsid w:val="7E960CC1"/>
    <w:rsid w:val="7EA36676"/>
    <w:rsid w:val="7EAD12A3"/>
    <w:rsid w:val="7EB702F4"/>
    <w:rsid w:val="7ED625A7"/>
    <w:rsid w:val="7EDA196C"/>
    <w:rsid w:val="7EE56707"/>
    <w:rsid w:val="7EED715E"/>
    <w:rsid w:val="7EF42A2E"/>
    <w:rsid w:val="7EF46ED2"/>
    <w:rsid w:val="7EFD7F37"/>
    <w:rsid w:val="7F2271E4"/>
    <w:rsid w:val="7F2D7CEE"/>
    <w:rsid w:val="7F313C82"/>
    <w:rsid w:val="7F4A61E1"/>
    <w:rsid w:val="7F596D35"/>
    <w:rsid w:val="7F795F2A"/>
    <w:rsid w:val="7F8F7C89"/>
    <w:rsid w:val="7F967F89"/>
    <w:rsid w:val="7F9935D5"/>
    <w:rsid w:val="7FA51F7A"/>
    <w:rsid w:val="7FB073FA"/>
    <w:rsid w:val="7FB328E9"/>
    <w:rsid w:val="7FD30895"/>
    <w:rsid w:val="7FDD1714"/>
    <w:rsid w:val="7FE231CE"/>
    <w:rsid w:val="7FFA22C6"/>
    <w:rsid w:val="7FFB6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0"/>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7"/>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8"/>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szCs w:val="22"/>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5"/>
    <w:autoRedefine/>
    <w:qFormat/>
    <w:uiPriority w:val="0"/>
    <w:pPr>
      <w:spacing w:line="240" w:lineRule="auto"/>
    </w:pPr>
    <w:rPr>
      <w:rFonts w:eastAsiaTheme="minorEastAsia"/>
      <w:sz w:val="21"/>
      <w:szCs w:val="24"/>
    </w:rPr>
  </w:style>
  <w:style w:type="paragraph" w:styleId="13">
    <w:name w:val="index 6"/>
    <w:basedOn w:val="1"/>
    <w:next w:val="1"/>
    <w:qFormat/>
    <w:uiPriority w:val="99"/>
    <w:pPr>
      <w:ind w:left="2100"/>
    </w:pPr>
  </w:style>
  <w:style w:type="paragraph" w:styleId="14">
    <w:name w:val="Body Text"/>
    <w:basedOn w:val="1"/>
    <w:link w:val="49"/>
    <w:autoRedefine/>
    <w:qFormat/>
    <w:uiPriority w:val="99"/>
    <w:pPr>
      <w:spacing w:after="120" w:line="240" w:lineRule="auto"/>
      <w:jc w:val="both"/>
    </w:pPr>
    <w:rPr>
      <w:rFonts w:eastAsiaTheme="minorEastAsia"/>
      <w:sz w:val="21"/>
      <w:szCs w:val="24"/>
    </w:r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ascii="宋体"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Body Text Indent 2"/>
    <w:basedOn w:val="1"/>
    <w:qFormat/>
    <w:uiPriority w:val="0"/>
    <w:pPr>
      <w:ind w:left="630" w:firstLine="645"/>
    </w:pPr>
    <w:rPr>
      <w:rFonts w:ascii="Arial" w:hAnsi="Arial" w:eastAsia="仿宋_GB2312" w:cs="Arial"/>
      <w:sz w:val="32"/>
      <w:szCs w:val="32"/>
    </w:rPr>
  </w:style>
  <w:style w:type="paragraph" w:styleId="21">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4">
    <w:name w:val="toc 4"/>
    <w:basedOn w:val="1"/>
    <w:next w:val="1"/>
    <w:autoRedefine/>
    <w:unhideWhenUsed/>
    <w:qFormat/>
    <w:uiPriority w:val="39"/>
    <w:pPr>
      <w:ind w:left="720"/>
    </w:pPr>
    <w:rPr>
      <w:rFonts w:asciiTheme="minorHAnsi" w:eastAsiaTheme="minorHAnsi"/>
      <w:sz w:val="18"/>
      <w:szCs w:val="18"/>
    </w:rPr>
  </w:style>
  <w:style w:type="paragraph" w:styleId="25">
    <w:name w:val="footnote text"/>
    <w:basedOn w:val="1"/>
    <w:qFormat/>
    <w:uiPriority w:val="0"/>
    <w:pPr>
      <w:widowControl/>
      <w:jc w:val="left"/>
    </w:pPr>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2"/>
    <w:next w:val="12"/>
    <w:link w:val="53"/>
    <w:autoRedefine/>
    <w:semiHidden/>
    <w:unhideWhenUsed/>
    <w:qFormat/>
    <w:uiPriority w:val="99"/>
    <w:pPr>
      <w:spacing w:line="360" w:lineRule="auto"/>
    </w:pPr>
    <w:rPr>
      <w:rFonts w:eastAsia="宋体"/>
      <w:b/>
      <w:bCs/>
      <w:sz w:val="24"/>
      <w:szCs w:val="22"/>
    </w:rPr>
  </w:style>
  <w:style w:type="paragraph" w:styleId="30">
    <w:name w:val="Body Text First Indent 2"/>
    <w:basedOn w:val="15"/>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page number"/>
    <w:basedOn w:val="33"/>
    <w:qFormat/>
    <w:uiPriority w:val="0"/>
  </w:style>
  <w:style w:type="character" w:styleId="36">
    <w:name w:val="Hyperlink"/>
    <w:basedOn w:val="33"/>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3"/>
    <w:autoRedefine/>
    <w:qFormat/>
    <w:uiPriority w:val="0"/>
    <w:rPr>
      <w:sz w:val="21"/>
      <w:szCs w:val="21"/>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字符"/>
    <w:basedOn w:val="33"/>
    <w:link w:val="2"/>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pPr>
  </w:style>
  <w:style w:type="character" w:customStyle="1" w:styleId="42">
    <w:name w:val="页眉 字符"/>
    <w:basedOn w:val="33"/>
    <w:link w:val="22"/>
    <w:autoRedefine/>
    <w:qFormat/>
    <w:uiPriority w:val="99"/>
    <w:rPr>
      <w:rFonts w:eastAsia="宋体"/>
      <w:sz w:val="18"/>
      <w:szCs w:val="18"/>
    </w:rPr>
  </w:style>
  <w:style w:type="character" w:customStyle="1" w:styleId="43">
    <w:name w:val="页脚 字符"/>
    <w:basedOn w:val="33"/>
    <w:link w:val="21"/>
    <w:autoRedefine/>
    <w:qFormat/>
    <w:uiPriority w:val="99"/>
    <w:rPr>
      <w:rFonts w:eastAsia="宋体"/>
      <w:sz w:val="18"/>
      <w:szCs w:val="18"/>
    </w:rPr>
  </w:style>
  <w:style w:type="character" w:customStyle="1" w:styleId="44">
    <w:name w:val="标题 2 字符"/>
    <w:basedOn w:val="33"/>
    <w:link w:val="3"/>
    <w:autoRedefine/>
    <w:qFormat/>
    <w:uiPriority w:val="0"/>
    <w:rPr>
      <w:rFonts w:eastAsia="宋体" w:asciiTheme="majorHAnsi" w:hAnsiTheme="majorHAnsi" w:cstheme="majorBidi"/>
      <w:b/>
      <w:bCs/>
      <w:sz w:val="32"/>
      <w:szCs w:val="32"/>
    </w:rPr>
  </w:style>
  <w:style w:type="character" w:customStyle="1" w:styleId="45">
    <w:name w:val="批注文字 字符"/>
    <w:basedOn w:val="33"/>
    <w:link w:val="12"/>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字符"/>
    <w:basedOn w:val="33"/>
    <w:link w:val="4"/>
    <w:autoRedefine/>
    <w:qFormat/>
    <w:uiPriority w:val="9"/>
    <w:rPr>
      <w:rFonts w:eastAsia="宋体"/>
      <w:b/>
      <w:bCs/>
      <w:sz w:val="30"/>
      <w:szCs w:val="32"/>
    </w:rPr>
  </w:style>
  <w:style w:type="character" w:customStyle="1" w:styleId="48">
    <w:name w:val="标题 4 字符"/>
    <w:basedOn w:val="33"/>
    <w:link w:val="5"/>
    <w:autoRedefine/>
    <w:qFormat/>
    <w:uiPriority w:val="9"/>
    <w:rPr>
      <w:rFonts w:eastAsia="宋体" w:asciiTheme="majorHAnsi" w:hAnsiTheme="majorHAnsi" w:cstheme="majorBidi"/>
      <w:b/>
      <w:bCs/>
      <w:sz w:val="28"/>
      <w:szCs w:val="28"/>
    </w:rPr>
  </w:style>
  <w:style w:type="character" w:customStyle="1" w:styleId="49">
    <w:name w:val="正文文本 字符"/>
    <w:basedOn w:val="33"/>
    <w:link w:val="14"/>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3"/>
    <w:autoRedefine/>
    <w:semiHidden/>
    <w:unhideWhenUsed/>
    <w:qFormat/>
    <w:uiPriority w:val="99"/>
    <w:rPr>
      <w:color w:val="605E5C"/>
      <w:shd w:val="clear" w:color="auto" w:fill="E1DFDD"/>
    </w:rPr>
  </w:style>
  <w:style w:type="character" w:customStyle="1" w:styleId="53">
    <w:name w:val="批注主题 字符"/>
    <w:basedOn w:val="45"/>
    <w:link w:val="29"/>
    <w:autoRedefine/>
    <w:semiHidden/>
    <w:qFormat/>
    <w:uiPriority w:val="99"/>
    <w:rPr>
      <w:rFonts w:ascii="宋体" w:hAnsi="宋体" w:cstheme="minorBidi"/>
      <w:b/>
      <w:bCs/>
      <w:kern w:val="2"/>
      <w:sz w:val="24"/>
      <w:szCs w:val="22"/>
    </w:rPr>
  </w:style>
  <w:style w:type="character" w:customStyle="1" w:styleId="54">
    <w:name w:val="未处理的提及2"/>
    <w:basedOn w:val="33"/>
    <w:autoRedefine/>
    <w:semiHidden/>
    <w:unhideWhenUsed/>
    <w:qFormat/>
    <w:uiPriority w:val="99"/>
    <w:rPr>
      <w:color w:val="605E5C"/>
      <w:shd w:val="clear" w:color="auto" w:fill="E1DFDD"/>
    </w:rPr>
  </w:style>
  <w:style w:type="paragraph" w:customStyle="1" w:styleId="55">
    <w:name w:val="正文_2"/>
    <w:autoRedefine/>
    <w:qFormat/>
    <w:uiPriority w:val="0"/>
    <w:pPr>
      <w:widowControl w:val="0"/>
      <w:jc w:val="both"/>
    </w:pPr>
    <w:rPr>
      <w:rFonts w:ascii="Calibri" w:hAnsi="Calibri" w:eastAsia="宋体" w:cs="Times New Roman"/>
      <w:lang w:val="en-US" w:eastAsia="zh-CN" w:bidi="ar-SA"/>
    </w:rPr>
  </w:style>
  <w:style w:type="paragraph" w:customStyle="1" w:styleId="56">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rFonts w:ascii="Calibri" w:hAnsi="Calibri" w:eastAsia="宋体"/>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rFonts w:ascii="Calibri" w:hAnsi="Calibri" w:eastAsia="宋体"/>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line="360" w:lineRule="auto"/>
      <w:ind w:firstLine="510" w:firstLineChars="200"/>
    </w:pPr>
    <w:rPr>
      <w:sz w:val="24"/>
      <w:szCs w:val="20"/>
    </w:rPr>
  </w:style>
  <w:style w:type="paragraph" w:customStyle="1" w:styleId="74">
    <w:name w:val="Char Char Char Char Char Char Char1 Char"/>
    <w:basedOn w:val="1"/>
    <w:autoRedefine/>
    <w:qFormat/>
    <w:uiPriority w:val="0"/>
    <w:rPr>
      <w:rFonts w:ascii="Arial" w:hAnsi="Arial" w:eastAsia="宋体" w:cs="Arial"/>
      <w:sz w:val="24"/>
    </w:rPr>
  </w:style>
  <w:style w:type="paragraph" w:customStyle="1" w:styleId="75">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6">
    <w:name w:val="样式 标题 4 + 段前: 5 磅 段后: 5 磅 行距: 单倍行距_0"/>
    <w:basedOn w:val="56"/>
    <w:qFormat/>
    <w:uiPriority w:val="0"/>
    <w:pPr>
      <w:keepNext/>
      <w:keepLines/>
      <w:numPr>
        <w:ilvl w:val="3"/>
        <w:numId w:val="3"/>
      </w:numPr>
      <w:adjustRightInd w:val="0"/>
      <w:spacing w:before="100" w:after="100"/>
      <w:jc w:val="left"/>
      <w:outlineLvl w:val="3"/>
    </w:pPr>
    <w:rPr>
      <w:rFonts w:ascii="Arial" w:hAnsi="Arial" w:eastAsia="黑体" w:cs="Times New Roman"/>
      <w:b/>
      <w:bCs/>
      <w:kern w:val="0"/>
      <w:sz w:val="28"/>
      <w:szCs w:val="20"/>
    </w:rPr>
  </w:style>
  <w:style w:type="paragraph" w:customStyle="1" w:styleId="77">
    <w:name w:val="Default Text"/>
    <w:basedOn w:val="1"/>
    <w:qFormat/>
    <w:uiPriority w:val="0"/>
    <w:pPr>
      <w:autoSpaceDE w:val="0"/>
      <w:autoSpaceDN w:val="0"/>
      <w:adjustRightInd w:val="0"/>
      <w:jc w:val="left"/>
    </w:pPr>
    <w:rPr>
      <w:rFonts w:ascii="Helvetica" w:hAnsi="Helvetica"/>
      <w:kern w:val="0"/>
      <w:sz w:val="22"/>
    </w:rPr>
  </w:style>
  <w:style w:type="paragraph" w:customStyle="1" w:styleId="78">
    <w:name w:val="缺省文本"/>
    <w:qFormat/>
    <w:uiPriority w:val="99"/>
    <w:pPr>
      <w:widowControl w:val="0"/>
      <w:autoSpaceDE w:val="0"/>
      <w:autoSpaceDN w:val="0"/>
      <w:adjustRightInd w:val="0"/>
    </w:pPr>
    <w:rPr>
      <w:rFonts w:ascii="Times New Roman" w:hAnsi="Times New Roman" w:eastAsia="宋体" w:cs="Times New Roman"/>
      <w:color w:val="000000"/>
      <w:sz w:val="21"/>
      <w:szCs w:val="24"/>
      <w:lang w:val="en-US" w:eastAsia="zh-CN" w:bidi="ar-SA"/>
    </w:rPr>
  </w:style>
  <w:style w:type="paragraph" w:customStyle="1" w:styleId="79">
    <w:name w:val="正文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1"/>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81">
    <w:name w:val="Normal_3"/>
    <w:autoRedefine/>
    <w:qFormat/>
    <w:uiPriority w:val="0"/>
    <w:rPr>
      <w:rFonts w:ascii="黑体" w:hAnsi="黑体" w:eastAsia="黑体" w:cs="Times New Roman"/>
      <w:b/>
      <w:sz w:val="32"/>
      <w:szCs w:val="24"/>
      <w:lang w:val="en-US" w:eastAsia="zh-CN" w:bidi="ar-SA"/>
    </w:rPr>
  </w:style>
  <w:style w:type="paragraph" w:customStyle="1" w:styleId="82">
    <w:name w:val="正文_1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_0_0_0"/>
    <w:autoRedefine/>
    <w:qFormat/>
    <w:uiPriority w:val="0"/>
    <w:pPr>
      <w:widowControl w:val="0"/>
      <w:jc w:val="both"/>
    </w:pPr>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7647</Words>
  <Characters>8513</Characters>
  <Lines>328</Lines>
  <Paragraphs>92</Paragraphs>
  <TotalTime>30</TotalTime>
  <ScaleCrop>false</ScaleCrop>
  <LinksUpToDate>false</LinksUpToDate>
  <CharactersWithSpaces>8972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Ai喜杨杨[太阳]</cp:lastModifiedBy>
  <cp:lastPrinted>2024-12-28T09:34:00Z</cp:lastPrinted>
  <dcterms:modified xsi:type="dcterms:W3CDTF">2026-04-10T02:17:48Z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A9175D67AEB7400891CA63E0394FB3E6_13</vt:lpwstr>
  </property>
  <property fmtid="{D5CDD505-2E9C-101B-9397-08002B2CF9AE}" pid="4" name="KSOTemplateDocerSaveRecord">
    <vt:lpwstr>eyJoZGlkIjoiZTNiNzNjOTY3N2IyODIwYmY2OWU0ZTNlNmYzM2M1NjYiLCJ1c2VySWQiOiIyMDMxNjIxNzkifQ==</vt:lpwstr>
  </property>
</Properties>
</file>