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附件：</w:t>
      </w:r>
    </w:p>
    <w:p>
      <w:pPr>
        <w:jc w:val="both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bookmarkStart w:id="0" w:name="_GoBack"/>
      <w:bookmarkEnd w:id="0"/>
    </w:p>
    <w:p>
      <w:pPr>
        <w:jc w:val="center"/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</w:pPr>
      <w:r>
        <w:rPr>
          <w:rFonts w:hint="eastAsia" w:ascii="方正小标宋_GBK" w:hAnsi="方正小标宋_GBK" w:eastAsia="方正小标宋_GBK" w:cs="方正小标宋_GBK"/>
          <w:sz w:val="44"/>
          <w:szCs w:val="44"/>
          <w:lang w:val="en-US" w:eastAsia="zh-CN"/>
        </w:rPr>
        <w:t>新疆交通亚克西品牌标志使用说明</w:t>
      </w:r>
    </w:p>
    <w:p>
      <w:pPr>
        <w:jc w:val="left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</w:p>
    <w:p>
      <w:pPr>
        <w:jc w:val="left"/>
        <w:rPr>
          <w:rFonts w:hint="eastAsia" w:ascii="方正黑体_GBK" w:hAnsi="方正黑体_GBK" w:eastAsia="方正黑体_GBK" w:cs="方正黑体_GBK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黑体_GBK" w:hAnsi="方正黑体_GBK" w:eastAsia="方正黑体_GBK" w:cs="方正黑体_GBK"/>
          <w:b w:val="0"/>
          <w:bCs w:val="0"/>
          <w:sz w:val="32"/>
          <w:szCs w:val="32"/>
          <w:lang w:eastAsia="zh-CN"/>
        </w:rPr>
        <w:t>品牌标志</w:t>
      </w:r>
      <w:r>
        <w:rPr>
          <w:rFonts w:hint="eastAsia" w:ascii="方正黑体_GBK" w:hAnsi="方正黑体_GBK" w:eastAsia="方正黑体_GBK" w:cs="方正黑体_GBK"/>
          <w:b w:val="0"/>
          <w:bCs w:val="0"/>
          <w:sz w:val="32"/>
          <w:szCs w:val="32"/>
          <w:lang w:val="en-US" w:eastAsia="zh-CN"/>
        </w:rPr>
        <w:t>图形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85440" cy="2144395"/>
            <wp:effectExtent l="0" t="0" r="10160" b="14605"/>
            <wp:docPr id="1" name="图片 1" descr="资源 7@8x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资源 7@8x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jc w:val="left"/>
        <w:rPr>
          <w:rFonts w:hint="eastAsia" w:ascii="方正黑体_GBK" w:hAnsi="方正黑体_GBK" w:eastAsia="方正黑体_GBK" w:cs="方正黑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b w:val="0"/>
          <w:bCs w:val="0"/>
          <w:sz w:val="32"/>
          <w:szCs w:val="32"/>
          <w:lang w:eastAsia="zh-CN"/>
        </w:rPr>
        <w:t>品牌</w:t>
      </w:r>
      <w:r>
        <w:rPr>
          <w:rFonts w:hint="eastAsia" w:ascii="方正黑体_GBK" w:hAnsi="方正黑体_GBK" w:eastAsia="方正黑体_GBK" w:cs="方正黑体_GBK"/>
          <w:b w:val="0"/>
          <w:bCs w:val="0"/>
          <w:sz w:val="32"/>
          <w:szCs w:val="32"/>
          <w:lang w:val="en-US" w:eastAsia="zh-CN"/>
        </w:rPr>
        <w:t>释义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新疆交通亚克西”品牌Logo的标识主体提取新疆标志性的“天山雪莲花”抽象图形，勾勒其坚韧形态，象征新疆交通人逢山开路、遇水架桥的精神品格。左侧叶片延伸为“铁路”元素，寓意钢铁动脉纵横疆土；右侧叶片融入“公路”元素，展现路网如织通达四方；花蕊以璀璨之姿代表“航空”，寓意天路通途连接世界；花瓣间一抹绿意象征“邮政”，传递便捷高效的物流服务。“新疆交通”醒目呈现，彰显综合交通体系的蓬勃力量。“通”字延伸的渐变短线，视觉化表现交通的“速度、力量”之感，诠释人民便捷出行、物流高效畅通的理念。</w:t>
      </w:r>
    </w:p>
    <w:p>
      <w:pPr>
        <w:ind w:firstLine="640" w:firstLineChars="200"/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品牌内涵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坚持人民交通为人民、人民交通靠人民、人民交通由人民共享、人民交通让人民满意，在推动高质量发展中满足人民对美好出行的向往，不断提升人民群众来自交通运输的获得感幸福感安全感，努力实现“人享其行、物畅其流”的美好愿景。</w:t>
      </w:r>
    </w:p>
    <w:p>
      <w:pPr>
        <w:ind w:firstLine="720" w:firstLineChars="200"/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  <w:t>核心理念</w:t>
      </w:r>
    </w:p>
    <w:p>
      <w:pPr>
        <w:ind w:firstLine="640" w:firstLineChars="200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</w:rPr>
        <w:t>“大交通、大服务、大融合、大发展”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hAnsi="仿宋_GB2312" w:eastAsia="仿宋_GB2312" w:cs="仿宋_GB2312"/>
          <w:sz w:val="32"/>
          <w:szCs w:val="32"/>
        </w:rPr>
        <w:t>释义：大交通：构建“空铁公”立体化综合交通网，打造向西开放国际枢纽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sz w:val="32"/>
          <w:szCs w:val="32"/>
        </w:rPr>
        <w:t>大服务：以“交通即服务”理念重塑出行体验，实现“路通、人通、心通”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sz w:val="32"/>
          <w:szCs w:val="32"/>
        </w:rPr>
        <w:t>大融合：推动综合交通与丝路文明多维交织，实现区域发展肌理的深度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融合；</w:t>
      </w:r>
      <w:r>
        <w:rPr>
          <w:rFonts w:hint="eastAsia" w:ascii="仿宋_GB2312" w:hAnsi="仿宋_GB2312" w:eastAsia="仿宋_GB2312" w:cs="仿宋_GB2312"/>
          <w:sz w:val="32"/>
          <w:szCs w:val="32"/>
        </w:rPr>
        <w:t>大发展：以交通枢纽升级激活向西开放动能，为新疆高质量发展铺就快车道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ind w:firstLine="720" w:firstLineChars="200"/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  <w:t>品牌愿景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人享其行，物畅其流。</w:t>
      </w:r>
    </w:p>
    <w:p>
      <w:pPr>
        <w:ind w:firstLine="720" w:firstLineChars="200"/>
        <w:rPr>
          <w:rFonts w:hint="eastAsia" w:ascii="黑体" w:hAnsi="黑体" w:eastAsia="黑体" w:cs="黑体"/>
          <w:b/>
          <w:bCs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  <w:t>品牌使命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坚持与世界相交、与时代相通，弘扬交通精神，传承交通文化，培育交通文明，践行大交通理念，打造大服务品牌，拓展大融合篇章，实现大发展目标。</w:t>
      </w:r>
    </w:p>
    <w:p>
      <w:pPr>
        <w:ind w:firstLine="720" w:firstLineChars="200"/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</w:pPr>
      <w:r>
        <w:rPr>
          <w:rFonts w:hint="eastAsia" w:ascii="黑体" w:hAnsi="黑体" w:eastAsia="黑体" w:cs="黑体"/>
          <w:b w:val="0"/>
          <w:bCs w:val="0"/>
          <w:sz w:val="36"/>
          <w:szCs w:val="36"/>
          <w:lang w:eastAsia="zh-CN"/>
        </w:rPr>
        <w:t>品牌宣传语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疆无界   行有道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ind w:firstLine="640" w:firstLineChars="200"/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</w:pPr>
      <w:r>
        <w:rPr>
          <w:rFonts w:hint="eastAsia" w:ascii="方正黑体_GBK" w:hAnsi="方正黑体_GBK" w:eastAsia="方正黑体_GBK" w:cs="方正黑体_GBK"/>
          <w:sz w:val="32"/>
          <w:szCs w:val="32"/>
          <w:lang w:val="en-US" w:eastAsia="zh-CN"/>
        </w:rPr>
        <w:t>品牌标志使用说明：</w:t>
      </w:r>
    </w:p>
    <w:p>
      <w:pPr>
        <w:ind w:firstLine="640" w:firstLineChars="200"/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  <w:t>（一）正确比例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新疆交通亚克西品牌标志可使用横版或竖版组合。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该标志不得做任何修改，包括任何变形，请使用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标志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标准比例。</w:t>
      </w:r>
    </w:p>
    <w:p>
      <w:pPr>
        <w:ind w:firstLine="640" w:firstLineChars="200"/>
        <w:rPr>
          <w:rFonts w:hint="eastAsia" w:eastAsiaTheme="minorEastAsia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一致连贯地使用品牌标志有助于保持品牌的统一性，使品牌更容易识别。</w:t>
      </w:r>
    </w:p>
    <w:p>
      <w:pPr>
        <w:ind w:firstLine="642" w:firstLineChars="200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标识竖版组合：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2885440" cy="2144395"/>
            <wp:effectExtent l="0" t="0" r="10160" b="14605"/>
            <wp:docPr id="4" name="图片 4" descr="资源 7@8x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资源 7@8x"/>
                    <pic:cNvPicPr>
                      <a:picLocks noChangeAspect="true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885440" cy="214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ind w:firstLine="642" w:firstLineChars="200"/>
        <w:rPr>
          <w:rFonts w:hint="eastAsia" w:ascii="方正仿宋_GBK" w:hAnsi="方正仿宋_GBK" w:eastAsia="方正仿宋_GBK" w:cs="方正仿宋_GBK"/>
          <w:b/>
          <w:bCs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/>
          <w:bCs/>
          <w:sz w:val="32"/>
          <w:szCs w:val="32"/>
          <w:lang w:val="en-US" w:eastAsia="zh-CN"/>
        </w:rPr>
        <w:t>标识横版组合：</w:t>
      </w:r>
    </w:p>
    <w:p>
      <w:pPr>
        <w:rPr>
          <w:rFonts w:hint="eastAsia"/>
          <w:sz w:val="32"/>
          <w:szCs w:val="32"/>
          <w:lang w:val="en-US" w:eastAsia="zh-CN"/>
        </w:rPr>
      </w:pPr>
    </w:p>
    <w:p>
      <w:pPr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71135" cy="1442085"/>
            <wp:effectExtent l="0" t="0" r="12065" b="5715"/>
            <wp:docPr id="3" name="图片 3" descr="资源 6@8x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资源 6@8x"/>
                    <pic:cNvPicPr>
                      <a:picLocks noChangeAspect="true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ind w:firstLine="640" w:firstLineChars="200"/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  <w:t>（二）限制区域和最小尺寸</w:t>
      </w:r>
    </w:p>
    <w:p>
      <w:pPr>
        <w:ind w:firstLine="642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限制区域：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为更加清晰有效地传播品牌标志，品牌标志周围必须保持一个最小尺寸的空白空间，该空间称为限制区域，该区域内不得出现任何文字、符号和其他元素。当标志尺寸改变时，限制区域随之改变。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3058160" cy="2611755"/>
            <wp:effectExtent l="0" t="0" r="15240" b="4445"/>
            <wp:docPr id="6" name="图片 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true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58160" cy="261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drawing>
          <wp:inline distT="0" distB="0" distL="114300" distR="114300">
            <wp:extent cx="5264785" cy="2961005"/>
            <wp:effectExtent l="0" t="0" r="18415" b="10795"/>
            <wp:docPr id="7" name="图片 4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true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2" w:firstLineChars="200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最小尺寸：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在印刷品中品牌标志的最小尺寸如图所示。如果品牌标志小于该尺寸，标志将难以辨认。</w:t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3325495" cy="1184910"/>
            <wp:effectExtent l="0" t="0" r="1905" b="8890"/>
            <wp:docPr id="8" name="图片 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true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25495" cy="118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</w:pPr>
      <w:r>
        <w:drawing>
          <wp:inline distT="0" distB="0" distL="114300" distR="114300">
            <wp:extent cx="3732530" cy="1330325"/>
            <wp:effectExtent l="0" t="0" r="1270" b="15875"/>
            <wp:docPr id="9" name="图片 6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true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32530" cy="133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jc w:val="center"/>
      </w:pPr>
    </w:p>
    <w:p>
      <w:pPr>
        <w:ind w:firstLine="420" w:firstLineChars="200"/>
        <w:jc w:val="center"/>
      </w:pPr>
    </w:p>
    <w:p>
      <w:pPr>
        <w:numPr>
          <w:ilvl w:val="0"/>
          <w:numId w:val="0"/>
        </w:numPr>
        <w:ind w:firstLine="640" w:firstLineChars="200"/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  <w:t>（三）品牌标识与品牌宣传语的组合</w:t>
      </w:r>
    </w:p>
    <w:p>
      <w:pPr>
        <w:ind w:firstLine="642" w:firstLineChars="200"/>
        <w:rPr>
          <w:rFonts w:hint="eastAsia" w:ascii="方正仿宋_GBK" w:hAnsi="方正仿宋_GBK" w:eastAsia="方正仿宋_GBK" w:cs="方正仿宋_GBK"/>
          <w:b/>
          <w:bCs/>
          <w:sz w:val="32"/>
          <w:szCs w:val="32"/>
          <w:lang w:val="en-US" w:eastAsia="zh-CN"/>
        </w:rPr>
      </w:pPr>
      <w:r>
        <w:rPr>
          <w:rFonts w:hint="eastAsia" w:ascii="方正仿宋_GBK" w:hAnsi="方正仿宋_GBK" w:eastAsia="方正仿宋_GBK" w:cs="方正仿宋_GBK"/>
          <w:b/>
          <w:bCs/>
          <w:sz w:val="32"/>
          <w:szCs w:val="32"/>
          <w:lang w:eastAsia="zh-CN"/>
        </w:rPr>
        <w:t>品牌</w:t>
      </w:r>
      <w:r>
        <w:rPr>
          <w:rFonts w:hint="eastAsia" w:ascii="方正仿宋_GBK" w:hAnsi="方正仿宋_GBK" w:eastAsia="方正仿宋_GBK" w:cs="方正仿宋_GBK"/>
          <w:b/>
          <w:bCs/>
          <w:sz w:val="32"/>
          <w:szCs w:val="32"/>
          <w:lang w:val="en-US" w:eastAsia="zh-CN"/>
        </w:rPr>
        <w:t>宣传语</w:t>
      </w:r>
    </w:p>
    <w:p>
      <w:pPr>
        <w:ind w:firstLine="640" w:firstLineChars="200"/>
        <w:rPr>
          <w:rFonts w:hint="eastAsia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 xml:space="preserve">主口号：“新疆交通亚克西——疆无界，行有道” </w:t>
      </w:r>
      <w:r>
        <w:rPr>
          <w:rFonts w:hint="eastAsia"/>
          <w:sz w:val="32"/>
          <w:szCs w:val="32"/>
        </w:rPr>
        <w:t xml:space="preserve"> 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航空服务——“穿越云海落边疆，亚克西的温情不换乘”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铁路观光——“车窗外的新疆，比歌里更亚克西”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公路自驾——“每一公里都是亚克西的约定”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邮政物流——“跨过沙漠与牧场，亚克西的信使从不缺席”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物流运输——“驼铃古道新时速，亚克西的使命必达”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工</w:t>
      </w:r>
      <w:r>
        <w:rPr>
          <w:rFonts w:hint="eastAsia" w:ascii="仿宋_GB2312" w:hAnsi="仿宋_GB2312" w:eastAsia="仿宋_GB2312" w:cs="仿宋_GB2312"/>
          <w:sz w:val="32"/>
          <w:szCs w:val="32"/>
        </w:rPr>
        <w:t>程建设——“用天山的脊梁筑基，亚克西的蓝图正生长”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公路养护——“戈壁与绿洲之间，亚克西的守护从不打烊”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应急救援——“风雪夜归人，守护永远亚克西”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安全生产——“每一步都是昆仑的承诺，亚克西的安全零距离”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质量管控——“像喀纳斯的湖水一样纯粹，亚克西的标准不容瑕疵”</w:t>
      </w:r>
    </w:p>
    <w:p>
      <w:pPr>
        <w:numPr>
          <w:ilvl w:val="0"/>
          <w:numId w:val="0"/>
        </w:numPr>
        <w:ind w:firstLine="642" w:firstLineChars="200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品牌标识与宣传语组合使用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正确比例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2405" cy="2458085"/>
            <wp:effectExtent l="0" t="0" r="10795" b="5715"/>
            <wp:docPr id="11" name="图片 8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true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42" w:firstLineChars="200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限制区域：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954020"/>
            <wp:effectExtent l="0" t="0" r="8890" b="17780"/>
            <wp:docPr id="14" name="图片 11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1"/>
                    <pic:cNvPicPr>
                      <a:picLocks noChangeAspect="true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ind w:firstLine="640" w:firstLineChars="200"/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  <w:t>（四）品牌标志背景控制</w:t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1.当品牌置于有色背景时，请确保足够的色彩对比，从而避免品牌标志在背景中含混不清。</w:t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2.背景不可杂乱无章。</w:t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3.重色系列可使用标志单色。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4968240" cy="3488690"/>
            <wp:effectExtent l="0" t="0" r="10160" b="16510"/>
            <wp:docPr id="16" name="图片 13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3"/>
                    <pic:cNvPicPr>
                      <a:picLocks noChangeAspect="true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68240" cy="348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4.当品牌标志置于图片背景时，请确保足够的色彩对比，从而避免标志在背景中含混不清。背景不可杂乱无章，也不可与品牌标志色过于接近。</w:t>
      </w:r>
    </w:p>
    <w:p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68595" cy="3021965"/>
            <wp:effectExtent l="0" t="0" r="14605" b="635"/>
            <wp:docPr id="18" name="图片 15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5"/>
                    <pic:cNvPicPr>
                      <a:picLocks noChangeAspect="true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2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5.当品牌标志置于图片背景时，请确保足够的色彩对比，从而避免标志在背景中含混不清。背景不可杂乱无章，也不可与品牌标志色过于接近。</w:t>
      </w:r>
    </w:p>
    <w:p>
      <w:pPr>
        <w:widowControl w:val="0"/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6.品牌标识使用初期，为保证品牌识别度和记忆点，图形不可单独使用，图形不可与其他文字组合使用。</w:t>
      </w:r>
    </w:p>
    <w:p>
      <w:pPr>
        <w:widowControl w:val="0"/>
        <w:numPr>
          <w:ilvl w:val="0"/>
          <w:numId w:val="0"/>
        </w:numPr>
        <w:jc w:val="center"/>
      </w:pPr>
      <w:r>
        <w:drawing>
          <wp:inline distT="0" distB="0" distL="114300" distR="114300">
            <wp:extent cx="5264785" cy="3720465"/>
            <wp:effectExtent l="0" t="0" r="18415" b="13335"/>
            <wp:docPr id="20" name="图片 17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true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center"/>
      </w:pPr>
    </w:p>
    <w:p>
      <w:pPr>
        <w:widowControl w:val="0"/>
        <w:numPr>
          <w:ilvl w:val="0"/>
          <w:numId w:val="0"/>
        </w:numPr>
        <w:jc w:val="left"/>
      </w:pPr>
    </w:p>
    <w:p>
      <w:pPr>
        <w:numPr>
          <w:ilvl w:val="0"/>
          <w:numId w:val="0"/>
        </w:numPr>
        <w:ind w:firstLine="640" w:firstLineChars="200"/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方正楷体_GBK" w:hAnsi="方正楷体_GBK" w:eastAsia="方正楷体_GBK" w:cs="方正楷体_GBK"/>
          <w:b w:val="0"/>
          <w:bCs w:val="0"/>
          <w:sz w:val="32"/>
          <w:szCs w:val="32"/>
          <w:lang w:val="en-US" w:eastAsia="zh-CN"/>
        </w:rPr>
        <w:t>（五）品牌标志单色</w:t>
      </w:r>
    </w:p>
    <w:p>
      <w:pPr>
        <w:widowControl w:val="0"/>
        <w:numPr>
          <w:ilvl w:val="0"/>
          <w:numId w:val="0"/>
        </w:numPr>
        <w:jc w:val="both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2231390</wp:posOffset>
                </wp:positionH>
                <wp:positionV relativeFrom="paragraph">
                  <wp:posOffset>1621155</wp:posOffset>
                </wp:positionV>
                <wp:extent cx="0" cy="962025"/>
                <wp:effectExtent l="50800" t="0" r="50800" b="3175"/>
                <wp:wrapNone/>
                <wp:docPr id="25" name="直接箭头连接符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3374390" y="7488555"/>
                          <a:ext cx="0" cy="9620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175.7pt;margin-top:127.65pt;height:75.75pt;width:0pt;z-index:251659264;mso-width-relative:page;mso-height-relative:page;" filled="f" stroked="t" coordsize="21600,21600" o:gfxdata="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BYAAABkcnMvUEsBAhQAFAAAAAgAh07iQP41bhnXAAAACwEAAA8AAAAAAAAA&#10;AQAgAAAAOAAAAGRycy9kb3ducmV2LnhtbFBLAQIUABQAAAAIAIdO4kCR+OkN/AEAAJ4DAAAOAAAA&#10;AAAAAAEAIAAAADwBAABkcnMvZTJvRG9jLnhtbFBLBQYAAAAABgAGAFkBAACqBQAAAAA=&#10;">
                <v:fill on="f" focussize="0,0"/>
                <v:stroke weight="1pt" color="#4874CB [3204]" miterlimit="8" joinstyle="miter" endarrow="ope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2365375" cy="1675130"/>
            <wp:effectExtent l="0" t="0" r="22225" b="1270"/>
            <wp:docPr id="21" name="图片 21" descr="资源 8@8x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资源 8@8x"/>
                    <pic:cNvPicPr>
                      <a:picLocks noChangeAspect="true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67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t xml:space="preserve">      </w:t>
      </w:r>
      <w:r>
        <w:rPr>
          <w:rFonts w:hint="eastAsia"/>
          <w:lang w:val="en-US" w:eastAsia="zh-CN"/>
        </w:rPr>
        <w:drawing>
          <wp:inline distT="0" distB="0" distL="114300" distR="114300">
            <wp:extent cx="2457450" cy="1741170"/>
            <wp:effectExtent l="0" t="0" r="6350" b="11430"/>
            <wp:docPr id="23" name="图片 23" descr="资源 10@8x"/>
            <wp:cNvGraphicFramePr>
              <a:graphicFrameLocks xmlns:a="http://schemas.openxmlformats.org/drawingml/2006/main" noChangeAspect="true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资源 10@8x"/>
                    <pic:cNvPicPr>
                      <a:picLocks noChangeAspect="true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7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 xml:space="preserve">单色（金色）                    </w:t>
      </w:r>
      <w:r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单色（银色）</w:t>
      </w:r>
    </w:p>
    <w:p>
      <w:pPr>
        <w:numPr>
          <w:ilvl w:val="0"/>
          <w:numId w:val="0"/>
        </w:numPr>
        <w:ind w:firstLine="642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短线最右边透明度0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本品牌标志由新疆交通运输厅委托交投创意服务公司专业设计指导。为维护品牌形象的规范性与统一性，请严格按照相关标准使用。如需获取标识源文件或咨询使用规范，敬请联系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交通厅办公室或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新疆交投品牌管理中心。</w:t>
      </w:r>
    </w:p>
    <w:p>
      <w:pPr>
        <w:ind w:firstLine="640" w:firstLineChars="200"/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感谢您对新疆交通亚克西品牌的支持与配合。</w:t>
      </w:r>
    </w:p>
    <w:p>
      <w:pPr>
        <w:numPr>
          <w:ilvl w:val="0"/>
          <w:numId w:val="0"/>
        </w:numPr>
        <w:rPr>
          <w:rFonts w:hint="default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楷体_GBK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方正仿宋_GBK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true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 xml:space="preserve">— 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fldChar w:fldCharType="end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4"/>
                              <w:szCs w:val="24"/>
                            </w:rPr>
                            <w:t xml:space="preserve"> —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false" anchor="t" anchorCtr="false" forceAA="false" upright="false" compatLnSpc="true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BYAAABkcnMvUEsBAhQAFAAAAAgA&#10;h07iQLNJWO7QAAAABQEAAA8AAAAAAAAAAQAgAAAAOAAAAGRycy9kb3ducmV2LnhtbFBLAQIUABQA&#10;AAAIAIdO4kA8FiLyGwIAACkEAAAOAAAAAAAAAAEAIAAAADU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 xml:space="preserve">— 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fldChar w:fldCharType="end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4"/>
                        <w:szCs w:val="24"/>
                      </w:rPr>
                      <w:t xml:space="preserve"> —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true"/>
  <w:bordersDoNotSurroundFooter w:val="true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AE7E5AE"/>
    <w:rsid w:val="4EAE078F"/>
    <w:rsid w:val="5DFF00A1"/>
    <w:rsid w:val="7AE7E5AE"/>
    <w:rsid w:val="EFFD1C27"/>
    <w:rsid w:val="F97B6476"/>
    <w:rsid w:val="FEB6B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false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false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true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12</TotalTime>
  <ScaleCrop>false</ScaleCrop>
  <LinksUpToDate>false</LinksUpToDate>
  <CharactersWithSpaces>0</CharactersWithSpaces>
  <Application>WPS Office_11.8.2.10125_F1E327BC-269C-435d-A152-05C5408002CA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2025-06-29T20:23:00Z</dcterms:created>
  <dc:creator>紫默</dc:creator>
  <cp:lastModifiedBy>jtt</cp:lastModifiedBy>
  <dcterms:modified xsi:type="dcterms:W3CDTF">2025-07-17T17:01:09Z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2052-11.8.2.10125</vt:lpwstr>
  </property>
  <property fmtid="{D5CDD505-2E9C-101B-9397-08002B2CF9AE}" pid="3" name="ICV">
    <vt:lpwstr>9C7FAB282C344531286E5F6830968589_41</vt:lpwstr>
  </property>
</Properties>
</file>