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7113E">
      <w:pPr>
        <w:pStyle w:val="12"/>
        <w:wordWrap/>
        <w:spacing w:before="157" w:beforeLines="50" w:line="560" w:lineRule="exact"/>
        <w:jc w:val="center"/>
        <w:rPr>
          <w:rFonts w:hint="eastAsia" w:ascii="隶书" w:hAnsi="华文中宋" w:eastAsia="隶书"/>
          <w:color w:val="auto"/>
          <w:sz w:val="84"/>
          <w:szCs w:val="84"/>
        </w:rPr>
      </w:pPr>
    </w:p>
    <w:p w14:paraId="12D66990">
      <w:pPr>
        <w:pStyle w:val="12"/>
        <w:wordWrap/>
        <w:spacing w:before="157" w:beforeLines="50" w:line="560" w:lineRule="exact"/>
        <w:jc w:val="center"/>
        <w:rPr>
          <w:rFonts w:hint="eastAsia" w:ascii="隶书" w:hAnsi="华文中宋" w:eastAsia="隶书"/>
          <w:color w:val="auto"/>
          <w:sz w:val="84"/>
          <w:szCs w:val="84"/>
        </w:rPr>
      </w:pPr>
    </w:p>
    <w:p w14:paraId="57910F5E">
      <w:pPr>
        <w:pStyle w:val="12"/>
        <w:wordWrap/>
        <w:spacing w:before="157" w:beforeLines="50" w:line="560" w:lineRule="exact"/>
        <w:jc w:val="center"/>
        <w:rPr>
          <w:rFonts w:hint="eastAsia" w:ascii="隶书" w:hAnsi="华文中宋" w:eastAsia="隶书"/>
          <w:color w:val="auto"/>
          <w:sz w:val="84"/>
          <w:szCs w:val="84"/>
        </w:rPr>
      </w:pPr>
    </w:p>
    <w:p w14:paraId="0CB5AD0E">
      <w:pPr>
        <w:pStyle w:val="12"/>
        <w:widowControl w:val="0"/>
        <w:wordWrap/>
        <w:spacing w:before="313" w:beforeLines="100" w:line="560" w:lineRule="exact"/>
        <w:jc w:val="center"/>
        <w:textAlignment w:val="auto"/>
        <w:rPr>
          <w:rFonts w:hint="eastAsia" w:ascii="华文中宋" w:hAnsi="华文中宋" w:eastAsia="华文中宋" w:cs="华文中宋"/>
          <w:bCs/>
          <w:color w:val="auto"/>
          <w:sz w:val="84"/>
          <w:szCs w:val="84"/>
        </w:rPr>
      </w:pPr>
      <w:r>
        <w:rPr>
          <w:rFonts w:hint="eastAsia" w:ascii="华文中宋" w:hAnsi="华文中宋" w:eastAsia="华文中宋" w:cs="华文中宋"/>
          <w:color w:val="auto"/>
          <w:sz w:val="84"/>
          <w:szCs w:val="84"/>
        </w:rPr>
        <w:t>政府采购</w:t>
      </w:r>
    </w:p>
    <w:p w14:paraId="05996750">
      <w:pPr>
        <w:pStyle w:val="12"/>
        <w:widowControl w:val="0"/>
        <w:wordWrap/>
        <w:adjustRightInd w:val="0"/>
        <w:snapToGrid w:val="0"/>
        <w:spacing w:before="313" w:beforeLines="100" w:line="560" w:lineRule="exact"/>
        <w:jc w:val="center"/>
        <w:textAlignment w:val="auto"/>
        <w:rPr>
          <w:rFonts w:hint="eastAsia" w:ascii="华文中宋" w:hAnsi="华文中宋" w:eastAsia="华文中宋" w:cs="华文中宋"/>
          <w:color w:val="auto"/>
          <w:sz w:val="84"/>
          <w:szCs w:val="84"/>
        </w:rPr>
      </w:pPr>
      <w:r>
        <w:rPr>
          <w:rFonts w:hint="eastAsia" w:ascii="华文中宋" w:hAnsi="华文中宋" w:eastAsia="华文中宋" w:cs="华文中宋"/>
          <w:color w:val="auto"/>
          <w:sz w:val="84"/>
          <w:szCs w:val="84"/>
        </w:rPr>
        <w:t>竞争性谈判文件</w:t>
      </w:r>
    </w:p>
    <w:p w14:paraId="28429464">
      <w:pPr>
        <w:pStyle w:val="12"/>
        <w:widowControl w:val="0"/>
        <w:wordWrap/>
        <w:adjustRightInd w:val="0"/>
        <w:snapToGrid w:val="0"/>
        <w:spacing w:before="313" w:beforeLines="100" w:line="560" w:lineRule="exact"/>
        <w:ind w:left="7043" w:leftChars="554" w:hanging="5880" w:hangingChars="700"/>
        <w:textAlignment w:val="auto"/>
        <w:rPr>
          <w:rFonts w:hint="eastAsia" w:ascii="华文中宋" w:hAnsi="华文中宋" w:eastAsia="华文中宋" w:cs="华文中宋"/>
          <w:color w:val="auto"/>
          <w:sz w:val="84"/>
          <w:szCs w:val="84"/>
        </w:rPr>
      </w:pPr>
    </w:p>
    <w:p w14:paraId="46F86939">
      <w:pPr>
        <w:pStyle w:val="12"/>
        <w:widowControl w:val="0"/>
        <w:wordWrap/>
        <w:adjustRightInd w:val="0"/>
        <w:snapToGrid w:val="0"/>
        <w:spacing w:before="313" w:beforeLines="100" w:line="560" w:lineRule="exact"/>
        <w:ind w:left="2563" w:leftChars="554" w:hanging="1400" w:hangingChars="700"/>
        <w:textAlignment w:val="auto"/>
        <w:rPr>
          <w:rFonts w:ascii="Tahoma" w:hAnsi="Tahoma" w:cs="Tahoma"/>
          <w:color w:val="auto"/>
          <w:sz w:val="20"/>
          <w:szCs w:val="20"/>
        </w:rPr>
      </w:pPr>
    </w:p>
    <w:p w14:paraId="7C3E58A8">
      <w:pPr>
        <w:pStyle w:val="12"/>
        <w:widowControl w:val="0"/>
        <w:wordWrap/>
        <w:adjustRightInd w:val="0"/>
        <w:snapToGrid w:val="0"/>
        <w:spacing w:before="313" w:beforeLines="100" w:line="560" w:lineRule="exact"/>
        <w:textAlignment w:val="auto"/>
        <w:rPr>
          <w:rFonts w:ascii="Tahoma" w:hAnsi="Tahoma" w:cs="Tahoma"/>
          <w:color w:val="auto"/>
          <w:sz w:val="20"/>
          <w:szCs w:val="20"/>
        </w:rPr>
      </w:pPr>
    </w:p>
    <w:p w14:paraId="2CBA3FD9">
      <w:pPr>
        <w:widowControl w:val="0"/>
        <w:wordWrap/>
        <w:adjustRightInd w:val="0"/>
        <w:snapToGrid w:val="0"/>
        <w:spacing w:before="157" w:beforeLines="50" w:line="560" w:lineRule="exact"/>
        <w:ind w:left="2249" w:hanging="2249" w:hangingChars="700"/>
        <w:textAlignment w:val="auto"/>
        <w:rPr>
          <w:rFonts w:hint="eastAsia" w:ascii="仿宋" w:hAnsi="仿宋" w:eastAsia="仿宋" w:cs="仿宋"/>
          <w:b/>
          <w:bCs w:val="0"/>
          <w:color w:val="auto"/>
          <w:sz w:val="32"/>
          <w:szCs w:val="32"/>
          <w:u w:val="single"/>
          <w:lang w:val="en-US" w:eastAsia="zh-CN"/>
        </w:rPr>
      </w:pPr>
      <w:r>
        <w:rPr>
          <w:rFonts w:hint="eastAsia" w:ascii="仿宋" w:hAnsi="仿宋" w:eastAsia="仿宋" w:cs="仿宋"/>
          <w:b/>
          <w:bCs w:val="0"/>
          <w:color w:val="auto"/>
          <w:sz w:val="32"/>
          <w:szCs w:val="32"/>
        </w:rPr>
        <w:t>采购项目名称</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u w:val="single"/>
          <w:lang w:val="en-US" w:eastAsia="zh-CN"/>
        </w:rPr>
        <w:t>2026年医疗服务与能力提升补助资金-医疗卫生机构能力建设(高海拔地区医疗服务能力建设)-耳鼻咽喉科专科</w:t>
      </w:r>
    </w:p>
    <w:p w14:paraId="58B2AFE5">
      <w:pPr>
        <w:widowControl w:val="0"/>
        <w:wordWrap/>
        <w:adjustRightInd w:val="0"/>
        <w:snapToGrid w:val="0"/>
        <w:spacing w:before="157" w:beforeLines="50" w:line="560" w:lineRule="exact"/>
        <w:ind w:firstLine="0" w:firstLineChars="0"/>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采购项目</w:t>
      </w:r>
      <w:r>
        <w:rPr>
          <w:rFonts w:hint="eastAsia" w:ascii="仿宋" w:hAnsi="仿宋" w:eastAsia="仿宋" w:cs="仿宋"/>
          <w:b/>
          <w:bCs w:val="0"/>
          <w:color w:val="auto"/>
          <w:sz w:val="32"/>
          <w:szCs w:val="32"/>
        </w:rPr>
        <w:t>编号：</w:t>
      </w:r>
      <w:r>
        <w:rPr>
          <w:rFonts w:hint="eastAsia" w:ascii="仿宋" w:hAnsi="仿宋" w:eastAsia="仿宋" w:cs="仿宋"/>
          <w:b/>
          <w:bCs w:val="0"/>
          <w:color w:val="auto"/>
          <w:sz w:val="32"/>
          <w:szCs w:val="32"/>
          <w:u w:val="single"/>
          <w:lang w:val="en-US" w:eastAsia="zh-CN"/>
        </w:rPr>
        <w:t>青海中澜竞谈（货物）2026-001</w:t>
      </w:r>
    </w:p>
    <w:p w14:paraId="5D601164">
      <w:pPr>
        <w:widowControl w:val="0"/>
        <w:wordWrap/>
        <w:adjustRightInd w:val="0"/>
        <w:snapToGrid w:val="0"/>
        <w:spacing w:before="157" w:beforeLines="50" w:line="560" w:lineRule="exact"/>
        <w:ind w:firstLine="0" w:firstLineChars="0"/>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rPr>
        <w:t>采   购   人：</w:t>
      </w:r>
      <w:r>
        <w:rPr>
          <w:rFonts w:hint="eastAsia" w:ascii="仿宋" w:hAnsi="仿宋" w:eastAsia="仿宋" w:cs="仿宋"/>
          <w:b/>
          <w:bCs w:val="0"/>
          <w:color w:val="auto"/>
          <w:sz w:val="32"/>
          <w:szCs w:val="32"/>
          <w:u w:val="single"/>
          <w:lang w:val="en-US" w:eastAsia="zh-CN"/>
        </w:rPr>
        <w:t>同德县人民医院</w:t>
      </w:r>
    </w:p>
    <w:p w14:paraId="6280F1AA">
      <w:pPr>
        <w:widowControl w:val="0"/>
        <w:wordWrap/>
        <w:adjustRightInd w:val="0"/>
        <w:snapToGrid w:val="0"/>
        <w:spacing w:before="157" w:beforeLines="50" w:line="560" w:lineRule="exact"/>
        <w:ind w:firstLine="0" w:firstLineChars="0"/>
        <w:textAlignment w:val="auto"/>
        <w:rPr>
          <w:rFonts w:hint="eastAsia" w:ascii="华文中宋" w:hAnsi="华文中宋" w:eastAsia="华文中宋" w:cs="华文中宋"/>
          <w:b w:val="0"/>
          <w:bCs/>
          <w:color w:val="auto"/>
          <w:sz w:val="32"/>
          <w:szCs w:val="32"/>
          <w:u w:val="none"/>
        </w:rPr>
      </w:pPr>
      <w:r>
        <w:rPr>
          <w:rFonts w:hint="eastAsia" w:ascii="仿宋" w:hAnsi="仿宋" w:eastAsia="仿宋" w:cs="仿宋"/>
          <w:b/>
          <w:bCs w:val="0"/>
          <w:color w:val="auto"/>
          <w:sz w:val="32"/>
          <w:szCs w:val="32"/>
        </w:rPr>
        <w:t>采购代理机构：</w:t>
      </w:r>
      <w:r>
        <w:rPr>
          <w:rFonts w:hint="eastAsia" w:ascii="仿宋" w:hAnsi="仿宋" w:eastAsia="仿宋" w:cs="仿宋"/>
          <w:b/>
          <w:bCs w:val="0"/>
          <w:color w:val="auto"/>
          <w:sz w:val="32"/>
          <w:szCs w:val="32"/>
          <w:u w:val="single"/>
          <w:lang w:val="en-US" w:eastAsia="zh-CN"/>
        </w:rPr>
        <w:t>青海中澜工程管理咨询有限公司</w:t>
      </w:r>
      <w:r>
        <w:rPr>
          <w:rFonts w:hint="eastAsia" w:ascii="仿宋" w:hAnsi="仿宋" w:eastAsia="仿宋" w:cs="仿宋"/>
          <w:b/>
          <w:bCs w:val="0"/>
          <w:color w:val="auto"/>
          <w:sz w:val="32"/>
          <w:szCs w:val="32"/>
          <w:u w:val="none"/>
        </w:rPr>
        <w:t xml:space="preserve"> </w:t>
      </w:r>
      <w:r>
        <w:rPr>
          <w:rFonts w:hint="eastAsia" w:ascii="华文中宋" w:hAnsi="华文中宋" w:eastAsia="华文中宋" w:cs="华文中宋"/>
          <w:b w:val="0"/>
          <w:bCs/>
          <w:color w:val="auto"/>
          <w:sz w:val="32"/>
          <w:szCs w:val="32"/>
          <w:u w:val="none"/>
        </w:rPr>
        <w:t xml:space="preserve"> </w:t>
      </w:r>
    </w:p>
    <w:p w14:paraId="6A4DD78A">
      <w:pPr>
        <w:wordWrap/>
        <w:autoSpaceDE w:val="0"/>
        <w:autoSpaceDN w:val="0"/>
        <w:adjustRightInd w:val="0"/>
        <w:spacing w:before="157" w:beforeLines="50" w:line="560" w:lineRule="exact"/>
        <w:jc w:val="left"/>
        <w:rPr>
          <w:rFonts w:hint="eastAsia" w:ascii="宋体" w:hAnsi="宋体" w:cs="宋体"/>
          <w:color w:val="auto"/>
          <w:kern w:val="0"/>
          <w:sz w:val="30"/>
          <w:szCs w:val="30"/>
          <w:lang w:val="zh-CN"/>
        </w:rPr>
      </w:pPr>
    </w:p>
    <w:p w14:paraId="1F619698">
      <w:pPr>
        <w:wordWrap/>
        <w:autoSpaceDE w:val="0"/>
        <w:autoSpaceDN w:val="0"/>
        <w:adjustRightInd w:val="0"/>
        <w:spacing w:before="157" w:beforeLines="50" w:line="560" w:lineRule="exact"/>
        <w:jc w:val="center"/>
        <w:rPr>
          <w:rFonts w:hint="eastAsia" w:ascii="宋体" w:hAnsi="宋体" w:cs="宋体"/>
          <w:color w:val="auto"/>
          <w:kern w:val="0"/>
          <w:sz w:val="30"/>
          <w:szCs w:val="30"/>
          <w:lang w:val="zh-CN"/>
        </w:rPr>
      </w:pPr>
    </w:p>
    <w:p w14:paraId="5E9F8A3B">
      <w:pPr>
        <w:wordWrap/>
        <w:autoSpaceDE w:val="0"/>
        <w:autoSpaceDN w:val="0"/>
        <w:adjustRightInd w:val="0"/>
        <w:spacing w:before="157" w:beforeLines="50" w:line="560" w:lineRule="exact"/>
        <w:jc w:val="center"/>
        <w:rPr>
          <w:rFonts w:hint="eastAsia" w:ascii="宋体" w:hAnsi="宋体" w:cs="宋体"/>
          <w:b/>
          <w:bCs/>
          <w:color w:val="auto"/>
          <w:kern w:val="0"/>
          <w:sz w:val="30"/>
          <w:szCs w:val="30"/>
          <w:lang w:val="zh-CN"/>
        </w:rPr>
      </w:pPr>
      <w:r>
        <w:rPr>
          <w:rFonts w:hint="eastAsia" w:ascii="仿宋" w:hAnsi="仿宋" w:eastAsia="仿宋" w:cs="仿宋"/>
          <w:b/>
          <w:bCs/>
          <w:color w:val="auto"/>
          <w:kern w:val="0"/>
          <w:sz w:val="30"/>
          <w:szCs w:val="30"/>
          <w:lang w:val="zh-CN"/>
        </w:rPr>
        <w:t>202</w:t>
      </w:r>
      <w:r>
        <w:rPr>
          <w:rFonts w:hint="eastAsia" w:ascii="仿宋" w:hAnsi="仿宋" w:eastAsia="仿宋" w:cs="仿宋"/>
          <w:b/>
          <w:bCs/>
          <w:color w:val="auto"/>
          <w:kern w:val="0"/>
          <w:sz w:val="30"/>
          <w:szCs w:val="30"/>
          <w:lang w:val="en-US" w:eastAsia="zh-CN"/>
        </w:rPr>
        <w:t>6</w:t>
      </w:r>
      <w:r>
        <w:rPr>
          <w:rFonts w:hint="eastAsia" w:ascii="仿宋" w:hAnsi="仿宋" w:eastAsia="仿宋" w:cs="仿宋"/>
          <w:b/>
          <w:bCs/>
          <w:color w:val="auto"/>
          <w:kern w:val="0"/>
          <w:sz w:val="30"/>
          <w:szCs w:val="30"/>
          <w:lang w:val="zh-CN"/>
        </w:rPr>
        <w:t>年</w:t>
      </w:r>
      <w:r>
        <w:rPr>
          <w:rFonts w:hint="eastAsia" w:ascii="仿宋" w:hAnsi="仿宋" w:eastAsia="仿宋" w:cs="仿宋"/>
          <w:b/>
          <w:bCs/>
          <w:color w:val="auto"/>
          <w:kern w:val="0"/>
          <w:sz w:val="30"/>
          <w:szCs w:val="30"/>
          <w:lang w:val="en-US" w:eastAsia="zh-CN"/>
        </w:rPr>
        <w:t>04</w:t>
      </w:r>
      <w:r>
        <w:rPr>
          <w:rFonts w:hint="eastAsia" w:ascii="仿宋" w:hAnsi="仿宋" w:eastAsia="仿宋" w:cs="仿宋"/>
          <w:b/>
          <w:bCs/>
          <w:color w:val="auto"/>
          <w:kern w:val="0"/>
          <w:sz w:val="30"/>
          <w:szCs w:val="30"/>
          <w:lang w:val="zh-CN"/>
        </w:rPr>
        <w:t>月</w:t>
      </w:r>
    </w:p>
    <w:p w14:paraId="4D46AE0C">
      <w:pPr>
        <w:spacing w:before="0" w:beforeLines="0" w:after="0" w:afterLines="0" w:line="240" w:lineRule="auto"/>
        <w:ind w:left="0" w:leftChars="0" w:right="0" w:firstLine="0" w:firstLineChars="0"/>
        <w:jc w:val="center"/>
        <w:rPr>
          <w:rFonts w:hint="eastAsia" w:ascii="仿宋" w:hAnsi="仿宋" w:eastAsia="仿宋" w:cs="仿宋"/>
          <w:b/>
          <w:bCs/>
          <w:color w:val="auto"/>
          <w:sz w:val="44"/>
          <w:szCs w:val="44"/>
        </w:rPr>
      </w:pPr>
    </w:p>
    <w:p w14:paraId="41B98984">
      <w:pPr>
        <w:spacing w:before="0" w:beforeLines="0" w:after="0" w:afterLines="0" w:line="240" w:lineRule="auto"/>
        <w:ind w:left="0" w:leftChars="0" w:right="0" w:firstLine="0" w:firstLineChars="0"/>
        <w:jc w:val="center"/>
        <w:rPr>
          <w:rFonts w:hint="eastAsia" w:ascii="仿宋" w:hAnsi="仿宋" w:eastAsia="仿宋" w:cs="仿宋"/>
          <w:b/>
          <w:bCs/>
          <w:color w:val="auto"/>
          <w:sz w:val="44"/>
          <w:szCs w:val="44"/>
        </w:rPr>
      </w:pPr>
    </w:p>
    <w:p w14:paraId="2E1AD32B">
      <w:pPr>
        <w:spacing w:before="0" w:beforeLines="0" w:after="0" w:afterLines="0" w:line="240" w:lineRule="auto"/>
        <w:ind w:left="0" w:leftChars="0" w:right="0" w:firstLine="0" w:firstLineChars="0"/>
        <w:jc w:val="center"/>
        <w:rPr>
          <w:rFonts w:hint="eastAsia" w:ascii="仿宋" w:hAnsi="仿宋" w:eastAsia="仿宋" w:cs="仿宋"/>
          <w:color w:val="auto"/>
        </w:rPr>
      </w:pPr>
      <w:r>
        <w:rPr>
          <w:rFonts w:hint="eastAsia" w:ascii="仿宋" w:hAnsi="仿宋" w:eastAsia="仿宋" w:cs="仿宋"/>
          <w:b/>
          <w:bCs/>
          <w:color w:val="auto"/>
          <w:sz w:val="44"/>
          <w:szCs w:val="44"/>
        </w:rPr>
        <w:t>目</w:t>
      </w:r>
      <w:r>
        <w:rPr>
          <w:rFonts w:hint="eastAsia" w:ascii="仿宋" w:hAnsi="仿宋" w:eastAsia="仿宋" w:cs="仿宋"/>
          <w:b/>
          <w:bCs/>
          <w:color w:val="auto"/>
          <w:sz w:val="44"/>
          <w:szCs w:val="44"/>
          <w:lang w:val="en-US" w:eastAsia="zh-CN"/>
        </w:rPr>
        <w:t xml:space="preserve"> </w:t>
      </w:r>
      <w:r>
        <w:rPr>
          <w:rFonts w:hint="eastAsia" w:ascii="仿宋" w:hAnsi="仿宋" w:eastAsia="仿宋" w:cs="仿宋"/>
          <w:b/>
          <w:bCs/>
          <w:color w:val="auto"/>
          <w:sz w:val="44"/>
          <w:szCs w:val="44"/>
        </w:rPr>
        <w:t>录</w:t>
      </w:r>
    </w:p>
    <w:p w14:paraId="288A29EC">
      <w:pPr>
        <w:pStyle w:val="15"/>
        <w:keepNext w:val="0"/>
        <w:keepLines w:val="0"/>
        <w:pageBreakBefore w:val="0"/>
        <w:widowControl w:val="0"/>
        <w:tabs>
          <w:tab w:val="right" w:leader="dot" w:pos="8958"/>
        </w:tabs>
        <w:kinsoku/>
        <w:wordWrap/>
        <w:overflowPunct/>
        <w:topLinePunct w:val="0"/>
        <w:autoSpaceDE/>
        <w:autoSpaceDN/>
        <w:bidi w:val="0"/>
        <w:adjustRightInd/>
        <w:snapToGrid/>
        <w:spacing w:line="600" w:lineRule="auto"/>
        <w:textAlignment w:val="auto"/>
        <w:rPr>
          <w:rFonts w:hint="eastAsia" w:ascii="仿宋" w:hAnsi="仿宋" w:eastAsia="仿宋" w:cs="仿宋"/>
          <w:color w:val="auto"/>
          <w:sz w:val="28"/>
          <w:szCs w:val="28"/>
        </w:rPr>
      </w:pPr>
      <w:r>
        <w:rPr>
          <w:color w:val="auto"/>
          <w:sz w:val="32"/>
          <w:szCs w:val="32"/>
        </w:rPr>
        <w:fldChar w:fldCharType="begin"/>
      </w:r>
      <w:r>
        <w:rPr>
          <w:color w:val="auto"/>
          <w:sz w:val="32"/>
          <w:szCs w:val="32"/>
        </w:rPr>
        <w:instrText xml:space="preserve">TOC \o "1-3" \h \u </w:instrText>
      </w:r>
      <w:r>
        <w:rPr>
          <w:color w:val="auto"/>
          <w:sz w:val="32"/>
          <w:szCs w:val="32"/>
        </w:rPr>
        <w:fldChar w:fldCharType="separate"/>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_Toc783 </w:instrText>
      </w:r>
      <w:r>
        <w:rPr>
          <w:rFonts w:hint="eastAsia" w:ascii="仿宋" w:hAnsi="仿宋" w:eastAsia="仿宋" w:cs="仿宋"/>
          <w:color w:val="auto"/>
          <w:sz w:val="28"/>
          <w:szCs w:val="28"/>
        </w:rPr>
        <w:fldChar w:fldCharType="separate"/>
      </w:r>
      <w:r>
        <w:rPr>
          <w:rFonts w:hint="eastAsia" w:ascii="仿宋" w:hAnsi="仿宋" w:eastAsia="仿宋" w:cs="仿宋"/>
          <w:bCs w:val="0"/>
          <w:color w:val="auto"/>
          <w:sz w:val="28"/>
          <w:szCs w:val="28"/>
          <w:lang w:val="en-US" w:eastAsia="zh-CN"/>
        </w:rPr>
        <w:t>第一部分 谈判邀请</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fldChar w:fldCharType="end"/>
      </w:r>
    </w:p>
    <w:p w14:paraId="4BB27B55">
      <w:pPr>
        <w:pStyle w:val="15"/>
        <w:keepNext w:val="0"/>
        <w:keepLines w:val="0"/>
        <w:pageBreakBefore w:val="0"/>
        <w:widowControl w:val="0"/>
        <w:tabs>
          <w:tab w:val="right" w:leader="dot" w:pos="8958"/>
        </w:tabs>
        <w:kinsoku/>
        <w:wordWrap/>
        <w:overflowPunct/>
        <w:topLinePunct w:val="0"/>
        <w:autoSpaceDE/>
        <w:autoSpaceDN/>
        <w:bidi w:val="0"/>
        <w:adjustRightInd/>
        <w:snapToGrid/>
        <w:spacing w:line="600" w:lineRule="auto"/>
        <w:textAlignment w:val="auto"/>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fldChar w:fldCharType="begin"/>
      </w:r>
      <w:r>
        <w:rPr>
          <w:rFonts w:hint="eastAsia" w:ascii="仿宋" w:hAnsi="仿宋" w:eastAsia="仿宋" w:cs="仿宋"/>
          <w:color w:val="auto"/>
          <w:kern w:val="2"/>
          <w:sz w:val="28"/>
          <w:szCs w:val="28"/>
          <w:lang w:val="en-US" w:eastAsia="zh-CN" w:bidi="ar-SA"/>
        </w:rPr>
        <w:instrText xml:space="preserve"> HYPERLINK \l _Toc19485 </w:instrText>
      </w:r>
      <w:r>
        <w:rPr>
          <w:rFonts w:hint="eastAsia" w:ascii="仿宋" w:hAnsi="仿宋" w:eastAsia="仿宋" w:cs="仿宋"/>
          <w:color w:val="auto"/>
          <w:kern w:val="2"/>
          <w:sz w:val="28"/>
          <w:szCs w:val="28"/>
          <w:lang w:val="en-US" w:eastAsia="zh-CN" w:bidi="ar-SA"/>
        </w:rPr>
        <w:fldChar w:fldCharType="separate"/>
      </w:r>
      <w:r>
        <w:rPr>
          <w:rFonts w:hint="eastAsia" w:ascii="仿宋" w:hAnsi="仿宋" w:eastAsia="仿宋" w:cs="仿宋"/>
          <w:bCs w:val="0"/>
          <w:color w:val="auto"/>
          <w:sz w:val="28"/>
          <w:szCs w:val="28"/>
          <w:lang w:val="en-US" w:eastAsia="zh-CN"/>
        </w:rPr>
        <w:t>第二部分 谈判须知</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9</w:t>
      </w:r>
      <w:r>
        <w:rPr>
          <w:rFonts w:hint="eastAsia" w:ascii="仿宋" w:hAnsi="仿宋" w:eastAsia="仿宋" w:cs="仿宋"/>
          <w:color w:val="auto"/>
          <w:kern w:val="2"/>
          <w:sz w:val="28"/>
          <w:szCs w:val="28"/>
          <w:lang w:val="en-US" w:eastAsia="zh-CN" w:bidi="ar-SA"/>
        </w:rPr>
        <w:fldChar w:fldCharType="end"/>
      </w:r>
    </w:p>
    <w:p w14:paraId="5FDBF99A">
      <w:pPr>
        <w:pStyle w:val="15"/>
        <w:keepNext w:val="0"/>
        <w:keepLines w:val="0"/>
        <w:pageBreakBefore w:val="0"/>
        <w:widowControl w:val="0"/>
        <w:tabs>
          <w:tab w:val="right" w:leader="dot" w:pos="8958"/>
        </w:tabs>
        <w:kinsoku/>
        <w:wordWrap/>
        <w:overflowPunct/>
        <w:topLinePunct w:val="0"/>
        <w:autoSpaceDE/>
        <w:autoSpaceDN/>
        <w:bidi w:val="0"/>
        <w:adjustRightInd/>
        <w:snapToGrid/>
        <w:spacing w:line="600" w:lineRule="auto"/>
        <w:textAlignment w:val="auto"/>
        <w:rPr>
          <w:rFonts w:hint="eastAsia" w:ascii="仿宋" w:hAnsi="仿宋" w:eastAsia="仿宋" w:cs="仿宋"/>
          <w:color w:val="auto"/>
          <w:sz w:val="28"/>
          <w:szCs w:val="28"/>
          <w:lang w:val="en-US"/>
        </w:rPr>
      </w:pPr>
      <w:r>
        <w:rPr>
          <w:rFonts w:hint="eastAsia" w:ascii="仿宋" w:hAnsi="仿宋" w:eastAsia="仿宋" w:cs="仿宋"/>
          <w:color w:val="auto"/>
          <w:kern w:val="2"/>
          <w:sz w:val="28"/>
          <w:szCs w:val="28"/>
          <w:lang w:val="en-US" w:eastAsia="zh-CN" w:bidi="ar-SA"/>
        </w:rPr>
        <w:fldChar w:fldCharType="begin"/>
      </w:r>
      <w:r>
        <w:rPr>
          <w:rFonts w:hint="eastAsia" w:ascii="仿宋" w:hAnsi="仿宋" w:eastAsia="仿宋" w:cs="仿宋"/>
          <w:color w:val="auto"/>
          <w:kern w:val="2"/>
          <w:sz w:val="28"/>
          <w:szCs w:val="28"/>
          <w:lang w:val="en-US" w:eastAsia="zh-CN" w:bidi="ar-SA"/>
        </w:rPr>
        <w:instrText xml:space="preserve"> HYPERLINK \l _Toc5886 </w:instrText>
      </w:r>
      <w:r>
        <w:rPr>
          <w:rFonts w:hint="eastAsia" w:ascii="仿宋" w:hAnsi="仿宋" w:eastAsia="仿宋" w:cs="仿宋"/>
          <w:color w:val="auto"/>
          <w:kern w:val="2"/>
          <w:sz w:val="28"/>
          <w:szCs w:val="28"/>
          <w:lang w:val="en-US" w:eastAsia="zh-CN" w:bidi="ar-SA"/>
        </w:rPr>
        <w:fldChar w:fldCharType="separate"/>
      </w:r>
      <w:r>
        <w:rPr>
          <w:rFonts w:hint="eastAsia" w:ascii="仿宋" w:hAnsi="仿宋" w:eastAsia="仿宋" w:cs="仿宋"/>
          <w:bCs w:val="0"/>
          <w:color w:val="auto"/>
          <w:sz w:val="28"/>
          <w:szCs w:val="28"/>
          <w:highlight w:val="none"/>
          <w:lang w:val="en-US" w:eastAsia="zh-CN"/>
        </w:rPr>
        <w:t>第三部分 采购需求</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3</w:t>
      </w:r>
      <w:r>
        <w:rPr>
          <w:rFonts w:hint="eastAsia" w:ascii="仿宋" w:hAnsi="仿宋" w:eastAsia="仿宋" w:cs="仿宋"/>
          <w:color w:val="auto"/>
          <w:kern w:val="2"/>
          <w:sz w:val="28"/>
          <w:szCs w:val="28"/>
          <w:lang w:val="en-US" w:eastAsia="zh-CN" w:bidi="ar-SA"/>
        </w:rPr>
        <w:fldChar w:fldCharType="end"/>
      </w:r>
      <w:r>
        <w:rPr>
          <w:rFonts w:hint="eastAsia" w:ascii="仿宋" w:hAnsi="仿宋" w:eastAsia="仿宋" w:cs="仿宋"/>
          <w:color w:val="auto"/>
          <w:kern w:val="2"/>
          <w:sz w:val="28"/>
          <w:szCs w:val="28"/>
          <w:lang w:val="en-US" w:eastAsia="zh-CN" w:bidi="ar-SA"/>
        </w:rPr>
        <w:t>1</w:t>
      </w:r>
    </w:p>
    <w:p w14:paraId="75305BB0">
      <w:pPr>
        <w:pStyle w:val="15"/>
        <w:keepNext w:val="0"/>
        <w:keepLines w:val="0"/>
        <w:pageBreakBefore w:val="0"/>
        <w:widowControl w:val="0"/>
        <w:tabs>
          <w:tab w:val="right" w:leader="dot" w:pos="8958"/>
        </w:tabs>
        <w:kinsoku/>
        <w:wordWrap/>
        <w:overflowPunct/>
        <w:topLinePunct w:val="0"/>
        <w:autoSpaceDE/>
        <w:autoSpaceDN/>
        <w:bidi w:val="0"/>
        <w:adjustRightInd/>
        <w:snapToGrid/>
        <w:spacing w:line="600" w:lineRule="auto"/>
        <w:textAlignment w:val="auto"/>
        <w:rPr>
          <w:rFonts w:hint="default" w:ascii="仿宋" w:hAnsi="仿宋" w:eastAsia="仿宋" w:cs="仿宋"/>
          <w:color w:val="auto"/>
          <w:sz w:val="28"/>
          <w:szCs w:val="28"/>
          <w:lang w:val="en-US"/>
        </w:rPr>
      </w:pPr>
      <w:r>
        <w:rPr>
          <w:rFonts w:hint="eastAsia" w:ascii="仿宋" w:hAnsi="仿宋" w:eastAsia="仿宋" w:cs="仿宋"/>
          <w:color w:val="auto"/>
          <w:kern w:val="2"/>
          <w:sz w:val="28"/>
          <w:szCs w:val="28"/>
          <w:lang w:val="en-US" w:eastAsia="zh-CN" w:bidi="ar-SA"/>
        </w:rPr>
        <w:fldChar w:fldCharType="begin"/>
      </w:r>
      <w:r>
        <w:rPr>
          <w:rFonts w:hint="eastAsia" w:ascii="仿宋" w:hAnsi="仿宋" w:eastAsia="仿宋" w:cs="仿宋"/>
          <w:color w:val="auto"/>
          <w:kern w:val="2"/>
          <w:sz w:val="28"/>
          <w:szCs w:val="28"/>
          <w:lang w:val="en-US" w:eastAsia="zh-CN" w:bidi="ar-SA"/>
        </w:rPr>
        <w:instrText xml:space="preserve"> HYPERLINK \l _Toc1325 </w:instrText>
      </w:r>
      <w:r>
        <w:rPr>
          <w:rFonts w:hint="eastAsia" w:ascii="仿宋" w:hAnsi="仿宋" w:eastAsia="仿宋" w:cs="仿宋"/>
          <w:color w:val="auto"/>
          <w:kern w:val="2"/>
          <w:sz w:val="28"/>
          <w:szCs w:val="28"/>
          <w:lang w:val="en-US" w:eastAsia="zh-CN" w:bidi="ar-SA"/>
        </w:rPr>
        <w:fldChar w:fldCharType="separate"/>
      </w:r>
      <w:r>
        <w:rPr>
          <w:rFonts w:hint="eastAsia" w:ascii="仿宋" w:hAnsi="仿宋" w:eastAsia="仿宋" w:cs="仿宋"/>
          <w:bCs w:val="0"/>
          <w:color w:val="auto"/>
          <w:sz w:val="28"/>
          <w:szCs w:val="28"/>
          <w:lang w:eastAsia="zh-CN"/>
        </w:rPr>
        <w:t>第四部分</w:t>
      </w:r>
      <w:r>
        <w:rPr>
          <w:rFonts w:hint="eastAsia" w:ascii="仿宋" w:hAnsi="仿宋" w:eastAsia="仿宋" w:cs="仿宋"/>
          <w:bCs w:val="0"/>
          <w:color w:val="auto"/>
          <w:sz w:val="28"/>
          <w:szCs w:val="28"/>
          <w:lang w:val="en-US" w:eastAsia="zh-CN"/>
        </w:rPr>
        <w:t xml:space="preserve"> </w:t>
      </w:r>
      <w:r>
        <w:rPr>
          <w:rFonts w:hint="eastAsia" w:ascii="仿宋" w:hAnsi="仿宋" w:eastAsia="仿宋" w:cs="仿宋"/>
          <w:bCs w:val="0"/>
          <w:color w:val="auto"/>
          <w:sz w:val="28"/>
          <w:szCs w:val="28"/>
          <w:lang w:eastAsia="zh-CN"/>
        </w:rPr>
        <w:t>谈判响应文件格式</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4</w:t>
      </w:r>
      <w:r>
        <w:rPr>
          <w:rFonts w:hint="eastAsia" w:ascii="仿宋" w:hAnsi="仿宋" w:eastAsia="仿宋" w:cs="仿宋"/>
          <w:color w:val="auto"/>
          <w:kern w:val="2"/>
          <w:sz w:val="28"/>
          <w:szCs w:val="28"/>
          <w:lang w:val="en-US" w:eastAsia="zh-CN" w:bidi="ar-SA"/>
        </w:rPr>
        <w:fldChar w:fldCharType="end"/>
      </w:r>
      <w:r>
        <w:rPr>
          <w:rFonts w:hint="eastAsia" w:ascii="仿宋" w:hAnsi="仿宋" w:eastAsia="仿宋" w:cs="仿宋"/>
          <w:color w:val="auto"/>
          <w:kern w:val="2"/>
          <w:sz w:val="28"/>
          <w:szCs w:val="28"/>
          <w:lang w:val="en-US" w:eastAsia="zh-CN" w:bidi="ar-SA"/>
        </w:rPr>
        <w:t>1</w:t>
      </w:r>
    </w:p>
    <w:p w14:paraId="375EDFD0">
      <w:pPr>
        <w:pStyle w:val="15"/>
        <w:keepNext w:val="0"/>
        <w:keepLines w:val="0"/>
        <w:pageBreakBefore w:val="0"/>
        <w:widowControl w:val="0"/>
        <w:tabs>
          <w:tab w:val="right" w:leader="dot" w:pos="8958"/>
        </w:tabs>
        <w:kinsoku/>
        <w:wordWrap/>
        <w:overflowPunct/>
        <w:topLinePunct w:val="0"/>
        <w:autoSpaceDE/>
        <w:autoSpaceDN/>
        <w:bidi w:val="0"/>
        <w:adjustRightInd/>
        <w:snapToGrid/>
        <w:spacing w:line="600" w:lineRule="auto"/>
        <w:textAlignment w:val="auto"/>
        <w:rPr>
          <w:rFonts w:hint="eastAsia" w:ascii="仿宋" w:hAnsi="仿宋" w:eastAsia="仿宋" w:cs="仿宋"/>
          <w:color w:val="auto"/>
          <w:sz w:val="28"/>
          <w:szCs w:val="28"/>
          <w:lang w:val="en-US"/>
        </w:rPr>
      </w:pPr>
      <w:r>
        <w:rPr>
          <w:rFonts w:hint="eastAsia" w:ascii="仿宋" w:hAnsi="仿宋" w:eastAsia="仿宋" w:cs="仿宋"/>
          <w:color w:val="auto"/>
          <w:kern w:val="2"/>
          <w:sz w:val="28"/>
          <w:szCs w:val="28"/>
          <w:lang w:val="en-US" w:eastAsia="zh-CN" w:bidi="ar-SA"/>
        </w:rPr>
        <w:fldChar w:fldCharType="begin"/>
      </w:r>
      <w:r>
        <w:rPr>
          <w:rFonts w:hint="eastAsia" w:ascii="仿宋" w:hAnsi="仿宋" w:eastAsia="仿宋" w:cs="仿宋"/>
          <w:color w:val="auto"/>
          <w:kern w:val="2"/>
          <w:sz w:val="28"/>
          <w:szCs w:val="28"/>
          <w:lang w:val="en-US" w:eastAsia="zh-CN" w:bidi="ar-SA"/>
        </w:rPr>
        <w:instrText xml:space="preserve"> HYPERLINK \l _Toc4685 </w:instrText>
      </w:r>
      <w:r>
        <w:rPr>
          <w:rFonts w:hint="eastAsia" w:ascii="仿宋" w:hAnsi="仿宋" w:eastAsia="仿宋" w:cs="仿宋"/>
          <w:color w:val="auto"/>
          <w:kern w:val="2"/>
          <w:sz w:val="28"/>
          <w:szCs w:val="28"/>
          <w:lang w:val="en-US" w:eastAsia="zh-CN" w:bidi="ar-SA"/>
        </w:rPr>
        <w:fldChar w:fldCharType="separate"/>
      </w:r>
      <w:r>
        <w:rPr>
          <w:rFonts w:hint="eastAsia" w:ascii="仿宋" w:hAnsi="仿宋" w:eastAsia="仿宋" w:cs="仿宋"/>
          <w:bCs w:val="0"/>
          <w:color w:val="auto"/>
          <w:sz w:val="28"/>
          <w:szCs w:val="28"/>
          <w:lang w:eastAsia="zh-CN"/>
        </w:rPr>
        <w:t>第五部分</w:t>
      </w:r>
      <w:r>
        <w:rPr>
          <w:rFonts w:hint="eastAsia" w:ascii="仿宋" w:hAnsi="仿宋" w:eastAsia="仿宋" w:cs="仿宋"/>
          <w:bCs w:val="0"/>
          <w:color w:val="auto"/>
          <w:sz w:val="28"/>
          <w:szCs w:val="28"/>
        </w:rPr>
        <w:t xml:space="preserve"> 青海省政府采购项目合同书范本</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6</w:t>
      </w:r>
      <w:r>
        <w:rPr>
          <w:rFonts w:hint="eastAsia" w:ascii="仿宋" w:hAnsi="仿宋" w:eastAsia="仿宋" w:cs="仿宋"/>
          <w:color w:val="auto"/>
          <w:kern w:val="2"/>
          <w:sz w:val="28"/>
          <w:szCs w:val="28"/>
          <w:lang w:val="en-US" w:eastAsia="zh-CN" w:bidi="ar-SA"/>
        </w:rPr>
        <w:fldChar w:fldCharType="end"/>
      </w:r>
      <w:r>
        <w:rPr>
          <w:rFonts w:hint="eastAsia" w:ascii="仿宋" w:hAnsi="仿宋" w:eastAsia="仿宋" w:cs="仿宋"/>
          <w:color w:val="auto"/>
          <w:kern w:val="2"/>
          <w:sz w:val="28"/>
          <w:szCs w:val="28"/>
          <w:lang w:val="en-US" w:eastAsia="zh-CN" w:bidi="ar-SA"/>
        </w:rPr>
        <w:t>9</w:t>
      </w:r>
    </w:p>
    <w:p w14:paraId="45E0BC1C">
      <w:pPr>
        <w:rPr>
          <w:color w:val="auto"/>
        </w:rPr>
      </w:pPr>
      <w:r>
        <w:rPr>
          <w:rFonts w:ascii="Times New Roman" w:hAnsi="Times New Roman" w:eastAsia="宋体" w:cs="Times New Roman"/>
          <w:color w:val="auto"/>
          <w:kern w:val="2"/>
          <w:szCs w:val="32"/>
          <w:lang w:val="en-US" w:eastAsia="zh-CN" w:bidi="ar-SA"/>
        </w:rPr>
        <w:br w:type="page"/>
      </w:r>
    </w:p>
    <w:p w14:paraId="593C9B0A">
      <w:pPr>
        <w:pStyle w:val="2"/>
        <w:keepNext/>
        <w:widowControl w:val="0"/>
        <w:numPr>
          <w:ilvl w:val="0"/>
          <w:numId w:val="1"/>
        </w:numPr>
        <w:wordWrap/>
        <w:adjustRightInd w:val="0"/>
        <w:snapToGrid w:val="0"/>
        <w:spacing w:before="157" w:beforeLines="50" w:line="560" w:lineRule="exact"/>
        <w:jc w:val="center"/>
        <w:textAlignment w:val="auto"/>
        <w:outlineLvl w:val="0"/>
        <w:rPr>
          <w:rFonts w:hint="eastAsia" w:ascii="华文中宋" w:hAnsi="华文中宋" w:eastAsia="华文中宋" w:cs="华文中宋"/>
          <w:b w:val="0"/>
          <w:bCs w:val="0"/>
          <w:color w:val="auto"/>
          <w:sz w:val="44"/>
          <w:szCs w:val="44"/>
          <w:lang w:val="en-US" w:eastAsia="zh-CN"/>
        </w:rPr>
      </w:pPr>
      <w:r>
        <w:rPr>
          <w:rFonts w:ascii="Times New Roman" w:hAnsi="Times New Roman" w:eastAsia="宋体" w:cs="Times New Roman"/>
          <w:color w:val="auto"/>
          <w:kern w:val="2"/>
          <w:szCs w:val="32"/>
          <w:lang w:val="en-US" w:eastAsia="zh-CN" w:bidi="ar-SA"/>
        </w:rPr>
        <w:fldChar w:fldCharType="end"/>
      </w:r>
      <w:bookmarkStart w:id="0" w:name="_Toc20903"/>
      <w:bookmarkStart w:id="1" w:name="_Toc783"/>
      <w:r>
        <w:rPr>
          <w:rFonts w:hint="eastAsia" w:ascii="华文中宋" w:hAnsi="华文中宋" w:eastAsia="华文中宋" w:cs="华文中宋"/>
          <w:b w:val="0"/>
          <w:bCs w:val="0"/>
          <w:color w:val="auto"/>
          <w:sz w:val="44"/>
          <w:szCs w:val="44"/>
          <w:lang w:val="en-US" w:eastAsia="zh-CN"/>
        </w:rPr>
        <w:t>谈判</w:t>
      </w:r>
      <w:bookmarkEnd w:id="0"/>
      <w:r>
        <w:rPr>
          <w:rFonts w:hint="eastAsia" w:ascii="华文中宋" w:hAnsi="华文中宋" w:eastAsia="华文中宋" w:cs="华文中宋"/>
          <w:b w:val="0"/>
          <w:bCs w:val="0"/>
          <w:color w:val="auto"/>
          <w:sz w:val="44"/>
          <w:szCs w:val="44"/>
          <w:lang w:val="en-US" w:eastAsia="zh-CN"/>
        </w:rPr>
        <w:t>邀请</w:t>
      </w:r>
      <w:bookmarkEnd w:id="1"/>
    </w:p>
    <w:p w14:paraId="40737DFF">
      <w:pPr>
        <w:numPr>
          <w:ilvl w:val="0"/>
          <w:numId w:val="0"/>
        </w:numPr>
        <w:rPr>
          <w:rFonts w:hint="eastAsia"/>
          <w:color w:val="auto"/>
        </w:rPr>
      </w:pPr>
    </w:p>
    <w:tbl>
      <w:tblPr>
        <w:tblStyle w:val="21"/>
        <w:tblW w:w="996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69"/>
        <w:gridCol w:w="7699"/>
      </w:tblGrid>
      <w:tr w14:paraId="0A57A7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2269" w:type="dxa"/>
            <w:tcBorders>
              <w:tl2br w:val="nil"/>
              <w:tr2bl w:val="nil"/>
            </w:tcBorders>
            <w:vAlign w:val="center"/>
          </w:tcPr>
          <w:p w14:paraId="54A06E52">
            <w:pPr>
              <w:wordWrap/>
              <w:adjustRightInd w:val="0"/>
              <w:snapToGrid w:val="0"/>
              <w:spacing w:before="157" w:beforeLines="50" w:line="56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采购项目</w:t>
            </w:r>
            <w:r>
              <w:rPr>
                <w:rFonts w:hint="eastAsia" w:ascii="仿宋_GB2312" w:hAnsi="仿宋_GB2312" w:eastAsia="仿宋_GB2312" w:cs="仿宋_GB2312"/>
                <w:color w:val="auto"/>
                <w:sz w:val="32"/>
                <w:szCs w:val="32"/>
                <w:lang w:eastAsia="zh-CN"/>
              </w:rPr>
              <w:t>名称</w:t>
            </w:r>
          </w:p>
        </w:tc>
        <w:tc>
          <w:tcPr>
            <w:tcW w:w="7699" w:type="dxa"/>
            <w:tcBorders>
              <w:tl2br w:val="nil"/>
              <w:tr2bl w:val="nil"/>
            </w:tcBorders>
            <w:vAlign w:val="top"/>
          </w:tcPr>
          <w:p w14:paraId="6E60BF9E">
            <w:pPr>
              <w:wordWrap/>
              <w:adjustRightInd w:val="0"/>
              <w:snapToGrid w:val="0"/>
              <w:spacing w:before="157" w:beforeLines="50" w:line="560" w:lineRule="exact"/>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2026年医疗服务与能力提升补助资金-医疗卫生机构能力建设(高海拔地区医疗服务能力建设)-耳鼻咽喉科专科</w:t>
            </w:r>
          </w:p>
        </w:tc>
      </w:tr>
      <w:tr w14:paraId="6070E9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69" w:type="dxa"/>
            <w:tcBorders>
              <w:tl2br w:val="nil"/>
              <w:tr2bl w:val="nil"/>
            </w:tcBorders>
            <w:vAlign w:val="center"/>
          </w:tcPr>
          <w:p w14:paraId="639D288E">
            <w:pPr>
              <w:wordWrap/>
              <w:adjustRightInd w:val="0"/>
              <w:snapToGrid w:val="0"/>
              <w:spacing w:before="157" w:beforeLines="50" w:line="56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采购项目编号</w:t>
            </w:r>
          </w:p>
        </w:tc>
        <w:tc>
          <w:tcPr>
            <w:tcW w:w="7699" w:type="dxa"/>
            <w:tcBorders>
              <w:tl2br w:val="nil"/>
              <w:tr2bl w:val="nil"/>
            </w:tcBorders>
            <w:vAlign w:val="top"/>
          </w:tcPr>
          <w:p w14:paraId="0F40A06F">
            <w:pPr>
              <w:wordWrap/>
              <w:adjustRightInd w:val="0"/>
              <w:snapToGrid w:val="0"/>
              <w:spacing w:before="157" w:beforeLines="50" w:line="560" w:lineRule="exact"/>
              <w:jc w:val="left"/>
              <w:rPr>
                <w:rFonts w:hint="eastAsia" w:ascii="仿宋_GB2312" w:hAnsi="仿宋_GB2312" w:eastAsia="仿宋_GB2312" w:cs="仿宋_GB2312"/>
                <w:color w:val="auto"/>
                <w:kern w:val="2"/>
                <w:sz w:val="32"/>
                <w:szCs w:val="32"/>
                <w:u w:val="single"/>
                <w:lang w:val="zh-CN"/>
              </w:rPr>
            </w:pPr>
            <w:r>
              <w:rPr>
                <w:rFonts w:hint="eastAsia" w:ascii="仿宋_GB2312" w:hAnsi="仿宋_GB2312" w:eastAsia="仿宋_GB2312" w:cs="仿宋_GB2312"/>
                <w:color w:val="auto"/>
                <w:kern w:val="2"/>
                <w:sz w:val="32"/>
                <w:szCs w:val="32"/>
                <w:u w:val="none"/>
                <w:lang w:val="zh-CN" w:eastAsia="zh-CN"/>
              </w:rPr>
              <w:t>青海中澜竞谈（货物）2026-001</w:t>
            </w:r>
          </w:p>
        </w:tc>
      </w:tr>
      <w:tr w14:paraId="1992F5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69" w:type="dxa"/>
            <w:tcBorders>
              <w:tl2br w:val="nil"/>
              <w:tr2bl w:val="nil"/>
            </w:tcBorders>
            <w:vAlign w:val="center"/>
          </w:tcPr>
          <w:p w14:paraId="195E0DE3">
            <w:pPr>
              <w:wordWrap/>
              <w:adjustRightInd w:val="0"/>
              <w:snapToGrid w:val="0"/>
              <w:spacing w:before="157" w:beforeLines="50" w:line="56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采购方式</w:t>
            </w:r>
          </w:p>
        </w:tc>
        <w:tc>
          <w:tcPr>
            <w:tcW w:w="7699" w:type="dxa"/>
            <w:tcBorders>
              <w:tl2br w:val="nil"/>
              <w:tr2bl w:val="nil"/>
            </w:tcBorders>
            <w:vAlign w:val="top"/>
          </w:tcPr>
          <w:p w14:paraId="7E9163B7">
            <w:pPr>
              <w:wordWrap/>
              <w:adjustRightInd w:val="0"/>
              <w:snapToGrid w:val="0"/>
              <w:spacing w:before="157" w:beforeLines="50" w:line="560" w:lineRule="exact"/>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竞争性谈判</w:t>
            </w:r>
          </w:p>
        </w:tc>
      </w:tr>
      <w:tr w14:paraId="1A4E4D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69" w:type="dxa"/>
            <w:tcBorders>
              <w:tl2br w:val="nil"/>
              <w:tr2bl w:val="nil"/>
            </w:tcBorders>
            <w:vAlign w:val="center"/>
          </w:tcPr>
          <w:p w14:paraId="082F55AF">
            <w:pPr>
              <w:wordWrap/>
              <w:adjustRightInd w:val="0"/>
              <w:snapToGrid w:val="0"/>
              <w:spacing w:before="157" w:beforeLines="50" w:line="56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采购预算额度</w:t>
            </w:r>
          </w:p>
        </w:tc>
        <w:tc>
          <w:tcPr>
            <w:tcW w:w="7699" w:type="dxa"/>
            <w:tcBorders>
              <w:tl2br w:val="nil"/>
              <w:tr2bl w:val="nil"/>
            </w:tcBorders>
            <w:vAlign w:val="top"/>
          </w:tcPr>
          <w:p w14:paraId="16D3B337">
            <w:pPr>
              <w:wordWrap/>
              <w:adjustRightInd w:val="0"/>
              <w:snapToGrid w:val="0"/>
              <w:spacing w:before="157" w:beforeLines="50" w:line="560" w:lineRule="exact"/>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985000.00元</w:t>
            </w:r>
          </w:p>
        </w:tc>
      </w:tr>
      <w:tr w14:paraId="75E2B9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69" w:type="dxa"/>
            <w:tcBorders>
              <w:tl2br w:val="nil"/>
              <w:tr2bl w:val="nil"/>
            </w:tcBorders>
            <w:vAlign w:val="center"/>
          </w:tcPr>
          <w:p w14:paraId="3C20A695">
            <w:pPr>
              <w:wordWrap/>
              <w:adjustRightInd w:val="0"/>
              <w:snapToGrid w:val="0"/>
              <w:spacing w:before="157" w:beforeLines="50" w:line="56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项目分包个数</w:t>
            </w:r>
          </w:p>
        </w:tc>
        <w:tc>
          <w:tcPr>
            <w:tcW w:w="7699" w:type="dxa"/>
            <w:tcBorders>
              <w:tl2br w:val="nil"/>
              <w:tr2bl w:val="nil"/>
            </w:tcBorders>
            <w:vAlign w:val="top"/>
          </w:tcPr>
          <w:p w14:paraId="14B398C1">
            <w:pPr>
              <w:wordWrap/>
              <w:adjustRightInd w:val="0"/>
              <w:snapToGrid w:val="0"/>
              <w:spacing w:before="157" w:beforeLines="50"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u w:val="none"/>
                <w:lang w:val="zh-CN"/>
              </w:rPr>
              <w:t>无分包</w:t>
            </w:r>
          </w:p>
        </w:tc>
      </w:tr>
      <w:tr w14:paraId="394DD6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69" w:type="dxa"/>
            <w:tcBorders>
              <w:tl2br w:val="nil"/>
              <w:tr2bl w:val="nil"/>
            </w:tcBorders>
            <w:vAlign w:val="center"/>
          </w:tcPr>
          <w:p w14:paraId="2AE7F380">
            <w:pPr>
              <w:wordWrap/>
              <w:adjustRightInd w:val="0"/>
              <w:snapToGrid w:val="0"/>
              <w:spacing w:before="157" w:beforeLines="50"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供应商</w:t>
            </w:r>
            <w:r>
              <w:rPr>
                <w:rFonts w:hint="eastAsia" w:ascii="仿宋_GB2312" w:hAnsi="仿宋_GB2312" w:eastAsia="仿宋_GB2312" w:cs="仿宋_GB2312"/>
                <w:color w:val="auto"/>
                <w:sz w:val="32"/>
                <w:szCs w:val="32"/>
              </w:rPr>
              <w:t>资格条件</w:t>
            </w:r>
          </w:p>
        </w:tc>
        <w:tc>
          <w:tcPr>
            <w:tcW w:w="7699" w:type="dxa"/>
            <w:tcBorders>
              <w:tl2br w:val="nil"/>
              <w:tr2bl w:val="nil"/>
            </w:tcBorders>
            <w:vAlign w:val="top"/>
          </w:tcPr>
          <w:p w14:paraId="0AEC602E">
            <w:pPr>
              <w:widowControl w:val="0"/>
              <w:wordWrap/>
              <w:autoSpaceDE w:val="0"/>
              <w:autoSpaceDN w:val="0"/>
              <w:spacing w:line="560" w:lineRule="exac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符合《中华人民共和国政府采购法》第22条及政府采购法实施条例第17条的规定；</w:t>
            </w:r>
          </w:p>
          <w:p w14:paraId="39367AAE">
            <w:pPr>
              <w:widowControl w:val="0"/>
              <w:wordWrap/>
              <w:autoSpaceDE w:val="0"/>
              <w:autoSpaceDN w:val="0"/>
              <w:spacing w:line="560" w:lineRule="exact"/>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val="zh-CN"/>
              </w:rPr>
              <w:t>经信用中国（www.creditchina.gov.cn）、</w:t>
            </w:r>
            <w:r>
              <w:rPr>
                <w:rFonts w:hint="eastAsia" w:ascii="仿宋_GB2312" w:hAnsi="仿宋_GB2312" w:eastAsia="仿宋_GB2312" w:cs="仿宋_GB2312"/>
                <w:color w:val="auto"/>
                <w:kern w:val="0"/>
                <w:sz w:val="32"/>
                <w:szCs w:val="32"/>
              </w:rPr>
              <w:t>中国政府采购网（www.ccgp.gov.cn）等渠道查询后，列入失信被执行人、重大税收违法</w:t>
            </w:r>
            <w:r>
              <w:rPr>
                <w:rFonts w:hint="eastAsia" w:ascii="仿宋_GB2312" w:hAnsi="仿宋_GB2312" w:eastAsia="仿宋_GB2312" w:cs="仿宋_GB2312"/>
                <w:color w:val="auto"/>
                <w:kern w:val="0"/>
                <w:sz w:val="32"/>
                <w:szCs w:val="32"/>
                <w:lang w:val="en-US" w:eastAsia="zh-CN"/>
              </w:rPr>
              <w:t>失信主体</w:t>
            </w:r>
            <w:r>
              <w:rPr>
                <w:rFonts w:hint="eastAsia" w:ascii="仿宋_GB2312" w:hAnsi="仿宋_GB2312" w:eastAsia="仿宋_GB2312" w:cs="仿宋_GB2312"/>
                <w:color w:val="auto"/>
                <w:kern w:val="0"/>
                <w:sz w:val="32"/>
                <w:szCs w:val="32"/>
              </w:rPr>
              <w:t>名单、政府采购严重违法失信行为记录名单的，取消</w:t>
            </w:r>
            <w:r>
              <w:rPr>
                <w:rFonts w:hint="eastAsia" w:ascii="仿宋_GB2312" w:hAnsi="仿宋_GB2312" w:eastAsia="仿宋_GB2312" w:cs="仿宋_GB2312"/>
                <w:color w:val="auto"/>
                <w:kern w:val="0"/>
                <w:sz w:val="32"/>
                <w:szCs w:val="32"/>
                <w:lang w:eastAsia="zh-CN"/>
              </w:rPr>
              <w:t>谈判</w:t>
            </w:r>
            <w:r>
              <w:rPr>
                <w:rFonts w:hint="eastAsia" w:ascii="仿宋_GB2312" w:hAnsi="仿宋_GB2312" w:eastAsia="仿宋_GB2312" w:cs="仿宋_GB2312"/>
                <w:color w:val="auto"/>
                <w:kern w:val="0"/>
                <w:sz w:val="32"/>
                <w:szCs w:val="32"/>
              </w:rPr>
              <w:t>资格。（附“信用中国”网站“下载信用信息报告”栏中的法人和其他组织信用信息，时间为谈判文件响应截止时间前</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0天内）；</w:t>
            </w:r>
          </w:p>
          <w:p w14:paraId="7643397C">
            <w:pPr>
              <w:widowControl w:val="0"/>
              <w:wordWrap/>
              <w:autoSpaceDE w:val="0"/>
              <w:autoSpaceDN w:val="0"/>
              <w:spacing w:line="560" w:lineRule="exact"/>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val="zh-CN"/>
              </w:rPr>
              <w:t>单位负责人为同一人或者存在直接控股、管理关系的不同供应商，不得参加同一合同项下的政府采购活动。否则，取消谈判资格；</w:t>
            </w:r>
          </w:p>
          <w:p w14:paraId="51F94021">
            <w:pPr>
              <w:widowControl w:val="0"/>
              <w:wordWrap/>
              <w:autoSpaceDE w:val="0"/>
              <w:autoSpaceDN w:val="0"/>
              <w:spacing w:line="560" w:lineRule="exact"/>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val="zh-CN"/>
              </w:rPr>
              <w:t>为本采购项目提供整体设计、规范编制或者项目管理、监理、检测等服务的供应商，不得再参加该采购项目的其他采购活动。</w:t>
            </w:r>
          </w:p>
          <w:p w14:paraId="0E9448DF">
            <w:pPr>
              <w:widowControl w:val="0"/>
              <w:wordWrap/>
              <w:autoSpaceDE w:val="0"/>
              <w:autoSpaceDN w:val="0"/>
              <w:spacing w:line="560" w:lineRule="exact"/>
              <w:textAlignment w:val="auto"/>
              <w:rPr>
                <w:rFonts w:hint="eastAsia" w:ascii="仿宋_GB2312" w:hAnsi="仿宋_GB2312" w:eastAsia="仿宋_GB2312" w:cs="仿宋_GB2312"/>
                <w:color w:val="auto"/>
                <w:kern w:val="0"/>
                <w:sz w:val="32"/>
                <w:szCs w:val="32"/>
                <w:highlight w:val="none"/>
                <w:lang w:val="zh-CN" w:eastAsia="zh-CN"/>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lang w:val="zh-CN" w:eastAsia="zh-CN"/>
              </w:rPr>
              <w:t>.落实政府采购政策需满足的资格要求：本项目全部面向中小企业采购。</w:t>
            </w:r>
          </w:p>
          <w:p w14:paraId="23614FC9">
            <w:pPr>
              <w:widowControl w:val="0"/>
              <w:wordWrap/>
              <w:autoSpaceDE w:val="0"/>
              <w:autoSpaceDN w:val="0"/>
              <w:spacing w:line="560" w:lineRule="exact"/>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kern w:val="0"/>
                <w:sz w:val="32"/>
                <w:szCs w:val="32"/>
                <w:highlight w:val="none"/>
                <w:lang w:val="en-US" w:eastAsia="zh-CN"/>
              </w:rPr>
              <w:t>5.其他资格要求：供应商为生产商的，须具备有效的医疗器械生产许可证和所投医疗产品的医疗器械注册证（或备案凭证）；供应商为代理商的，须具备有效的医疗器械经营许可证和所投医疗产品的医疗器械注册证（或备案凭证）。</w:t>
            </w:r>
          </w:p>
        </w:tc>
      </w:tr>
      <w:tr w14:paraId="2C5052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69" w:type="dxa"/>
            <w:tcBorders>
              <w:tl2br w:val="nil"/>
              <w:tr2bl w:val="nil"/>
            </w:tcBorders>
            <w:vAlign w:val="top"/>
          </w:tcPr>
          <w:p w14:paraId="306A3E73">
            <w:pPr>
              <w:wordWrap/>
              <w:adjustRightInd w:val="0"/>
              <w:snapToGrid w:val="0"/>
              <w:spacing w:before="157" w:beforeLines="50" w:line="560" w:lineRule="exact"/>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是否接收联合体形式</w:t>
            </w:r>
          </w:p>
        </w:tc>
        <w:tc>
          <w:tcPr>
            <w:tcW w:w="7699" w:type="dxa"/>
            <w:tcBorders>
              <w:tl2br w:val="nil"/>
              <w:tr2bl w:val="nil"/>
            </w:tcBorders>
            <w:vAlign w:val="top"/>
          </w:tcPr>
          <w:p w14:paraId="409382D0">
            <w:pPr>
              <w:widowControl w:val="0"/>
              <w:wordWrap/>
              <w:adjustRightInd w:val="0"/>
              <w:snapToGrid w:val="0"/>
              <w:spacing w:line="240" w:lineRule="auto"/>
              <w:textAlignment w:val="auto"/>
              <w:rPr>
                <w:rFonts w:hint="eastAsia" w:ascii="仿宋_GB2312" w:hAnsi="仿宋_GB2312" w:eastAsia="仿宋_GB2312" w:cs="仿宋_GB2312"/>
                <w:color w:val="auto"/>
                <w:kern w:val="0"/>
                <w:sz w:val="32"/>
                <w:szCs w:val="32"/>
                <w:lang w:val="zh-CN"/>
              </w:rPr>
            </w:pPr>
          </w:p>
          <w:p w14:paraId="5195ADA9">
            <w:pPr>
              <w:widowControl w:val="0"/>
              <w:wordWrap/>
              <w:adjustRightInd w:val="0"/>
              <w:snapToGrid w:val="0"/>
              <w:spacing w:line="24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zh-CN"/>
              </w:rPr>
              <w:t>本项目</w:t>
            </w:r>
            <w:r>
              <w:rPr>
                <w:rFonts w:hint="eastAsia" w:ascii="仿宋_GB2312" w:hAnsi="仿宋_GB2312" w:eastAsia="仿宋_GB2312" w:cs="仿宋_GB2312"/>
                <w:color w:val="auto"/>
                <w:kern w:val="0"/>
                <w:sz w:val="32"/>
                <w:szCs w:val="32"/>
                <w:u w:val="single"/>
                <w:lang w:val="en-US" w:eastAsia="zh-CN"/>
              </w:rPr>
              <w:t>不接受</w:t>
            </w:r>
            <w:r>
              <w:rPr>
                <w:rFonts w:hint="eastAsia" w:ascii="仿宋_GB2312" w:hAnsi="仿宋_GB2312" w:eastAsia="仿宋_GB2312" w:cs="仿宋_GB2312"/>
                <w:color w:val="auto"/>
                <w:kern w:val="0"/>
                <w:sz w:val="32"/>
                <w:szCs w:val="32"/>
                <w:lang w:val="zh-CN"/>
              </w:rPr>
              <w:t>供应商以联合体方式进行谈判。</w:t>
            </w:r>
          </w:p>
        </w:tc>
      </w:tr>
      <w:tr w14:paraId="5ADFD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69" w:type="dxa"/>
            <w:tcBorders>
              <w:tl2br w:val="nil"/>
              <w:tr2bl w:val="nil"/>
            </w:tcBorders>
            <w:vAlign w:val="center"/>
          </w:tcPr>
          <w:p w14:paraId="677CF4AC">
            <w:pPr>
              <w:wordWrap/>
              <w:adjustRightInd w:val="0"/>
              <w:snapToGrid w:val="0"/>
              <w:spacing w:before="157" w:beforeLines="50" w:line="56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进口产品</w:t>
            </w:r>
          </w:p>
        </w:tc>
        <w:tc>
          <w:tcPr>
            <w:tcW w:w="7699" w:type="dxa"/>
            <w:tcBorders>
              <w:tl2br w:val="nil"/>
              <w:tr2bl w:val="nil"/>
            </w:tcBorders>
            <w:vAlign w:val="center"/>
          </w:tcPr>
          <w:p w14:paraId="6A83D270">
            <w:pPr>
              <w:widowControl w:val="0"/>
              <w:wordWrap/>
              <w:adjustRightInd w:val="0"/>
              <w:snapToGrid w:val="0"/>
              <w:spacing w:line="560" w:lineRule="exact"/>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val="0"/>
                <w:bCs/>
                <w:color w:val="auto"/>
                <w:sz w:val="32"/>
                <w:szCs w:val="32"/>
              </w:rPr>
              <w:t>本项目</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u w:val="single"/>
                <w:lang w:val="en-US" w:eastAsia="zh-CN"/>
              </w:rPr>
              <w:t>拒绝</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（接受</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rPr>
              <w:t>拒绝）进</w:t>
            </w:r>
            <w:r>
              <w:rPr>
                <w:rFonts w:hint="eastAsia" w:ascii="仿宋_GB2312" w:hAnsi="仿宋_GB2312" w:eastAsia="仿宋_GB2312" w:cs="仿宋_GB2312"/>
                <w:color w:val="auto"/>
                <w:sz w:val="32"/>
                <w:szCs w:val="32"/>
              </w:rPr>
              <w:t>口产品参加谈判采购</w:t>
            </w:r>
            <w:r>
              <w:rPr>
                <w:rFonts w:hint="eastAsia" w:ascii="仿宋_GB2312" w:hAnsi="仿宋_GB2312" w:eastAsia="仿宋_GB2312" w:cs="仿宋_GB2312"/>
                <w:color w:val="auto"/>
                <w:sz w:val="32"/>
                <w:szCs w:val="32"/>
                <w:lang w:eastAsia="zh-CN"/>
              </w:rPr>
              <w:t>。</w:t>
            </w:r>
          </w:p>
        </w:tc>
      </w:tr>
      <w:tr w14:paraId="2CC833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69" w:type="dxa"/>
            <w:tcBorders>
              <w:tl2br w:val="nil"/>
              <w:tr2bl w:val="nil"/>
            </w:tcBorders>
            <w:vAlign w:val="center"/>
          </w:tcPr>
          <w:p w14:paraId="5502348B">
            <w:pPr>
              <w:wordWrap/>
              <w:adjustRightInd w:val="0"/>
              <w:snapToGrid w:val="0"/>
              <w:spacing w:before="157" w:beforeLines="50" w:line="560" w:lineRule="exact"/>
              <w:rPr>
                <w:rFonts w:hint="eastAsia" w:ascii="仿宋_GB2312" w:hAnsi="仿宋_GB2312" w:eastAsia="仿宋_GB2312" w:cs="仿宋_GB2312"/>
                <w:color w:val="auto"/>
                <w:sz w:val="32"/>
                <w:szCs w:val="32"/>
                <w:u w:val="single" w:color="auto"/>
                <w:lang w:eastAsia="zh-CN"/>
              </w:rPr>
            </w:pPr>
            <w:r>
              <w:rPr>
                <w:rFonts w:hint="eastAsia" w:ascii="仿宋_GB2312" w:hAnsi="仿宋_GB2312" w:eastAsia="仿宋_GB2312" w:cs="仿宋_GB2312"/>
                <w:bCs/>
                <w:color w:val="auto"/>
                <w:sz w:val="32"/>
                <w:szCs w:val="32"/>
                <w:u w:val="single" w:color="auto"/>
              </w:rPr>
              <w:t>谈判文件的实质性变动内容</w:t>
            </w:r>
          </w:p>
        </w:tc>
        <w:tc>
          <w:tcPr>
            <w:tcW w:w="7699" w:type="dxa"/>
            <w:tcBorders>
              <w:tl2br w:val="nil"/>
              <w:tr2bl w:val="nil"/>
            </w:tcBorders>
            <w:vAlign w:val="center"/>
          </w:tcPr>
          <w:p w14:paraId="443E2673">
            <w:pPr>
              <w:widowControl w:val="0"/>
              <w:wordWrap/>
              <w:adjustRightInd w:val="0"/>
              <w:snapToGrid w:val="0"/>
              <w:spacing w:line="560" w:lineRule="exact"/>
              <w:textAlignment w:val="auto"/>
              <w:rPr>
                <w:rFonts w:hint="eastAsia" w:ascii="仿宋_GB2312" w:hAnsi="仿宋_GB2312" w:eastAsia="仿宋_GB2312" w:cs="仿宋_GB2312"/>
                <w:b w:val="0"/>
                <w:bCs/>
                <w:color w:val="auto"/>
                <w:sz w:val="32"/>
                <w:szCs w:val="32"/>
                <w:u w:val="single" w:color="auto"/>
              </w:rPr>
            </w:pPr>
            <w:r>
              <w:rPr>
                <w:rFonts w:hint="eastAsia" w:ascii="仿宋_GB2312" w:hAnsi="仿宋_GB2312" w:eastAsia="仿宋_GB2312" w:cs="仿宋_GB2312"/>
                <w:color w:val="auto"/>
                <w:sz w:val="32"/>
                <w:szCs w:val="32"/>
                <w:highlight w:val="none"/>
                <w:u w:val="single" w:color="auto"/>
                <w:lang w:val="en-US" w:eastAsia="zh-CN"/>
              </w:rPr>
              <w:t>不允许根据谈判工作实际情况，对/内容进行实质性修改（包括技术、服务和合同条款）。</w:t>
            </w:r>
          </w:p>
        </w:tc>
      </w:tr>
      <w:tr w14:paraId="65075A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69" w:type="dxa"/>
            <w:tcBorders>
              <w:tl2br w:val="nil"/>
              <w:tr2bl w:val="nil"/>
            </w:tcBorders>
            <w:vAlign w:val="center"/>
          </w:tcPr>
          <w:p w14:paraId="0FD5484C">
            <w:pPr>
              <w:wordWrap/>
              <w:adjustRightInd w:val="0"/>
              <w:snapToGrid w:val="0"/>
              <w:spacing w:before="157" w:beforeLines="50" w:line="560" w:lineRule="exact"/>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公告发布时间</w:t>
            </w:r>
          </w:p>
        </w:tc>
        <w:tc>
          <w:tcPr>
            <w:tcW w:w="7699" w:type="dxa"/>
            <w:tcBorders>
              <w:tl2br w:val="nil"/>
              <w:tr2bl w:val="nil"/>
            </w:tcBorders>
            <w:vAlign w:val="top"/>
          </w:tcPr>
          <w:p w14:paraId="20B7B565">
            <w:pPr>
              <w:widowControl w:val="0"/>
              <w:wordWrap/>
              <w:adjustRightInd w:val="0"/>
              <w:snapToGrid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u w:val="single"/>
                <w:lang w:val="en-US" w:eastAsia="zh-CN"/>
              </w:rPr>
              <w:t>2026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u w:val="single"/>
                <w:lang w:val="en-US" w:eastAsia="zh-CN"/>
              </w:rPr>
              <w:t xml:space="preserve"> 04 </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u w:val="single"/>
                <w:lang w:val="en-US" w:eastAsia="zh-CN"/>
              </w:rPr>
              <w:t xml:space="preserve"> 24 </w:t>
            </w:r>
            <w:r>
              <w:rPr>
                <w:rFonts w:hint="eastAsia" w:ascii="仿宋_GB2312" w:hAnsi="仿宋_GB2312" w:eastAsia="仿宋_GB2312" w:cs="仿宋_GB2312"/>
                <w:color w:val="auto"/>
                <w:kern w:val="0"/>
                <w:sz w:val="32"/>
                <w:szCs w:val="32"/>
              </w:rPr>
              <w:t>日（北京时间）</w:t>
            </w:r>
          </w:p>
        </w:tc>
      </w:tr>
      <w:tr w14:paraId="623502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69" w:type="dxa"/>
            <w:tcBorders>
              <w:tl2br w:val="nil"/>
              <w:tr2bl w:val="nil"/>
            </w:tcBorders>
            <w:vAlign w:val="center"/>
          </w:tcPr>
          <w:p w14:paraId="34E70623">
            <w:pPr>
              <w:wordWrap/>
              <w:spacing w:before="157" w:beforeLines="50" w:line="560" w:lineRule="exact"/>
              <w:jc w:val="center"/>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color w:val="auto"/>
                <w:sz w:val="32"/>
                <w:szCs w:val="32"/>
              </w:rPr>
              <w:t>文件发售起止时间</w:t>
            </w:r>
          </w:p>
        </w:tc>
        <w:tc>
          <w:tcPr>
            <w:tcW w:w="7699" w:type="dxa"/>
            <w:tcBorders>
              <w:tl2br w:val="nil"/>
              <w:tr2bl w:val="nil"/>
            </w:tcBorders>
            <w:vAlign w:val="top"/>
          </w:tcPr>
          <w:p w14:paraId="610CC21C">
            <w:pPr>
              <w:widowControl w:val="0"/>
              <w:wordWrap/>
              <w:spacing w:line="560" w:lineRule="exac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u w:val="single"/>
                <w:lang w:val="en-US" w:eastAsia="zh-CN"/>
              </w:rPr>
              <w:t>2026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u w:val="single"/>
                <w:lang w:val="en-US" w:eastAsia="zh-CN"/>
              </w:rPr>
              <w:t xml:space="preserve"> 04</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u w:val="single"/>
                <w:lang w:val="en-US" w:eastAsia="zh-CN"/>
              </w:rPr>
              <w:t xml:space="preserve">27 </w:t>
            </w:r>
            <w:r>
              <w:rPr>
                <w:rFonts w:hint="eastAsia" w:ascii="仿宋_GB2312" w:hAnsi="仿宋_GB2312" w:eastAsia="仿宋_GB2312" w:cs="仿宋_GB2312"/>
                <w:color w:val="auto"/>
                <w:kern w:val="0"/>
                <w:sz w:val="32"/>
                <w:szCs w:val="32"/>
              </w:rPr>
              <w:t>日至</w:t>
            </w:r>
            <w:r>
              <w:rPr>
                <w:rFonts w:hint="eastAsia" w:ascii="仿宋_GB2312" w:hAnsi="仿宋_GB2312" w:eastAsia="仿宋_GB2312" w:cs="仿宋_GB2312"/>
                <w:color w:val="auto"/>
                <w:kern w:val="0"/>
                <w:sz w:val="32"/>
                <w:szCs w:val="32"/>
                <w:u w:val="single"/>
                <w:lang w:val="en-US" w:eastAsia="zh-CN"/>
              </w:rPr>
              <w:t>2026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u w:val="single"/>
                <w:lang w:val="en-US" w:eastAsia="zh-CN"/>
              </w:rPr>
              <w:t>04</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u w:val="single"/>
                <w:lang w:val="en-US" w:eastAsia="zh-CN"/>
              </w:rPr>
              <w:t>29</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 xml:space="preserve">日（北京时间）          </w:t>
            </w:r>
          </w:p>
          <w:p w14:paraId="5CC02EBC">
            <w:pPr>
              <w:widowControl w:val="0"/>
              <w:wordWrap/>
              <w:spacing w:line="560" w:lineRule="exac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00 时 00 分至 23 时 59 分（采用北京时间 24 小时制）</w:t>
            </w:r>
          </w:p>
        </w:tc>
      </w:tr>
      <w:tr w14:paraId="39AB9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69" w:type="dxa"/>
            <w:tcBorders>
              <w:tl2br w:val="nil"/>
              <w:tr2bl w:val="nil"/>
            </w:tcBorders>
            <w:vAlign w:val="center"/>
          </w:tcPr>
          <w:p w14:paraId="7A19039D">
            <w:pPr>
              <w:wordWrap/>
              <w:adjustRightInd w:val="0"/>
              <w:snapToGrid w:val="0"/>
              <w:spacing w:before="157" w:beforeLines="50" w:line="560" w:lineRule="exact"/>
              <w:jc w:val="center"/>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获取方式</w:t>
            </w:r>
          </w:p>
        </w:tc>
        <w:tc>
          <w:tcPr>
            <w:tcW w:w="7699" w:type="dxa"/>
            <w:tcBorders>
              <w:tl2br w:val="nil"/>
              <w:tr2bl w:val="nil"/>
            </w:tcBorders>
            <w:vAlign w:val="center"/>
          </w:tcPr>
          <w:p w14:paraId="1AD5B497">
            <w:pPr>
              <w:widowControl w:val="0"/>
              <w:tabs>
                <w:tab w:val="left" w:pos="320"/>
              </w:tabs>
              <w:wordWrap/>
              <w:adjustRightInd w:val="0"/>
              <w:snapToGrid w:val="0"/>
              <w:spacing w:line="560" w:lineRule="exac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供应商登录政采云平台https://www.zcygov.cn/在线申请获取采购文件（进入“项目采购”应用，在获取采购文件菜单中选择项目，申请获取采购文件）</w:t>
            </w:r>
          </w:p>
        </w:tc>
      </w:tr>
      <w:tr w14:paraId="07A2F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69" w:type="dxa"/>
            <w:tcBorders>
              <w:tl2br w:val="nil"/>
              <w:tr2bl w:val="nil"/>
            </w:tcBorders>
            <w:vAlign w:val="center"/>
          </w:tcPr>
          <w:p w14:paraId="2F8A4659">
            <w:pPr>
              <w:wordWrap/>
              <w:spacing w:before="157" w:beforeLines="50" w:line="560" w:lineRule="exact"/>
              <w:jc w:val="center"/>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color w:val="auto"/>
                <w:sz w:val="32"/>
                <w:szCs w:val="32"/>
              </w:rPr>
              <w:t>文件售价</w:t>
            </w:r>
          </w:p>
        </w:tc>
        <w:tc>
          <w:tcPr>
            <w:tcW w:w="7699" w:type="dxa"/>
            <w:tcBorders>
              <w:tl2br w:val="nil"/>
              <w:tr2bl w:val="nil"/>
            </w:tcBorders>
            <w:vAlign w:val="center"/>
          </w:tcPr>
          <w:p w14:paraId="580DC249">
            <w:pPr>
              <w:widowControl w:val="0"/>
              <w:wordWrap/>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0 </w:t>
            </w:r>
            <w:r>
              <w:rPr>
                <w:rFonts w:hint="eastAsia" w:ascii="仿宋_GB2312" w:hAnsi="仿宋_GB2312" w:eastAsia="仿宋_GB2312" w:cs="仿宋_GB2312"/>
                <w:color w:val="auto"/>
                <w:sz w:val="32"/>
                <w:szCs w:val="32"/>
              </w:rPr>
              <w:t>元/份（谈判资格不能转让）</w:t>
            </w:r>
          </w:p>
        </w:tc>
      </w:tr>
      <w:tr w14:paraId="005C09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69" w:type="dxa"/>
            <w:tcBorders>
              <w:tl2br w:val="nil"/>
              <w:tr2bl w:val="nil"/>
            </w:tcBorders>
            <w:vAlign w:val="center"/>
          </w:tcPr>
          <w:p w14:paraId="54A8A1B9">
            <w:pPr>
              <w:wordWrap/>
              <w:spacing w:before="157" w:beforeLines="50"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文件发售地点</w:t>
            </w:r>
          </w:p>
        </w:tc>
        <w:tc>
          <w:tcPr>
            <w:tcW w:w="7699" w:type="dxa"/>
            <w:tcBorders>
              <w:tl2br w:val="nil"/>
              <w:tr2bl w:val="nil"/>
            </w:tcBorders>
            <w:vAlign w:val="center"/>
          </w:tcPr>
          <w:p w14:paraId="12ED0731">
            <w:pPr>
              <w:widowControl w:val="0"/>
              <w:wordWrap/>
              <w:spacing w:line="560" w:lineRule="exac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线上通过政采云平台（ www.zcygov.cn）获取</w:t>
            </w:r>
          </w:p>
        </w:tc>
      </w:tr>
      <w:tr w14:paraId="458AC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69" w:type="dxa"/>
            <w:tcBorders>
              <w:tl2br w:val="nil"/>
              <w:tr2bl w:val="nil"/>
            </w:tcBorders>
            <w:vAlign w:val="top"/>
          </w:tcPr>
          <w:p w14:paraId="156F3DCB">
            <w:pPr>
              <w:wordWrap/>
              <w:adjustRightInd w:val="0"/>
              <w:snapToGrid w:val="0"/>
              <w:spacing w:before="157" w:beforeLines="50" w:line="560" w:lineRule="exact"/>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采购人名称、地址、电话、联系人</w:t>
            </w:r>
          </w:p>
        </w:tc>
        <w:tc>
          <w:tcPr>
            <w:tcW w:w="7699" w:type="dxa"/>
            <w:tcBorders>
              <w:tl2br w:val="nil"/>
              <w:tr2bl w:val="nil"/>
            </w:tcBorders>
            <w:vAlign w:val="top"/>
          </w:tcPr>
          <w:p w14:paraId="583DC369">
            <w:pPr>
              <w:widowControl w:val="0"/>
              <w:wordWrap/>
              <w:adjustRightInd w:val="0"/>
              <w:snapToGrid w:val="0"/>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名称：</w:t>
            </w:r>
            <w:r>
              <w:rPr>
                <w:rFonts w:hint="eastAsia" w:ascii="仿宋_GB2312" w:hAnsi="仿宋_GB2312" w:eastAsia="仿宋_GB2312" w:cs="仿宋_GB2312"/>
                <w:color w:val="auto"/>
                <w:sz w:val="32"/>
                <w:szCs w:val="32"/>
                <w:lang w:val="en-US" w:eastAsia="zh-CN"/>
              </w:rPr>
              <w:t>同德县人民医院</w:t>
            </w:r>
          </w:p>
          <w:p w14:paraId="1D103556">
            <w:pPr>
              <w:widowControl w:val="0"/>
              <w:wordWrap/>
              <w:adjustRightInd w:val="0"/>
              <w:snapToGrid w:val="0"/>
              <w:spacing w:line="560" w:lineRule="exac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u w:val="none"/>
                <w:lang w:val="en-US" w:eastAsia="zh-CN"/>
              </w:rPr>
              <w:t>地址：</w:t>
            </w:r>
            <w:r>
              <w:rPr>
                <w:rFonts w:hint="eastAsia" w:ascii="仿宋_GB2312" w:hAnsi="仿宋_GB2312" w:eastAsia="仿宋_GB2312" w:cs="仿宋_GB2312"/>
                <w:color w:val="auto"/>
                <w:sz w:val="32"/>
                <w:szCs w:val="32"/>
                <w:lang w:val="en-US" w:eastAsia="zh-CN"/>
              </w:rPr>
              <w:t>同德县人民医院</w:t>
            </w:r>
          </w:p>
          <w:p w14:paraId="781757CA">
            <w:pPr>
              <w:widowControl w:val="0"/>
              <w:wordWrap/>
              <w:adjustRightInd w:val="0"/>
              <w:snapToGrid w:val="0"/>
              <w:spacing w:line="560" w:lineRule="exac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联系人：</w:t>
            </w:r>
            <w:r>
              <w:rPr>
                <w:rFonts w:hint="eastAsia" w:ascii="仿宋_GB2312" w:hAnsi="仿宋_GB2312" w:eastAsia="仿宋_GB2312" w:cs="仿宋_GB2312"/>
                <w:color w:val="auto"/>
                <w:sz w:val="32"/>
                <w:szCs w:val="32"/>
                <w:lang w:val="en-US" w:eastAsia="zh-CN"/>
              </w:rPr>
              <w:t>李女士</w:t>
            </w:r>
            <w:r>
              <w:rPr>
                <w:rFonts w:hint="eastAsia" w:ascii="仿宋_GB2312" w:hAnsi="仿宋_GB2312" w:eastAsia="仿宋_GB2312" w:cs="仿宋_GB2312"/>
                <w:color w:val="auto"/>
                <w:kern w:val="0"/>
                <w:sz w:val="32"/>
                <w:szCs w:val="32"/>
                <w:highlight w:val="none"/>
                <w:lang w:val="en-US" w:eastAsia="zh-CN"/>
              </w:rPr>
              <w:t xml:space="preserve">         </w:t>
            </w:r>
          </w:p>
          <w:p w14:paraId="11E808CB">
            <w:pPr>
              <w:widowControl w:val="0"/>
              <w:wordWrap/>
              <w:adjustRightInd w:val="0"/>
              <w:snapToGrid w:val="0"/>
              <w:spacing w:line="560" w:lineRule="exact"/>
              <w:textAlignment w:val="auto"/>
              <w:rPr>
                <w:rFonts w:hint="eastAsia" w:ascii="仿宋_GB2312" w:hAnsi="仿宋_GB2312" w:eastAsia="仿宋_GB2312" w:cs="仿宋_GB2312"/>
                <w:color w:val="auto"/>
                <w:sz w:val="32"/>
                <w:szCs w:val="32"/>
                <w:u w:val="single"/>
                <w:lang w:val="zh-CN" w:eastAsia="zh-CN"/>
              </w:rPr>
            </w:pPr>
            <w:r>
              <w:rPr>
                <w:rFonts w:hint="eastAsia" w:ascii="仿宋_GB2312" w:hAnsi="仿宋_GB2312" w:eastAsia="仿宋_GB2312" w:cs="仿宋_GB2312"/>
                <w:color w:val="auto"/>
                <w:sz w:val="32"/>
                <w:szCs w:val="32"/>
                <w:highlight w:val="none"/>
                <w:u w:val="none"/>
                <w:lang w:val="en-US" w:eastAsia="zh-CN"/>
              </w:rPr>
              <w:t>联系电话：0974-8592088</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lang w:val="en-US" w:eastAsia="zh-CN"/>
              </w:rPr>
              <w:t xml:space="preserve">     </w:t>
            </w:r>
          </w:p>
        </w:tc>
      </w:tr>
      <w:tr w14:paraId="3D2570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69" w:type="dxa"/>
            <w:tcBorders>
              <w:tl2br w:val="nil"/>
              <w:tr2bl w:val="nil"/>
            </w:tcBorders>
            <w:vAlign w:val="top"/>
          </w:tcPr>
          <w:p w14:paraId="78D9F219">
            <w:pPr>
              <w:wordWrap/>
              <w:adjustRightInd w:val="0"/>
              <w:snapToGrid w:val="0"/>
              <w:spacing w:before="157" w:beforeLines="50"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采购代理机构及联系人电话</w:t>
            </w:r>
          </w:p>
        </w:tc>
        <w:tc>
          <w:tcPr>
            <w:tcW w:w="7699" w:type="dxa"/>
            <w:tcBorders>
              <w:tl2br w:val="nil"/>
              <w:tr2bl w:val="nil"/>
            </w:tcBorders>
            <w:vAlign w:val="top"/>
          </w:tcPr>
          <w:p w14:paraId="7C4A734D">
            <w:pPr>
              <w:widowControl w:val="0"/>
              <w:wordWrap/>
              <w:autoSpaceDE w:val="0"/>
              <w:autoSpaceDN w:val="0"/>
              <w:adjustRightInd w:val="0"/>
              <w:spacing w:line="560" w:lineRule="exact"/>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rPr>
              <w:t>采购代</w:t>
            </w:r>
            <w:r>
              <w:rPr>
                <w:rFonts w:hint="eastAsia" w:ascii="仿宋_GB2312" w:hAnsi="仿宋_GB2312" w:eastAsia="仿宋_GB2312" w:cs="仿宋_GB2312"/>
                <w:color w:val="auto"/>
                <w:kern w:val="0"/>
                <w:sz w:val="32"/>
                <w:szCs w:val="32"/>
                <w:u w:val="none"/>
              </w:rPr>
              <w:t>理机构</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lang w:val="en-US" w:eastAsia="zh-CN"/>
              </w:rPr>
              <w:t xml:space="preserve">青海中澜工程管理咨询有限公司 </w:t>
            </w:r>
          </w:p>
          <w:p w14:paraId="7BC2CBC7">
            <w:pPr>
              <w:widowControl w:val="0"/>
              <w:wordWrap/>
              <w:autoSpaceDE w:val="0"/>
              <w:autoSpaceDN w:val="0"/>
              <w:adjustRightInd w:val="0"/>
              <w:spacing w:line="560" w:lineRule="exact"/>
              <w:textAlignment w:val="auto"/>
              <w:rPr>
                <w:rFonts w:hint="default"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rPr>
              <w:t>联系人：</w:t>
            </w:r>
            <w:r>
              <w:rPr>
                <w:rFonts w:hint="eastAsia" w:ascii="仿宋_GB2312" w:hAnsi="仿宋_GB2312" w:eastAsia="仿宋_GB2312" w:cs="仿宋_GB2312"/>
                <w:color w:val="auto"/>
                <w:kern w:val="0"/>
                <w:sz w:val="32"/>
                <w:szCs w:val="32"/>
                <w:u w:val="none"/>
                <w:lang w:val="en-US" w:eastAsia="zh-CN"/>
              </w:rPr>
              <w:t xml:space="preserve">杨女士 </w:t>
            </w:r>
          </w:p>
          <w:p w14:paraId="3EC9E9A4">
            <w:pPr>
              <w:widowControl w:val="0"/>
              <w:wordWrap/>
              <w:autoSpaceDE w:val="0"/>
              <w:autoSpaceDN w:val="0"/>
              <w:adjustRightInd w:val="0"/>
              <w:spacing w:line="560" w:lineRule="exact"/>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rPr>
              <w:t>联系电话：</w:t>
            </w:r>
            <w:r>
              <w:rPr>
                <w:rFonts w:hint="eastAsia" w:ascii="仿宋_GB2312" w:hAnsi="仿宋_GB2312" w:eastAsia="仿宋_GB2312" w:cs="仿宋_GB2312"/>
                <w:color w:val="auto"/>
                <w:kern w:val="0"/>
                <w:sz w:val="32"/>
                <w:szCs w:val="32"/>
                <w:u w:val="none"/>
                <w:lang w:val="en-US" w:eastAsia="zh-CN"/>
              </w:rPr>
              <w:t>青海省西宁市城西区五四西路53号1号楼2单元12层</w:t>
            </w:r>
          </w:p>
          <w:p w14:paraId="40AB9700">
            <w:pPr>
              <w:widowControl w:val="0"/>
              <w:wordWrap/>
              <w:autoSpaceDE w:val="0"/>
              <w:autoSpaceDN w:val="0"/>
              <w:adjustRightInd w:val="0"/>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rPr>
              <w:t>联系地址：</w:t>
            </w:r>
            <w:r>
              <w:rPr>
                <w:rFonts w:hint="eastAsia" w:ascii="仿宋_GB2312" w:hAnsi="仿宋_GB2312" w:eastAsia="仿宋_GB2312" w:cs="仿宋_GB2312"/>
                <w:color w:val="auto"/>
                <w:kern w:val="0"/>
                <w:sz w:val="32"/>
                <w:szCs w:val="32"/>
                <w:lang w:val="en-US" w:eastAsia="zh-CN"/>
              </w:rPr>
              <w:t>0971-6241828</w:t>
            </w:r>
          </w:p>
        </w:tc>
      </w:tr>
      <w:tr w14:paraId="30632A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69" w:type="dxa"/>
            <w:tcBorders>
              <w:tl2br w:val="nil"/>
              <w:tr2bl w:val="nil"/>
            </w:tcBorders>
            <w:vAlign w:val="center"/>
          </w:tcPr>
          <w:p w14:paraId="5B314EE2">
            <w:pPr>
              <w:wordWrap/>
              <w:adjustRightInd w:val="0"/>
              <w:snapToGrid w:val="0"/>
              <w:spacing w:before="157" w:beforeLines="50"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保证金</w:t>
            </w:r>
          </w:p>
        </w:tc>
        <w:tc>
          <w:tcPr>
            <w:tcW w:w="7699" w:type="dxa"/>
            <w:tcBorders>
              <w:tl2br w:val="nil"/>
              <w:tr2bl w:val="nil"/>
            </w:tcBorders>
            <w:vAlign w:val="center"/>
          </w:tcPr>
          <w:p w14:paraId="369456F9">
            <w:pPr>
              <w:widowControl w:val="0"/>
              <w:numPr>
                <w:ilvl w:val="0"/>
                <w:numId w:val="2"/>
              </w:numPr>
              <w:wordWrap/>
              <w:adjustRightInd w:val="0"/>
              <w:snapToGrid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 xml:space="preserve"> 1.5 </w:t>
            </w:r>
            <w:r>
              <w:rPr>
                <w:rFonts w:hint="eastAsia" w:ascii="仿宋_GB2312" w:hAnsi="仿宋_GB2312" w:eastAsia="仿宋_GB2312" w:cs="仿宋_GB2312"/>
                <w:color w:val="auto"/>
                <w:sz w:val="32"/>
                <w:szCs w:val="32"/>
                <w:u w:val="none"/>
                <w:lang w:val="en-US" w:eastAsia="zh-CN"/>
              </w:rPr>
              <w:t>万元</w:t>
            </w:r>
          </w:p>
          <w:p w14:paraId="7E92BA94">
            <w:pPr>
              <w:widowControl w:val="0"/>
              <w:numPr>
                <w:ilvl w:val="0"/>
                <w:numId w:val="2"/>
              </w:numPr>
              <w:wordWrap/>
              <w:adjustRightInd w:val="0"/>
              <w:snapToGrid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户名：青海中澜工程管理咨询有限公司</w:t>
            </w:r>
          </w:p>
          <w:p w14:paraId="3D6DF740">
            <w:pPr>
              <w:widowControl w:val="0"/>
              <w:numPr>
                <w:ilvl w:val="0"/>
                <w:numId w:val="2"/>
              </w:numPr>
              <w:wordWrap/>
              <w:adjustRightInd w:val="0"/>
              <w:snapToGrid w:val="0"/>
              <w:spacing w:line="560" w:lineRule="exac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开户银行：兴业银行西宁分行营业部</w:t>
            </w:r>
          </w:p>
          <w:p w14:paraId="35923941">
            <w:pPr>
              <w:widowControl w:val="0"/>
              <w:numPr>
                <w:ilvl w:val="0"/>
                <w:numId w:val="2"/>
              </w:numPr>
              <w:wordWrap/>
              <w:adjustRightInd w:val="0"/>
              <w:snapToGrid w:val="0"/>
              <w:spacing w:line="560" w:lineRule="exac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u w:val="none"/>
                <w:lang w:val="en-US" w:eastAsia="zh-CN"/>
              </w:rPr>
              <w:t>收款账号：632010100100520114</w:t>
            </w:r>
            <w:r>
              <w:rPr>
                <w:rFonts w:hint="eastAsia" w:ascii="仿宋_GB2312" w:hAnsi="仿宋_GB2312" w:eastAsia="仿宋_GB2312" w:cs="仿宋_GB2312"/>
                <w:color w:val="auto"/>
                <w:kern w:val="0"/>
                <w:sz w:val="32"/>
                <w:szCs w:val="32"/>
                <w:lang w:val="en-US" w:eastAsia="zh-CN"/>
              </w:rPr>
              <w:t xml:space="preserve">       </w:t>
            </w:r>
          </w:p>
          <w:p w14:paraId="53584791">
            <w:pPr>
              <w:widowControl w:val="0"/>
              <w:numPr>
                <w:ilvl w:val="0"/>
                <w:numId w:val="2"/>
              </w:numPr>
              <w:wordWrap/>
              <w:adjustRightInd w:val="0"/>
              <w:snapToGrid w:val="0"/>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u w:val="none"/>
                <w:lang w:val="en-US" w:eastAsia="zh-CN"/>
              </w:rPr>
              <w:t>交付方式：</w:t>
            </w:r>
            <w:r>
              <w:rPr>
                <w:rFonts w:hint="eastAsia" w:ascii="仿宋_GB2312" w:hAnsi="仿宋_GB2312" w:eastAsia="仿宋_GB2312" w:cs="仿宋_GB2312"/>
                <w:b w:val="0"/>
                <w:bCs w:val="0"/>
                <w:color w:val="auto"/>
                <w:sz w:val="32"/>
                <w:szCs w:val="32"/>
              </w:rPr>
              <w:t>谈判保证金应当以转账、支票、本票或者金融机构、担保机构出具的保函等非现金形式提交。供应商未按照谈判文件要求提交谈判保证金的，谈判无效。</w:t>
            </w:r>
          </w:p>
          <w:p w14:paraId="4FA0BE44">
            <w:pPr>
              <w:widowControl w:val="0"/>
              <w:numPr>
                <w:ilvl w:val="0"/>
                <w:numId w:val="2"/>
              </w:numPr>
              <w:wordWrap/>
              <w:adjustRightInd w:val="0"/>
              <w:snapToGrid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其他注意事项（详见谈判文件）</w:t>
            </w:r>
          </w:p>
        </w:tc>
      </w:tr>
      <w:tr w14:paraId="3DDC7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69" w:type="dxa"/>
            <w:tcBorders>
              <w:tl2br w:val="nil"/>
              <w:tr2bl w:val="nil"/>
            </w:tcBorders>
            <w:vAlign w:val="center"/>
          </w:tcPr>
          <w:p w14:paraId="23E5C9F5">
            <w:pPr>
              <w:wordWrap/>
              <w:adjustRightInd w:val="0"/>
              <w:snapToGrid w:val="0"/>
              <w:spacing w:before="157" w:beforeLines="50"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响应文件有效期</w:t>
            </w:r>
          </w:p>
        </w:tc>
        <w:tc>
          <w:tcPr>
            <w:tcW w:w="7699" w:type="dxa"/>
            <w:tcBorders>
              <w:tl2br w:val="nil"/>
              <w:tr2bl w:val="nil"/>
            </w:tcBorders>
            <w:vAlign w:val="center"/>
          </w:tcPr>
          <w:p w14:paraId="31DF6D69">
            <w:pPr>
              <w:widowControl w:val="0"/>
              <w:wordWrap/>
              <w:adjustRightInd w:val="0"/>
              <w:snapToGrid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自谈判提交响应文件截止之日起</w:t>
            </w:r>
            <w:r>
              <w:rPr>
                <w:rFonts w:hint="eastAsia" w:ascii="仿宋_GB2312" w:hAnsi="仿宋_GB2312" w:eastAsia="仿宋_GB2312" w:cs="仿宋_GB2312"/>
                <w:color w:val="auto"/>
                <w:sz w:val="32"/>
                <w:szCs w:val="32"/>
                <w:u w:val="single"/>
                <w:lang w:val="en-US" w:eastAsia="zh-CN"/>
              </w:rPr>
              <w:t xml:space="preserve"> 60 </w:t>
            </w:r>
            <w:r>
              <w:rPr>
                <w:rFonts w:hint="eastAsia" w:ascii="仿宋_GB2312" w:hAnsi="仿宋_GB2312" w:eastAsia="仿宋_GB2312" w:cs="仿宋_GB2312"/>
                <w:color w:val="auto"/>
                <w:sz w:val="32"/>
                <w:szCs w:val="32"/>
                <w:lang w:val="en-US" w:eastAsia="zh-CN"/>
              </w:rPr>
              <w:t>天</w:t>
            </w:r>
          </w:p>
        </w:tc>
      </w:tr>
      <w:tr w14:paraId="4910E5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5" w:hRule="atLeast"/>
          <w:jc w:val="center"/>
        </w:trPr>
        <w:tc>
          <w:tcPr>
            <w:tcW w:w="2269" w:type="dxa"/>
            <w:tcBorders>
              <w:tl2br w:val="nil"/>
              <w:tr2bl w:val="nil"/>
            </w:tcBorders>
            <w:vAlign w:val="center"/>
          </w:tcPr>
          <w:p w14:paraId="1A3BE1AE">
            <w:pPr>
              <w:wordWrap/>
              <w:adjustRightInd w:val="0"/>
              <w:snapToGrid w:val="0"/>
              <w:spacing w:before="157" w:beforeLines="50" w:line="560" w:lineRule="exact"/>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zh-CN"/>
              </w:rPr>
              <w:t>递交响应文件方式</w:t>
            </w:r>
          </w:p>
        </w:tc>
        <w:tc>
          <w:tcPr>
            <w:tcW w:w="7699" w:type="dxa"/>
            <w:tcBorders>
              <w:tl2br w:val="nil"/>
              <w:tr2bl w:val="nil"/>
            </w:tcBorders>
            <w:vAlign w:val="center"/>
          </w:tcPr>
          <w:p w14:paraId="0AC934A1">
            <w:pPr>
              <w:wordWrap/>
              <w:adjustRightInd w:val="0"/>
              <w:snapToGrid w:val="0"/>
              <w:spacing w:before="157" w:beforeLines="50" w:line="560" w:lineRule="exact"/>
              <w:jc w:val="left"/>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val="zh-CN"/>
              </w:rPr>
              <w:t>线上递交</w:t>
            </w:r>
          </w:p>
          <w:p w14:paraId="5B9E9532">
            <w:pPr>
              <w:wordWrap/>
              <w:adjustRightInd w:val="0"/>
              <w:snapToGrid w:val="0"/>
              <w:spacing w:before="157" w:beforeLines="50" w:line="560" w:lineRule="exact"/>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zh-CN"/>
              </w:rPr>
              <w:t>本项目在政采云平台（https://www.zcygov.cn/）上提交电子响应文件，逾期未完成提交的，将视为放弃此次投标活动。</w:t>
            </w:r>
          </w:p>
        </w:tc>
      </w:tr>
      <w:tr w14:paraId="180138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26" w:hRule="atLeast"/>
          <w:jc w:val="center"/>
        </w:trPr>
        <w:tc>
          <w:tcPr>
            <w:tcW w:w="2269" w:type="dxa"/>
            <w:tcBorders>
              <w:tl2br w:val="nil"/>
              <w:tr2bl w:val="nil"/>
            </w:tcBorders>
            <w:vAlign w:val="center"/>
          </w:tcPr>
          <w:p w14:paraId="167A466C">
            <w:pPr>
              <w:wordWrap/>
              <w:adjustRightInd w:val="0"/>
              <w:snapToGrid w:val="0"/>
              <w:spacing w:before="157" w:beforeLines="50" w:line="560" w:lineRule="exact"/>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响应文件的递交</w:t>
            </w:r>
            <w:r>
              <w:rPr>
                <w:rFonts w:hint="eastAsia" w:ascii="仿宋_GB2312" w:hAnsi="仿宋_GB2312" w:eastAsia="仿宋_GB2312" w:cs="仿宋_GB2312"/>
                <w:color w:val="auto"/>
                <w:sz w:val="32"/>
                <w:szCs w:val="32"/>
                <w:lang w:eastAsia="zh-CN"/>
              </w:rPr>
              <w:t>截止时间</w:t>
            </w:r>
          </w:p>
        </w:tc>
        <w:tc>
          <w:tcPr>
            <w:tcW w:w="7699" w:type="dxa"/>
            <w:tcBorders>
              <w:tl2br w:val="nil"/>
              <w:tr2bl w:val="nil"/>
            </w:tcBorders>
            <w:vAlign w:val="center"/>
          </w:tcPr>
          <w:p w14:paraId="6C340B22">
            <w:pPr>
              <w:widowControl w:val="0"/>
              <w:wordWrap/>
              <w:adjustRightInd w:val="0"/>
              <w:snapToGrid w:val="0"/>
              <w:spacing w:line="560" w:lineRule="exact"/>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w:t>
            </w:r>
            <w:r>
              <w:rPr>
                <w:rFonts w:hint="eastAsia" w:ascii="仿宋_GB2312" w:hAnsi="仿宋_GB2312" w:eastAsia="仿宋_GB2312" w:cs="仿宋_GB2312"/>
                <w:b w:val="0"/>
                <w:bCs w:val="0"/>
                <w:color w:val="auto"/>
                <w:sz w:val="32"/>
                <w:szCs w:val="32"/>
                <w:lang w:eastAsia="zh-CN"/>
              </w:rPr>
              <w:t>年</w:t>
            </w:r>
            <w:r>
              <w:rPr>
                <w:rFonts w:hint="eastAsia" w:ascii="仿宋_GB2312" w:hAnsi="仿宋_GB2312" w:eastAsia="仿宋_GB2312" w:cs="仿宋_GB2312"/>
                <w:b w:val="0"/>
                <w:bCs w:val="0"/>
                <w:color w:val="auto"/>
                <w:sz w:val="32"/>
                <w:szCs w:val="32"/>
                <w:u w:val="single"/>
                <w:lang w:eastAsia="zh-CN"/>
              </w:rPr>
              <w:t xml:space="preserve"> </w:t>
            </w:r>
            <w:r>
              <w:rPr>
                <w:rFonts w:hint="eastAsia" w:ascii="仿宋_GB2312" w:hAnsi="仿宋_GB2312" w:eastAsia="仿宋_GB2312" w:cs="仿宋_GB2312"/>
                <w:b w:val="0"/>
                <w:bCs w:val="0"/>
                <w:color w:val="auto"/>
                <w:sz w:val="32"/>
                <w:szCs w:val="32"/>
                <w:u w:val="single"/>
                <w:lang w:val="en-US" w:eastAsia="zh-CN"/>
              </w:rPr>
              <w:t>04</w:t>
            </w:r>
            <w:r>
              <w:rPr>
                <w:rFonts w:hint="eastAsia" w:ascii="仿宋_GB2312" w:hAnsi="仿宋_GB2312" w:eastAsia="仿宋_GB2312" w:cs="仿宋_GB2312"/>
                <w:b w:val="0"/>
                <w:bCs w:val="0"/>
                <w:color w:val="auto"/>
                <w:sz w:val="32"/>
                <w:szCs w:val="32"/>
                <w:u w:val="single"/>
                <w:lang w:eastAsia="zh-CN"/>
              </w:rPr>
              <w:t xml:space="preserve"> </w:t>
            </w:r>
            <w:r>
              <w:rPr>
                <w:rFonts w:hint="eastAsia" w:ascii="仿宋_GB2312" w:hAnsi="仿宋_GB2312" w:eastAsia="仿宋_GB2312" w:cs="仿宋_GB2312"/>
                <w:b w:val="0"/>
                <w:bCs w:val="0"/>
                <w:color w:val="auto"/>
                <w:sz w:val="32"/>
                <w:szCs w:val="32"/>
                <w:lang w:eastAsia="zh-CN"/>
              </w:rPr>
              <w:t>月</w:t>
            </w:r>
            <w:r>
              <w:rPr>
                <w:rFonts w:hint="eastAsia" w:ascii="仿宋_GB2312" w:hAnsi="仿宋_GB2312" w:eastAsia="仿宋_GB2312" w:cs="仿宋_GB2312"/>
                <w:b w:val="0"/>
                <w:bCs w:val="0"/>
                <w:color w:val="auto"/>
                <w:sz w:val="32"/>
                <w:szCs w:val="32"/>
                <w:u w:val="single"/>
                <w:lang w:eastAsia="zh-CN"/>
              </w:rPr>
              <w:t xml:space="preserve"> </w:t>
            </w:r>
            <w:r>
              <w:rPr>
                <w:rFonts w:hint="eastAsia" w:ascii="仿宋_GB2312" w:hAnsi="仿宋_GB2312" w:eastAsia="仿宋_GB2312" w:cs="仿宋_GB2312"/>
                <w:b w:val="0"/>
                <w:bCs w:val="0"/>
                <w:color w:val="auto"/>
                <w:sz w:val="32"/>
                <w:szCs w:val="32"/>
                <w:u w:val="single"/>
                <w:lang w:val="en-US" w:eastAsia="zh-CN"/>
              </w:rPr>
              <w:t xml:space="preserve">30 </w:t>
            </w:r>
            <w:r>
              <w:rPr>
                <w:rFonts w:hint="eastAsia" w:ascii="仿宋_GB2312" w:hAnsi="仿宋_GB2312" w:eastAsia="仿宋_GB2312" w:cs="仿宋_GB2312"/>
                <w:b w:val="0"/>
                <w:bCs w:val="0"/>
                <w:color w:val="auto"/>
                <w:sz w:val="32"/>
                <w:szCs w:val="32"/>
                <w:lang w:eastAsia="zh-CN"/>
              </w:rPr>
              <w:t>日</w:t>
            </w:r>
            <w:r>
              <w:rPr>
                <w:rFonts w:hint="eastAsia" w:ascii="仿宋_GB2312" w:hAnsi="仿宋_GB2312" w:eastAsia="仿宋_GB2312" w:cs="仿宋_GB2312"/>
                <w:b w:val="0"/>
                <w:bCs w:val="0"/>
                <w:color w:val="auto"/>
                <w:sz w:val="32"/>
                <w:szCs w:val="32"/>
                <w:u w:val="single"/>
                <w:lang w:eastAsia="zh-CN"/>
              </w:rPr>
              <w:t xml:space="preserve"> </w:t>
            </w:r>
            <w:r>
              <w:rPr>
                <w:rFonts w:hint="eastAsia" w:ascii="仿宋_GB2312" w:hAnsi="仿宋_GB2312" w:eastAsia="仿宋_GB2312" w:cs="仿宋_GB2312"/>
                <w:b w:val="0"/>
                <w:bCs w:val="0"/>
                <w:color w:val="auto"/>
                <w:sz w:val="32"/>
                <w:szCs w:val="32"/>
                <w:u w:val="single"/>
                <w:lang w:val="en-US" w:eastAsia="zh-CN"/>
              </w:rPr>
              <w:t>09</w:t>
            </w:r>
            <w:r>
              <w:rPr>
                <w:rFonts w:hint="eastAsia" w:ascii="仿宋_GB2312" w:hAnsi="仿宋_GB2312" w:eastAsia="仿宋_GB2312" w:cs="仿宋_GB2312"/>
                <w:b w:val="0"/>
                <w:bCs w:val="0"/>
                <w:color w:val="auto"/>
                <w:sz w:val="32"/>
                <w:szCs w:val="32"/>
                <w:u w:val="single"/>
                <w:lang w:eastAsia="zh-CN"/>
              </w:rPr>
              <w:t xml:space="preserve"> </w:t>
            </w:r>
            <w:r>
              <w:rPr>
                <w:rFonts w:hint="eastAsia" w:ascii="仿宋_GB2312" w:hAnsi="仿宋_GB2312" w:eastAsia="仿宋_GB2312" w:cs="仿宋_GB2312"/>
                <w:b w:val="0"/>
                <w:bCs w:val="0"/>
                <w:color w:val="auto"/>
                <w:sz w:val="32"/>
                <w:szCs w:val="32"/>
                <w:lang w:eastAsia="zh-CN"/>
              </w:rPr>
              <w:t>时</w:t>
            </w:r>
            <w:r>
              <w:rPr>
                <w:rFonts w:hint="eastAsia" w:ascii="仿宋_GB2312" w:hAnsi="仿宋_GB2312" w:eastAsia="仿宋_GB2312" w:cs="仿宋_GB2312"/>
                <w:b w:val="0"/>
                <w:bCs w:val="0"/>
                <w:color w:val="auto"/>
                <w:sz w:val="32"/>
                <w:szCs w:val="32"/>
                <w:u w:val="single"/>
                <w:lang w:eastAsia="zh-CN"/>
              </w:rPr>
              <w:t xml:space="preserve"> </w:t>
            </w:r>
            <w:r>
              <w:rPr>
                <w:rFonts w:hint="eastAsia" w:ascii="仿宋_GB2312" w:hAnsi="仿宋_GB2312" w:eastAsia="仿宋_GB2312" w:cs="仿宋_GB2312"/>
                <w:b w:val="0"/>
                <w:bCs w:val="0"/>
                <w:color w:val="auto"/>
                <w:sz w:val="32"/>
                <w:szCs w:val="32"/>
                <w:u w:val="single"/>
                <w:lang w:val="en-US" w:eastAsia="zh-CN"/>
              </w:rPr>
              <w:t>00</w:t>
            </w:r>
            <w:r>
              <w:rPr>
                <w:rFonts w:hint="eastAsia" w:ascii="仿宋_GB2312" w:hAnsi="仿宋_GB2312" w:eastAsia="仿宋_GB2312" w:cs="仿宋_GB2312"/>
                <w:b w:val="0"/>
                <w:bCs w:val="0"/>
                <w:color w:val="auto"/>
                <w:sz w:val="32"/>
                <w:szCs w:val="32"/>
                <w:u w:val="single"/>
                <w:lang w:eastAsia="zh-CN"/>
              </w:rPr>
              <w:t xml:space="preserve"> </w:t>
            </w:r>
            <w:r>
              <w:rPr>
                <w:rFonts w:hint="eastAsia" w:ascii="仿宋_GB2312" w:hAnsi="仿宋_GB2312" w:eastAsia="仿宋_GB2312" w:cs="仿宋_GB2312"/>
                <w:b w:val="0"/>
                <w:bCs w:val="0"/>
                <w:color w:val="auto"/>
                <w:sz w:val="32"/>
                <w:szCs w:val="32"/>
                <w:lang w:eastAsia="zh-CN"/>
              </w:rPr>
              <w:t>分</w:t>
            </w:r>
            <w:r>
              <w:rPr>
                <w:rFonts w:hint="eastAsia" w:ascii="仿宋_GB2312" w:hAnsi="仿宋_GB2312" w:eastAsia="仿宋_GB2312" w:cs="仿宋_GB2312"/>
                <w:color w:val="auto"/>
                <w:kern w:val="0"/>
                <w:sz w:val="32"/>
                <w:szCs w:val="32"/>
                <w:lang w:val="zh-CN"/>
              </w:rPr>
              <w:t>（采用北京时间</w:t>
            </w:r>
            <w:r>
              <w:rPr>
                <w:rFonts w:hint="eastAsia" w:ascii="仿宋_GB2312" w:hAnsi="仿宋_GB2312" w:eastAsia="仿宋_GB2312" w:cs="仿宋_GB2312"/>
                <w:color w:val="auto"/>
                <w:kern w:val="0"/>
                <w:sz w:val="32"/>
                <w:szCs w:val="32"/>
                <w:lang w:val="en-US" w:eastAsia="zh-CN"/>
              </w:rPr>
              <w:t>24小时制</w:t>
            </w:r>
            <w:r>
              <w:rPr>
                <w:rFonts w:hint="eastAsia" w:ascii="仿宋_GB2312" w:hAnsi="仿宋_GB2312" w:eastAsia="仿宋_GB2312" w:cs="仿宋_GB2312"/>
                <w:color w:val="auto"/>
                <w:kern w:val="0"/>
                <w:sz w:val="32"/>
                <w:szCs w:val="32"/>
                <w:lang w:val="zh-CN"/>
              </w:rPr>
              <w:t>）</w:t>
            </w:r>
          </w:p>
        </w:tc>
      </w:tr>
      <w:tr w14:paraId="6FA8BF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6" w:hRule="atLeast"/>
          <w:jc w:val="center"/>
        </w:trPr>
        <w:tc>
          <w:tcPr>
            <w:tcW w:w="2269" w:type="dxa"/>
            <w:tcBorders>
              <w:tl2br w:val="nil"/>
              <w:tr2bl w:val="nil"/>
            </w:tcBorders>
            <w:vAlign w:val="center"/>
          </w:tcPr>
          <w:p w14:paraId="75E0B791">
            <w:pPr>
              <w:wordWrap/>
              <w:adjustRightInd w:val="0"/>
              <w:snapToGrid w:val="0"/>
              <w:spacing w:before="157" w:beforeLines="50" w:line="56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开启时间及</w:t>
            </w:r>
          </w:p>
          <w:p w14:paraId="02570BC7">
            <w:pPr>
              <w:wordWrap/>
              <w:adjustRightInd w:val="0"/>
              <w:snapToGrid w:val="0"/>
              <w:spacing w:before="157" w:beforeLines="50" w:line="56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谈判地点</w:t>
            </w:r>
          </w:p>
        </w:tc>
        <w:tc>
          <w:tcPr>
            <w:tcW w:w="7699" w:type="dxa"/>
            <w:tcBorders>
              <w:tl2br w:val="nil"/>
              <w:tr2bl w:val="nil"/>
            </w:tcBorders>
            <w:vAlign w:val="center"/>
          </w:tcPr>
          <w:p w14:paraId="6DA124B8">
            <w:pPr>
              <w:widowControl w:val="0"/>
              <w:numPr>
                <w:ilvl w:val="0"/>
                <w:numId w:val="3"/>
              </w:numPr>
              <w:wordWrap/>
              <w:adjustRightInd w:val="0"/>
              <w:snapToGrid w:val="0"/>
              <w:spacing w:line="560" w:lineRule="exac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响应文件开启时间：</w:t>
            </w:r>
            <w:r>
              <w:rPr>
                <w:rFonts w:hint="eastAsia" w:ascii="仿宋_GB2312" w:hAnsi="仿宋_GB2312" w:eastAsia="仿宋_GB2312" w:cs="仿宋_GB2312"/>
                <w:b w:val="0"/>
                <w:bCs w:val="0"/>
                <w:color w:val="auto"/>
                <w:sz w:val="32"/>
                <w:szCs w:val="32"/>
                <w:u w:val="single"/>
                <w:lang w:val="en-US" w:eastAsia="zh-CN"/>
              </w:rPr>
              <w:t>2026</w:t>
            </w:r>
            <w:r>
              <w:rPr>
                <w:rFonts w:hint="eastAsia" w:ascii="仿宋_GB2312" w:hAnsi="仿宋_GB2312" w:eastAsia="仿宋_GB2312" w:cs="仿宋_GB2312"/>
                <w:b w:val="0"/>
                <w:bCs w:val="0"/>
                <w:color w:val="auto"/>
                <w:sz w:val="32"/>
                <w:szCs w:val="32"/>
                <w:lang w:eastAsia="zh-CN"/>
              </w:rPr>
              <w:t>年</w:t>
            </w:r>
            <w:r>
              <w:rPr>
                <w:rFonts w:hint="eastAsia" w:ascii="仿宋_GB2312" w:hAnsi="仿宋_GB2312" w:eastAsia="仿宋_GB2312" w:cs="仿宋_GB2312"/>
                <w:b w:val="0"/>
                <w:bCs w:val="0"/>
                <w:color w:val="auto"/>
                <w:sz w:val="32"/>
                <w:szCs w:val="32"/>
                <w:u w:val="single"/>
                <w:lang w:eastAsia="zh-CN"/>
              </w:rPr>
              <w:t xml:space="preserve"> </w:t>
            </w:r>
            <w:r>
              <w:rPr>
                <w:rFonts w:hint="eastAsia" w:ascii="仿宋_GB2312" w:hAnsi="仿宋_GB2312" w:eastAsia="仿宋_GB2312" w:cs="仿宋_GB2312"/>
                <w:b w:val="0"/>
                <w:bCs w:val="0"/>
                <w:color w:val="auto"/>
                <w:sz w:val="32"/>
                <w:szCs w:val="32"/>
                <w:u w:val="single"/>
                <w:lang w:val="en-US" w:eastAsia="zh-CN"/>
              </w:rPr>
              <w:t>04</w:t>
            </w:r>
            <w:r>
              <w:rPr>
                <w:rFonts w:hint="eastAsia" w:ascii="仿宋_GB2312" w:hAnsi="仿宋_GB2312" w:eastAsia="仿宋_GB2312" w:cs="仿宋_GB2312"/>
                <w:b w:val="0"/>
                <w:bCs w:val="0"/>
                <w:color w:val="auto"/>
                <w:sz w:val="32"/>
                <w:szCs w:val="32"/>
                <w:u w:val="single"/>
                <w:lang w:eastAsia="zh-CN"/>
              </w:rPr>
              <w:t xml:space="preserve"> </w:t>
            </w:r>
            <w:r>
              <w:rPr>
                <w:rFonts w:hint="eastAsia" w:ascii="仿宋_GB2312" w:hAnsi="仿宋_GB2312" w:eastAsia="仿宋_GB2312" w:cs="仿宋_GB2312"/>
                <w:b w:val="0"/>
                <w:bCs w:val="0"/>
                <w:color w:val="auto"/>
                <w:sz w:val="32"/>
                <w:szCs w:val="32"/>
                <w:lang w:eastAsia="zh-CN"/>
              </w:rPr>
              <w:t>月</w:t>
            </w:r>
            <w:r>
              <w:rPr>
                <w:rFonts w:hint="eastAsia" w:ascii="仿宋_GB2312" w:hAnsi="仿宋_GB2312" w:eastAsia="仿宋_GB2312" w:cs="仿宋_GB2312"/>
                <w:b w:val="0"/>
                <w:bCs w:val="0"/>
                <w:color w:val="auto"/>
                <w:sz w:val="32"/>
                <w:szCs w:val="32"/>
                <w:u w:val="single"/>
                <w:lang w:eastAsia="zh-CN"/>
              </w:rPr>
              <w:t xml:space="preserve"> </w:t>
            </w:r>
            <w:r>
              <w:rPr>
                <w:rFonts w:hint="eastAsia" w:ascii="仿宋_GB2312" w:hAnsi="仿宋_GB2312" w:eastAsia="仿宋_GB2312" w:cs="仿宋_GB2312"/>
                <w:b w:val="0"/>
                <w:bCs w:val="0"/>
                <w:color w:val="auto"/>
                <w:sz w:val="32"/>
                <w:szCs w:val="32"/>
                <w:u w:val="single"/>
                <w:lang w:val="en-US" w:eastAsia="zh-CN"/>
              </w:rPr>
              <w:t xml:space="preserve">30 </w:t>
            </w:r>
            <w:r>
              <w:rPr>
                <w:rFonts w:hint="eastAsia" w:ascii="仿宋_GB2312" w:hAnsi="仿宋_GB2312" w:eastAsia="仿宋_GB2312" w:cs="仿宋_GB2312"/>
                <w:b w:val="0"/>
                <w:bCs w:val="0"/>
                <w:color w:val="auto"/>
                <w:sz w:val="32"/>
                <w:szCs w:val="32"/>
                <w:lang w:eastAsia="zh-CN"/>
              </w:rPr>
              <w:t>日</w:t>
            </w:r>
            <w:r>
              <w:rPr>
                <w:rFonts w:hint="eastAsia" w:ascii="仿宋_GB2312" w:hAnsi="仿宋_GB2312" w:eastAsia="仿宋_GB2312" w:cs="仿宋_GB2312"/>
                <w:b w:val="0"/>
                <w:bCs w:val="0"/>
                <w:color w:val="auto"/>
                <w:sz w:val="32"/>
                <w:szCs w:val="32"/>
                <w:u w:val="single"/>
                <w:lang w:eastAsia="zh-CN"/>
              </w:rPr>
              <w:t xml:space="preserve"> </w:t>
            </w:r>
            <w:r>
              <w:rPr>
                <w:rFonts w:hint="eastAsia" w:ascii="仿宋_GB2312" w:hAnsi="仿宋_GB2312" w:eastAsia="仿宋_GB2312" w:cs="仿宋_GB2312"/>
                <w:b w:val="0"/>
                <w:bCs w:val="0"/>
                <w:color w:val="auto"/>
                <w:sz w:val="32"/>
                <w:szCs w:val="32"/>
                <w:u w:val="single"/>
                <w:lang w:val="en-US" w:eastAsia="zh-CN"/>
              </w:rPr>
              <w:t>09</w:t>
            </w:r>
            <w:r>
              <w:rPr>
                <w:rFonts w:hint="eastAsia" w:ascii="仿宋_GB2312" w:hAnsi="仿宋_GB2312" w:eastAsia="仿宋_GB2312" w:cs="仿宋_GB2312"/>
                <w:b w:val="0"/>
                <w:bCs w:val="0"/>
                <w:color w:val="auto"/>
                <w:sz w:val="32"/>
                <w:szCs w:val="32"/>
                <w:u w:val="single"/>
                <w:lang w:eastAsia="zh-CN"/>
              </w:rPr>
              <w:t xml:space="preserve"> </w:t>
            </w:r>
            <w:r>
              <w:rPr>
                <w:rFonts w:hint="eastAsia" w:ascii="仿宋_GB2312" w:hAnsi="仿宋_GB2312" w:eastAsia="仿宋_GB2312" w:cs="仿宋_GB2312"/>
                <w:b w:val="0"/>
                <w:bCs w:val="0"/>
                <w:color w:val="auto"/>
                <w:sz w:val="32"/>
                <w:szCs w:val="32"/>
                <w:lang w:eastAsia="zh-CN"/>
              </w:rPr>
              <w:t>时</w:t>
            </w:r>
            <w:r>
              <w:rPr>
                <w:rFonts w:hint="eastAsia" w:ascii="仿宋_GB2312" w:hAnsi="仿宋_GB2312" w:eastAsia="仿宋_GB2312" w:cs="仿宋_GB2312"/>
                <w:b w:val="0"/>
                <w:bCs w:val="0"/>
                <w:color w:val="auto"/>
                <w:sz w:val="32"/>
                <w:szCs w:val="32"/>
                <w:u w:val="single"/>
                <w:lang w:eastAsia="zh-CN"/>
              </w:rPr>
              <w:t xml:space="preserve">   </w:t>
            </w:r>
            <w:r>
              <w:rPr>
                <w:rFonts w:hint="eastAsia" w:ascii="仿宋_GB2312" w:hAnsi="仿宋_GB2312" w:eastAsia="仿宋_GB2312" w:cs="仿宋_GB2312"/>
                <w:b w:val="0"/>
                <w:bCs w:val="0"/>
                <w:color w:val="auto"/>
                <w:sz w:val="32"/>
                <w:szCs w:val="32"/>
                <w:u w:val="single"/>
                <w:lang w:val="en-US" w:eastAsia="zh-CN"/>
              </w:rPr>
              <w:t>00</w:t>
            </w:r>
            <w:r>
              <w:rPr>
                <w:rFonts w:hint="eastAsia" w:ascii="仿宋_GB2312" w:hAnsi="仿宋_GB2312" w:eastAsia="仿宋_GB2312" w:cs="仿宋_GB2312"/>
                <w:b w:val="0"/>
                <w:bCs w:val="0"/>
                <w:color w:val="auto"/>
                <w:sz w:val="32"/>
                <w:szCs w:val="32"/>
                <w:lang w:eastAsia="zh-CN"/>
              </w:rPr>
              <w:t>分（采用北京时间</w:t>
            </w:r>
            <w:r>
              <w:rPr>
                <w:rFonts w:hint="eastAsia" w:ascii="仿宋_GB2312" w:hAnsi="仿宋_GB2312" w:eastAsia="仿宋_GB2312" w:cs="仿宋_GB2312"/>
                <w:b w:val="0"/>
                <w:bCs w:val="0"/>
                <w:color w:val="auto"/>
                <w:sz w:val="32"/>
                <w:szCs w:val="32"/>
                <w:lang w:val="en-US" w:eastAsia="zh-CN"/>
              </w:rPr>
              <w:t>24小时制</w:t>
            </w:r>
            <w:r>
              <w:rPr>
                <w:rFonts w:hint="eastAsia" w:ascii="仿宋_GB2312" w:hAnsi="仿宋_GB2312" w:eastAsia="仿宋_GB2312" w:cs="仿宋_GB2312"/>
                <w:b w:val="0"/>
                <w:bCs w:val="0"/>
                <w:color w:val="auto"/>
                <w:sz w:val="32"/>
                <w:szCs w:val="32"/>
                <w:lang w:eastAsia="zh-CN"/>
              </w:rPr>
              <w:t>）</w:t>
            </w:r>
          </w:p>
          <w:p w14:paraId="0DF9625D">
            <w:pPr>
              <w:widowControl w:val="0"/>
              <w:numPr>
                <w:ilvl w:val="0"/>
                <w:numId w:val="3"/>
              </w:numPr>
              <w:wordWrap/>
              <w:adjustRightInd w:val="0"/>
              <w:snapToGrid w:val="0"/>
              <w:spacing w:line="560" w:lineRule="exact"/>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 xml:space="preserve">谈判地点：政采云平台（https://www.zcygov.cn/）        </w:t>
            </w:r>
          </w:p>
        </w:tc>
      </w:tr>
      <w:tr w14:paraId="65882C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6" w:hRule="atLeast"/>
          <w:jc w:val="center"/>
        </w:trPr>
        <w:tc>
          <w:tcPr>
            <w:tcW w:w="2269" w:type="dxa"/>
            <w:tcBorders>
              <w:tl2br w:val="nil"/>
              <w:tr2bl w:val="nil"/>
            </w:tcBorders>
            <w:vAlign w:val="center"/>
          </w:tcPr>
          <w:p w14:paraId="76213A43">
            <w:pPr>
              <w:wordWrap/>
              <w:adjustRightInd w:val="0"/>
              <w:snapToGrid w:val="0"/>
              <w:spacing w:before="157" w:beforeLines="50" w:line="56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答疑澄清</w:t>
            </w:r>
          </w:p>
        </w:tc>
        <w:tc>
          <w:tcPr>
            <w:tcW w:w="7699" w:type="dxa"/>
            <w:tcBorders>
              <w:tl2br w:val="nil"/>
              <w:tr2bl w:val="nil"/>
            </w:tcBorders>
            <w:vAlign w:val="center"/>
          </w:tcPr>
          <w:p w14:paraId="6D26F6D7">
            <w:pPr>
              <w:wordWrap/>
              <w:adjustRightInd w:val="0"/>
              <w:snapToGrid w:val="0"/>
              <w:spacing w:before="157" w:beforeLines="50" w:line="56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谈判小组根据谈判情况确定答疑澄清时间，答疑或澄清在政采云平台进行，供应商可在政采云平台上的“澄清”界面了解答疑澄清等信息。供应商须提供准确的联系方式（手机和固定电话），在项目评审时须在线了解响应文件开启信息，掌握答疑时间，需由法定代表人或委托代理人对谈判商小组提出的质疑做出应答。如在规定的时间内联系无果，无法进行电话或政采云平台上答疑者，视同放弃答疑。</w:t>
            </w:r>
          </w:p>
        </w:tc>
      </w:tr>
      <w:tr w14:paraId="55D5A4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5" w:hRule="atLeast"/>
          <w:jc w:val="center"/>
        </w:trPr>
        <w:tc>
          <w:tcPr>
            <w:tcW w:w="2269" w:type="dxa"/>
            <w:tcBorders>
              <w:tl2br w:val="nil"/>
              <w:tr2bl w:val="nil"/>
            </w:tcBorders>
            <w:vAlign w:val="top"/>
          </w:tcPr>
          <w:p w14:paraId="44994F59">
            <w:pPr>
              <w:wordWrap/>
              <w:spacing w:before="157" w:beforeLines="50" w:line="560" w:lineRule="exact"/>
              <w:jc w:val="both"/>
              <w:rPr>
                <w:rFonts w:hint="eastAsia" w:ascii="仿宋_GB2312" w:hAnsi="仿宋_GB2312" w:eastAsia="仿宋_GB2312" w:cs="仿宋_GB2312"/>
                <w:color w:val="auto"/>
                <w:sz w:val="32"/>
                <w:szCs w:val="32"/>
                <w:lang w:eastAsia="zh-CN"/>
              </w:rPr>
            </w:pPr>
          </w:p>
          <w:p w14:paraId="5F5C8751">
            <w:pPr>
              <w:wordWrap/>
              <w:spacing w:before="157" w:beforeLines="50" w:line="56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政策功能</w:t>
            </w:r>
          </w:p>
        </w:tc>
        <w:tc>
          <w:tcPr>
            <w:tcW w:w="7699" w:type="dxa"/>
            <w:tcBorders>
              <w:tl2br w:val="nil"/>
              <w:tr2bl w:val="nil"/>
            </w:tcBorders>
            <w:vAlign w:val="center"/>
          </w:tcPr>
          <w:p w14:paraId="5FDADB34">
            <w:pPr>
              <w:widowControl w:val="0"/>
              <w:wordWrap/>
              <w:adjustRightInd w:val="0"/>
              <w:snapToGrid w:val="0"/>
              <w:spacing w:line="560" w:lineRule="exac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对于提供节能、环保标志产品，采购人及其委托的采购代理机构应当依据国家确定的认证机构出具的、处于有效期之内的节能产品、环境标志产品认证证书，对获得证书的产品实施政府优先采购或强制采购。</w:t>
            </w:r>
          </w:p>
          <w:p w14:paraId="6BA429ED">
            <w:pPr>
              <w:widowControl w:val="0"/>
              <w:wordWrap/>
              <w:adjustRightInd w:val="0"/>
              <w:snapToGrid w:val="0"/>
              <w:spacing w:line="560" w:lineRule="exac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对属于小型、微型企业，监狱企业，残疾人福利性单位的供应商，按照国家相关规定给予</w:t>
            </w:r>
            <w:r>
              <w:rPr>
                <w:rFonts w:hint="eastAsia" w:ascii="仿宋_GB2312" w:hAnsi="仿宋_GB2312" w:eastAsia="仿宋_GB2312" w:cs="仿宋_GB2312"/>
                <w:color w:val="auto"/>
                <w:sz w:val="32"/>
                <w:szCs w:val="32"/>
                <w:u w:val="single"/>
                <w:lang w:val="en-US" w:eastAsia="zh-CN"/>
              </w:rPr>
              <w:t xml:space="preserve"> 10 </w:t>
            </w:r>
            <w:r>
              <w:rPr>
                <w:rFonts w:hint="eastAsia" w:ascii="仿宋_GB2312" w:hAnsi="仿宋_GB2312" w:eastAsia="仿宋_GB2312" w:cs="仿宋_GB2312"/>
                <w:color w:val="auto"/>
                <w:sz w:val="32"/>
                <w:szCs w:val="32"/>
                <w:u w:val="none"/>
                <w:lang w:val="en-US" w:eastAsia="zh-CN"/>
              </w:rPr>
              <w:t>%的价格扣除。（注：此项目全部面向中小企业采购，不再执行价格扣除优惠政策。）</w:t>
            </w:r>
          </w:p>
          <w:p w14:paraId="58CCBDF5">
            <w:pPr>
              <w:widowControl w:val="0"/>
              <w:wordWrap/>
              <w:adjustRightInd w:val="0"/>
              <w:snapToGrid w:val="0"/>
              <w:spacing w:line="560" w:lineRule="exac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对符合《国务院办公厅关于在政府采购中实施本国产品标准及相关政策的通知》国办发(2025)34号规定的本国产品的报价给予20%的扣除，用扣除后的价格计算投标报价得分，须提供《关于符合本国产品标准的声明函》或财政部会同有关部门规定的有关证明文件。</w:t>
            </w:r>
          </w:p>
        </w:tc>
      </w:tr>
      <w:tr w14:paraId="591DCB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69" w:type="dxa"/>
            <w:tcBorders>
              <w:tl2br w:val="nil"/>
              <w:tr2bl w:val="nil"/>
            </w:tcBorders>
            <w:vAlign w:val="center"/>
          </w:tcPr>
          <w:p w14:paraId="6473DE32">
            <w:pPr>
              <w:wordWrap/>
              <w:adjustRightInd w:val="0"/>
              <w:snapToGrid w:val="0"/>
              <w:spacing w:before="157" w:beforeLines="50"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代理服务费</w:t>
            </w:r>
          </w:p>
        </w:tc>
        <w:tc>
          <w:tcPr>
            <w:tcW w:w="7699" w:type="dxa"/>
            <w:tcBorders>
              <w:tl2br w:val="nil"/>
              <w:tr2bl w:val="nil"/>
            </w:tcBorders>
            <w:vAlign w:val="center"/>
          </w:tcPr>
          <w:p w14:paraId="007179D5">
            <w:pPr>
              <w:widowControl w:val="0"/>
              <w:wordWrap/>
              <w:adjustRightInd w:val="0"/>
              <w:snapToGrid w:val="0"/>
              <w:spacing w:line="560" w:lineRule="exact"/>
              <w:textAlignment w:val="auto"/>
              <w:rPr>
                <w:rFonts w:hint="eastAsia" w:ascii="仿宋_GB2312" w:hAnsi="仿宋_GB2312" w:eastAsia="仿宋_GB2312" w:cs="仿宋_GB2312"/>
                <w:color w:val="auto"/>
                <w:kern w:val="0"/>
                <w:sz w:val="32"/>
                <w:szCs w:val="32"/>
                <w:u w:val="single"/>
                <w:shd w:val="clear"/>
                <w:lang w:val="zh-CN"/>
              </w:rPr>
            </w:pPr>
            <w:r>
              <w:rPr>
                <w:rFonts w:hint="eastAsia" w:ascii="仿宋_GB2312" w:hAnsi="仿宋_GB2312" w:eastAsia="仿宋_GB2312" w:cs="仿宋_GB2312"/>
                <w:color w:val="auto"/>
                <w:kern w:val="0"/>
                <w:sz w:val="32"/>
                <w:szCs w:val="32"/>
                <w:lang w:val="zh-CN"/>
              </w:rPr>
              <w:t>收取对象：</w:t>
            </w:r>
            <w:r>
              <w:rPr>
                <w:rFonts w:hint="eastAsia" w:ascii="仿宋_GB2312" w:hAnsi="仿宋_GB2312" w:eastAsia="仿宋_GB2312" w:cs="仿宋_GB2312"/>
                <w:color w:val="auto"/>
                <w:kern w:val="0"/>
                <w:sz w:val="32"/>
                <w:szCs w:val="32"/>
                <w:u w:val="single"/>
                <w:shd w:val="clear"/>
                <w:lang w:val="zh-CN"/>
              </w:rPr>
              <w:t>成交供应商</w:t>
            </w:r>
          </w:p>
          <w:p w14:paraId="2BD0E078">
            <w:pPr>
              <w:widowControl w:val="0"/>
              <w:wordWrap/>
              <w:adjustRightInd w:val="0"/>
              <w:snapToGrid w:val="0"/>
              <w:spacing w:line="560" w:lineRule="exact"/>
              <w:textAlignment w:val="auto"/>
              <w:rPr>
                <w:rFonts w:hint="eastAsia" w:ascii="仿宋_GB2312" w:hAnsi="仿宋_GB2312" w:eastAsia="仿宋_GB2312" w:cs="仿宋_GB2312"/>
                <w:color w:val="auto"/>
                <w:kern w:val="0"/>
                <w:sz w:val="32"/>
                <w:szCs w:val="32"/>
                <w:u w:val="none"/>
                <w:lang w:val="zh-CN" w:eastAsia="zh-CN"/>
              </w:rPr>
            </w:pPr>
            <w:r>
              <w:rPr>
                <w:rFonts w:hint="eastAsia" w:ascii="仿宋_GB2312" w:hAnsi="仿宋_GB2312" w:eastAsia="仿宋_GB2312" w:cs="仿宋_GB2312"/>
                <w:color w:val="auto"/>
                <w:kern w:val="0"/>
                <w:sz w:val="32"/>
                <w:szCs w:val="32"/>
                <w:u w:val="none"/>
                <w:lang w:val="zh-CN"/>
              </w:rPr>
              <w:t>（1）根据国家发改委《关于进一步放开建设项目专业服务价格的通知》（发改价格[2015]299号）规定</w:t>
            </w:r>
            <w:r>
              <w:rPr>
                <w:rFonts w:hint="eastAsia" w:ascii="仿宋_GB2312" w:hAnsi="仿宋_GB2312" w:eastAsia="仿宋_GB2312" w:cs="仿宋_GB2312"/>
                <w:color w:val="auto"/>
                <w:kern w:val="0"/>
                <w:sz w:val="32"/>
                <w:szCs w:val="32"/>
                <w:u w:val="none"/>
                <w:lang w:val="zh-CN" w:eastAsia="zh-CN"/>
              </w:rPr>
              <w:t>支付。</w:t>
            </w:r>
          </w:p>
          <w:p w14:paraId="4060E279">
            <w:pPr>
              <w:widowControl w:val="0"/>
              <w:wordWrap/>
              <w:adjustRightInd w:val="0"/>
              <w:snapToGrid w:val="0"/>
              <w:spacing w:line="560" w:lineRule="exact"/>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kern w:val="0"/>
                <w:sz w:val="32"/>
                <w:szCs w:val="32"/>
                <w:u w:val="none"/>
                <w:lang w:val="zh-CN"/>
              </w:rPr>
              <w:t>（2）本项目招标代理费由成交供应商在成交通知书发出之前一次性向招标代理机构支付。</w:t>
            </w:r>
          </w:p>
        </w:tc>
      </w:tr>
      <w:tr w14:paraId="48E10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5" w:hRule="atLeast"/>
          <w:jc w:val="center"/>
        </w:trPr>
        <w:tc>
          <w:tcPr>
            <w:tcW w:w="2269" w:type="dxa"/>
            <w:tcBorders>
              <w:tl2br w:val="nil"/>
              <w:tr2bl w:val="nil"/>
            </w:tcBorders>
            <w:vAlign w:val="center"/>
          </w:tcPr>
          <w:p w14:paraId="4753DB25">
            <w:pPr>
              <w:wordWrap/>
              <w:adjustRightInd w:val="0"/>
              <w:snapToGrid w:val="0"/>
              <w:spacing w:before="157" w:beforeLines="50" w:line="56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其他</w:t>
            </w:r>
            <w:r>
              <w:rPr>
                <w:rFonts w:hint="eastAsia" w:ascii="仿宋_GB2312" w:hAnsi="仿宋_GB2312" w:eastAsia="仿宋_GB2312" w:cs="仿宋_GB2312"/>
                <w:color w:val="auto"/>
                <w:sz w:val="32"/>
                <w:szCs w:val="32"/>
                <w:lang w:val="en-US" w:eastAsia="zh-CN"/>
              </w:rPr>
              <w:t>事项</w:t>
            </w:r>
          </w:p>
        </w:tc>
        <w:tc>
          <w:tcPr>
            <w:tcW w:w="7699" w:type="dxa"/>
            <w:tcBorders>
              <w:tl2br w:val="nil"/>
              <w:tr2bl w:val="nil"/>
            </w:tcBorders>
            <w:vAlign w:val="center"/>
          </w:tcPr>
          <w:p w14:paraId="356E83A3">
            <w:pPr>
              <w:widowControl w:val="0"/>
              <w:wordWrap/>
              <w:adjustRightInd w:val="0"/>
              <w:snapToGrid w:val="0"/>
              <w:spacing w:line="560" w:lineRule="exact"/>
              <w:textAlignment w:val="auto"/>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1、本公告在《青海政府采购网》上发布；</w:t>
            </w:r>
          </w:p>
          <w:p w14:paraId="451E2F3C">
            <w:pPr>
              <w:widowControl w:val="0"/>
              <w:wordWrap/>
              <w:adjustRightInd w:val="0"/>
              <w:snapToGrid w:val="0"/>
              <w:spacing w:line="560" w:lineRule="exact"/>
              <w:textAlignment w:val="auto"/>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2、本次采购采用线上提交响应文件的方式进行采购，线上电子版响应文件须在响应文件递交截止时间前上传政采云平台；</w:t>
            </w:r>
          </w:p>
          <w:p w14:paraId="2CE6D1E2">
            <w:pPr>
              <w:widowControl w:val="0"/>
              <w:wordWrap/>
              <w:adjustRightInd w:val="0"/>
              <w:snapToGrid w:val="0"/>
              <w:spacing w:line="560" w:lineRule="exact"/>
              <w:textAlignment w:val="auto"/>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3、若对项目采购电子交易系统操作有疑问，可登录政采云（https://www.zcygov.cn/），点击右侧咨询小采，获取采小蜜智能服务管家帮助，或拨打政采云服务热线</w:t>
            </w:r>
            <w:r>
              <w:rPr>
                <w:rFonts w:hint="eastAsia" w:ascii="仿宋_GB2312" w:hAnsi="仿宋_GB2312" w:eastAsia="仿宋_GB2312" w:cs="仿宋_GB2312"/>
                <w:color w:val="auto"/>
                <w:sz w:val="32"/>
                <w:szCs w:val="32"/>
                <w:u w:val="none"/>
                <w:lang w:val="en-US" w:eastAsia="zh-CN"/>
              </w:rPr>
              <w:t>95763</w:t>
            </w:r>
            <w:r>
              <w:rPr>
                <w:rFonts w:hint="default" w:ascii="仿宋_GB2312" w:hAnsi="仿宋_GB2312" w:eastAsia="仿宋_GB2312" w:cs="仿宋_GB2312"/>
                <w:color w:val="auto"/>
                <w:sz w:val="32"/>
                <w:szCs w:val="32"/>
                <w:u w:val="none"/>
                <w:lang w:val="en-US" w:eastAsia="zh-CN"/>
              </w:rPr>
              <w:t>获取热线服务帮助。 CA问题联系电话（人工）；400-087-8198。</w:t>
            </w:r>
          </w:p>
          <w:p w14:paraId="15FC870A">
            <w:pPr>
              <w:widowControl w:val="0"/>
              <w:wordWrap/>
              <w:adjustRightInd w:val="0"/>
              <w:snapToGrid w:val="0"/>
              <w:spacing w:line="560" w:lineRule="exact"/>
              <w:textAlignment w:val="auto"/>
              <w:rPr>
                <w:rFonts w:hint="default"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u w:val="none"/>
                <w:lang w:val="en-US" w:eastAsia="zh-CN"/>
              </w:rPr>
              <w:t>4、供应商解密和</w:t>
            </w:r>
            <w:r>
              <w:rPr>
                <w:rFonts w:hint="eastAsia" w:ascii="仿宋_GB2312" w:hAnsi="仿宋_GB2312" w:eastAsia="仿宋_GB2312" w:cs="仿宋_GB2312"/>
                <w:color w:val="auto"/>
                <w:sz w:val="32"/>
                <w:szCs w:val="32"/>
                <w:u w:val="none"/>
                <w:lang w:val="en-US" w:eastAsia="zh-CN"/>
              </w:rPr>
              <w:t>谈判</w:t>
            </w:r>
            <w:r>
              <w:rPr>
                <w:rFonts w:hint="default" w:ascii="仿宋_GB2312" w:hAnsi="仿宋_GB2312" w:eastAsia="仿宋_GB2312" w:cs="仿宋_GB2312"/>
                <w:color w:val="auto"/>
                <w:sz w:val="32"/>
                <w:szCs w:val="32"/>
                <w:u w:val="none"/>
                <w:lang w:val="en-US" w:eastAsia="zh-CN"/>
              </w:rPr>
              <w:t>报价时必须由e签宝注册人办理，在固定电脑设备前登陆等待解密和</w:t>
            </w:r>
            <w:r>
              <w:rPr>
                <w:rFonts w:hint="eastAsia" w:ascii="仿宋_GB2312" w:hAnsi="仿宋_GB2312" w:eastAsia="仿宋_GB2312" w:cs="仿宋_GB2312"/>
                <w:color w:val="auto"/>
                <w:sz w:val="32"/>
                <w:szCs w:val="32"/>
                <w:u w:val="none"/>
                <w:lang w:val="en-US" w:eastAsia="zh-CN"/>
              </w:rPr>
              <w:t>谈判</w:t>
            </w:r>
            <w:r>
              <w:rPr>
                <w:rFonts w:hint="default" w:ascii="仿宋_GB2312" w:hAnsi="仿宋_GB2312" w:eastAsia="仿宋_GB2312" w:cs="仿宋_GB2312"/>
                <w:color w:val="auto"/>
                <w:sz w:val="32"/>
                <w:szCs w:val="32"/>
                <w:u w:val="none"/>
                <w:lang w:val="en-US" w:eastAsia="zh-CN"/>
              </w:rPr>
              <w:t>最终报价。</w:t>
            </w:r>
          </w:p>
        </w:tc>
      </w:tr>
      <w:tr w14:paraId="227E10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69" w:type="dxa"/>
            <w:tcBorders>
              <w:tl2br w:val="nil"/>
              <w:tr2bl w:val="nil"/>
            </w:tcBorders>
            <w:vAlign w:val="center"/>
          </w:tcPr>
          <w:p w14:paraId="594230E3">
            <w:pPr>
              <w:wordWrap/>
              <w:adjustRightInd w:val="0"/>
              <w:snapToGrid w:val="0"/>
              <w:spacing w:before="157" w:beforeLines="50"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财政监管部门及电话</w:t>
            </w:r>
          </w:p>
        </w:tc>
        <w:tc>
          <w:tcPr>
            <w:tcW w:w="7699" w:type="dxa"/>
            <w:tcBorders>
              <w:tl2br w:val="nil"/>
              <w:tr2bl w:val="nil"/>
            </w:tcBorders>
            <w:vAlign w:val="center"/>
          </w:tcPr>
          <w:p w14:paraId="5E5FA2E5">
            <w:pPr>
              <w:widowControl w:val="0"/>
              <w:wordWrap/>
              <w:adjustRightInd w:val="0"/>
              <w:snapToGrid w:val="0"/>
              <w:spacing w:line="560" w:lineRule="exac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监督单位：同德县财政局 </w:t>
            </w:r>
          </w:p>
          <w:p w14:paraId="56D185A6">
            <w:pPr>
              <w:widowControl w:val="0"/>
              <w:wordWrap/>
              <w:adjustRightInd w:val="0"/>
              <w:snapToGrid w:val="0"/>
              <w:spacing w:line="560" w:lineRule="exact"/>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联系电话：0974-8592088</w:t>
            </w:r>
          </w:p>
        </w:tc>
      </w:tr>
    </w:tbl>
    <w:p w14:paraId="477F8AF1">
      <w:pPr>
        <w:rPr>
          <w:rFonts w:hint="eastAsia" w:ascii="华文中宋" w:hAnsi="华文中宋" w:eastAsia="华文中宋" w:cs="华文中宋"/>
          <w:b w:val="0"/>
          <w:bCs w:val="0"/>
          <w:color w:val="auto"/>
          <w:sz w:val="44"/>
          <w:szCs w:val="44"/>
          <w:lang w:val="en-US" w:eastAsia="zh-CN"/>
        </w:rPr>
      </w:pPr>
      <w:bookmarkStart w:id="2" w:name="_Toc68"/>
      <w:bookmarkStart w:id="3" w:name="_Toc19849"/>
      <w:bookmarkStart w:id="4" w:name="_Toc26774_WPSOffice_Level1"/>
      <w:bookmarkStart w:id="5" w:name="_Toc25918_WPSOffice_Level1"/>
      <w:bookmarkStart w:id="6" w:name="_Toc17554"/>
      <w:bookmarkStart w:id="7" w:name="_Toc7063_WPSOffice_Level1"/>
      <w:bookmarkStart w:id="8" w:name="_Toc29348_WPSOffice_Level1"/>
      <w:bookmarkStart w:id="9" w:name="_Toc29806_WPSOffice_Level1"/>
      <w:bookmarkStart w:id="10" w:name="_Toc13430_WPSOffice_Level1"/>
      <w:r>
        <w:rPr>
          <w:rFonts w:hint="eastAsia" w:ascii="华文中宋" w:hAnsi="华文中宋" w:eastAsia="华文中宋" w:cs="华文中宋"/>
          <w:b w:val="0"/>
          <w:bCs w:val="0"/>
          <w:color w:val="auto"/>
          <w:sz w:val="44"/>
          <w:szCs w:val="44"/>
          <w:lang w:val="en-US" w:eastAsia="zh-CN"/>
        </w:rPr>
        <w:br w:type="page"/>
      </w:r>
    </w:p>
    <w:p w14:paraId="3B9BB99E">
      <w:pPr>
        <w:pStyle w:val="2"/>
        <w:numPr>
          <w:ilvl w:val="0"/>
          <w:numId w:val="0"/>
        </w:numPr>
        <w:wordWrap/>
        <w:adjustRightInd w:val="0"/>
        <w:snapToGrid w:val="0"/>
        <w:spacing w:before="157" w:beforeLines="50" w:line="560" w:lineRule="exact"/>
        <w:jc w:val="center"/>
        <w:outlineLvl w:val="0"/>
        <w:rPr>
          <w:rFonts w:hint="eastAsia" w:ascii="华文中宋" w:hAnsi="华文中宋" w:eastAsia="华文中宋" w:cs="华文中宋"/>
          <w:b w:val="0"/>
          <w:bCs w:val="0"/>
          <w:color w:val="auto"/>
          <w:sz w:val="32"/>
          <w:szCs w:val="32"/>
          <w:lang w:val="en-US" w:eastAsia="zh-CN"/>
        </w:rPr>
      </w:pPr>
      <w:bookmarkStart w:id="11" w:name="_Toc19485"/>
      <w:r>
        <w:rPr>
          <w:rFonts w:hint="eastAsia" w:ascii="华文中宋" w:hAnsi="华文中宋" w:eastAsia="华文中宋" w:cs="华文中宋"/>
          <w:b w:val="0"/>
          <w:bCs w:val="0"/>
          <w:color w:val="auto"/>
          <w:sz w:val="44"/>
          <w:szCs w:val="44"/>
          <w:lang w:val="en-US" w:eastAsia="zh-CN"/>
        </w:rPr>
        <w:t>第二部分  谈判须知</w:t>
      </w:r>
      <w:bookmarkEnd w:id="2"/>
      <w:bookmarkEnd w:id="3"/>
      <w:bookmarkEnd w:id="4"/>
      <w:bookmarkEnd w:id="5"/>
      <w:bookmarkEnd w:id="6"/>
      <w:bookmarkEnd w:id="7"/>
      <w:bookmarkEnd w:id="8"/>
      <w:bookmarkEnd w:id="9"/>
      <w:bookmarkEnd w:id="10"/>
      <w:bookmarkEnd w:id="11"/>
    </w:p>
    <w:p w14:paraId="25AA5E58">
      <w:pPr>
        <w:widowControl w:val="0"/>
        <w:wordWrap/>
        <w:adjustRightInd w:val="0"/>
        <w:snapToGrid w:val="0"/>
        <w:spacing w:before="157" w:beforeLines="50" w:line="560" w:lineRule="exact"/>
        <w:ind w:firstLine="0" w:firstLineChars="0"/>
        <w:jc w:val="center"/>
        <w:textAlignment w:val="auto"/>
        <w:outlineLvl w:val="1"/>
        <w:rPr>
          <w:rFonts w:hint="eastAsia" w:ascii="黑体" w:hAnsi="黑体" w:eastAsia="黑体" w:cs="黑体"/>
          <w:b w:val="0"/>
          <w:bCs w:val="0"/>
          <w:color w:val="auto"/>
          <w:kern w:val="2"/>
          <w:sz w:val="32"/>
          <w:szCs w:val="32"/>
          <w:lang w:val="en-US" w:eastAsia="zh-CN" w:bidi="ar-SA"/>
        </w:rPr>
      </w:pPr>
      <w:bookmarkStart w:id="12" w:name="_Toc7063_WPSOffice_Level2"/>
      <w:bookmarkStart w:id="13" w:name="_Toc9336"/>
      <w:bookmarkStart w:id="14" w:name="_Toc27795"/>
      <w:bookmarkStart w:id="15" w:name="_Toc1795"/>
      <w:bookmarkStart w:id="16" w:name="_Toc34637765"/>
      <w:bookmarkStart w:id="17" w:name="_Toc16562"/>
      <w:bookmarkStart w:id="18" w:name="_Toc29348_WPSOffice_Level2"/>
      <w:bookmarkStart w:id="19" w:name="_Toc17019_WPSOffice_Level2"/>
      <w:r>
        <w:rPr>
          <w:rFonts w:hint="eastAsia" w:ascii="黑体" w:hAnsi="黑体" w:eastAsia="黑体" w:cs="黑体"/>
          <w:b w:val="0"/>
          <w:bCs w:val="0"/>
          <w:color w:val="auto"/>
          <w:kern w:val="2"/>
          <w:sz w:val="32"/>
          <w:szCs w:val="32"/>
          <w:lang w:val="en-US" w:eastAsia="zh-CN" w:bidi="ar-SA"/>
        </w:rPr>
        <w:t>一、说明</w:t>
      </w:r>
      <w:bookmarkEnd w:id="12"/>
      <w:bookmarkEnd w:id="13"/>
      <w:bookmarkEnd w:id="14"/>
      <w:bookmarkEnd w:id="15"/>
      <w:bookmarkEnd w:id="16"/>
      <w:bookmarkEnd w:id="17"/>
      <w:bookmarkEnd w:id="18"/>
      <w:bookmarkEnd w:id="19"/>
    </w:p>
    <w:p w14:paraId="2C9AD1E6">
      <w:pPr>
        <w:pStyle w:val="4"/>
        <w:widowControl w:val="0"/>
        <w:wordWrap/>
        <w:adjustRightInd w:val="0"/>
        <w:snapToGrid w:val="0"/>
        <w:spacing w:before="157" w:beforeLines="50" w:after="0" w:line="560" w:lineRule="exact"/>
        <w:ind w:firstLine="0" w:firstLineChars="0"/>
        <w:textAlignment w:val="auto"/>
        <w:outlineLvl w:val="2"/>
        <w:rPr>
          <w:rFonts w:hint="eastAsia" w:ascii="楷体_GB2312" w:hAnsi="楷体_GB2312" w:eastAsia="楷体_GB2312" w:cs="楷体_GB2312"/>
          <w:b/>
          <w:bCs/>
          <w:color w:val="auto"/>
          <w:kern w:val="2"/>
          <w:sz w:val="32"/>
          <w:szCs w:val="32"/>
          <w:lang w:val="en-US" w:eastAsia="zh-CN" w:bidi="ar-SA"/>
        </w:rPr>
      </w:pPr>
      <w:bookmarkStart w:id="20" w:name="_Toc11775_WPSOffice_Level3"/>
      <w:bookmarkStart w:id="21" w:name="_Toc7063_WPSOffice_Level3"/>
      <w:bookmarkStart w:id="22" w:name="_Toc13645"/>
      <w:bookmarkStart w:id="23" w:name="_Toc3473"/>
      <w:bookmarkStart w:id="24" w:name="_Toc29026"/>
      <w:r>
        <w:rPr>
          <w:rFonts w:hint="eastAsia" w:ascii="楷体_GB2312" w:hAnsi="楷体_GB2312" w:eastAsia="楷体_GB2312" w:cs="楷体_GB2312"/>
          <w:b/>
          <w:bCs/>
          <w:color w:val="auto"/>
          <w:kern w:val="2"/>
          <w:sz w:val="32"/>
          <w:szCs w:val="32"/>
          <w:lang w:val="en-US" w:eastAsia="zh-CN" w:bidi="ar-SA"/>
        </w:rPr>
        <w:t>1.适用范围</w:t>
      </w:r>
      <w:bookmarkEnd w:id="20"/>
      <w:bookmarkEnd w:id="21"/>
      <w:bookmarkEnd w:id="22"/>
      <w:bookmarkEnd w:id="23"/>
      <w:bookmarkEnd w:id="24"/>
    </w:p>
    <w:p w14:paraId="626717DC">
      <w:pPr>
        <w:widowControl w:val="0"/>
        <w:wordWrap/>
        <w:adjustRightInd w:val="0"/>
        <w:snapToGrid w:val="0"/>
        <w:spacing w:before="157" w:beforeLines="50"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本竞争性谈判文件仅适用于</w:t>
      </w:r>
      <w:r>
        <w:rPr>
          <w:rFonts w:hint="eastAsia" w:ascii="仿宋_GB2312" w:hAnsi="仿宋_GB2312" w:eastAsia="仿宋_GB2312" w:cs="仿宋_GB2312"/>
          <w:color w:val="auto"/>
          <w:sz w:val="32"/>
          <w:szCs w:val="32"/>
          <w:lang w:eastAsia="zh-CN"/>
        </w:rPr>
        <w:t>前述</w:t>
      </w:r>
      <w:r>
        <w:rPr>
          <w:rFonts w:hint="eastAsia" w:ascii="仿宋_GB2312" w:hAnsi="仿宋_GB2312" w:eastAsia="仿宋_GB2312" w:cs="仿宋_GB2312"/>
          <w:b/>
          <w:color w:val="auto"/>
          <w:sz w:val="32"/>
          <w:szCs w:val="32"/>
        </w:rPr>
        <w:t>【谈判须知前附表】</w:t>
      </w:r>
      <w:r>
        <w:rPr>
          <w:rFonts w:hint="eastAsia" w:ascii="仿宋_GB2312" w:hAnsi="仿宋_GB2312" w:eastAsia="仿宋_GB2312" w:cs="仿宋_GB2312"/>
          <w:color w:val="auto"/>
          <w:sz w:val="32"/>
          <w:szCs w:val="32"/>
        </w:rPr>
        <w:t>中所叙述的采购项目。</w:t>
      </w:r>
    </w:p>
    <w:p w14:paraId="1957FB83">
      <w:pPr>
        <w:pStyle w:val="4"/>
        <w:widowControl w:val="0"/>
        <w:wordWrap/>
        <w:adjustRightInd w:val="0"/>
        <w:snapToGrid w:val="0"/>
        <w:spacing w:before="157" w:beforeLines="50" w:after="0" w:line="560" w:lineRule="exact"/>
        <w:ind w:firstLine="0" w:firstLineChars="0"/>
        <w:textAlignment w:val="auto"/>
        <w:outlineLvl w:val="2"/>
        <w:rPr>
          <w:rFonts w:hint="eastAsia" w:ascii="楷体_GB2312" w:hAnsi="楷体_GB2312" w:eastAsia="楷体_GB2312" w:cs="楷体_GB2312"/>
          <w:b/>
          <w:bCs/>
          <w:color w:val="auto"/>
          <w:kern w:val="2"/>
          <w:sz w:val="32"/>
          <w:szCs w:val="32"/>
          <w:lang w:val="en-US" w:eastAsia="zh-CN" w:bidi="ar-SA"/>
        </w:rPr>
      </w:pPr>
      <w:bookmarkStart w:id="25" w:name="_Toc2404_WPSOffice_Level3"/>
      <w:bookmarkStart w:id="26" w:name="_Toc12080"/>
      <w:bookmarkStart w:id="27" w:name="_Toc15754_WPSOffice_Level3"/>
      <w:bookmarkStart w:id="28" w:name="_Toc10197"/>
      <w:bookmarkStart w:id="29" w:name="_Toc1646"/>
      <w:r>
        <w:rPr>
          <w:rFonts w:hint="eastAsia" w:ascii="楷体_GB2312" w:hAnsi="楷体_GB2312" w:eastAsia="楷体_GB2312" w:cs="楷体_GB2312"/>
          <w:b/>
          <w:bCs/>
          <w:color w:val="auto"/>
          <w:kern w:val="2"/>
          <w:sz w:val="32"/>
          <w:szCs w:val="32"/>
          <w:lang w:val="en-US" w:eastAsia="zh-CN" w:bidi="ar-SA"/>
        </w:rPr>
        <w:t>2.采购人及代理机构</w:t>
      </w:r>
      <w:bookmarkEnd w:id="25"/>
      <w:bookmarkEnd w:id="26"/>
      <w:bookmarkEnd w:id="27"/>
      <w:bookmarkEnd w:id="28"/>
      <w:bookmarkEnd w:id="29"/>
    </w:p>
    <w:p w14:paraId="19F6102C">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采购人名称、地址、电话、联系人见【谈判须知前附表】。</w:t>
      </w:r>
    </w:p>
    <w:p w14:paraId="3CE985EE">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采购代理机构名称、地址、电话、联系人</w:t>
      </w:r>
      <w:r>
        <w:rPr>
          <w:rFonts w:hint="eastAsia" w:ascii="仿宋_GB2312" w:hAnsi="仿宋_GB2312" w:eastAsia="仿宋_GB2312" w:cs="仿宋_GB2312"/>
          <w:color w:val="auto"/>
          <w:sz w:val="32"/>
          <w:szCs w:val="32"/>
          <w:lang w:eastAsia="zh-CN"/>
        </w:rPr>
        <w:t>、邮箱</w:t>
      </w:r>
      <w:r>
        <w:rPr>
          <w:rFonts w:hint="eastAsia" w:ascii="仿宋_GB2312" w:hAnsi="仿宋_GB2312" w:eastAsia="仿宋_GB2312" w:cs="仿宋_GB2312"/>
          <w:color w:val="auto"/>
          <w:sz w:val="32"/>
          <w:szCs w:val="32"/>
        </w:rPr>
        <w:t>见【谈判须知前附表】。</w:t>
      </w:r>
    </w:p>
    <w:p w14:paraId="51760FA7">
      <w:pPr>
        <w:pStyle w:val="4"/>
        <w:widowControl w:val="0"/>
        <w:wordWrap/>
        <w:adjustRightInd w:val="0"/>
        <w:snapToGrid w:val="0"/>
        <w:spacing w:before="157" w:beforeLines="50" w:after="0" w:line="560" w:lineRule="exact"/>
        <w:ind w:firstLine="0" w:firstLineChars="0"/>
        <w:textAlignment w:val="auto"/>
        <w:outlineLvl w:val="2"/>
        <w:rPr>
          <w:rFonts w:hint="eastAsia" w:ascii="楷体_GB2312" w:hAnsi="楷体_GB2312" w:eastAsia="楷体_GB2312" w:cs="楷体_GB2312"/>
          <w:b/>
          <w:bCs/>
          <w:color w:val="auto"/>
          <w:kern w:val="2"/>
          <w:sz w:val="32"/>
          <w:szCs w:val="32"/>
          <w:lang w:val="en-US" w:eastAsia="zh-CN" w:bidi="ar-SA"/>
        </w:rPr>
      </w:pPr>
      <w:bookmarkStart w:id="30" w:name="_Toc5170"/>
      <w:bookmarkStart w:id="31" w:name="_Toc955_WPSOffice_Level3"/>
      <w:bookmarkStart w:id="32" w:name="_Toc21695"/>
      <w:bookmarkStart w:id="33" w:name="_Toc8089_WPSOffice_Level3"/>
      <w:bookmarkStart w:id="34" w:name="_Toc31395"/>
      <w:r>
        <w:rPr>
          <w:rFonts w:hint="eastAsia" w:ascii="楷体_GB2312" w:hAnsi="楷体_GB2312" w:eastAsia="楷体_GB2312" w:cs="楷体_GB2312"/>
          <w:b/>
          <w:bCs/>
          <w:color w:val="auto"/>
          <w:kern w:val="2"/>
          <w:sz w:val="32"/>
          <w:szCs w:val="32"/>
          <w:lang w:val="en-US" w:eastAsia="zh-CN" w:bidi="ar-SA"/>
        </w:rPr>
        <w:t>3.供应商的资格要求</w:t>
      </w:r>
      <w:bookmarkEnd w:id="30"/>
      <w:bookmarkEnd w:id="31"/>
      <w:bookmarkEnd w:id="32"/>
      <w:bookmarkEnd w:id="33"/>
      <w:bookmarkEnd w:id="34"/>
    </w:p>
    <w:p w14:paraId="331575A8">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3.1供应商是指响应谈判文件要求、参加竞争性谈判采购的法人、其他组织或者自然人。</w:t>
      </w:r>
    </w:p>
    <w:p w14:paraId="1C64C4E2">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3.2供应商应当符合【谈判须知前附表】规定的供应商资格条件。</w:t>
      </w:r>
    </w:p>
    <w:p w14:paraId="6CB96A2C">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3.3【谈判须知前附表】规定接受联合体形式的，供应商除应符合上述资格条件的规定外，还应遵守以下规定： </w:t>
      </w:r>
    </w:p>
    <w:p w14:paraId="020E1A27">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（l）联合体中有同类资质的供应商按照联合体分工承担相同工作的，应当按照资质等级较低的供应商确定资质等级。</w:t>
      </w:r>
    </w:p>
    <w:p w14:paraId="3A920505">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（2）联合体各方应按谈判文件提供的格式签订联合体协议书，明确联合体牵头人和各方的权利义务、合同工作量比例；</w:t>
      </w:r>
    </w:p>
    <w:p w14:paraId="4C7D2D9C">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（3）联合体各方签订联合体协议书后，</w:t>
      </w:r>
      <w:r>
        <w:rPr>
          <w:rFonts w:hint="eastAsia" w:ascii="仿宋_GB2312" w:hAnsi="仿宋_GB2312" w:eastAsia="仿宋_GB2312" w:cs="仿宋_GB2312"/>
          <w:color w:val="auto"/>
          <w:sz w:val="32"/>
          <w:szCs w:val="32"/>
          <w:lang w:val="zh-CN"/>
        </w:rPr>
        <w:t>不得再单独参加或者与其他供应商组成新的联合体参加同一合同项下的采购活动。</w:t>
      </w:r>
    </w:p>
    <w:p w14:paraId="26E809D0">
      <w:pPr>
        <w:pStyle w:val="4"/>
        <w:widowControl w:val="0"/>
        <w:wordWrap/>
        <w:adjustRightInd w:val="0"/>
        <w:snapToGrid w:val="0"/>
        <w:spacing w:before="157" w:beforeLines="50" w:after="0" w:line="560" w:lineRule="exact"/>
        <w:ind w:firstLine="0" w:firstLineChars="0"/>
        <w:textAlignment w:val="auto"/>
        <w:outlineLvl w:val="2"/>
        <w:rPr>
          <w:rFonts w:hint="eastAsia" w:ascii="楷体_GB2312" w:hAnsi="楷体_GB2312" w:eastAsia="楷体_GB2312" w:cs="楷体_GB2312"/>
          <w:b/>
          <w:bCs/>
          <w:color w:val="auto"/>
          <w:kern w:val="2"/>
          <w:sz w:val="32"/>
          <w:szCs w:val="32"/>
          <w:lang w:val="en-US" w:eastAsia="zh-CN" w:bidi="ar-SA"/>
        </w:rPr>
      </w:pPr>
      <w:bookmarkStart w:id="35" w:name="_Toc29322_WPSOffice_Level3"/>
      <w:bookmarkStart w:id="36" w:name="_Toc18921"/>
      <w:bookmarkStart w:id="37" w:name="_Toc3790"/>
      <w:bookmarkStart w:id="38" w:name="_Toc15386"/>
      <w:bookmarkStart w:id="39" w:name="_Toc24112_WPSOffice_Level3"/>
      <w:r>
        <w:rPr>
          <w:rFonts w:hint="eastAsia" w:ascii="楷体_GB2312" w:hAnsi="楷体_GB2312" w:eastAsia="楷体_GB2312" w:cs="楷体_GB2312"/>
          <w:b/>
          <w:bCs/>
          <w:color w:val="auto"/>
          <w:kern w:val="2"/>
          <w:sz w:val="32"/>
          <w:szCs w:val="32"/>
          <w:lang w:val="en-US" w:eastAsia="zh-CN" w:bidi="ar-SA"/>
        </w:rPr>
        <w:t>4.谈判费用</w:t>
      </w:r>
      <w:bookmarkEnd w:id="35"/>
      <w:bookmarkEnd w:id="36"/>
      <w:bookmarkEnd w:id="37"/>
      <w:bookmarkEnd w:id="38"/>
      <w:bookmarkEnd w:id="39"/>
      <w:r>
        <w:rPr>
          <w:rFonts w:hint="eastAsia" w:ascii="楷体_GB2312" w:hAnsi="楷体_GB2312" w:eastAsia="楷体_GB2312" w:cs="楷体_GB2312"/>
          <w:b/>
          <w:bCs/>
          <w:color w:val="auto"/>
          <w:kern w:val="2"/>
          <w:sz w:val="32"/>
          <w:szCs w:val="32"/>
          <w:lang w:val="en-US" w:eastAsia="zh-CN" w:bidi="ar-SA"/>
        </w:rPr>
        <w:t xml:space="preserve"> </w:t>
      </w:r>
    </w:p>
    <w:p w14:paraId="413078B2">
      <w:pPr>
        <w:widowControl w:val="0"/>
        <w:wordWrap/>
        <w:adjustRightInd w:val="0"/>
        <w:snapToGrid w:val="0"/>
        <w:spacing w:before="157" w:beforeLines="50"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无论谈判的结果如何，供应商应自行承担所有与竞争性谈判采购活动有关的全部费用。</w:t>
      </w:r>
    </w:p>
    <w:p w14:paraId="1EA28AA8">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color w:val="auto"/>
          <w:kern w:val="2"/>
          <w:sz w:val="32"/>
          <w:szCs w:val="32"/>
          <w:lang w:val="en-US" w:eastAsia="zh-CN" w:bidi="ar-SA"/>
        </w:rPr>
      </w:pPr>
      <w:bookmarkStart w:id="40" w:name="_Toc28758"/>
      <w:bookmarkStart w:id="41" w:name="_Toc19544"/>
      <w:bookmarkStart w:id="42" w:name="_Toc19663_WPSOffice_Level2"/>
      <w:bookmarkStart w:id="43" w:name="_Toc24182"/>
      <w:bookmarkStart w:id="44" w:name="_Toc2404_WPSOffice_Level2"/>
      <w:bookmarkStart w:id="45" w:name="_Toc34637766"/>
      <w:bookmarkStart w:id="46" w:name="_Toc4912_WPSOffice_Level2"/>
      <w:bookmarkStart w:id="47" w:name="_Toc24356"/>
      <w:r>
        <w:rPr>
          <w:rFonts w:hint="eastAsia" w:ascii="黑体" w:hAnsi="黑体" w:eastAsia="黑体" w:cs="黑体"/>
          <w:b w:val="0"/>
          <w:bCs w:val="0"/>
          <w:color w:val="auto"/>
          <w:kern w:val="2"/>
          <w:sz w:val="32"/>
          <w:szCs w:val="32"/>
          <w:lang w:val="en-US" w:eastAsia="zh-CN" w:bidi="ar-SA"/>
        </w:rPr>
        <w:t>二、谈判文件</w:t>
      </w:r>
      <w:bookmarkEnd w:id="40"/>
      <w:bookmarkEnd w:id="41"/>
      <w:bookmarkEnd w:id="42"/>
      <w:bookmarkEnd w:id="43"/>
      <w:bookmarkEnd w:id="44"/>
      <w:bookmarkEnd w:id="45"/>
      <w:bookmarkEnd w:id="46"/>
      <w:bookmarkEnd w:id="47"/>
    </w:p>
    <w:p w14:paraId="7C75B838">
      <w:pPr>
        <w:pStyle w:val="4"/>
        <w:widowControl w:val="0"/>
        <w:wordWrap/>
        <w:adjustRightInd w:val="0"/>
        <w:snapToGrid w:val="0"/>
        <w:spacing w:before="157" w:beforeLines="50" w:after="0" w:line="560" w:lineRule="exact"/>
        <w:ind w:firstLine="0" w:firstLineChars="0"/>
        <w:textAlignment w:val="auto"/>
        <w:outlineLvl w:val="2"/>
        <w:rPr>
          <w:rFonts w:hint="eastAsia" w:ascii="楷体_GB2312" w:hAnsi="楷体_GB2312" w:eastAsia="楷体_GB2312" w:cs="楷体_GB2312"/>
          <w:b/>
          <w:bCs/>
          <w:color w:val="auto"/>
          <w:kern w:val="2"/>
          <w:sz w:val="32"/>
          <w:szCs w:val="32"/>
          <w:lang w:val="en-US" w:eastAsia="zh-CN" w:bidi="ar-SA"/>
        </w:rPr>
      </w:pPr>
      <w:bookmarkStart w:id="48" w:name="_Toc29785_WPSOffice_Level3"/>
      <w:bookmarkStart w:id="49" w:name="_Toc18786_WPSOffice_Level3"/>
      <w:bookmarkStart w:id="50" w:name="_Toc14464"/>
      <w:bookmarkStart w:id="51" w:name="_Toc1826"/>
      <w:bookmarkStart w:id="52" w:name="_Toc1611"/>
      <w:r>
        <w:rPr>
          <w:rFonts w:hint="eastAsia" w:ascii="楷体_GB2312" w:hAnsi="楷体_GB2312" w:eastAsia="楷体_GB2312" w:cs="楷体_GB2312"/>
          <w:b/>
          <w:bCs/>
          <w:color w:val="auto"/>
          <w:kern w:val="2"/>
          <w:sz w:val="32"/>
          <w:szCs w:val="32"/>
          <w:lang w:val="en-US" w:eastAsia="zh-CN" w:bidi="ar-SA"/>
        </w:rPr>
        <w:t>5.谈判文件的组成</w:t>
      </w:r>
      <w:bookmarkEnd w:id="48"/>
      <w:bookmarkEnd w:id="49"/>
      <w:bookmarkEnd w:id="50"/>
      <w:bookmarkEnd w:id="51"/>
      <w:bookmarkEnd w:id="52"/>
    </w:p>
    <w:p w14:paraId="2309745C">
      <w:pPr>
        <w:pStyle w:val="12"/>
        <w:widowControl w:val="0"/>
        <w:wordWrap/>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5.1谈判文件由下列文件组成：</w:t>
      </w:r>
    </w:p>
    <w:p w14:paraId="76344DD4">
      <w:pPr>
        <w:pStyle w:val="12"/>
        <w:widowControl w:val="0"/>
        <w:numPr>
          <w:ilvl w:val="0"/>
          <w:numId w:val="4"/>
        </w:numPr>
        <w:wordWrap/>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谈判邀请</w:t>
      </w:r>
    </w:p>
    <w:p w14:paraId="634CB15D">
      <w:pPr>
        <w:pStyle w:val="12"/>
        <w:widowControl w:val="0"/>
        <w:wordWrap/>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（2）谈判须知</w:t>
      </w:r>
    </w:p>
    <w:p w14:paraId="00612ED9">
      <w:pPr>
        <w:pStyle w:val="12"/>
        <w:widowControl w:val="0"/>
        <w:numPr>
          <w:ilvl w:val="0"/>
          <w:numId w:val="0"/>
        </w:numPr>
        <w:wordWrap/>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（3）采购需求</w:t>
      </w:r>
    </w:p>
    <w:p w14:paraId="67DC6FEF">
      <w:pPr>
        <w:pStyle w:val="12"/>
        <w:widowControl w:val="0"/>
        <w:numPr>
          <w:ilvl w:val="0"/>
          <w:numId w:val="0"/>
        </w:numPr>
        <w:wordWrap/>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（4）谈判响应文件格式</w:t>
      </w:r>
    </w:p>
    <w:p w14:paraId="736F6084">
      <w:pPr>
        <w:pStyle w:val="12"/>
        <w:widowControl w:val="0"/>
        <w:numPr>
          <w:ilvl w:val="0"/>
          <w:numId w:val="0"/>
        </w:numPr>
        <w:wordWrap/>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（5）政府采购项目合同书范本</w:t>
      </w:r>
    </w:p>
    <w:p w14:paraId="22C504A4">
      <w:pPr>
        <w:pStyle w:val="12"/>
        <w:widowControl w:val="0"/>
        <w:wordWrap/>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5.2采购人、采购代理机构或者谈判小组在提交首次响应文件截止之日前对已发出的谈判文件进行的澄清或者修改，构成谈判文件的组成部分。</w:t>
      </w:r>
    </w:p>
    <w:p w14:paraId="0C2B679B">
      <w:pPr>
        <w:pStyle w:val="12"/>
        <w:widowControl w:val="0"/>
        <w:wordWrap/>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5.3谈判文件中，谈判小组根据与供应商谈判情况可能实质性变动的内容见【谈判须知前附表】。对谈判文件作出的实质性变动是谈判文件的有效组成部分。</w:t>
      </w:r>
    </w:p>
    <w:p w14:paraId="77C34ADB">
      <w:pPr>
        <w:pStyle w:val="4"/>
        <w:widowControl w:val="0"/>
        <w:wordWrap/>
        <w:adjustRightInd w:val="0"/>
        <w:snapToGrid w:val="0"/>
        <w:spacing w:before="157" w:beforeLines="50" w:after="0" w:line="560" w:lineRule="exact"/>
        <w:ind w:firstLine="0" w:firstLineChars="0"/>
        <w:textAlignment w:val="auto"/>
        <w:outlineLvl w:val="2"/>
        <w:rPr>
          <w:rFonts w:hint="eastAsia" w:ascii="楷体_GB2312" w:hAnsi="楷体_GB2312" w:eastAsia="楷体_GB2312" w:cs="楷体_GB2312"/>
          <w:b/>
          <w:bCs/>
          <w:color w:val="auto"/>
          <w:kern w:val="2"/>
          <w:sz w:val="32"/>
          <w:szCs w:val="32"/>
          <w:lang w:val="en-US" w:eastAsia="zh-CN" w:bidi="ar-SA"/>
        </w:rPr>
      </w:pPr>
      <w:bookmarkStart w:id="53" w:name="_Toc18056"/>
      <w:bookmarkStart w:id="54" w:name="_Toc20648"/>
      <w:bookmarkStart w:id="55" w:name="_Toc31604_WPSOffice_Level3"/>
      <w:bookmarkStart w:id="56" w:name="_Toc25455_WPSOffice_Level3"/>
      <w:bookmarkStart w:id="57" w:name="_Toc1317"/>
      <w:r>
        <w:rPr>
          <w:rFonts w:hint="eastAsia" w:ascii="楷体_GB2312" w:hAnsi="楷体_GB2312" w:eastAsia="楷体_GB2312" w:cs="楷体_GB2312"/>
          <w:b/>
          <w:bCs/>
          <w:color w:val="auto"/>
          <w:kern w:val="2"/>
          <w:sz w:val="32"/>
          <w:szCs w:val="32"/>
          <w:lang w:val="en-US" w:eastAsia="zh-CN" w:bidi="ar-SA"/>
        </w:rPr>
        <w:t>6.谈判文件的澄清</w:t>
      </w:r>
      <w:r>
        <w:rPr>
          <w:rFonts w:hint="eastAsia" w:ascii="楷体_GB2312" w:hAnsi="楷体_GB2312" w:eastAsia="楷体_GB2312" w:cs="楷体_GB2312"/>
          <w:b/>
          <w:bCs/>
          <w:color w:val="auto"/>
          <w:kern w:val="2"/>
          <w:sz w:val="32"/>
          <w:szCs w:val="32"/>
          <w:lang w:val="zh-CN" w:eastAsia="zh-CN" w:bidi="ar-SA"/>
        </w:rPr>
        <w:t>或者</w:t>
      </w:r>
      <w:r>
        <w:rPr>
          <w:rFonts w:hint="eastAsia" w:ascii="楷体_GB2312" w:hAnsi="楷体_GB2312" w:eastAsia="楷体_GB2312" w:cs="楷体_GB2312"/>
          <w:b/>
          <w:bCs/>
          <w:color w:val="auto"/>
          <w:kern w:val="2"/>
          <w:sz w:val="32"/>
          <w:szCs w:val="32"/>
          <w:lang w:val="en-US" w:eastAsia="zh-CN" w:bidi="ar-SA"/>
        </w:rPr>
        <w:t>修改</w:t>
      </w:r>
      <w:bookmarkEnd w:id="53"/>
      <w:bookmarkEnd w:id="54"/>
      <w:bookmarkEnd w:id="55"/>
      <w:bookmarkEnd w:id="56"/>
      <w:bookmarkEnd w:id="57"/>
    </w:p>
    <w:p w14:paraId="2602896F">
      <w:pPr>
        <w:pStyle w:val="12"/>
        <w:widowControl w:val="0"/>
        <w:wordWrap/>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6.1在提交首次响应文件截止之日前，采购人、采购代理机构或者谈判小组可以对已发出的谈判文件进行必要的澄清或者修改。</w:t>
      </w:r>
    </w:p>
    <w:p w14:paraId="279CA407">
      <w:pPr>
        <w:pStyle w:val="12"/>
        <w:widowControl w:val="0"/>
        <w:wordWrap/>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6.2澄清或者修改的内容可能影响响应文件编制的，采购人、采购代理机构或者谈判小组应当在提交首次响应文件截止之日3个工作日前，以书面形式通知所有接收谈判文件的供应商，不足3个工作日的，顺延供应商提交首次响应文件截止时间。</w:t>
      </w:r>
    </w:p>
    <w:p w14:paraId="5740863C">
      <w:pPr>
        <w:pStyle w:val="4"/>
        <w:widowControl w:val="0"/>
        <w:wordWrap/>
        <w:adjustRightInd w:val="0"/>
        <w:snapToGrid w:val="0"/>
        <w:spacing w:before="157" w:beforeLines="50" w:after="0" w:line="560" w:lineRule="exact"/>
        <w:ind w:firstLine="0" w:firstLineChars="0"/>
        <w:textAlignment w:val="auto"/>
        <w:outlineLvl w:val="2"/>
        <w:rPr>
          <w:rFonts w:hint="eastAsia" w:ascii="楷体_GB2312" w:hAnsi="楷体_GB2312" w:eastAsia="楷体_GB2312" w:cs="楷体_GB2312"/>
          <w:b/>
          <w:bCs/>
          <w:color w:val="auto"/>
          <w:kern w:val="2"/>
          <w:sz w:val="32"/>
          <w:szCs w:val="32"/>
          <w:lang w:val="en-US" w:eastAsia="zh-CN" w:bidi="ar-SA"/>
        </w:rPr>
      </w:pPr>
      <w:bookmarkStart w:id="58" w:name="_Toc27004"/>
      <w:bookmarkStart w:id="59" w:name="_Toc22815"/>
      <w:bookmarkStart w:id="60" w:name="_Toc25126"/>
      <w:bookmarkStart w:id="61" w:name="_Toc6866_WPSOffice_Level3"/>
      <w:bookmarkStart w:id="62" w:name="_Toc30"/>
      <w:bookmarkStart w:id="63" w:name="_Toc4138_WPSOffice_Level3"/>
      <w:bookmarkStart w:id="64" w:name="_Toc34637767"/>
      <w:r>
        <w:rPr>
          <w:rFonts w:hint="eastAsia" w:ascii="楷体_GB2312" w:hAnsi="楷体_GB2312" w:eastAsia="楷体_GB2312" w:cs="楷体_GB2312"/>
          <w:b/>
          <w:bCs/>
          <w:color w:val="auto"/>
          <w:kern w:val="2"/>
          <w:sz w:val="32"/>
          <w:szCs w:val="32"/>
          <w:lang w:val="en-US" w:eastAsia="zh-CN" w:bidi="ar-SA"/>
        </w:rPr>
        <w:t>7.谈判文件的询问或质疑</w:t>
      </w:r>
      <w:bookmarkEnd w:id="58"/>
      <w:bookmarkEnd w:id="59"/>
      <w:bookmarkEnd w:id="60"/>
      <w:bookmarkEnd w:id="61"/>
      <w:bookmarkEnd w:id="62"/>
      <w:bookmarkEnd w:id="63"/>
    </w:p>
    <w:p w14:paraId="38B468A9">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7.1供应商对谈判文件有疑问的，可以向采购人、采购代理机构提出询问。</w:t>
      </w:r>
    </w:p>
    <w:p w14:paraId="75CD80F9">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7.2提出质疑的供应商应当符合《中华人民共和国政府采购法》第二十二条的相关规定，对谈判文件提出质疑的，应当在获取采购文件或者采购文件公告期限届满之日起7个工作日内，按法律法规及其规章的规定向采购人、采购代理机构书面提出质疑。</w:t>
      </w:r>
    </w:p>
    <w:p w14:paraId="01E47D70">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7.3供应商认为谈判文件使自己的权益受到损害的，应以书面形式提出质疑（不接受匿名质疑），供应商须在法定质疑期内一次性提出针对同一采购程序环节的质疑。</w:t>
      </w:r>
    </w:p>
    <w:p w14:paraId="5DC338DF">
      <w:pPr>
        <w:widowControl w:val="0"/>
        <w:wordWrap/>
        <w:adjustRightInd w:val="0"/>
        <w:snapToGrid w:val="0"/>
        <w:spacing w:before="157" w:beforeLines="50" w:line="560" w:lineRule="exact"/>
        <w:ind w:firstLine="640" w:firstLineChars="200"/>
        <w:jc w:val="center"/>
        <w:textAlignment w:val="auto"/>
        <w:outlineLvl w:val="1"/>
        <w:rPr>
          <w:rFonts w:hint="eastAsia" w:ascii="黑体" w:hAnsi="黑体" w:eastAsia="黑体" w:cs="黑体"/>
          <w:color w:val="auto"/>
          <w:kern w:val="2"/>
          <w:sz w:val="32"/>
          <w:szCs w:val="32"/>
          <w:lang w:val="en-US" w:eastAsia="zh-CN" w:bidi="ar-SA"/>
        </w:rPr>
      </w:pPr>
      <w:bookmarkStart w:id="65" w:name="_Toc955_WPSOffice_Level2"/>
      <w:bookmarkStart w:id="66" w:name="_Toc5732_WPSOffice_Level2"/>
      <w:bookmarkStart w:id="67" w:name="_Toc22660"/>
      <w:bookmarkStart w:id="68" w:name="_Toc28815"/>
      <w:bookmarkStart w:id="69" w:name="_Toc23235_WPSOffice_Level2"/>
      <w:bookmarkStart w:id="70" w:name="_Toc16902"/>
      <w:r>
        <w:rPr>
          <w:rFonts w:hint="eastAsia" w:ascii="黑体" w:hAnsi="黑体" w:eastAsia="黑体" w:cs="黑体"/>
          <w:color w:val="auto"/>
          <w:kern w:val="2"/>
          <w:sz w:val="32"/>
          <w:szCs w:val="32"/>
          <w:lang w:val="en-US" w:eastAsia="zh-CN" w:bidi="ar-SA"/>
        </w:rPr>
        <w:t>三、响应文件</w:t>
      </w:r>
      <w:bookmarkEnd w:id="64"/>
      <w:bookmarkEnd w:id="65"/>
      <w:bookmarkEnd w:id="66"/>
      <w:bookmarkEnd w:id="67"/>
      <w:bookmarkEnd w:id="68"/>
      <w:bookmarkEnd w:id="69"/>
      <w:bookmarkEnd w:id="70"/>
    </w:p>
    <w:p w14:paraId="18402249">
      <w:pPr>
        <w:pStyle w:val="4"/>
        <w:widowControl w:val="0"/>
        <w:wordWrap/>
        <w:adjustRightInd w:val="0"/>
        <w:snapToGrid w:val="0"/>
        <w:spacing w:before="157" w:beforeLines="50" w:after="0" w:line="560" w:lineRule="exact"/>
        <w:ind w:firstLine="0" w:firstLineChars="0"/>
        <w:textAlignment w:val="auto"/>
        <w:outlineLvl w:val="2"/>
        <w:rPr>
          <w:rFonts w:hint="eastAsia" w:ascii="楷体_GB2312" w:hAnsi="楷体_GB2312" w:eastAsia="楷体_GB2312" w:cs="楷体_GB2312"/>
          <w:b/>
          <w:bCs/>
          <w:color w:val="auto"/>
          <w:kern w:val="2"/>
          <w:sz w:val="32"/>
          <w:szCs w:val="32"/>
          <w:lang w:val="en-US" w:eastAsia="zh-CN" w:bidi="ar-SA"/>
        </w:rPr>
      </w:pPr>
      <w:bookmarkStart w:id="71" w:name="_Toc25002"/>
      <w:bookmarkStart w:id="72" w:name="_Toc2475"/>
      <w:bookmarkStart w:id="73" w:name="_Toc1096_WPSOffice_Level3"/>
      <w:bookmarkStart w:id="74" w:name="_Toc17983"/>
      <w:bookmarkStart w:id="75" w:name="_Toc22063"/>
      <w:bookmarkStart w:id="76" w:name="_Toc10843_WPSOffice_Level3"/>
      <w:r>
        <w:rPr>
          <w:rFonts w:hint="eastAsia" w:ascii="楷体_GB2312" w:hAnsi="楷体_GB2312" w:eastAsia="楷体_GB2312" w:cs="楷体_GB2312"/>
          <w:b/>
          <w:bCs/>
          <w:color w:val="auto"/>
          <w:kern w:val="2"/>
          <w:sz w:val="32"/>
          <w:szCs w:val="32"/>
          <w:lang w:val="en-US" w:eastAsia="zh-CN" w:bidi="ar-SA"/>
        </w:rPr>
        <w:t>8.一般要求</w:t>
      </w:r>
      <w:bookmarkEnd w:id="71"/>
      <w:bookmarkEnd w:id="72"/>
      <w:bookmarkEnd w:id="73"/>
      <w:bookmarkEnd w:id="74"/>
      <w:bookmarkEnd w:id="75"/>
      <w:bookmarkEnd w:id="76"/>
    </w:p>
    <w:p w14:paraId="20FB84F4">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8.1供应商应仔细阅读谈判文件的所有内容，按谈判文件的要求编制响应文件，并保证所提供的全部资料的真实性，以使其响应文件对谈判文件做出实质性的响应。任何对谈判文件的忽略或误解不能作为响应文件存在缺陷或瑕疵的理由，其风险由供应商承担。</w:t>
      </w:r>
    </w:p>
    <w:p w14:paraId="7A328E89">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8.2供应商提交的响应文件及供应商与采购人或采购代理机构、谈判小组就有关谈判的所有来往函电均使用中文。附有外文资料的，须翻译成中文并加盖供应商公章，若翻译的中文资料与外文资料存在差异和矛盾，则以中文资料为准。其准确性由供应商负责。</w:t>
      </w:r>
    </w:p>
    <w:p w14:paraId="14EB9EE9">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8.3除谈判文件中另有规定外，谈判响应文件所使用的度量衡单位，均须采用国家法定计量单位。未列明时应默认为我国法定计量单位。</w:t>
      </w:r>
    </w:p>
    <w:p w14:paraId="65895956">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8.4响应文件应采用书面形式，电报、传真、电子邮件形式的响应文件概不接受。</w:t>
      </w:r>
    </w:p>
    <w:p w14:paraId="66502ED8">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8.5供应商应按谈判文件中提供的响应文件格式进行填写。</w:t>
      </w:r>
    </w:p>
    <w:p w14:paraId="72955F6E">
      <w:pPr>
        <w:pStyle w:val="4"/>
        <w:widowControl w:val="0"/>
        <w:wordWrap/>
        <w:adjustRightInd w:val="0"/>
        <w:snapToGrid w:val="0"/>
        <w:spacing w:before="157" w:beforeLines="50" w:after="0" w:line="560" w:lineRule="exact"/>
        <w:ind w:firstLine="0" w:firstLineChars="0"/>
        <w:textAlignment w:val="auto"/>
        <w:outlineLvl w:val="2"/>
        <w:rPr>
          <w:rFonts w:hint="eastAsia" w:ascii="楷体_GB2312" w:hAnsi="楷体_GB2312" w:eastAsia="楷体_GB2312" w:cs="楷体_GB2312"/>
          <w:b/>
          <w:bCs/>
          <w:color w:val="auto"/>
          <w:kern w:val="2"/>
          <w:sz w:val="32"/>
          <w:szCs w:val="32"/>
          <w:lang w:val="en-US" w:eastAsia="zh-CN" w:bidi="ar-SA"/>
        </w:rPr>
      </w:pPr>
      <w:bookmarkStart w:id="77" w:name="_Toc16030"/>
      <w:bookmarkStart w:id="78" w:name="_Toc14527_WPSOffice_Level3"/>
      <w:bookmarkStart w:id="79" w:name="_Toc20423_WPSOffice_Level3"/>
      <w:bookmarkStart w:id="80" w:name="_Toc12007"/>
      <w:bookmarkStart w:id="81" w:name="_Toc31527"/>
      <w:r>
        <w:rPr>
          <w:rFonts w:hint="eastAsia" w:ascii="楷体_GB2312" w:hAnsi="楷体_GB2312" w:eastAsia="楷体_GB2312" w:cs="楷体_GB2312"/>
          <w:b/>
          <w:bCs/>
          <w:color w:val="auto"/>
          <w:kern w:val="2"/>
          <w:sz w:val="32"/>
          <w:szCs w:val="32"/>
          <w:lang w:val="en-US" w:eastAsia="zh-CN" w:bidi="ar-SA"/>
        </w:rPr>
        <w:t>9.报价要求</w:t>
      </w:r>
      <w:bookmarkEnd w:id="77"/>
      <w:bookmarkEnd w:id="78"/>
      <w:bookmarkEnd w:id="79"/>
      <w:bookmarkEnd w:id="80"/>
      <w:bookmarkEnd w:id="81"/>
    </w:p>
    <w:p w14:paraId="094700A6">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9.1供应商应当根据谈判文件“分项报价表”逐一报价；</w:t>
      </w:r>
    </w:p>
    <w:p w14:paraId="3DC05591">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9.2在首次报价表、分项报价表、最后报价表填写报价时应注意下列要求：</w:t>
      </w:r>
    </w:p>
    <w:p w14:paraId="7873F097">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（1）采购需求要求的</w:t>
      </w:r>
      <w:r>
        <w:rPr>
          <w:rFonts w:hint="eastAsia" w:ascii="仿宋_GB2312" w:hAnsi="仿宋_GB2312" w:eastAsia="仿宋_GB2312" w:cs="仿宋_GB2312"/>
          <w:color w:val="auto"/>
          <w:sz w:val="32"/>
          <w:szCs w:val="32"/>
        </w:rPr>
        <w:t>产品费、检验费、</w:t>
      </w:r>
      <w:r>
        <w:rPr>
          <w:rFonts w:hint="eastAsia" w:ascii="仿宋_GB2312" w:hAnsi="仿宋_GB2312" w:eastAsia="仿宋_GB2312" w:cs="仿宋_GB2312"/>
          <w:color w:val="auto"/>
          <w:sz w:val="32"/>
          <w:szCs w:val="32"/>
          <w:lang w:val="en-US" w:eastAsia="zh-CN"/>
        </w:rPr>
        <w:t>手续费、包装费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运输费、代理费、</w:t>
      </w:r>
      <w:r>
        <w:rPr>
          <w:rFonts w:hint="eastAsia" w:ascii="仿宋_GB2312" w:hAnsi="仿宋_GB2312" w:eastAsia="仿宋_GB2312" w:cs="仿宋_GB2312"/>
          <w:color w:val="auto"/>
          <w:sz w:val="32"/>
          <w:szCs w:val="32"/>
        </w:rPr>
        <w:t>售后服务费、税金及其他不可预见费等全部费用</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kern w:val="2"/>
          <w:sz w:val="32"/>
          <w:szCs w:val="32"/>
          <w:lang w:val="en-US" w:eastAsia="zh-CN" w:bidi="ar-SA"/>
        </w:rPr>
        <w:t>。</w:t>
      </w:r>
    </w:p>
    <w:p w14:paraId="1A1A9C11">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（2）所有根据合同或其它原因应由供应商交纳和支付的税款和费用。</w:t>
      </w:r>
    </w:p>
    <w:p w14:paraId="71EAA66D">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（3）供应商报价应为完成本竞争性谈判文件中所要求的货物所应包括内容的所有价格。</w:t>
      </w:r>
    </w:p>
    <w:p w14:paraId="0BF82772">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9.3</w:t>
      </w:r>
      <w:r>
        <w:rPr>
          <w:rFonts w:hint="eastAsia" w:ascii="仿宋_GB2312" w:hAnsi="仿宋_GB2312" w:eastAsia="仿宋_GB2312" w:cs="仿宋_GB2312"/>
          <w:color w:val="auto"/>
          <w:kern w:val="2"/>
          <w:sz w:val="32"/>
          <w:szCs w:val="32"/>
          <w:lang w:val="zh-CN" w:eastAsia="zh-CN" w:bidi="ar-SA"/>
        </w:rPr>
        <w:t>供应商</w:t>
      </w:r>
      <w:r>
        <w:rPr>
          <w:rFonts w:hint="eastAsia" w:ascii="仿宋_GB2312" w:hAnsi="仿宋_GB2312" w:eastAsia="仿宋_GB2312" w:cs="仿宋_GB2312"/>
          <w:color w:val="auto"/>
          <w:kern w:val="2"/>
          <w:sz w:val="32"/>
          <w:szCs w:val="32"/>
          <w:lang w:val="en-US" w:eastAsia="zh-CN" w:bidi="ar-SA"/>
        </w:rPr>
        <w:t>的每次报价均不得超过采购项目预算，否则视为无效响应。采购项目预算见【谈判须知前附表】。</w:t>
      </w:r>
    </w:p>
    <w:p w14:paraId="5C8B462F">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9.4供应商提交的最后报价在合同执行过程中是固定不变的，不得以任何理由予以变更。以可变动价格提交的报价将被认为是非实质响应而被拒绝。</w:t>
      </w:r>
    </w:p>
    <w:p w14:paraId="1BCDB25A">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9.5谈判报价为总价。供应商须按要求填写谈判总报价，最后报价不得出现两个或两个以上的报价方案。 </w:t>
      </w:r>
    </w:p>
    <w:p w14:paraId="47824874">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9.6报价币种为人民币。</w:t>
      </w:r>
    </w:p>
    <w:p w14:paraId="20690607">
      <w:pPr>
        <w:pStyle w:val="4"/>
        <w:widowControl w:val="0"/>
        <w:wordWrap/>
        <w:adjustRightInd w:val="0"/>
        <w:snapToGrid w:val="0"/>
        <w:spacing w:before="157" w:beforeLines="50" w:after="0" w:line="560" w:lineRule="exact"/>
        <w:ind w:firstLine="0" w:firstLineChars="0"/>
        <w:textAlignment w:val="auto"/>
        <w:outlineLvl w:val="2"/>
        <w:rPr>
          <w:rFonts w:hint="eastAsia" w:ascii="楷体_GB2312" w:hAnsi="楷体_GB2312" w:eastAsia="楷体_GB2312" w:cs="楷体_GB2312"/>
          <w:b/>
          <w:bCs/>
          <w:color w:val="auto"/>
          <w:kern w:val="2"/>
          <w:sz w:val="32"/>
          <w:szCs w:val="32"/>
          <w:lang w:val="en-US" w:eastAsia="zh-CN" w:bidi="ar-SA"/>
        </w:rPr>
      </w:pPr>
      <w:bookmarkStart w:id="82" w:name="_Toc30481"/>
      <w:bookmarkStart w:id="83" w:name="_Toc19609_WPSOffice_Level3"/>
      <w:bookmarkStart w:id="84" w:name="_Toc30839"/>
      <w:bookmarkStart w:id="85" w:name="_Toc24956_WPSOffice_Level3"/>
      <w:bookmarkStart w:id="86" w:name="_Toc28436"/>
      <w:r>
        <w:rPr>
          <w:rFonts w:hint="eastAsia" w:ascii="楷体_GB2312" w:hAnsi="楷体_GB2312" w:eastAsia="楷体_GB2312" w:cs="楷体_GB2312"/>
          <w:b/>
          <w:bCs/>
          <w:color w:val="auto"/>
          <w:kern w:val="2"/>
          <w:sz w:val="32"/>
          <w:szCs w:val="32"/>
          <w:lang w:val="en-US" w:eastAsia="zh-CN" w:bidi="ar-SA"/>
        </w:rPr>
        <w:t>10.保证金</w:t>
      </w:r>
      <w:bookmarkEnd w:id="82"/>
      <w:bookmarkEnd w:id="83"/>
      <w:bookmarkEnd w:id="84"/>
      <w:bookmarkEnd w:id="85"/>
      <w:bookmarkEnd w:id="86"/>
    </w:p>
    <w:p w14:paraId="21579B4F">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10.1供应商应按【谈判须知前附表】的规定，在提交响应文件的截止时间前提交不少于本谈判文件规定的人民币金额的谈判保证金。谈判保证金应当以转账、支票、本票或者金融机构、担保机构出具的保函等非现金形式提交。供应商未按照谈判文件要求提交谈判保证金的，视为非实质性响应，其响应文件不予接受。谈判保证金所有递交方式均以到账时间为准。</w:t>
      </w:r>
    </w:p>
    <w:p w14:paraId="79EE30DD">
      <w:pPr>
        <w:widowControl w:val="0"/>
        <w:wordWrap/>
        <w:adjustRightInd w:val="0"/>
        <w:snapToGrid w:val="0"/>
        <w:spacing w:line="560" w:lineRule="exact"/>
        <w:ind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10.2</w:t>
      </w:r>
      <w:r>
        <w:rPr>
          <w:rFonts w:hint="eastAsia" w:ascii="仿宋_GB2312" w:hAnsi="仿宋_GB2312" w:eastAsia="仿宋_GB2312" w:cs="仿宋_GB2312"/>
          <w:color w:val="auto"/>
          <w:kern w:val="2"/>
          <w:sz w:val="32"/>
          <w:szCs w:val="32"/>
          <w:lang w:val="zh-CN" w:eastAsia="zh-CN" w:bidi="ar-SA"/>
        </w:rPr>
        <w:t>供应商为联合体的，可以由联合体中的一方或者共同交纳保证金，其交纳的保证金，对联合体各方均具有约束力。</w:t>
      </w:r>
      <w:r>
        <w:rPr>
          <w:rFonts w:hint="eastAsia" w:ascii="仿宋_GB2312" w:hAnsi="仿宋_GB2312" w:eastAsia="仿宋_GB2312" w:cs="仿宋_GB2312"/>
          <w:color w:val="auto"/>
          <w:kern w:val="2"/>
          <w:sz w:val="32"/>
          <w:szCs w:val="32"/>
          <w:lang w:val="en-US" w:eastAsia="zh-CN" w:bidi="ar-SA"/>
        </w:rPr>
        <w:t xml:space="preserve">                                           </w:t>
      </w:r>
    </w:p>
    <w:p w14:paraId="78BFF6A4">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10.3保证金的退还按以下规定办理：</w:t>
      </w:r>
    </w:p>
    <w:p w14:paraId="0B628443">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（1）成交供应商的保证金，在政府采购合同签订后5个工作日内退还，但因供应商自身原因导致无法退还的除外。</w:t>
      </w:r>
    </w:p>
    <w:p w14:paraId="74A4B1A5">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（2）未成交供应商的保证金，在成交通知书发出后5个工作日内退还。</w:t>
      </w:r>
    </w:p>
    <w:p w14:paraId="633112A8">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（3）终止竞争性谈判采购活动的，在发布项目终止公告后5个工作日内退还。</w:t>
      </w:r>
    </w:p>
    <w:p w14:paraId="79B7B961">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10.4有下列情形之一的，保证金不予退还，并上缴同级财政国库：</w:t>
      </w:r>
    </w:p>
    <w:p w14:paraId="1A5DD524">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（1）供应商在提交响应文件截止时间后撤回响应文件的；</w:t>
      </w:r>
    </w:p>
    <w:p w14:paraId="0908988C">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（2）供应商在响应文件中提供虚假材料的；</w:t>
      </w:r>
    </w:p>
    <w:p w14:paraId="0F715302">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（3）除因不可抗力或谈判文件认可的情形以外，成交供应商不与采购人签订合同的； </w:t>
      </w:r>
    </w:p>
    <w:p w14:paraId="414DA90D">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（4）供应商与采购人、其他供应商或者采购代理机构恶意串通的； </w:t>
      </w:r>
    </w:p>
    <w:p w14:paraId="3F4BD1DF">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（5）谈判文件规定的其他情形。</w:t>
      </w:r>
    </w:p>
    <w:p w14:paraId="68702F5B">
      <w:pPr>
        <w:pStyle w:val="4"/>
        <w:widowControl w:val="0"/>
        <w:wordWrap/>
        <w:adjustRightInd w:val="0"/>
        <w:snapToGrid w:val="0"/>
        <w:spacing w:before="157" w:beforeLines="50" w:after="0" w:line="560" w:lineRule="exact"/>
        <w:ind w:firstLine="0" w:firstLineChars="0"/>
        <w:textAlignment w:val="auto"/>
        <w:outlineLvl w:val="2"/>
        <w:rPr>
          <w:rFonts w:hint="eastAsia" w:ascii="楷体_GB2312" w:hAnsi="楷体_GB2312" w:eastAsia="楷体_GB2312" w:cs="楷体_GB2312"/>
          <w:b/>
          <w:bCs/>
          <w:color w:val="auto"/>
          <w:kern w:val="2"/>
          <w:sz w:val="32"/>
          <w:szCs w:val="32"/>
          <w:lang w:val="en-US" w:eastAsia="zh-CN" w:bidi="ar-SA"/>
        </w:rPr>
      </w:pPr>
      <w:bookmarkStart w:id="87" w:name="_Toc14144"/>
      <w:bookmarkStart w:id="88" w:name="_Toc29837"/>
      <w:bookmarkStart w:id="89" w:name="_Toc5897"/>
      <w:bookmarkStart w:id="90" w:name="_Toc18765_WPSOffice_Level3"/>
      <w:bookmarkStart w:id="91" w:name="_Toc4945_WPSOffice_Level3"/>
      <w:r>
        <w:rPr>
          <w:rFonts w:hint="eastAsia" w:ascii="楷体_GB2312" w:hAnsi="楷体_GB2312" w:eastAsia="楷体_GB2312" w:cs="楷体_GB2312"/>
          <w:b/>
          <w:bCs/>
          <w:color w:val="auto"/>
          <w:kern w:val="2"/>
          <w:sz w:val="32"/>
          <w:szCs w:val="32"/>
          <w:lang w:val="en-US" w:eastAsia="zh-CN" w:bidi="ar-SA"/>
        </w:rPr>
        <w:t>11.响应文件的组成</w:t>
      </w:r>
      <w:bookmarkEnd w:id="87"/>
      <w:bookmarkEnd w:id="88"/>
      <w:bookmarkEnd w:id="89"/>
      <w:bookmarkEnd w:id="90"/>
      <w:bookmarkEnd w:id="91"/>
    </w:p>
    <w:p w14:paraId="3CEEA411">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11.1响应文件包括下列内容： </w:t>
      </w:r>
    </w:p>
    <w:p w14:paraId="157B3712">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lang w:val="en-US" w:eastAsia="zh-CN" w:bidi="ar-SA"/>
        </w:rPr>
        <w:t>供应商应提交相关证明材料，作为其参加谈判和成交后有能力履行合同的证明。编写的谈判响应文件须包括以下内容（</w:t>
      </w:r>
      <w:r>
        <w:rPr>
          <w:rFonts w:hint="eastAsia" w:ascii="仿宋_GB2312" w:hAnsi="仿宋_GB2312" w:eastAsia="仿宋_GB2312" w:cs="仿宋_GB2312"/>
          <w:color w:val="auto"/>
          <w:kern w:val="2"/>
          <w:sz w:val="32"/>
          <w:szCs w:val="32"/>
          <w:highlight w:val="none"/>
          <w:lang w:val="en-US" w:eastAsia="zh-CN" w:bidi="ar-SA"/>
        </w:rPr>
        <w:t>格式详见谈判文件第四部分内容）：</w:t>
      </w:r>
    </w:p>
    <w:p w14:paraId="36267D69">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11.1.1</w:t>
      </w:r>
      <w:r>
        <w:rPr>
          <w:rFonts w:hint="eastAsia" w:ascii="仿宋_GB2312" w:hAnsi="仿宋_GB2312" w:eastAsia="仿宋_GB2312" w:cs="仿宋_GB2312"/>
          <w:color w:val="auto"/>
          <w:kern w:val="2"/>
          <w:sz w:val="32"/>
          <w:szCs w:val="32"/>
          <w:lang w:val="zh-CN" w:eastAsia="zh-CN" w:bidi="ar-SA"/>
        </w:rPr>
        <w:t>资格审查部分</w:t>
      </w:r>
    </w:p>
    <w:p w14:paraId="3E3E16C7">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1、响应函</w:t>
      </w:r>
    </w:p>
    <w:p w14:paraId="4E1B7182">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2、法定代表人证明书</w:t>
      </w:r>
    </w:p>
    <w:p w14:paraId="73248F69">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3、法定代表人授权书</w:t>
      </w:r>
    </w:p>
    <w:p w14:paraId="665C3E65">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4、供应商承诺函</w:t>
      </w:r>
    </w:p>
    <w:p w14:paraId="67AD95CC">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5、供应商诚信承诺书</w:t>
      </w:r>
    </w:p>
    <w:p w14:paraId="7185C3C6">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6、供应商资格证明文件</w:t>
      </w:r>
    </w:p>
    <w:p w14:paraId="396948EB">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7、财务状况、缴纳税收和社会保障资金证明</w:t>
      </w:r>
    </w:p>
    <w:p w14:paraId="74A8F759">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8、具备履行合同所必须的设备和专业技术能力证明</w:t>
      </w:r>
    </w:p>
    <w:p w14:paraId="5712E7D1">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9、</w:t>
      </w:r>
      <w:r>
        <w:rPr>
          <w:rFonts w:hint="eastAsia" w:ascii="仿宋_GB2312" w:hAnsi="仿宋_GB2312" w:eastAsia="仿宋_GB2312" w:cs="仿宋_GB2312"/>
          <w:color w:val="auto"/>
          <w:kern w:val="2"/>
          <w:sz w:val="32"/>
          <w:szCs w:val="32"/>
          <w:lang w:val="zh-CN" w:eastAsia="zh-CN" w:bidi="ar-SA"/>
        </w:rPr>
        <w:t>无重大违法记录声明</w:t>
      </w:r>
    </w:p>
    <w:p w14:paraId="2EB681D5">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10</w:t>
      </w:r>
      <w:r>
        <w:rPr>
          <w:rFonts w:hint="eastAsia" w:ascii="仿宋_GB2312" w:hAnsi="仿宋_GB2312" w:eastAsia="仿宋_GB2312" w:cs="仿宋_GB2312"/>
          <w:color w:val="auto"/>
          <w:kern w:val="2"/>
          <w:sz w:val="32"/>
          <w:szCs w:val="32"/>
          <w:lang w:val="zh-CN" w:eastAsia="zh-CN" w:bidi="ar-SA"/>
        </w:rPr>
        <w:t>、谈判保证金证明</w:t>
      </w:r>
    </w:p>
    <w:p w14:paraId="4A5578C3">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11.1.2有效性、完整性、响应程度审查</w:t>
      </w:r>
      <w:r>
        <w:rPr>
          <w:rFonts w:hint="eastAsia" w:ascii="仿宋_GB2312" w:hAnsi="仿宋_GB2312" w:eastAsia="仿宋_GB2312" w:cs="仿宋_GB2312"/>
          <w:color w:val="auto"/>
          <w:kern w:val="2"/>
          <w:sz w:val="32"/>
          <w:szCs w:val="32"/>
          <w:lang w:val="zh-CN" w:eastAsia="zh-CN" w:bidi="ar-SA"/>
        </w:rPr>
        <w:t>部分</w:t>
      </w:r>
    </w:p>
    <w:p w14:paraId="097D962B">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1、谈判首次报价表</w:t>
      </w:r>
    </w:p>
    <w:p w14:paraId="6A1BD105">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2、分项报价表</w:t>
      </w:r>
    </w:p>
    <w:p w14:paraId="1F53467E">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3、</w:t>
      </w:r>
      <w:r>
        <w:rPr>
          <w:rFonts w:hint="eastAsia" w:ascii="仿宋_GB2312" w:hAnsi="仿宋_GB2312" w:eastAsia="仿宋_GB2312" w:cs="仿宋_GB2312"/>
          <w:color w:val="auto"/>
          <w:kern w:val="2"/>
          <w:sz w:val="32"/>
          <w:szCs w:val="32"/>
          <w:lang w:val="en-US" w:eastAsia="zh-CN" w:bidi="ar-SA"/>
        </w:rPr>
        <w:t>技术规格响应表</w:t>
      </w:r>
    </w:p>
    <w:p w14:paraId="2F423C99">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zh-CN" w:eastAsia="zh-CN" w:bidi="ar-SA"/>
        </w:rPr>
        <w:t>、所投产品相关资料</w:t>
      </w:r>
    </w:p>
    <w:p w14:paraId="38283C33">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2"/>
          <w:sz w:val="32"/>
          <w:szCs w:val="32"/>
          <w:lang w:val="zh-CN" w:eastAsia="zh-CN" w:bidi="ar-SA"/>
        </w:rPr>
        <w:t>、供应商的类似业绩证明</w:t>
      </w:r>
    </w:p>
    <w:p w14:paraId="2CA55D11">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2"/>
          <w:sz w:val="32"/>
          <w:szCs w:val="32"/>
          <w:lang w:val="zh-CN" w:eastAsia="zh-CN" w:bidi="ar-SA"/>
        </w:rPr>
        <w:t>供应商认为在其他方面有必要说明的事项</w:t>
      </w:r>
    </w:p>
    <w:p w14:paraId="709F1534">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2"/>
          <w:sz w:val="32"/>
          <w:szCs w:val="32"/>
          <w:lang w:val="zh-CN" w:eastAsia="zh-CN" w:bidi="ar-SA"/>
        </w:rPr>
        <w:t>、享受政府采购政策优惠的证明资料</w:t>
      </w:r>
    </w:p>
    <w:p w14:paraId="664F6FD2">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8、谈判最后报价表</w:t>
      </w:r>
    </w:p>
    <w:p w14:paraId="1B24E5D5">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zh-CN" w:eastAsia="zh-CN" w:bidi="ar-SA"/>
        </w:rPr>
        <w:t>供应商须按上述内容、顺序和格式编制响应文件，并按要求编制目录、页码，并保证所提供的全部资料真实可信，自愿承担相应责任。</w:t>
      </w:r>
    </w:p>
    <w:p w14:paraId="594263BB">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11.2在谈判过程中，供应商根据谈判小组书面形式要求提交的最后报价(</w:t>
      </w:r>
      <w:r>
        <w:rPr>
          <w:rFonts w:hint="eastAsia" w:ascii="仿宋_GB2312" w:hAnsi="仿宋_GB2312" w:eastAsia="仿宋_GB2312" w:cs="仿宋_GB2312"/>
          <w:color w:val="auto"/>
          <w:kern w:val="2"/>
          <w:sz w:val="32"/>
          <w:szCs w:val="32"/>
          <w:u w:val="single"/>
          <w:lang w:val="en-US" w:eastAsia="zh-CN" w:bidi="ar-SA"/>
        </w:rPr>
        <w:t>或者重新提交的响应文件和最后报价</w:t>
      </w:r>
      <w:r>
        <w:rPr>
          <w:rFonts w:hint="eastAsia" w:ascii="仿宋_GB2312" w:hAnsi="仿宋_GB2312" w:eastAsia="仿宋_GB2312" w:cs="仿宋_GB2312"/>
          <w:color w:val="auto"/>
          <w:kern w:val="2"/>
          <w:sz w:val="32"/>
          <w:szCs w:val="32"/>
          <w:lang w:val="en-US" w:eastAsia="zh-CN" w:bidi="ar-SA"/>
        </w:rPr>
        <w:t>)是响应文件的有效组成部分。</w:t>
      </w:r>
    </w:p>
    <w:p w14:paraId="1EA37811">
      <w:pPr>
        <w:pStyle w:val="4"/>
        <w:widowControl w:val="0"/>
        <w:wordWrap/>
        <w:adjustRightInd w:val="0"/>
        <w:snapToGrid w:val="0"/>
        <w:spacing w:before="157" w:beforeLines="50" w:after="0" w:line="560" w:lineRule="exact"/>
        <w:ind w:firstLine="0" w:firstLineChars="0"/>
        <w:textAlignment w:val="auto"/>
        <w:outlineLvl w:val="2"/>
        <w:rPr>
          <w:rFonts w:hint="eastAsia" w:ascii="楷体_GB2312" w:hAnsi="楷体_GB2312" w:eastAsia="楷体_GB2312" w:cs="楷体_GB2312"/>
          <w:b/>
          <w:bCs/>
          <w:color w:val="auto"/>
          <w:kern w:val="2"/>
          <w:sz w:val="32"/>
          <w:szCs w:val="32"/>
          <w:lang w:val="en-US" w:eastAsia="zh-CN" w:bidi="ar-SA"/>
        </w:rPr>
      </w:pPr>
      <w:bookmarkStart w:id="92" w:name="_Toc11674"/>
      <w:bookmarkStart w:id="93" w:name="_Toc14930_WPSOffice_Level3"/>
      <w:bookmarkStart w:id="94" w:name="_Toc3694_WPSOffice_Level3"/>
      <w:bookmarkStart w:id="95" w:name="_Toc26621"/>
      <w:bookmarkStart w:id="96" w:name="_Toc6423"/>
      <w:r>
        <w:rPr>
          <w:rFonts w:hint="eastAsia" w:ascii="楷体_GB2312" w:hAnsi="楷体_GB2312" w:eastAsia="楷体_GB2312" w:cs="楷体_GB2312"/>
          <w:b/>
          <w:bCs/>
          <w:color w:val="auto"/>
          <w:kern w:val="2"/>
          <w:sz w:val="32"/>
          <w:szCs w:val="32"/>
          <w:lang w:val="en-US" w:eastAsia="zh-CN" w:bidi="ar-SA"/>
        </w:rPr>
        <w:t>12.响应文件有效期</w:t>
      </w:r>
      <w:bookmarkEnd w:id="92"/>
      <w:bookmarkEnd w:id="93"/>
      <w:bookmarkEnd w:id="94"/>
      <w:bookmarkEnd w:id="95"/>
      <w:bookmarkEnd w:id="96"/>
    </w:p>
    <w:p w14:paraId="4F67F59E">
      <w:pPr>
        <w:widowControl w:val="0"/>
        <w:wordWrap/>
        <w:adjustRightInd w:val="0"/>
        <w:snapToGrid w:val="0"/>
        <w:spacing w:before="157" w:beforeLines="50"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响应文件有效期见【谈判须知前附表】，在此期间响应文件对供应商具有法律约束力，从提交首次响应文件截止时间之日起计算。响应文件有效期不足的将被视为无效响应。</w:t>
      </w:r>
    </w:p>
    <w:p w14:paraId="59482B83">
      <w:pPr>
        <w:pStyle w:val="4"/>
        <w:widowControl w:val="0"/>
        <w:wordWrap/>
        <w:adjustRightInd w:val="0"/>
        <w:snapToGrid w:val="0"/>
        <w:spacing w:before="157" w:beforeLines="50" w:after="0" w:line="560" w:lineRule="exact"/>
        <w:ind w:firstLine="0" w:firstLineChars="0"/>
        <w:textAlignment w:val="auto"/>
        <w:outlineLvl w:val="2"/>
        <w:rPr>
          <w:rFonts w:hint="eastAsia" w:ascii="楷体_GB2312" w:hAnsi="楷体_GB2312" w:eastAsia="楷体_GB2312" w:cs="楷体_GB2312"/>
          <w:b/>
          <w:bCs/>
          <w:color w:val="auto"/>
          <w:kern w:val="2"/>
          <w:sz w:val="32"/>
          <w:szCs w:val="32"/>
          <w:lang w:val="en-US" w:eastAsia="zh-CN" w:bidi="ar-SA"/>
        </w:rPr>
      </w:pPr>
      <w:bookmarkStart w:id="97" w:name="_Toc17034"/>
      <w:bookmarkStart w:id="98" w:name="_Toc8507_WPSOffice_Level3"/>
      <w:bookmarkStart w:id="99" w:name="_Toc20265"/>
      <w:bookmarkStart w:id="100" w:name="_Toc31682_WPSOffice_Level3"/>
      <w:bookmarkStart w:id="101" w:name="_Toc21033"/>
      <w:r>
        <w:rPr>
          <w:rFonts w:hint="eastAsia" w:ascii="楷体_GB2312" w:hAnsi="楷体_GB2312" w:eastAsia="楷体_GB2312" w:cs="楷体_GB2312"/>
          <w:b/>
          <w:bCs/>
          <w:color w:val="auto"/>
          <w:kern w:val="2"/>
          <w:sz w:val="32"/>
          <w:szCs w:val="32"/>
          <w:lang w:val="en-US" w:eastAsia="zh-CN" w:bidi="ar-SA"/>
        </w:rPr>
        <w:t>13.响应文件的签署及规定</w:t>
      </w:r>
      <w:bookmarkEnd w:id="97"/>
      <w:bookmarkEnd w:id="98"/>
      <w:bookmarkEnd w:id="99"/>
      <w:bookmarkEnd w:id="100"/>
      <w:bookmarkEnd w:id="101"/>
    </w:p>
    <w:p w14:paraId="7BCC6A40">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13.1响应文件应按谈判文件要求签字盖章。供应商代表可为供应商法定代表人(非法人组织为负责人或合伙人、个体工商户为负责人，谈判文件统称单位负责人)；供应商代表不是供应商的法定代表人（单位负责人）的，应提供法定代表人（单位负责人）授权委托书。</w:t>
      </w:r>
    </w:p>
    <w:p w14:paraId="6C40DAA0">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13.2 供应商应按照谈判文件所提供的文件格式，分别填写谈判文件第四部分的内容，应分别注明所提供货物的名称、技术配置及参数、数量和价格等内容；谈判文件要求签字、盖章的地方必须由供应商的法定代表人或委托代理人签字、盖章齐全上传扫描件或由供应商的法定代表人或委托代理人电子签字、盖单位电子章。</w:t>
      </w:r>
    </w:p>
    <w:p w14:paraId="2C67829F">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13.3响应文件不得行间插字，若有修改错漏处，应由供应商法定代表人或者其委托代理人签字、加盖公章。否则，将导致响应文件无效。</w:t>
      </w:r>
    </w:p>
    <w:p w14:paraId="2DD2B15A">
      <w:pPr>
        <w:widowControl w:val="0"/>
        <w:wordWrap/>
        <w:adjustRightInd w:val="0"/>
        <w:snapToGrid w:val="0"/>
        <w:spacing w:before="157" w:beforeLines="50" w:line="560" w:lineRule="exact"/>
        <w:jc w:val="center"/>
        <w:textAlignment w:val="auto"/>
        <w:outlineLvl w:val="1"/>
        <w:rPr>
          <w:rFonts w:hint="default" w:ascii="黑体" w:hAnsi="黑体" w:eastAsia="黑体" w:cs="黑体"/>
          <w:b w:val="0"/>
          <w:bCs w:val="0"/>
          <w:color w:val="auto"/>
          <w:kern w:val="2"/>
          <w:sz w:val="32"/>
          <w:szCs w:val="32"/>
          <w:lang w:val="en-US" w:eastAsia="zh-CN" w:bidi="ar-SA"/>
        </w:rPr>
      </w:pPr>
      <w:bookmarkStart w:id="102" w:name="_Toc32627_WPSOffice_Level2"/>
      <w:bookmarkStart w:id="103" w:name="_Toc24112_WPSOffice_Level2"/>
      <w:bookmarkStart w:id="104" w:name="_Toc7979"/>
      <w:bookmarkStart w:id="105" w:name="_Toc30575"/>
      <w:bookmarkStart w:id="106" w:name="_Toc25869"/>
      <w:bookmarkStart w:id="107" w:name="_Toc34637768"/>
      <w:bookmarkStart w:id="108" w:name="_Toc8361"/>
      <w:bookmarkStart w:id="109" w:name="_Toc31349_WPSOffice_Level2"/>
      <w:r>
        <w:rPr>
          <w:rFonts w:hint="eastAsia" w:ascii="黑体" w:hAnsi="黑体" w:eastAsia="黑体" w:cs="黑体"/>
          <w:b w:val="0"/>
          <w:bCs w:val="0"/>
          <w:color w:val="auto"/>
          <w:kern w:val="2"/>
          <w:sz w:val="32"/>
          <w:szCs w:val="32"/>
          <w:lang w:val="en-US" w:eastAsia="zh-CN" w:bidi="ar-SA"/>
        </w:rPr>
        <w:t>四、</w:t>
      </w:r>
      <w:bookmarkEnd w:id="102"/>
      <w:bookmarkEnd w:id="103"/>
      <w:bookmarkEnd w:id="104"/>
      <w:bookmarkEnd w:id="105"/>
      <w:bookmarkEnd w:id="106"/>
      <w:bookmarkEnd w:id="107"/>
      <w:bookmarkEnd w:id="108"/>
      <w:bookmarkEnd w:id="109"/>
      <w:r>
        <w:rPr>
          <w:rFonts w:hint="eastAsia" w:ascii="黑体" w:hAnsi="黑体" w:eastAsia="黑体" w:cs="黑体"/>
          <w:b w:val="0"/>
          <w:bCs w:val="0"/>
          <w:color w:val="auto"/>
          <w:kern w:val="2"/>
          <w:sz w:val="32"/>
          <w:szCs w:val="32"/>
          <w:lang w:val="en-US" w:eastAsia="zh-CN" w:bidi="ar-SA"/>
        </w:rPr>
        <w:t>响应文件的递交</w:t>
      </w:r>
    </w:p>
    <w:p w14:paraId="4724A71E">
      <w:pPr>
        <w:widowControl w:val="0"/>
        <w:wordWrap/>
        <w:adjustRightInd w:val="0"/>
        <w:snapToGrid w:val="0"/>
        <w:spacing w:line="560" w:lineRule="exact"/>
        <w:jc w:val="left"/>
        <w:textAlignment w:val="auto"/>
        <w:rPr>
          <w:rFonts w:hint="eastAsia" w:ascii="仿宋_GB2312" w:hAnsi="仿宋_GB2312" w:eastAsia="仿宋_GB2312" w:cs="仿宋_GB2312"/>
          <w:b/>
          <w:bCs/>
          <w:color w:val="auto"/>
          <w:kern w:val="2"/>
          <w:sz w:val="32"/>
          <w:szCs w:val="32"/>
          <w:lang w:val="en-US" w:eastAsia="zh-CN" w:bidi="ar-SA"/>
        </w:rPr>
      </w:pPr>
      <w:bookmarkStart w:id="110" w:name="_Toc412617731"/>
      <w:bookmarkStart w:id="111" w:name="_Toc325726016"/>
      <w:bookmarkStart w:id="112" w:name="_Toc373392582"/>
      <w:bookmarkStart w:id="113" w:name="_Toc28078163"/>
      <w:bookmarkStart w:id="114" w:name="_Toc10968"/>
      <w:bookmarkStart w:id="115" w:name="_Toc18610_WPSOffice_Level2"/>
      <w:bookmarkStart w:id="116" w:name="_Toc25721_WPSOffice_Level2"/>
      <w:bookmarkStart w:id="117" w:name="_Toc31993"/>
      <w:bookmarkStart w:id="118" w:name="_Toc32597"/>
      <w:bookmarkStart w:id="119" w:name="_Toc12974"/>
      <w:bookmarkStart w:id="120" w:name="_Toc29785_WPSOffice_Level2"/>
      <w:bookmarkStart w:id="121" w:name="_Toc34637769"/>
      <w:r>
        <w:rPr>
          <w:rFonts w:hint="eastAsia" w:ascii="仿宋_GB2312" w:hAnsi="仿宋_GB2312" w:eastAsia="仿宋_GB2312" w:cs="仿宋_GB2312"/>
          <w:b/>
          <w:bCs/>
          <w:color w:val="auto"/>
          <w:kern w:val="2"/>
          <w:sz w:val="32"/>
          <w:szCs w:val="32"/>
          <w:lang w:val="en-US" w:eastAsia="zh-CN" w:bidi="ar-SA"/>
        </w:rPr>
        <w:t>14.</w:t>
      </w:r>
      <w:bookmarkEnd w:id="110"/>
      <w:bookmarkEnd w:id="111"/>
      <w:bookmarkEnd w:id="112"/>
      <w:r>
        <w:rPr>
          <w:rFonts w:hint="eastAsia" w:ascii="仿宋_GB2312" w:hAnsi="仿宋_GB2312" w:eastAsia="仿宋_GB2312" w:cs="仿宋_GB2312"/>
          <w:b/>
          <w:bCs/>
          <w:color w:val="auto"/>
          <w:kern w:val="2"/>
          <w:sz w:val="32"/>
          <w:szCs w:val="32"/>
          <w:lang w:val="en-US" w:eastAsia="zh-CN" w:bidi="ar-SA"/>
        </w:rPr>
        <w:t>网上投标</w:t>
      </w:r>
      <w:bookmarkEnd w:id="113"/>
    </w:p>
    <w:p w14:paraId="6F1680C6">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14.1供应商应在政采云平台（https://www.zcygov.cn/）上报价并上传电子响应文件。</w:t>
      </w:r>
    </w:p>
    <w:p w14:paraId="21A143FB">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14.2供应商应按包报价。</w:t>
      </w:r>
    </w:p>
    <w:p w14:paraId="7C0BAE04">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14.3 开标时的“首次报价表”由各供应商网上报价生成。</w:t>
      </w:r>
    </w:p>
    <w:p w14:paraId="12B24112">
      <w:pPr>
        <w:widowControl w:val="0"/>
        <w:wordWrap/>
        <w:adjustRightInd w:val="0"/>
        <w:snapToGrid w:val="0"/>
        <w:spacing w:line="560" w:lineRule="exact"/>
        <w:jc w:val="left"/>
        <w:textAlignment w:val="auto"/>
        <w:rPr>
          <w:rFonts w:hint="eastAsia" w:ascii="仿宋_GB2312" w:hAnsi="仿宋_GB2312" w:eastAsia="仿宋_GB2312" w:cs="仿宋_GB2312"/>
          <w:b/>
          <w:bCs/>
          <w:color w:val="auto"/>
          <w:kern w:val="2"/>
          <w:sz w:val="32"/>
          <w:szCs w:val="32"/>
          <w:lang w:val="en-US" w:eastAsia="zh-CN" w:bidi="ar-SA"/>
        </w:rPr>
      </w:pPr>
      <w:bookmarkStart w:id="122" w:name="_Toc26106"/>
      <w:bookmarkStart w:id="123" w:name="_Toc28078164"/>
      <w:bookmarkStart w:id="124" w:name="_Toc6310"/>
      <w:bookmarkStart w:id="125" w:name="_Toc1747"/>
      <w:r>
        <w:rPr>
          <w:rFonts w:hint="eastAsia" w:ascii="仿宋_GB2312" w:hAnsi="仿宋_GB2312" w:eastAsia="仿宋_GB2312" w:cs="仿宋_GB2312"/>
          <w:b/>
          <w:bCs/>
          <w:color w:val="auto"/>
          <w:kern w:val="2"/>
          <w:sz w:val="32"/>
          <w:szCs w:val="32"/>
          <w:lang w:val="en-US" w:eastAsia="zh-CN" w:bidi="ar-SA"/>
        </w:rPr>
        <w:t>15.</w:t>
      </w:r>
      <w:bookmarkEnd w:id="122"/>
      <w:bookmarkEnd w:id="123"/>
      <w:r>
        <w:rPr>
          <w:rFonts w:hint="eastAsia" w:ascii="仿宋_GB2312" w:hAnsi="仿宋_GB2312" w:eastAsia="仿宋_GB2312" w:cs="仿宋_GB2312"/>
          <w:b/>
          <w:bCs/>
          <w:color w:val="auto"/>
          <w:kern w:val="2"/>
          <w:sz w:val="32"/>
          <w:szCs w:val="32"/>
          <w:lang w:val="en-US" w:eastAsia="zh-CN" w:bidi="ar-SA"/>
        </w:rPr>
        <w:t xml:space="preserve">响应文件的递交与接收 </w:t>
      </w:r>
    </w:p>
    <w:p w14:paraId="2FAF4DE5">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 xml:space="preserve">15.1 供应商应当在谈判文件要求提交谈判响应文件的截止时间前，将谈判响应文件上传至政采云投标客户端，并在开标后30 分钟内完成远程解密。 </w:t>
      </w:r>
    </w:p>
    <w:p w14:paraId="47ACCECA">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15.2 供应商在谈判文件要求提交谈判响应文件的截止时间及开标时间前，未将谈判响应文件上传至政采云投标客户端、或文件解密失败的，视为无效投标。</w:t>
      </w:r>
    </w:p>
    <w:p w14:paraId="200143D4">
      <w:pPr>
        <w:widowControl w:val="0"/>
        <w:wordWrap/>
        <w:adjustRightInd w:val="0"/>
        <w:snapToGrid w:val="0"/>
        <w:spacing w:line="560" w:lineRule="exact"/>
        <w:jc w:val="left"/>
        <w:textAlignment w:val="auto"/>
        <w:rPr>
          <w:rFonts w:hint="eastAsia" w:ascii="仿宋_GB2312" w:hAnsi="仿宋_GB2312" w:eastAsia="仿宋_GB2312" w:cs="仿宋_GB2312"/>
          <w:b/>
          <w:bCs/>
          <w:color w:val="auto"/>
          <w:kern w:val="2"/>
          <w:sz w:val="32"/>
          <w:szCs w:val="32"/>
          <w:lang w:val="en-US" w:eastAsia="zh-CN" w:bidi="ar-SA"/>
        </w:rPr>
      </w:pPr>
      <w:bookmarkStart w:id="126" w:name="_Toc23054"/>
      <w:r>
        <w:rPr>
          <w:rFonts w:hint="eastAsia" w:ascii="仿宋_GB2312" w:hAnsi="仿宋_GB2312" w:eastAsia="仿宋_GB2312" w:cs="仿宋_GB2312"/>
          <w:b/>
          <w:bCs/>
          <w:color w:val="auto"/>
          <w:kern w:val="2"/>
          <w:sz w:val="32"/>
          <w:szCs w:val="32"/>
          <w:lang w:val="en-US" w:eastAsia="zh-CN" w:bidi="ar-SA"/>
        </w:rPr>
        <w:t>16.</w:t>
      </w:r>
      <w:bookmarkEnd w:id="124"/>
      <w:bookmarkEnd w:id="125"/>
      <w:bookmarkEnd w:id="126"/>
      <w:r>
        <w:rPr>
          <w:rFonts w:hint="eastAsia" w:ascii="仿宋_GB2312" w:hAnsi="仿宋_GB2312" w:eastAsia="仿宋_GB2312" w:cs="仿宋_GB2312"/>
          <w:b/>
          <w:bCs/>
          <w:color w:val="auto"/>
          <w:kern w:val="2"/>
          <w:sz w:val="32"/>
          <w:szCs w:val="32"/>
          <w:lang w:val="en-US" w:eastAsia="zh-CN" w:bidi="ar-SA"/>
        </w:rPr>
        <w:t>响应文件的补充、修改或者撤回</w:t>
      </w:r>
    </w:p>
    <w:p w14:paraId="6E07191A">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供应商在谈判截止时间前，可以对所递交的响应文件进行补充、修改或者撤回，并书面通知采购人或者采购代理机构。补充、修改的内容作为响应文件的组成部分，补充、修改的内容与响应文件不一致的，以补充、修改的内容为准。</w:t>
      </w:r>
    </w:p>
    <w:p w14:paraId="13D62AA6">
      <w:pPr>
        <w:wordWrap/>
        <w:adjustRightInd w:val="0"/>
        <w:snapToGrid w:val="0"/>
        <w:spacing w:before="157" w:beforeLines="50" w:line="560" w:lineRule="exact"/>
        <w:jc w:val="center"/>
        <w:outlineLvl w:val="1"/>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五、响应文件的评审与谈判</w:t>
      </w:r>
      <w:bookmarkEnd w:id="114"/>
      <w:bookmarkEnd w:id="115"/>
      <w:bookmarkEnd w:id="116"/>
      <w:bookmarkEnd w:id="117"/>
      <w:bookmarkEnd w:id="118"/>
      <w:bookmarkEnd w:id="119"/>
      <w:bookmarkEnd w:id="120"/>
      <w:bookmarkEnd w:id="121"/>
    </w:p>
    <w:p w14:paraId="0DB33C95">
      <w:pPr>
        <w:pStyle w:val="4"/>
        <w:widowControl w:val="0"/>
        <w:wordWrap/>
        <w:adjustRightInd w:val="0"/>
        <w:snapToGrid w:val="0"/>
        <w:spacing w:before="157" w:beforeLines="50" w:after="0" w:line="560" w:lineRule="exact"/>
        <w:ind w:firstLine="0" w:firstLineChars="0"/>
        <w:textAlignment w:val="auto"/>
        <w:outlineLvl w:val="2"/>
        <w:rPr>
          <w:rFonts w:hint="eastAsia" w:ascii="楷体_GB2312" w:hAnsi="楷体_GB2312" w:eastAsia="楷体_GB2312" w:cs="楷体_GB2312"/>
          <w:b/>
          <w:bCs/>
          <w:color w:val="auto"/>
          <w:kern w:val="2"/>
          <w:sz w:val="32"/>
          <w:szCs w:val="32"/>
          <w:lang w:val="en-US" w:eastAsia="zh-CN" w:bidi="ar-SA"/>
        </w:rPr>
      </w:pPr>
      <w:bookmarkStart w:id="127" w:name="_Toc18713_WPSOffice_Level3"/>
      <w:bookmarkStart w:id="128" w:name="_Toc19596_WPSOffice_Level3"/>
      <w:bookmarkStart w:id="129" w:name="_Toc13366"/>
      <w:bookmarkStart w:id="130" w:name="_Toc26446"/>
      <w:bookmarkStart w:id="131" w:name="_Toc174"/>
      <w:r>
        <w:rPr>
          <w:rFonts w:hint="eastAsia" w:ascii="楷体_GB2312" w:hAnsi="楷体_GB2312" w:eastAsia="楷体_GB2312" w:cs="楷体_GB2312"/>
          <w:b/>
          <w:bCs/>
          <w:color w:val="auto"/>
          <w:kern w:val="2"/>
          <w:sz w:val="32"/>
          <w:szCs w:val="32"/>
          <w:lang w:val="en-US" w:eastAsia="zh-CN" w:bidi="ar-SA"/>
        </w:rPr>
        <w:t>17.谈判小组</w:t>
      </w:r>
      <w:bookmarkEnd w:id="127"/>
      <w:bookmarkEnd w:id="128"/>
      <w:bookmarkEnd w:id="129"/>
      <w:bookmarkEnd w:id="130"/>
      <w:bookmarkEnd w:id="131"/>
    </w:p>
    <w:p w14:paraId="660C01FE">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17.1竞争性谈判小组由采购人代表和评审专家共</w:t>
      </w:r>
      <w:r>
        <w:rPr>
          <w:rFonts w:hint="eastAsia" w:ascii="仿宋_GB2312" w:hAnsi="仿宋_GB2312" w:eastAsia="仿宋_GB2312" w:cs="仿宋_GB2312"/>
          <w:color w:val="auto"/>
          <w:kern w:val="2"/>
          <w:sz w:val="32"/>
          <w:szCs w:val="32"/>
          <w:u w:val="single"/>
          <w:lang w:val="en-US" w:eastAsia="zh-CN" w:bidi="ar-SA"/>
        </w:rPr>
        <w:t xml:space="preserve"> 3 </w:t>
      </w:r>
      <w:r>
        <w:rPr>
          <w:rFonts w:hint="eastAsia" w:ascii="仿宋_GB2312" w:hAnsi="仿宋_GB2312" w:eastAsia="仿宋_GB2312" w:cs="仿宋_GB2312"/>
          <w:color w:val="auto"/>
          <w:kern w:val="2"/>
          <w:sz w:val="32"/>
          <w:szCs w:val="32"/>
          <w:lang w:val="en-US" w:eastAsia="zh-CN" w:bidi="ar-SA"/>
        </w:rPr>
        <w:t>人组成（3人以上单数组成），其中评审专家</w:t>
      </w:r>
      <w:r>
        <w:rPr>
          <w:rFonts w:hint="eastAsia" w:ascii="仿宋_GB2312" w:hAnsi="仿宋_GB2312" w:eastAsia="仿宋_GB2312" w:cs="仿宋_GB2312"/>
          <w:color w:val="auto"/>
          <w:kern w:val="2"/>
          <w:sz w:val="32"/>
          <w:szCs w:val="32"/>
          <w:u w:val="single"/>
          <w:lang w:val="en-US" w:eastAsia="zh-CN" w:bidi="ar-SA"/>
        </w:rPr>
        <w:t xml:space="preserve"> 2 </w:t>
      </w:r>
      <w:r>
        <w:rPr>
          <w:rFonts w:hint="eastAsia" w:ascii="仿宋_GB2312" w:hAnsi="仿宋_GB2312" w:eastAsia="仿宋_GB2312" w:cs="仿宋_GB2312"/>
          <w:color w:val="auto"/>
          <w:kern w:val="2"/>
          <w:sz w:val="32"/>
          <w:szCs w:val="32"/>
          <w:lang w:val="en-US" w:eastAsia="zh-CN" w:bidi="ar-SA"/>
        </w:rPr>
        <w:t>名（评审专家人数不得少于竞争性谈判小组成员总数的2/3）。采购人不得以评审专家身份参加本采购项目的评审。谈判小组评审专家从政府采购评审专家库内相关专业的专家名单中随机抽取。</w:t>
      </w:r>
    </w:p>
    <w:p w14:paraId="474D6C22">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17.2谈判由采购代理机构负责组织，具体谈判事务由依法组建的谈判小组负责，并独立履行下列职责：</w:t>
      </w:r>
    </w:p>
    <w:p w14:paraId="0CEC06E3">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u w:val="none"/>
          <w:lang w:val="en-US" w:eastAsia="zh-CN" w:bidi="ar-SA"/>
        </w:rPr>
        <w:t>确认谈判文件</w:t>
      </w:r>
      <w:r>
        <w:rPr>
          <w:rFonts w:hint="eastAsia" w:ascii="仿宋_GB2312" w:hAnsi="仿宋_GB2312" w:eastAsia="仿宋_GB2312" w:cs="仿宋_GB2312"/>
          <w:color w:val="auto"/>
          <w:kern w:val="2"/>
          <w:sz w:val="32"/>
          <w:szCs w:val="32"/>
          <w:lang w:val="en-US" w:eastAsia="zh-CN" w:bidi="ar-SA"/>
        </w:rPr>
        <w:t>；</w:t>
      </w:r>
    </w:p>
    <w:p w14:paraId="576F69B7">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（2）审查供应商的响应文件并作出评价；</w:t>
      </w:r>
    </w:p>
    <w:p w14:paraId="71217201">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（3）要求供应商对谈判文件有关事项作出澄清或者说明；</w:t>
      </w:r>
    </w:p>
    <w:p w14:paraId="74B4861C">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（4）编写评审报告；</w:t>
      </w:r>
    </w:p>
    <w:p w14:paraId="2AE112A2">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（5）确定成交候选人名单，以及根据采购人委托直接确定成交供应商；</w:t>
      </w:r>
    </w:p>
    <w:p w14:paraId="56FECC48">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（6）告知采购人、采购代理机构在评审过程中发现的供应商的违法违规行为。</w:t>
      </w:r>
    </w:p>
    <w:p w14:paraId="72C7C779">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17.3谈判小组应遵守并履行下列义务：</w:t>
      </w:r>
    </w:p>
    <w:p w14:paraId="40106F04">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（1）遵纪守法，客观、公正、廉洁地履行职责；</w:t>
      </w:r>
    </w:p>
    <w:p w14:paraId="05A2F278">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（2）按照谈判文件规定的成交方法评审，对评审意见承担谈判小组成员责任；</w:t>
      </w:r>
    </w:p>
    <w:p w14:paraId="1E6D54C3">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（3）对谈判响应文件、谈判情况和谈判中获悉的国家秘密、商业秘密保密；</w:t>
      </w:r>
    </w:p>
    <w:p w14:paraId="2E8AD732">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（4）参与评审报告的起草；</w:t>
      </w:r>
    </w:p>
    <w:p w14:paraId="480E16D5">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（5）配合采购人、采购代理机构答复供应商提出的质疑；</w:t>
      </w:r>
    </w:p>
    <w:p w14:paraId="0B01A64B">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（6）配合财政部门的投诉处理和监督检查工作。</w:t>
      </w:r>
    </w:p>
    <w:p w14:paraId="2263985C">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17.4谈判小组成员有下列情形之一的，应当回避：</w:t>
      </w:r>
    </w:p>
    <w:p w14:paraId="54D02F3E">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（1）参加采购活动前 3 年内与供应商存在劳动关系；</w:t>
      </w:r>
    </w:p>
    <w:p w14:paraId="06513611">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（2）参加采购活动前 3 年内担任供应商的董事、监事；</w:t>
      </w:r>
    </w:p>
    <w:p w14:paraId="3140C897">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（3）参加采购活动前 3 年内是供应商的控股股东或者实际控制人；</w:t>
      </w:r>
    </w:p>
    <w:p w14:paraId="2F33EE4A">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（4）与供应商的法定代表人或者负责人有夫妻、直系血亲、三代以内旁系血亲或者近姻亲关系；</w:t>
      </w:r>
    </w:p>
    <w:p w14:paraId="26B7C06A">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（5）与供应商有其他可能影响政府采购活动公平、公正进行的关系。</w:t>
      </w:r>
      <w:bookmarkStart w:id="132" w:name="_Toc16350_WPSOffice_Level3"/>
      <w:bookmarkStart w:id="133" w:name="_Toc19122"/>
    </w:p>
    <w:p w14:paraId="6BC8FDC9">
      <w:pPr>
        <w:pStyle w:val="4"/>
        <w:widowControl w:val="0"/>
        <w:wordWrap/>
        <w:adjustRightInd w:val="0"/>
        <w:snapToGrid w:val="0"/>
        <w:spacing w:before="157" w:beforeLines="50" w:after="0" w:line="560" w:lineRule="exact"/>
        <w:ind w:firstLine="0" w:firstLineChars="0"/>
        <w:textAlignment w:val="auto"/>
        <w:outlineLvl w:val="2"/>
        <w:rPr>
          <w:rFonts w:hint="default" w:ascii="楷体_GB2312" w:hAnsi="楷体_GB2312" w:eastAsia="楷体_GB2312" w:cs="楷体_GB2312"/>
          <w:b/>
          <w:bCs/>
          <w:color w:val="auto"/>
          <w:kern w:val="2"/>
          <w:sz w:val="32"/>
          <w:szCs w:val="32"/>
          <w:lang w:val="en-US" w:eastAsia="zh-CN" w:bidi="ar-SA"/>
        </w:rPr>
      </w:pPr>
      <w:bookmarkStart w:id="134" w:name="_Toc22044_WPSOffice_Level3"/>
      <w:bookmarkStart w:id="135" w:name="_Toc32601"/>
      <w:r>
        <w:rPr>
          <w:rFonts w:hint="eastAsia" w:ascii="楷体_GB2312" w:hAnsi="楷体_GB2312" w:eastAsia="楷体_GB2312" w:cs="楷体_GB2312"/>
          <w:b/>
          <w:bCs/>
          <w:color w:val="auto"/>
          <w:kern w:val="2"/>
          <w:sz w:val="32"/>
          <w:szCs w:val="32"/>
          <w:lang w:val="en-US" w:eastAsia="zh-CN" w:bidi="ar-SA"/>
        </w:rPr>
        <w:t>18.响应文件审查</w:t>
      </w:r>
      <w:bookmarkEnd w:id="132"/>
      <w:bookmarkEnd w:id="133"/>
      <w:bookmarkEnd w:id="134"/>
      <w:bookmarkEnd w:id="135"/>
    </w:p>
    <w:p w14:paraId="1261E4F7">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18.1谈判小组应当对响应文件进行评审，并根据谈判文件规定的程序、评定成交的标准等事项与实质性响应谈判文件要求的供应商进行谈判。</w:t>
      </w:r>
    </w:p>
    <w:p w14:paraId="4C107590">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18.2在对供应商进行审查时，存在下列情况之一的，按无效处理：</w:t>
      </w:r>
    </w:p>
    <w:p w14:paraId="76F9B17F">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（1）不符合谈判文件第一部分谈判邀请“供应商资格条件”的；</w:t>
      </w:r>
    </w:p>
    <w:p w14:paraId="25D4D6C3">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（2）未按第11.1.1款“</w:t>
      </w:r>
      <w:r>
        <w:rPr>
          <w:rFonts w:hint="eastAsia" w:ascii="仿宋_GB2312" w:hAnsi="仿宋_GB2312" w:eastAsia="仿宋_GB2312" w:cs="仿宋_GB2312"/>
          <w:color w:val="auto"/>
          <w:kern w:val="2"/>
          <w:sz w:val="32"/>
          <w:szCs w:val="32"/>
          <w:lang w:val="zh-CN" w:eastAsia="zh-CN" w:bidi="ar-SA"/>
        </w:rPr>
        <w:t>资格审查部分</w:t>
      </w:r>
      <w:r>
        <w:rPr>
          <w:rFonts w:hint="eastAsia" w:ascii="仿宋_GB2312" w:hAnsi="仿宋_GB2312" w:eastAsia="仿宋_GB2312" w:cs="仿宋_GB2312"/>
          <w:color w:val="auto"/>
          <w:kern w:val="2"/>
          <w:sz w:val="32"/>
          <w:szCs w:val="32"/>
          <w:lang w:val="en-US" w:eastAsia="zh-CN" w:bidi="ar-SA"/>
        </w:rPr>
        <w:t>”要求提供相关资料的；</w:t>
      </w:r>
    </w:p>
    <w:p w14:paraId="417D99F6">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（3）响应文件没有按谈判文件规定和要求签字、盖章的；</w:t>
      </w:r>
    </w:p>
    <w:p w14:paraId="68C0E56C">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（4）谈判有效期、交货期不能满足谈判文件要求的；</w:t>
      </w:r>
    </w:p>
    <w:p w14:paraId="637A7FD1">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（5）谈判报价超过谈判文件规定的采购预算额度或最高限价的；</w:t>
      </w:r>
    </w:p>
    <w:p w14:paraId="22E2D912">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（6）所提供产品的技术规格、技术标准明显不符合采购项目要求的；</w:t>
      </w:r>
    </w:p>
    <w:p w14:paraId="14CD880B">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（7）谈判响应文件含有采购人不能接受的附加条件的；</w:t>
      </w:r>
    </w:p>
    <w:p w14:paraId="21CBCD12">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（8）响应文件不满足谈判文件实质性要求和条件的；</w:t>
      </w:r>
    </w:p>
    <w:p w14:paraId="7C8EB832">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（9）谈判小组认为应按无效谈判处理的其他情况；</w:t>
      </w:r>
    </w:p>
    <w:p w14:paraId="1973D4C6">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（10）法律、法规规定的其他情形。</w:t>
      </w:r>
    </w:p>
    <w:p w14:paraId="1537D61E">
      <w:pPr>
        <w:pStyle w:val="4"/>
        <w:widowControl w:val="0"/>
        <w:wordWrap/>
        <w:adjustRightInd w:val="0"/>
        <w:snapToGrid w:val="0"/>
        <w:spacing w:before="157" w:beforeLines="50" w:after="0" w:line="560" w:lineRule="exact"/>
        <w:ind w:firstLine="0" w:firstLineChars="0"/>
        <w:textAlignment w:val="auto"/>
        <w:outlineLvl w:val="2"/>
        <w:rPr>
          <w:rFonts w:hint="eastAsia" w:ascii="楷体_GB2312" w:hAnsi="楷体_GB2312" w:eastAsia="楷体_GB2312" w:cs="楷体_GB2312"/>
          <w:b/>
          <w:bCs/>
          <w:color w:val="auto"/>
          <w:kern w:val="2"/>
          <w:sz w:val="32"/>
          <w:szCs w:val="32"/>
          <w:lang w:val="en-US" w:eastAsia="zh-CN" w:bidi="ar-SA"/>
        </w:rPr>
      </w:pPr>
      <w:bookmarkStart w:id="136" w:name="_Toc11154"/>
      <w:bookmarkStart w:id="137" w:name="_Toc1673_WPSOffice_Level3"/>
      <w:bookmarkStart w:id="138" w:name="_Toc15500"/>
      <w:bookmarkStart w:id="139" w:name="_Toc17197"/>
      <w:bookmarkStart w:id="140" w:name="_Toc17887_WPSOffice_Level3"/>
      <w:r>
        <w:rPr>
          <w:rFonts w:hint="eastAsia" w:ascii="楷体_GB2312" w:hAnsi="楷体_GB2312" w:eastAsia="楷体_GB2312" w:cs="楷体_GB2312"/>
          <w:b/>
          <w:bCs/>
          <w:color w:val="auto"/>
          <w:kern w:val="2"/>
          <w:sz w:val="32"/>
          <w:szCs w:val="32"/>
          <w:lang w:val="en-US" w:eastAsia="zh-CN" w:bidi="ar-SA"/>
        </w:rPr>
        <w:t>19.谈判程序</w:t>
      </w:r>
      <w:bookmarkEnd w:id="136"/>
      <w:bookmarkEnd w:id="137"/>
      <w:bookmarkEnd w:id="138"/>
      <w:bookmarkEnd w:id="139"/>
      <w:bookmarkEnd w:id="140"/>
    </w:p>
    <w:p w14:paraId="5F5697DB">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19.1在谈判过程中，谈判小组所有成员集中与单一供应商分别进行谈判，负责审议所有通过资格条件供应商的谈判响应文件，给予所有参加谈判的供应商平等的谈判机会。供应商应派其代表参加谈判。在谈判过程中谈判的任何一方不得向他人透露与谈判有关的技术资料、价格或其他信息。</w:t>
      </w:r>
    </w:p>
    <w:p w14:paraId="15F7A804">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19.2在谈判过程中，</w:t>
      </w:r>
      <w:r>
        <w:rPr>
          <w:rFonts w:hint="eastAsia" w:ascii="仿宋_GB2312" w:hAnsi="仿宋_GB2312" w:eastAsia="仿宋_GB2312" w:cs="仿宋_GB2312"/>
          <w:color w:val="auto"/>
          <w:kern w:val="2"/>
          <w:sz w:val="32"/>
          <w:szCs w:val="32"/>
          <w:u w:val="single"/>
          <w:lang w:val="en-US" w:eastAsia="zh-CN" w:bidi="ar-SA"/>
        </w:rPr>
        <w:t>谈判小组可以根据谈判文件和谈判情况实质性变动技术标准及要求中的技术、服务要求以及合同草案条款，但不得变动谈判文件中的其他内容</w:t>
      </w:r>
      <w:r>
        <w:rPr>
          <w:rFonts w:hint="eastAsia" w:ascii="仿宋_GB2312" w:hAnsi="仿宋_GB2312" w:eastAsia="仿宋_GB2312" w:cs="仿宋_GB2312"/>
          <w:color w:val="auto"/>
          <w:kern w:val="2"/>
          <w:sz w:val="32"/>
          <w:szCs w:val="32"/>
          <w:lang w:val="en-US" w:eastAsia="zh-CN" w:bidi="ar-SA"/>
        </w:rPr>
        <w:t xml:space="preserve">。实质性变动的内容，须经采购人代表确认，谈判小组应及时通知所有参加谈判的供应商，并在政采云平台（https://www.zcygov.cn/）以“评审问题澄清函”形式发布。供应商应当按照谈判文件的变动情况和谈判小组的要求在政采云平台（https://www.zcygov.cn/）上按规定时间作出响应。   </w:t>
      </w:r>
    </w:p>
    <w:p w14:paraId="33CDBC91">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u w:val="single"/>
          <w:lang w:val="en-US" w:eastAsia="zh-CN" w:bidi="ar-SA"/>
        </w:rPr>
      </w:pPr>
      <w:r>
        <w:rPr>
          <w:rFonts w:hint="eastAsia" w:ascii="仿宋_GB2312" w:hAnsi="仿宋_GB2312" w:eastAsia="仿宋_GB2312" w:cs="仿宋_GB2312"/>
          <w:color w:val="auto"/>
          <w:kern w:val="2"/>
          <w:sz w:val="32"/>
          <w:szCs w:val="32"/>
          <w:lang w:val="en-US" w:eastAsia="zh-CN" w:bidi="ar-SA"/>
        </w:rPr>
        <w:t>19.3</w:t>
      </w:r>
      <w:r>
        <w:rPr>
          <w:rFonts w:hint="eastAsia" w:ascii="仿宋_GB2312" w:hAnsi="仿宋_GB2312" w:eastAsia="仿宋_GB2312" w:cs="仿宋_GB2312"/>
          <w:color w:val="auto"/>
          <w:kern w:val="2"/>
          <w:sz w:val="32"/>
          <w:szCs w:val="32"/>
          <w:u w:val="single"/>
          <w:lang w:val="en-US" w:eastAsia="zh-CN" w:bidi="ar-SA"/>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5E34C289">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19.4响应文件中首次报价表内的报价为首次报价，根据技术、服务等满足谈判文件要求的情况，供应商可进行二次报价。</w:t>
      </w:r>
    </w:p>
    <w:p w14:paraId="6151F3E9">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u w:val="single" w:color="auto"/>
          <w:lang w:val="en-US" w:eastAsia="zh-CN" w:bidi="ar-SA"/>
        </w:rPr>
      </w:pPr>
      <w:r>
        <w:rPr>
          <w:rFonts w:hint="eastAsia" w:ascii="仿宋_GB2312" w:hAnsi="仿宋_GB2312" w:eastAsia="仿宋_GB2312" w:cs="仿宋_GB2312"/>
          <w:color w:val="auto"/>
          <w:kern w:val="2"/>
          <w:sz w:val="32"/>
          <w:szCs w:val="32"/>
          <w:lang w:val="en-US" w:eastAsia="zh-CN" w:bidi="ar-SA"/>
        </w:rPr>
        <w:t>19.5</w:t>
      </w:r>
      <w:r>
        <w:rPr>
          <w:rFonts w:hint="eastAsia" w:ascii="仿宋_GB2312" w:hAnsi="仿宋_GB2312" w:eastAsia="仿宋_GB2312" w:cs="仿宋_GB2312"/>
          <w:color w:val="auto"/>
          <w:kern w:val="2"/>
          <w:sz w:val="32"/>
          <w:szCs w:val="32"/>
          <w:u w:val="single" w:color="auto"/>
          <w:lang w:val="en-US" w:eastAsia="zh-CN" w:bidi="ar-SA"/>
        </w:rPr>
        <w:t>谈判小组认为供应商的最后报价明显低于其他通过有效性、完整性、响应程度审查供应商的报价，有可能影响产品质量或者不能诚信履约的，应当要求其在</w:t>
      </w:r>
      <w:r>
        <w:rPr>
          <w:rFonts w:hint="eastAsia" w:ascii="仿宋_GB2312" w:hAnsi="仿宋_GB2312" w:eastAsia="仿宋_GB2312" w:cs="仿宋_GB2312"/>
          <w:color w:val="auto"/>
          <w:kern w:val="2"/>
          <w:sz w:val="32"/>
          <w:szCs w:val="32"/>
          <w:lang w:val="en-US" w:eastAsia="zh-CN" w:bidi="ar-SA"/>
        </w:rPr>
        <w:t>政采云平台（https://www.zcygov.cn/）上</w:t>
      </w:r>
      <w:r>
        <w:rPr>
          <w:rFonts w:hint="eastAsia" w:ascii="仿宋_GB2312" w:hAnsi="仿宋_GB2312" w:eastAsia="仿宋_GB2312" w:cs="仿宋_GB2312"/>
          <w:color w:val="auto"/>
          <w:kern w:val="2"/>
          <w:sz w:val="32"/>
          <w:szCs w:val="32"/>
          <w:u w:val="single" w:color="auto"/>
          <w:lang w:val="en-US" w:eastAsia="zh-CN" w:bidi="ar-SA"/>
        </w:rPr>
        <w:t>合理的时间内提供书面说明，必要时提交相关证明材料；供应商不能证明其报价合理性的，谈判小组应当将其作为无效谈判处理。</w:t>
      </w:r>
    </w:p>
    <w:p w14:paraId="451DF428">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19.6谈判工作在有关部门的监督下依法开展，任何单位和个人不得非法干预、影响谈判工作和谈判结果。</w:t>
      </w:r>
    </w:p>
    <w:p w14:paraId="36F6356A">
      <w:pPr>
        <w:pStyle w:val="4"/>
        <w:widowControl w:val="0"/>
        <w:wordWrap/>
        <w:adjustRightInd w:val="0"/>
        <w:snapToGrid w:val="0"/>
        <w:spacing w:before="157" w:beforeLines="50" w:after="0" w:line="560" w:lineRule="exact"/>
        <w:ind w:firstLine="0" w:firstLineChars="0"/>
        <w:textAlignment w:val="auto"/>
        <w:outlineLvl w:val="2"/>
        <w:rPr>
          <w:rFonts w:hint="eastAsia" w:ascii="楷体_GB2312" w:hAnsi="楷体_GB2312" w:eastAsia="楷体_GB2312" w:cs="楷体_GB2312"/>
          <w:b/>
          <w:bCs/>
          <w:color w:val="auto"/>
          <w:kern w:val="2"/>
          <w:sz w:val="32"/>
          <w:szCs w:val="32"/>
          <w:lang w:val="en-US" w:eastAsia="zh-CN" w:bidi="ar-SA"/>
        </w:rPr>
      </w:pPr>
      <w:bookmarkStart w:id="141" w:name="_Toc21836"/>
      <w:bookmarkStart w:id="142" w:name="_Toc14903"/>
      <w:bookmarkStart w:id="143" w:name="_Toc2176"/>
      <w:bookmarkStart w:id="144" w:name="_Toc24288_WPSOffice_Level3"/>
      <w:bookmarkStart w:id="145" w:name="_Toc25644_WPSOffice_Level3"/>
      <w:r>
        <w:rPr>
          <w:rFonts w:hint="eastAsia" w:ascii="楷体_GB2312" w:hAnsi="楷体_GB2312" w:eastAsia="楷体_GB2312" w:cs="楷体_GB2312"/>
          <w:b/>
          <w:bCs/>
          <w:color w:val="auto"/>
          <w:kern w:val="2"/>
          <w:sz w:val="32"/>
          <w:szCs w:val="32"/>
          <w:lang w:val="en-US" w:eastAsia="zh-CN" w:bidi="ar-SA"/>
        </w:rPr>
        <w:t>20.澄清</w:t>
      </w:r>
      <w:bookmarkEnd w:id="141"/>
      <w:bookmarkEnd w:id="142"/>
      <w:bookmarkEnd w:id="143"/>
      <w:bookmarkEnd w:id="144"/>
      <w:bookmarkEnd w:id="145"/>
    </w:p>
    <w:p w14:paraId="777AFC00">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20.1谈判小组在对响应文件(包括首次提交的响应文件、重新提交的响应文件)的有效性、完整性和对谈判文件的响应程度进行审查时，可以要求供应商对响应文件中含义不明确、同类问题表述不一致或者有明显文字和计算错误的内容等作出必要的澄清、说明或者更正。</w:t>
      </w:r>
    </w:p>
    <w:p w14:paraId="640ADC0C">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供应商的澄清、说明或者更正响应文件应当在政采云平台（https://www.zcygov.cn/）以“评审问题澄清函”形式发布，由法定代表人或其授权代表签字或者加盖公章。由授权代表签字的，应当附法定代表人授权书。供应商为自然人的，应当由本人签字并附身份证明，供应商的澄清、说明或者更正不得超出谈判文件的范围或者改变响应文件的实质性内容。</w:t>
      </w:r>
    </w:p>
    <w:p w14:paraId="106FB203">
      <w:pPr>
        <w:pStyle w:val="4"/>
        <w:widowControl w:val="0"/>
        <w:wordWrap/>
        <w:adjustRightInd w:val="0"/>
        <w:snapToGrid w:val="0"/>
        <w:spacing w:before="157" w:beforeLines="50" w:after="0" w:line="560" w:lineRule="exact"/>
        <w:ind w:firstLine="0" w:firstLineChars="0"/>
        <w:textAlignment w:val="auto"/>
        <w:outlineLvl w:val="2"/>
        <w:rPr>
          <w:rFonts w:hint="eastAsia" w:ascii="楷体_GB2312" w:hAnsi="楷体_GB2312" w:eastAsia="楷体_GB2312" w:cs="楷体_GB2312"/>
          <w:b/>
          <w:bCs/>
          <w:color w:val="auto"/>
          <w:kern w:val="2"/>
          <w:sz w:val="32"/>
          <w:szCs w:val="32"/>
          <w:lang w:val="en-US" w:eastAsia="zh-CN" w:bidi="ar-SA"/>
        </w:rPr>
      </w:pPr>
      <w:bookmarkStart w:id="146" w:name="_Toc4997"/>
      <w:bookmarkStart w:id="147" w:name="_Toc8374"/>
      <w:bookmarkStart w:id="148" w:name="_Toc21875"/>
      <w:bookmarkStart w:id="149" w:name="_Toc13262_WPSOffice_Level3"/>
      <w:bookmarkStart w:id="150" w:name="_Toc6898_WPSOffice_Level3"/>
      <w:r>
        <w:rPr>
          <w:rFonts w:hint="eastAsia" w:ascii="楷体_GB2312" w:hAnsi="楷体_GB2312" w:eastAsia="楷体_GB2312" w:cs="楷体_GB2312"/>
          <w:b/>
          <w:bCs/>
          <w:color w:val="auto"/>
          <w:kern w:val="2"/>
          <w:sz w:val="32"/>
          <w:szCs w:val="32"/>
          <w:lang w:val="en-US" w:eastAsia="zh-CN" w:bidi="ar-SA"/>
        </w:rPr>
        <w:t>21.退出谈判</w:t>
      </w:r>
      <w:bookmarkEnd w:id="146"/>
      <w:bookmarkEnd w:id="147"/>
      <w:bookmarkEnd w:id="148"/>
      <w:bookmarkEnd w:id="149"/>
      <w:bookmarkEnd w:id="150"/>
    </w:p>
    <w:p w14:paraId="06250069">
      <w:pPr>
        <w:widowControl w:val="0"/>
        <w:wordWrap/>
        <w:adjustRightInd w:val="0"/>
        <w:snapToGrid w:val="0"/>
        <w:spacing w:before="157" w:beforeLines="50"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供应商在提交最后报价之前，可以根据谈判情况退出谈判，并由法定代表人或其授权代表签字或加盖公章书面通知采购人、采购代理机构或者谈判小组。采购人、采购代理机构按规定退还退出谈判的供应商的保证金。</w:t>
      </w:r>
    </w:p>
    <w:p w14:paraId="1E3ABFB4">
      <w:pPr>
        <w:pStyle w:val="4"/>
        <w:widowControl w:val="0"/>
        <w:wordWrap/>
        <w:adjustRightInd w:val="0"/>
        <w:snapToGrid w:val="0"/>
        <w:spacing w:before="157" w:beforeLines="50" w:after="0" w:line="560" w:lineRule="exact"/>
        <w:ind w:firstLine="0" w:firstLineChars="0"/>
        <w:textAlignment w:val="auto"/>
        <w:outlineLvl w:val="2"/>
        <w:rPr>
          <w:rFonts w:hint="eastAsia" w:ascii="楷体_GB2312" w:hAnsi="楷体_GB2312" w:eastAsia="楷体_GB2312" w:cs="楷体_GB2312"/>
          <w:b/>
          <w:bCs/>
          <w:color w:val="auto"/>
          <w:kern w:val="2"/>
          <w:sz w:val="32"/>
          <w:szCs w:val="32"/>
          <w:lang w:val="en-US" w:eastAsia="zh-CN" w:bidi="ar-SA"/>
        </w:rPr>
      </w:pPr>
      <w:bookmarkStart w:id="151" w:name="_Toc887"/>
      <w:bookmarkStart w:id="152" w:name="_Toc5048_WPSOffice_Level3"/>
      <w:bookmarkStart w:id="153" w:name="_Toc14748"/>
      <w:bookmarkStart w:id="154" w:name="_Toc18169_WPSOffice_Level3"/>
      <w:bookmarkStart w:id="155" w:name="_Toc32003"/>
      <w:r>
        <w:rPr>
          <w:rFonts w:hint="eastAsia" w:ascii="楷体_GB2312" w:hAnsi="楷体_GB2312" w:eastAsia="楷体_GB2312" w:cs="楷体_GB2312"/>
          <w:b/>
          <w:bCs/>
          <w:color w:val="auto"/>
          <w:kern w:val="2"/>
          <w:sz w:val="32"/>
          <w:szCs w:val="32"/>
          <w:lang w:val="en-US" w:eastAsia="zh-CN" w:bidi="ar-SA"/>
        </w:rPr>
        <w:t>22.最后报价</w:t>
      </w:r>
      <w:bookmarkEnd w:id="151"/>
      <w:bookmarkEnd w:id="152"/>
      <w:bookmarkEnd w:id="153"/>
      <w:bookmarkEnd w:id="154"/>
      <w:bookmarkEnd w:id="155"/>
      <w:r>
        <w:rPr>
          <w:rFonts w:hint="eastAsia" w:ascii="楷体_GB2312" w:hAnsi="楷体_GB2312" w:eastAsia="楷体_GB2312" w:cs="楷体_GB2312"/>
          <w:b/>
          <w:bCs/>
          <w:color w:val="auto"/>
          <w:kern w:val="2"/>
          <w:sz w:val="32"/>
          <w:szCs w:val="32"/>
          <w:lang w:val="en-US" w:eastAsia="zh-CN" w:bidi="ar-SA"/>
        </w:rPr>
        <w:t>（线上发起）</w:t>
      </w:r>
    </w:p>
    <w:p w14:paraId="0FAF8B7D">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22.1谈判结束后，符合谈判文件规定的实质性要求和条件的供应商不少于3家的，谈判小组应当要求符合谈判文件规定的实质性要求和条件的供应商在规定时间内提交最后报价。最后报价应由供应商代表签字或者加盖供应商单位公章。</w:t>
      </w:r>
    </w:p>
    <w:p w14:paraId="5D4E3E5D">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u w:val="single" w:color="auto"/>
          <w:lang w:val="en-US" w:eastAsia="zh-CN" w:bidi="ar-SA"/>
        </w:rPr>
      </w:pPr>
      <w:r>
        <w:rPr>
          <w:rFonts w:hint="eastAsia" w:ascii="仿宋_GB2312" w:hAnsi="仿宋_GB2312" w:eastAsia="仿宋_GB2312" w:cs="仿宋_GB2312"/>
          <w:color w:val="auto"/>
          <w:kern w:val="2"/>
          <w:sz w:val="32"/>
          <w:szCs w:val="32"/>
          <w:lang w:val="en-US" w:eastAsia="zh-CN" w:bidi="ar-SA"/>
        </w:rPr>
        <w:t>22.2</w:t>
      </w:r>
      <w:r>
        <w:rPr>
          <w:rFonts w:hint="eastAsia" w:ascii="仿宋_GB2312" w:hAnsi="仿宋_GB2312" w:eastAsia="仿宋_GB2312" w:cs="仿宋_GB2312"/>
          <w:color w:val="auto"/>
          <w:kern w:val="2"/>
          <w:sz w:val="32"/>
          <w:szCs w:val="32"/>
          <w:u w:val="single" w:color="auto"/>
          <w:lang w:val="en-US" w:eastAsia="zh-CN" w:bidi="ar-SA"/>
        </w:rPr>
        <w:t>谈判文件不能详细列明采购需求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0E7942EB">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22.3最后报价的评审</w:t>
      </w:r>
    </w:p>
    <w:p w14:paraId="0C3F0917">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（1）最后报价出现大写金额和小写金额不一致的，以大写金额为准。</w:t>
      </w:r>
    </w:p>
    <w:p w14:paraId="39048DE1">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（2）需落实政府采购政策的，按相关规定进行价格扣除。</w:t>
      </w:r>
    </w:p>
    <w:p w14:paraId="74A6DC60">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22.4</w:t>
      </w:r>
      <w:r>
        <w:rPr>
          <w:rFonts w:hint="eastAsia" w:ascii="仿宋_GB2312" w:hAnsi="仿宋_GB2312" w:eastAsia="仿宋_GB2312" w:cs="仿宋_GB2312"/>
          <w:color w:val="auto"/>
          <w:kern w:val="2"/>
          <w:sz w:val="32"/>
          <w:szCs w:val="32"/>
          <w:u w:val="single" w:color="auto"/>
          <w:lang w:val="en-US" w:eastAsia="zh-CN" w:bidi="ar-SA"/>
        </w:rPr>
        <w:t>最后报价如果高于其响应文件中的首次报价的，以最后报价为准。</w:t>
      </w:r>
    </w:p>
    <w:p w14:paraId="27914E72">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22.5采购人、采购代理机构在按规定公布供应商的最后报价前，不得公开供应商的技术资料、价格和其他信息。</w:t>
      </w:r>
    </w:p>
    <w:p w14:paraId="5C10019F">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22.6</w:t>
      </w:r>
      <w:r>
        <w:rPr>
          <w:rFonts w:hint="eastAsia" w:ascii="仿宋_GB2312" w:hAnsi="仿宋_GB2312" w:eastAsia="仿宋_GB2312" w:cs="仿宋_GB2312"/>
          <w:color w:val="auto"/>
          <w:kern w:val="2"/>
          <w:sz w:val="32"/>
          <w:szCs w:val="32"/>
          <w:u w:val="single" w:color="auto"/>
          <w:lang w:val="en-US" w:eastAsia="zh-CN" w:bidi="ar-SA"/>
        </w:rPr>
        <w:t>若最后报价时出现最低价相同的情形，谈判小组应召集报价相同的供应商进行再次报价</w:t>
      </w:r>
      <w:r>
        <w:rPr>
          <w:rFonts w:hint="eastAsia" w:ascii="仿宋_GB2312" w:hAnsi="仿宋_GB2312" w:eastAsia="仿宋_GB2312" w:cs="仿宋_GB2312"/>
          <w:color w:val="auto"/>
          <w:kern w:val="2"/>
          <w:sz w:val="32"/>
          <w:szCs w:val="32"/>
          <w:lang w:val="en-US" w:eastAsia="zh-CN" w:bidi="ar-SA"/>
        </w:rPr>
        <w:t>。</w:t>
      </w:r>
    </w:p>
    <w:p w14:paraId="6FFDFB65">
      <w:pPr>
        <w:pStyle w:val="4"/>
        <w:widowControl w:val="0"/>
        <w:wordWrap/>
        <w:adjustRightInd w:val="0"/>
        <w:snapToGrid w:val="0"/>
        <w:spacing w:before="157" w:beforeLines="50" w:after="0" w:line="560" w:lineRule="exact"/>
        <w:ind w:firstLine="0" w:firstLineChars="0"/>
        <w:textAlignment w:val="auto"/>
        <w:outlineLvl w:val="2"/>
        <w:rPr>
          <w:rFonts w:hint="eastAsia" w:ascii="楷体_GB2312" w:hAnsi="楷体_GB2312" w:eastAsia="楷体_GB2312" w:cs="楷体_GB2312"/>
          <w:b/>
          <w:bCs/>
          <w:color w:val="auto"/>
          <w:kern w:val="2"/>
          <w:sz w:val="32"/>
          <w:szCs w:val="32"/>
          <w:lang w:val="en-US" w:eastAsia="zh-CN" w:bidi="ar-SA"/>
        </w:rPr>
      </w:pPr>
      <w:bookmarkStart w:id="156" w:name="_Toc7275"/>
      <w:bookmarkStart w:id="157" w:name="_Toc1264"/>
      <w:bookmarkStart w:id="158" w:name="_Toc8242_WPSOffice_Level3"/>
      <w:bookmarkStart w:id="159" w:name="_Toc16084_WPSOffice_Level3"/>
      <w:bookmarkStart w:id="160" w:name="_Toc1797"/>
      <w:r>
        <w:rPr>
          <w:rFonts w:hint="eastAsia" w:ascii="楷体_GB2312" w:hAnsi="楷体_GB2312" w:eastAsia="楷体_GB2312" w:cs="楷体_GB2312"/>
          <w:b/>
          <w:bCs/>
          <w:color w:val="auto"/>
          <w:kern w:val="2"/>
          <w:sz w:val="32"/>
          <w:szCs w:val="32"/>
          <w:lang w:val="en-US" w:eastAsia="zh-CN" w:bidi="ar-SA"/>
        </w:rPr>
        <w:t>23.确定成交供应商</w:t>
      </w:r>
      <w:bookmarkEnd w:id="156"/>
      <w:bookmarkEnd w:id="157"/>
      <w:bookmarkEnd w:id="158"/>
      <w:bookmarkEnd w:id="159"/>
      <w:bookmarkEnd w:id="160"/>
    </w:p>
    <w:p w14:paraId="4F381248">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23.1谈判小组应当从质量和服务均能满足采购文件实质性响应要求的供应商中，按照最后报价由低到高的顺序提出3名以上成交候选人，并编写评审报告。供应商最后报价涉及算术修正、需落实政府采购政策的，按上款规定由低到高顺序排序。</w:t>
      </w:r>
    </w:p>
    <w:p w14:paraId="26A22F43">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23.2谈判小组应当根据评审记录和评审结果编写评审报告。评审报告应当由谈判小组全体人员签字认可。谈判小组成员对评审报告有异议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4EF779F3">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23.3采购代理机构应当在评审结束后2个工作日内将评审报告送采购人确认。</w:t>
      </w:r>
    </w:p>
    <w:p w14:paraId="7C01A9F1">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23.4采购人应当在收到评审报告后5个工作日内，从评审报告提出的成交候选人中，根据质量和服务均能满足采购文件实质性响应要求且最后报价最低的原则确定成交供应商，也可以书面授权谈判小组直接确定成交供应商。</w:t>
      </w:r>
    </w:p>
    <w:p w14:paraId="1935DDA7">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23.5采购人逾期未确定成交供应商且不提出异议的，视为确定评审报告提出的最后报价最低的供应商为成交供应商。</w:t>
      </w:r>
    </w:p>
    <w:p w14:paraId="4A5387AA">
      <w:pPr>
        <w:pStyle w:val="4"/>
        <w:widowControl w:val="0"/>
        <w:wordWrap/>
        <w:adjustRightInd w:val="0"/>
        <w:snapToGrid w:val="0"/>
        <w:spacing w:before="157" w:beforeLines="50" w:after="0" w:line="560" w:lineRule="exact"/>
        <w:ind w:firstLine="0" w:firstLineChars="0"/>
        <w:textAlignment w:val="auto"/>
        <w:outlineLvl w:val="2"/>
        <w:rPr>
          <w:rFonts w:hint="eastAsia" w:ascii="楷体_GB2312" w:hAnsi="楷体_GB2312" w:eastAsia="楷体_GB2312" w:cs="楷体_GB2312"/>
          <w:b/>
          <w:bCs/>
          <w:color w:val="auto"/>
          <w:kern w:val="2"/>
          <w:sz w:val="32"/>
          <w:szCs w:val="32"/>
          <w:lang w:val="en-US" w:eastAsia="zh-CN" w:bidi="ar-SA"/>
        </w:rPr>
      </w:pPr>
      <w:bookmarkStart w:id="161" w:name="_Toc17639_WPSOffice_Level3"/>
      <w:bookmarkStart w:id="162" w:name="_Toc20869_WPSOffice_Level3"/>
      <w:bookmarkStart w:id="163" w:name="_Toc24684"/>
      <w:bookmarkStart w:id="164" w:name="_Toc22823"/>
      <w:bookmarkStart w:id="165" w:name="_Toc10295"/>
      <w:r>
        <w:rPr>
          <w:rFonts w:hint="eastAsia" w:ascii="楷体_GB2312" w:hAnsi="楷体_GB2312" w:eastAsia="楷体_GB2312" w:cs="楷体_GB2312"/>
          <w:b/>
          <w:bCs/>
          <w:color w:val="auto"/>
          <w:kern w:val="2"/>
          <w:sz w:val="32"/>
          <w:szCs w:val="32"/>
          <w:lang w:val="en-US" w:eastAsia="zh-CN" w:bidi="ar-SA"/>
        </w:rPr>
        <w:t>24.重新评审</w:t>
      </w:r>
      <w:bookmarkEnd w:id="161"/>
      <w:bookmarkEnd w:id="162"/>
      <w:bookmarkEnd w:id="163"/>
      <w:bookmarkEnd w:id="164"/>
      <w:bookmarkEnd w:id="165"/>
    </w:p>
    <w:p w14:paraId="25B4CB6A">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24.1除资格审查认定错误和价格计算错误外，采购人、采购代理机构不以任何理由组织重新评审。</w:t>
      </w:r>
    </w:p>
    <w:p w14:paraId="6BB4C939">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24.2采购人、采购代理机构发现谈判小组未按照谈判文件规定的评定成交标准进行评审的，应当重新开展采购活动，并同时书面报告同级财政部门。</w:t>
      </w:r>
    </w:p>
    <w:p w14:paraId="45F748F4">
      <w:pPr>
        <w:pStyle w:val="4"/>
        <w:widowControl w:val="0"/>
        <w:wordWrap/>
        <w:adjustRightInd w:val="0"/>
        <w:snapToGrid w:val="0"/>
        <w:spacing w:before="157" w:beforeLines="50" w:after="0" w:line="560" w:lineRule="exact"/>
        <w:ind w:firstLine="0" w:firstLineChars="0"/>
        <w:textAlignment w:val="auto"/>
        <w:outlineLvl w:val="2"/>
        <w:rPr>
          <w:rFonts w:hint="eastAsia" w:ascii="楷体_GB2312" w:hAnsi="楷体_GB2312" w:eastAsia="楷体_GB2312" w:cs="楷体_GB2312"/>
          <w:b/>
          <w:bCs/>
          <w:color w:val="auto"/>
          <w:kern w:val="2"/>
          <w:sz w:val="32"/>
          <w:szCs w:val="32"/>
          <w:lang w:val="en-US" w:eastAsia="zh-CN" w:bidi="ar-SA"/>
        </w:rPr>
      </w:pPr>
      <w:bookmarkStart w:id="166" w:name="_Toc1388_WPSOffice_Level3"/>
      <w:bookmarkStart w:id="167" w:name="_Toc12673"/>
      <w:bookmarkStart w:id="168" w:name="_Toc8463"/>
      <w:bookmarkStart w:id="169" w:name="_Toc3509"/>
      <w:bookmarkStart w:id="170" w:name="_Toc26374_WPSOffice_Level3"/>
      <w:r>
        <w:rPr>
          <w:rFonts w:hint="eastAsia" w:ascii="楷体_GB2312" w:hAnsi="楷体_GB2312" w:eastAsia="楷体_GB2312" w:cs="楷体_GB2312"/>
          <w:b/>
          <w:bCs/>
          <w:color w:val="auto"/>
          <w:kern w:val="2"/>
          <w:sz w:val="32"/>
          <w:szCs w:val="32"/>
          <w:lang w:val="en-US" w:eastAsia="zh-CN" w:bidi="ar-SA"/>
        </w:rPr>
        <w:t>25.谈判终止</w:t>
      </w:r>
      <w:bookmarkEnd w:id="166"/>
      <w:bookmarkEnd w:id="167"/>
      <w:bookmarkEnd w:id="168"/>
      <w:bookmarkEnd w:id="169"/>
      <w:bookmarkEnd w:id="170"/>
    </w:p>
    <w:p w14:paraId="749C6CDF">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25.1出现下列情形之一的，采购人、采购代理机构应当终止竞争性谈判采购活动，在指定的媒体上发布项目终止公告并说明原因，重新开展采购活动： </w:t>
      </w:r>
    </w:p>
    <w:p w14:paraId="3B3FF477">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（1）因情况变化，不再符合规定的竞争性谈判采购方式适用情形的；</w:t>
      </w:r>
    </w:p>
    <w:p w14:paraId="4123F0F6">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（2）出现影响采购公正的违法、违规行为的；</w:t>
      </w:r>
    </w:p>
    <w:p w14:paraId="2786C4B5">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（3）在采购过程中符合谈判要求的供应商或者报价未超过采购预算的供应商不足3家的，或者提交最后报价的供应商少于3家的；</w:t>
      </w:r>
    </w:p>
    <w:p w14:paraId="6AAE273D">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（4）因重大变故，采购任务取消的。</w:t>
      </w:r>
    </w:p>
    <w:p w14:paraId="06BE8793">
      <w:pPr>
        <w:pStyle w:val="4"/>
        <w:keepNext/>
        <w:keepLines/>
        <w:widowControl w:val="0"/>
        <w:wordWrap/>
        <w:adjustRightInd w:val="0"/>
        <w:snapToGrid w:val="0"/>
        <w:spacing w:before="157" w:beforeLines="50" w:after="0" w:line="560" w:lineRule="exact"/>
        <w:ind w:firstLine="0" w:firstLineChars="0"/>
        <w:textAlignment w:val="auto"/>
        <w:outlineLvl w:val="2"/>
        <w:rPr>
          <w:rFonts w:hint="eastAsia" w:ascii="楷体_GB2312" w:hAnsi="楷体_GB2312" w:eastAsia="楷体_GB2312" w:cs="楷体_GB2312"/>
          <w:b/>
          <w:bCs/>
          <w:color w:val="auto"/>
          <w:kern w:val="2"/>
          <w:sz w:val="32"/>
          <w:szCs w:val="32"/>
          <w:lang w:val="en-US" w:eastAsia="zh-CN" w:bidi="ar-SA"/>
        </w:rPr>
      </w:pPr>
      <w:bookmarkStart w:id="171" w:name="_Toc20688_WPSOffice_Level3"/>
      <w:bookmarkStart w:id="172" w:name="_Toc20574"/>
      <w:bookmarkStart w:id="173" w:name="_Toc11721"/>
      <w:bookmarkStart w:id="174" w:name="_Toc32730"/>
      <w:bookmarkStart w:id="175" w:name="_Toc18635_WPSOffice_Level3"/>
      <w:r>
        <w:rPr>
          <w:rFonts w:hint="eastAsia" w:ascii="楷体_GB2312" w:hAnsi="楷体_GB2312" w:eastAsia="楷体_GB2312" w:cs="楷体_GB2312"/>
          <w:b/>
          <w:bCs/>
          <w:color w:val="auto"/>
          <w:kern w:val="2"/>
          <w:sz w:val="32"/>
          <w:szCs w:val="32"/>
          <w:lang w:val="en-US" w:eastAsia="zh-CN" w:bidi="ar-SA"/>
        </w:rPr>
        <w:t>26.串通情形认定及处理</w:t>
      </w:r>
      <w:bookmarkEnd w:id="171"/>
      <w:bookmarkEnd w:id="172"/>
      <w:bookmarkEnd w:id="173"/>
      <w:bookmarkEnd w:id="174"/>
      <w:bookmarkEnd w:id="175"/>
    </w:p>
    <w:p w14:paraId="2C166749">
      <w:pPr>
        <w:widowControl w:val="0"/>
        <w:wordWrap/>
        <w:spacing w:line="560" w:lineRule="exact"/>
        <w:ind w:right="0" w:firstLine="640" w:firstLineChars="200"/>
        <w:textAlignment w:val="auto"/>
        <w:outlineLvl w:val="9"/>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26.1供应商不得与采购人、采购代理机构、其他供应商恶意串通；不得向采购人、采购代理机构或者谈判小组成员行贿或者提供其他不正当利益；不得提供虚假材料谋取成交；不得以任何方式干扰、影响</w:t>
      </w:r>
      <w:r>
        <w:rPr>
          <w:rFonts w:hint="eastAsia" w:ascii="仿宋" w:hAnsi="仿宋" w:eastAsia="仿宋" w:cs="仿宋"/>
          <w:color w:val="auto"/>
          <w:sz w:val="32"/>
          <w:szCs w:val="32"/>
          <w:lang w:val="en-US" w:eastAsia="zh-CN"/>
        </w:rPr>
        <w:t>采购工作。</w:t>
      </w:r>
    </w:p>
    <w:p w14:paraId="3DED4BCF">
      <w:pPr>
        <w:widowControl w:val="0"/>
        <w:wordWrap/>
        <w:spacing w:line="560" w:lineRule="exact"/>
        <w:ind w:left="0" w:leftChars="0" w:right="0" w:firstLine="640" w:firstLineChars="200"/>
        <w:textAlignment w:val="auto"/>
        <w:outlineLvl w:val="9"/>
        <w:rPr>
          <w:rFonts w:hint="eastAsia" w:ascii="仿宋" w:hAnsi="仿宋" w:eastAsia="仿宋" w:cs="仿宋"/>
          <w:color w:val="auto"/>
          <w:sz w:val="32"/>
          <w:szCs w:val="32"/>
          <w:lang w:val="zh-CN" w:eastAsia="zh-CN"/>
        </w:rPr>
      </w:pPr>
      <w:r>
        <w:rPr>
          <w:rFonts w:hint="eastAsia" w:ascii="仿宋" w:hAnsi="仿宋" w:eastAsia="仿宋" w:cs="仿宋"/>
          <w:color w:val="auto"/>
          <w:sz w:val="32"/>
          <w:szCs w:val="32"/>
          <w:lang w:val="en-US" w:eastAsia="zh-CN"/>
        </w:rPr>
        <w:t>26.2有下列情形之一的，成交无效，对供应商</w:t>
      </w:r>
      <w:r>
        <w:rPr>
          <w:rFonts w:hint="eastAsia" w:ascii="仿宋" w:hAnsi="仿宋" w:eastAsia="仿宋" w:cs="仿宋"/>
          <w:color w:val="auto"/>
          <w:sz w:val="32"/>
          <w:szCs w:val="32"/>
          <w:lang w:val="zh-CN" w:eastAsia="zh-CN"/>
        </w:rPr>
        <w:t>依照《政府采购法》第七十七条的规定追究法律责任：</w:t>
      </w:r>
    </w:p>
    <w:p w14:paraId="5FF64493">
      <w:pPr>
        <w:widowControl w:val="0"/>
        <w:wordWrap/>
        <w:spacing w:line="560" w:lineRule="exact"/>
        <w:ind w:right="0"/>
        <w:textAlignment w:val="auto"/>
        <w:outlineLvl w:val="9"/>
        <w:rPr>
          <w:rFonts w:hint="eastAsia" w:ascii="仿宋" w:hAnsi="仿宋" w:eastAsia="仿宋" w:cs="仿宋"/>
          <w:color w:val="auto"/>
          <w:sz w:val="32"/>
          <w:szCs w:val="32"/>
          <w:lang w:val="en-US" w:eastAsia="zh-CN"/>
        </w:rPr>
      </w:pPr>
      <w:bookmarkStart w:id="176" w:name="_Toc22761"/>
      <w:bookmarkStart w:id="177" w:name="_Toc34637770"/>
      <w:r>
        <w:rPr>
          <w:rFonts w:hint="eastAsia" w:ascii="仿宋" w:hAnsi="仿宋" w:eastAsia="仿宋" w:cs="仿宋"/>
          <w:color w:val="auto"/>
          <w:sz w:val="32"/>
          <w:szCs w:val="32"/>
          <w:lang w:val="en-US" w:eastAsia="zh-CN"/>
        </w:rPr>
        <w:t xml:space="preserve">   （1）供应商直接或者间接从采购人或者采购代理机构处获得其他供应商的相关情况并修改其响应文件；</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 xml:space="preserve">   （2）供应商按照采购人或者采购代理机构的授意撤换、修改响应文件；</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 xml:space="preserve">   （3）供应商之间协商报价、技术方案等响应文件的实质性内容；</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 xml:space="preserve">   （4）属于同一集团、协会、商会等组织成员的供应商按照该组织要求协同参加政府采购活动；</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 xml:space="preserve">   （5）供应商之间事先约定由某一特定供应商成交；</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 xml:space="preserve">   （6）供应商之间商定部分供应商放弃参加政府采购活动或者放弃成交；</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 xml:space="preserve">   （7）供应商与采购人或者采购代理机构之间、供应商相互之间，为谋求特定供应商成交或者排斥其他供应商的其他串通行为。</w:t>
      </w:r>
    </w:p>
    <w:p w14:paraId="5C922C12">
      <w:pPr>
        <w:widowControl w:val="0"/>
        <w:wordWrap/>
        <w:spacing w:line="560" w:lineRule="exact"/>
        <w:ind w:right="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26.3 有下列情形之一的，视为供应商串通，其响应无效：</w:t>
      </w:r>
    </w:p>
    <w:p w14:paraId="37347694">
      <w:pPr>
        <w:widowControl w:val="0"/>
        <w:wordWrap/>
        <w:spacing w:line="560" w:lineRule="exact"/>
        <w:ind w:right="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（1）不同供应商的响应文件由同一单位或者个人编制；</w:t>
      </w:r>
    </w:p>
    <w:p w14:paraId="3330A18E">
      <w:pPr>
        <w:widowControl w:val="0"/>
        <w:wordWrap/>
        <w:spacing w:line="560" w:lineRule="exact"/>
        <w:ind w:right="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（2）不同供应商委托同一单位或者个人办理谈判事宜；</w:t>
      </w:r>
    </w:p>
    <w:p w14:paraId="364749FB">
      <w:pPr>
        <w:widowControl w:val="0"/>
        <w:wordWrap/>
        <w:spacing w:line="560" w:lineRule="exact"/>
        <w:ind w:right="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（3）不同供应商的响应文件载明的项目管理成员或者联系人员为同一人；</w:t>
      </w:r>
    </w:p>
    <w:p w14:paraId="2926627F">
      <w:pPr>
        <w:widowControl w:val="0"/>
        <w:wordWrap/>
        <w:spacing w:line="560" w:lineRule="exact"/>
        <w:ind w:right="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（4）不同供应商的响应文件异常一致或者报价呈规律性差异；</w:t>
      </w:r>
    </w:p>
    <w:p w14:paraId="3940B914">
      <w:pPr>
        <w:widowControl w:val="0"/>
        <w:wordWrap/>
        <w:spacing w:line="560" w:lineRule="exact"/>
        <w:ind w:right="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（5）不同供应商的响应文件相互混装；</w:t>
      </w:r>
    </w:p>
    <w:p w14:paraId="3FCC38A7">
      <w:pPr>
        <w:widowControl w:val="0"/>
        <w:wordWrap/>
        <w:spacing w:line="560" w:lineRule="exact"/>
        <w:ind w:right="0" w:firstLine="640" w:firstLineChars="200"/>
        <w:textAlignment w:val="auto"/>
        <w:outlineLvl w:val="9"/>
        <w:rPr>
          <w:rFonts w:hint="eastAsia" w:ascii="黑体" w:hAnsi="黑体" w:eastAsia="黑体" w:cs="黑体"/>
          <w:b w:val="0"/>
          <w:bCs w:val="0"/>
          <w:color w:val="auto"/>
          <w:kern w:val="2"/>
          <w:sz w:val="32"/>
          <w:szCs w:val="32"/>
          <w:highlight w:val="none"/>
          <w:lang w:val="en-US" w:eastAsia="zh-CN" w:bidi="ar-SA"/>
        </w:rPr>
      </w:pPr>
      <w:r>
        <w:rPr>
          <w:rFonts w:hint="eastAsia" w:ascii="仿宋" w:hAnsi="仿宋" w:eastAsia="仿宋" w:cs="仿宋"/>
          <w:color w:val="auto"/>
          <w:sz w:val="32"/>
          <w:szCs w:val="32"/>
          <w:lang w:val="en-US" w:eastAsia="zh-CN"/>
        </w:rPr>
        <w:t>（6）不同供应商的保证金从同一单位或者个人的账户转出。</w:t>
      </w:r>
      <w:r>
        <w:rPr>
          <w:rFonts w:hint="eastAsia" w:ascii="仿宋" w:hAnsi="仿宋" w:eastAsia="仿宋" w:cs="仿宋"/>
          <w:color w:val="auto"/>
          <w:sz w:val="32"/>
          <w:szCs w:val="32"/>
          <w:lang w:val="en-US" w:eastAsia="zh-CN"/>
        </w:rPr>
        <w:br w:type="textWrapping"/>
      </w:r>
      <w:r>
        <w:rPr>
          <w:rFonts w:hint="eastAsia" w:ascii="黑体" w:hAnsi="黑体" w:eastAsia="黑体" w:cs="黑体"/>
          <w:b w:val="0"/>
          <w:bCs w:val="0"/>
          <w:color w:val="auto"/>
          <w:kern w:val="2"/>
          <w:sz w:val="32"/>
          <w:szCs w:val="32"/>
          <w:highlight w:val="none"/>
          <w:lang w:val="en-US" w:eastAsia="zh-CN" w:bidi="ar-SA"/>
        </w:rPr>
        <w:t xml:space="preserve">               六、成交结果信息公布与授予合同</w:t>
      </w:r>
      <w:bookmarkEnd w:id="176"/>
      <w:bookmarkEnd w:id="177"/>
    </w:p>
    <w:p w14:paraId="1A0CB3FF">
      <w:pPr>
        <w:pStyle w:val="4"/>
        <w:keepNext/>
        <w:keepLines/>
        <w:widowControl w:val="0"/>
        <w:wordWrap/>
        <w:adjustRightInd w:val="0"/>
        <w:snapToGrid w:val="0"/>
        <w:spacing w:before="157" w:beforeLines="50" w:after="0" w:line="560" w:lineRule="exact"/>
        <w:textAlignment w:val="auto"/>
        <w:outlineLvl w:val="2"/>
        <w:rPr>
          <w:rFonts w:hint="eastAsia" w:ascii="仿宋_GB2312" w:hAnsi="仿宋_GB2312" w:eastAsia="仿宋_GB2312" w:cs="仿宋_GB2312"/>
          <w:b/>
          <w:bCs/>
          <w:color w:val="auto"/>
          <w:kern w:val="2"/>
          <w:sz w:val="30"/>
          <w:szCs w:val="30"/>
          <w:lang w:val="en-US" w:eastAsia="zh-CN" w:bidi="ar-SA"/>
        </w:rPr>
      </w:pPr>
      <w:bookmarkStart w:id="178" w:name="_Toc23126"/>
      <w:bookmarkStart w:id="179" w:name="_Toc28490"/>
      <w:bookmarkStart w:id="180" w:name="_Toc30784_WPSOffice_Level3"/>
      <w:bookmarkStart w:id="181" w:name="_Toc8339_WPSOffice_Level3"/>
      <w:bookmarkStart w:id="182" w:name="_Toc947"/>
      <w:r>
        <w:rPr>
          <w:rFonts w:hint="eastAsia" w:ascii="楷体_GB2312" w:hAnsi="楷体_GB2312" w:eastAsia="楷体_GB2312" w:cs="楷体_GB2312"/>
          <w:b/>
          <w:bCs/>
          <w:color w:val="auto"/>
          <w:kern w:val="2"/>
          <w:sz w:val="32"/>
          <w:szCs w:val="32"/>
          <w:lang w:val="en-US" w:eastAsia="zh-CN" w:bidi="ar-SA"/>
        </w:rPr>
        <w:t>27.成交信息的公布与通知</w:t>
      </w:r>
      <w:bookmarkEnd w:id="178"/>
      <w:bookmarkEnd w:id="179"/>
      <w:bookmarkEnd w:id="180"/>
      <w:bookmarkEnd w:id="181"/>
      <w:bookmarkEnd w:id="182"/>
    </w:p>
    <w:p w14:paraId="7D2072E0">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27.1代理机构应自确定成交供应商之日起2个工作日内在青海政府采购信息网上公告成交结果，同时向成交供应商发出《成交通知书》。成交通知书对采购人和成交供应商具有同等法律效力。</w:t>
      </w:r>
    </w:p>
    <w:p w14:paraId="39C2EE66">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27.2成交结果公告应当包括以下内容：</w:t>
      </w:r>
    </w:p>
    <w:p w14:paraId="5255E3B8">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（1）采购人和采购代理机构的名称、地址和联系方式；</w:t>
      </w:r>
    </w:p>
    <w:p w14:paraId="15A67B07">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（2）项目名称和项目编号；</w:t>
      </w:r>
    </w:p>
    <w:p w14:paraId="2B47B1E6">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（3）成交供应商名称、地址和成交金额；</w:t>
      </w:r>
    </w:p>
    <w:p w14:paraId="797448B5">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（4）主要成交标的的名称、规格型号、数量、单价、服务要求；</w:t>
      </w:r>
    </w:p>
    <w:p w14:paraId="72A6EC67">
      <w:pPr>
        <w:widowControl w:val="0"/>
        <w:wordWrap/>
        <w:adjustRightInd w:val="0"/>
        <w:snapToGrid w:val="0"/>
        <w:spacing w:line="560" w:lineRule="exact"/>
        <w:ind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（5）谈判小组成员名单。</w:t>
      </w:r>
    </w:p>
    <w:p w14:paraId="0A52BD48">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27.3《成交通知书》发出后，采购人不得违法改变采购结果，成交供应商无正当理由不得放弃。</w:t>
      </w:r>
    </w:p>
    <w:p w14:paraId="72D5262F">
      <w:pPr>
        <w:pStyle w:val="4"/>
        <w:keepNext/>
        <w:keepLines/>
        <w:widowControl w:val="0"/>
        <w:wordWrap/>
        <w:adjustRightInd w:val="0"/>
        <w:snapToGrid w:val="0"/>
        <w:spacing w:before="157" w:beforeLines="50" w:after="0" w:line="560" w:lineRule="exact"/>
        <w:textAlignment w:val="auto"/>
        <w:outlineLvl w:val="2"/>
        <w:rPr>
          <w:rFonts w:hint="eastAsia" w:ascii="楷体_GB2312" w:hAnsi="楷体_GB2312" w:eastAsia="楷体_GB2312" w:cs="楷体_GB2312"/>
          <w:b/>
          <w:bCs/>
          <w:color w:val="auto"/>
          <w:kern w:val="2"/>
          <w:sz w:val="32"/>
          <w:szCs w:val="32"/>
          <w:lang w:val="en-US" w:eastAsia="zh-CN" w:bidi="ar-SA"/>
        </w:rPr>
      </w:pPr>
      <w:bookmarkStart w:id="183" w:name="_Toc1580"/>
      <w:bookmarkStart w:id="184" w:name="_Toc29441"/>
      <w:bookmarkStart w:id="185" w:name="_Toc13860_WPSOffice_Level3"/>
      <w:bookmarkStart w:id="186" w:name="_Toc20586"/>
      <w:bookmarkStart w:id="187" w:name="_Toc5068_WPSOffice_Level3"/>
      <w:r>
        <w:rPr>
          <w:rFonts w:hint="eastAsia" w:ascii="楷体_GB2312" w:hAnsi="楷体_GB2312" w:eastAsia="楷体_GB2312" w:cs="楷体_GB2312"/>
          <w:b/>
          <w:bCs/>
          <w:color w:val="auto"/>
          <w:kern w:val="2"/>
          <w:sz w:val="32"/>
          <w:szCs w:val="32"/>
          <w:lang w:val="en-US" w:eastAsia="zh-CN" w:bidi="ar-SA"/>
        </w:rPr>
        <w:t>28.授予合同</w:t>
      </w:r>
      <w:bookmarkEnd w:id="183"/>
      <w:bookmarkEnd w:id="184"/>
      <w:bookmarkEnd w:id="185"/>
      <w:bookmarkEnd w:id="186"/>
      <w:bookmarkEnd w:id="187"/>
    </w:p>
    <w:p w14:paraId="72D7A7D6">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28.1谈判文件、成交供应商的响应文件及其补充的响应文件、成交通知书等均为签订政府采购合同的依据。</w:t>
      </w:r>
    </w:p>
    <w:p w14:paraId="5FF85632">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28.2采购人与成交供应商双方应当自《成交通知书》发出之日起30日内，按照谈判文件确定的合同文本以及采购标的、规格型号、采购金额、采购数量、技术和服务要求等事项签订政府采购合同。</w:t>
      </w:r>
    </w:p>
    <w:p w14:paraId="30FE564E">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28.3采购人不得向成交供应商提出超出谈判文件以外的任何要求作为订立合同的条件，不得与成交供应商订立背离谈判文件确定的合同文本以及采购标的、规格型号、采购金额、采购数量、技术和服务要求等实质性内容的协议。</w:t>
      </w:r>
    </w:p>
    <w:p w14:paraId="15B4FAC8">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bookmarkStart w:id="188" w:name="_Toc376936761"/>
      <w:bookmarkStart w:id="189" w:name="_Toc325726030"/>
      <w:r>
        <w:rPr>
          <w:rFonts w:hint="eastAsia" w:ascii="仿宋_GB2312" w:hAnsi="仿宋_GB2312" w:eastAsia="仿宋_GB2312" w:cs="仿宋_GB2312"/>
          <w:color w:val="auto"/>
          <w:kern w:val="2"/>
          <w:sz w:val="32"/>
          <w:szCs w:val="32"/>
          <w:lang w:val="en-US" w:eastAsia="zh-CN" w:bidi="ar-SA"/>
        </w:rPr>
        <w:t>28.4采购人或采购代理机构应当自采购合同签订之日起2个工作日内，将采购合同在青海政府采购信息网上公告，但政府采购合同中涉及国家秘密、商业秘密的内容除外。</w:t>
      </w:r>
    </w:p>
    <w:p w14:paraId="1C5AE834">
      <w:pPr>
        <w:pStyle w:val="4"/>
        <w:keepNext/>
        <w:keepLines/>
        <w:widowControl w:val="0"/>
        <w:wordWrap/>
        <w:adjustRightInd w:val="0"/>
        <w:snapToGrid w:val="0"/>
        <w:spacing w:before="157" w:beforeLines="50" w:after="0" w:line="560" w:lineRule="exact"/>
        <w:textAlignment w:val="auto"/>
        <w:outlineLvl w:val="2"/>
        <w:rPr>
          <w:rFonts w:hint="eastAsia" w:ascii="楷体_GB2312" w:hAnsi="楷体_GB2312" w:eastAsia="楷体_GB2312" w:cs="楷体_GB2312"/>
          <w:b/>
          <w:bCs/>
          <w:color w:val="auto"/>
          <w:kern w:val="2"/>
          <w:sz w:val="32"/>
          <w:szCs w:val="32"/>
          <w:lang w:val="en-US" w:eastAsia="zh-CN" w:bidi="ar-SA"/>
        </w:rPr>
      </w:pPr>
      <w:bookmarkStart w:id="190" w:name="_Toc14343"/>
      <w:bookmarkStart w:id="191" w:name="_Toc32538"/>
      <w:bookmarkStart w:id="192" w:name="_Toc16258_WPSOffice_Level3"/>
      <w:bookmarkStart w:id="193" w:name="_Toc8740_WPSOffice_Level3"/>
      <w:bookmarkStart w:id="194" w:name="_Toc16374"/>
      <w:r>
        <w:rPr>
          <w:rFonts w:hint="eastAsia" w:ascii="楷体_GB2312" w:hAnsi="楷体_GB2312" w:eastAsia="楷体_GB2312" w:cs="楷体_GB2312"/>
          <w:b/>
          <w:bCs/>
          <w:color w:val="auto"/>
          <w:kern w:val="2"/>
          <w:sz w:val="32"/>
          <w:szCs w:val="32"/>
          <w:lang w:val="en-US" w:eastAsia="zh-CN" w:bidi="ar-SA"/>
        </w:rPr>
        <w:t>29.履约验收</w:t>
      </w:r>
      <w:bookmarkEnd w:id="190"/>
      <w:bookmarkEnd w:id="191"/>
      <w:bookmarkEnd w:id="192"/>
      <w:bookmarkEnd w:id="193"/>
      <w:bookmarkEnd w:id="194"/>
    </w:p>
    <w:p w14:paraId="3549E3DC">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29.1履约保证金：</w:t>
      </w:r>
      <w:r>
        <w:rPr>
          <w:rFonts w:hint="eastAsia" w:ascii="仿宋_GB2312" w:hAnsi="仿宋_GB2312" w:eastAsia="仿宋_GB2312" w:cs="仿宋_GB2312"/>
          <w:color w:val="auto"/>
          <w:kern w:val="2"/>
          <w:sz w:val="32"/>
          <w:szCs w:val="32"/>
          <w:u w:val="single"/>
          <w:lang w:val="en-US" w:eastAsia="zh-CN" w:bidi="ar-SA"/>
        </w:rPr>
        <w:t>签订合同时约定</w:t>
      </w:r>
      <w:r>
        <w:rPr>
          <w:rFonts w:hint="eastAsia" w:ascii="仿宋_GB2312" w:hAnsi="仿宋_GB2312" w:eastAsia="仿宋_GB2312" w:cs="仿宋_GB2312"/>
          <w:color w:val="auto"/>
          <w:kern w:val="2"/>
          <w:sz w:val="32"/>
          <w:szCs w:val="32"/>
          <w:lang w:val="en-US" w:eastAsia="zh-CN" w:bidi="ar-SA"/>
        </w:rPr>
        <w:t>（或根据《政府采购实施条例》第四十八条明确约定保证金缴纳数额及方式）</w:t>
      </w:r>
    </w:p>
    <w:p w14:paraId="68AE1D53">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29.2采购人或者采购代理机构应当按照政府采购合同规定的技术、服务、安全标准组织对供应商履约情况进行验收，并出具验收书。验收书应当包括每一项技术、服务、安全标准的履约情况。</w:t>
      </w:r>
    </w:p>
    <w:p w14:paraId="7BF169EF">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29.3采购人可以邀请参加本项目的其他供应商或者第三方机构参与验收。参与验收的供应商或者第三方机构的意见作为验收书的参考资料一并存档。</w:t>
      </w:r>
    </w:p>
    <w:p w14:paraId="00AEAF01">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29.4采购人应当加强履约管理，并按照采购合同约定，及时向成交供应商支付采购资金。对于成交供应商违反采购合同约定的行为，采购人应当及时处理，依法追究其违约责任。</w:t>
      </w:r>
    </w:p>
    <w:p w14:paraId="311B1A67">
      <w:pPr>
        <w:widowControl w:val="0"/>
        <w:wordWrap/>
        <w:adjustRightInd w:val="0"/>
        <w:snapToGrid w:val="0"/>
        <w:spacing w:line="560" w:lineRule="exact"/>
        <w:ind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29.5采购人、采购代理机构应当建立真实完整的谈判档案，妥善保存谈判的相关资料。</w:t>
      </w:r>
    </w:p>
    <w:p w14:paraId="6E75BC07">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color w:val="auto"/>
          <w:kern w:val="2"/>
          <w:sz w:val="32"/>
          <w:szCs w:val="32"/>
          <w:highlight w:val="none"/>
          <w:lang w:val="en-US" w:eastAsia="zh-CN" w:bidi="ar-SA"/>
        </w:rPr>
      </w:pPr>
      <w:bookmarkStart w:id="195" w:name="_Toc31604_WPSOffice_Level2"/>
      <w:bookmarkStart w:id="196" w:name="_Toc6881"/>
      <w:bookmarkStart w:id="197" w:name="_Toc2658_WPSOffice_Level2"/>
      <w:bookmarkStart w:id="198" w:name="_Toc2728"/>
      <w:bookmarkStart w:id="199" w:name="_Toc4328"/>
      <w:bookmarkStart w:id="200" w:name="_Toc3517_WPSOffice_Level2"/>
      <w:bookmarkStart w:id="201" w:name="_Toc32362"/>
      <w:r>
        <w:rPr>
          <w:rFonts w:hint="eastAsia" w:ascii="黑体" w:hAnsi="黑体" w:eastAsia="黑体" w:cs="黑体"/>
          <w:b w:val="0"/>
          <w:bCs w:val="0"/>
          <w:color w:val="auto"/>
          <w:kern w:val="2"/>
          <w:sz w:val="32"/>
          <w:szCs w:val="32"/>
          <w:highlight w:val="none"/>
          <w:lang w:val="en-US" w:eastAsia="zh-CN" w:bidi="ar-SA"/>
        </w:rPr>
        <w:t>七、询问与质疑</w:t>
      </w:r>
      <w:bookmarkEnd w:id="188"/>
      <w:bookmarkEnd w:id="189"/>
      <w:bookmarkEnd w:id="195"/>
      <w:bookmarkEnd w:id="196"/>
      <w:bookmarkEnd w:id="197"/>
      <w:bookmarkEnd w:id="198"/>
      <w:bookmarkEnd w:id="199"/>
      <w:bookmarkEnd w:id="200"/>
      <w:bookmarkEnd w:id="201"/>
    </w:p>
    <w:p w14:paraId="3DCFE6BB">
      <w:pPr>
        <w:pStyle w:val="4"/>
        <w:keepNext/>
        <w:keepLines/>
        <w:widowControl w:val="0"/>
        <w:wordWrap/>
        <w:adjustRightInd w:val="0"/>
        <w:snapToGrid w:val="0"/>
        <w:spacing w:before="157" w:beforeLines="50" w:after="0" w:line="560" w:lineRule="exact"/>
        <w:textAlignment w:val="auto"/>
        <w:outlineLvl w:val="2"/>
        <w:rPr>
          <w:rFonts w:hint="eastAsia" w:ascii="楷体_GB2312" w:hAnsi="楷体_GB2312" w:eastAsia="楷体_GB2312" w:cs="楷体_GB2312"/>
          <w:b/>
          <w:bCs/>
          <w:color w:val="auto"/>
          <w:kern w:val="2"/>
          <w:sz w:val="32"/>
          <w:szCs w:val="32"/>
          <w:lang w:val="en-US" w:eastAsia="zh-CN" w:bidi="ar-SA"/>
        </w:rPr>
      </w:pPr>
      <w:bookmarkStart w:id="202" w:name="_Toc29785"/>
      <w:bookmarkStart w:id="203" w:name="_Toc25982_WPSOffice_Level3"/>
      <w:bookmarkStart w:id="204" w:name="_Toc23314_WPSOffice_Level3"/>
      <w:bookmarkStart w:id="205" w:name="_Toc21641"/>
      <w:bookmarkStart w:id="206" w:name="_Toc14109"/>
      <w:r>
        <w:rPr>
          <w:rFonts w:hint="eastAsia" w:ascii="楷体_GB2312" w:hAnsi="楷体_GB2312" w:eastAsia="楷体_GB2312" w:cs="楷体_GB2312"/>
          <w:b/>
          <w:bCs/>
          <w:color w:val="auto"/>
          <w:kern w:val="2"/>
          <w:sz w:val="32"/>
          <w:szCs w:val="32"/>
          <w:lang w:val="en-US" w:eastAsia="zh-CN" w:bidi="ar-SA"/>
        </w:rPr>
        <w:t>30.对采购过程、结果的询问及质疑</w:t>
      </w:r>
      <w:bookmarkEnd w:id="202"/>
      <w:bookmarkEnd w:id="203"/>
      <w:bookmarkEnd w:id="204"/>
      <w:bookmarkEnd w:id="205"/>
      <w:bookmarkEnd w:id="206"/>
    </w:p>
    <w:p w14:paraId="525933ED">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30.1供应商对政府采购过程、结果有疑问的，可以向采购人、采购代理机构提出询问。</w:t>
      </w:r>
    </w:p>
    <w:p w14:paraId="351BC415">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30.2参与所质疑项目的供应商认为采购过程、成交结果使自己的权益受到损害的，可以在知道或者应知其权益受到损害之日起7个工作日内，以书面形式向采购人、采购代理机构提出质疑。</w:t>
      </w:r>
    </w:p>
    <w:p w14:paraId="65CBCA49">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30.3供应商应在法定质疑期内一次性提出针对同一采购程序环节的质疑。</w:t>
      </w:r>
    </w:p>
    <w:p w14:paraId="2F8055D8">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color w:val="auto"/>
          <w:kern w:val="2"/>
          <w:sz w:val="32"/>
          <w:szCs w:val="32"/>
          <w:highlight w:val="none"/>
          <w:lang w:val="en-US" w:eastAsia="zh-CN" w:bidi="ar-SA"/>
        </w:rPr>
      </w:pPr>
      <w:bookmarkStart w:id="207" w:name="_Toc28133"/>
      <w:bookmarkStart w:id="208" w:name="_Toc4534"/>
      <w:bookmarkStart w:id="209" w:name="_Toc21832"/>
      <w:bookmarkStart w:id="210" w:name="_Toc22201076"/>
      <w:bookmarkStart w:id="211" w:name="_Toc6866_WPSOffice_Level2"/>
      <w:bookmarkStart w:id="212" w:name="_Toc9701_WPSOffice_Level2"/>
      <w:bookmarkStart w:id="213" w:name="_Toc11509_WPSOffice_Level2"/>
      <w:bookmarkStart w:id="214" w:name="_Toc22889"/>
      <w:bookmarkStart w:id="215" w:name="_Toc34637771"/>
      <w:r>
        <w:rPr>
          <w:rFonts w:hint="eastAsia" w:ascii="黑体" w:hAnsi="黑体" w:eastAsia="黑体" w:cs="黑体"/>
          <w:b w:val="0"/>
          <w:bCs w:val="0"/>
          <w:color w:val="auto"/>
          <w:kern w:val="2"/>
          <w:sz w:val="32"/>
          <w:szCs w:val="32"/>
          <w:highlight w:val="none"/>
          <w:lang w:val="en-US" w:eastAsia="zh-CN" w:bidi="ar-SA"/>
        </w:rPr>
        <w:t>八、政府采购政策</w:t>
      </w:r>
      <w:bookmarkEnd w:id="207"/>
      <w:bookmarkEnd w:id="208"/>
      <w:bookmarkEnd w:id="209"/>
      <w:bookmarkEnd w:id="210"/>
      <w:bookmarkEnd w:id="211"/>
      <w:bookmarkEnd w:id="212"/>
      <w:bookmarkEnd w:id="213"/>
      <w:bookmarkEnd w:id="214"/>
      <w:bookmarkEnd w:id="215"/>
    </w:p>
    <w:p w14:paraId="4BA3F801">
      <w:pPr>
        <w:pStyle w:val="4"/>
        <w:keepNext/>
        <w:keepLines/>
        <w:widowControl w:val="0"/>
        <w:wordWrap/>
        <w:adjustRightInd w:val="0"/>
        <w:snapToGrid w:val="0"/>
        <w:spacing w:before="157" w:beforeLines="50" w:after="0" w:line="560" w:lineRule="exact"/>
        <w:textAlignment w:val="auto"/>
        <w:outlineLvl w:val="2"/>
        <w:rPr>
          <w:rFonts w:hint="eastAsia" w:ascii="楷体_GB2312" w:hAnsi="楷体_GB2312" w:eastAsia="楷体_GB2312" w:cs="楷体_GB2312"/>
          <w:b/>
          <w:bCs/>
          <w:color w:val="auto"/>
          <w:kern w:val="2"/>
          <w:sz w:val="32"/>
          <w:szCs w:val="32"/>
          <w:lang w:val="en-US" w:eastAsia="zh-CN" w:bidi="ar-SA"/>
        </w:rPr>
      </w:pPr>
      <w:bookmarkStart w:id="216" w:name="_Toc27584"/>
      <w:bookmarkStart w:id="217" w:name="_Toc17253_WPSOffice_Level3"/>
      <w:bookmarkStart w:id="218" w:name="_Toc16893"/>
      <w:bookmarkStart w:id="219" w:name="_Toc22921"/>
      <w:bookmarkStart w:id="220" w:name="_Toc19360_WPSOffice_Level3"/>
      <w:r>
        <w:rPr>
          <w:rFonts w:hint="eastAsia" w:ascii="楷体_GB2312" w:hAnsi="楷体_GB2312" w:eastAsia="楷体_GB2312" w:cs="楷体_GB2312"/>
          <w:b/>
          <w:bCs/>
          <w:color w:val="auto"/>
          <w:kern w:val="2"/>
          <w:sz w:val="32"/>
          <w:szCs w:val="32"/>
          <w:lang w:val="en-US" w:eastAsia="zh-CN" w:bidi="ar-SA"/>
        </w:rPr>
        <w:t>31.政府采购政策</w:t>
      </w:r>
      <w:bookmarkEnd w:id="216"/>
      <w:bookmarkEnd w:id="217"/>
      <w:bookmarkEnd w:id="218"/>
      <w:bookmarkEnd w:id="219"/>
      <w:bookmarkEnd w:id="220"/>
    </w:p>
    <w:p w14:paraId="17DFEE28">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31.1节能产品、环境标志产品的采购：</w:t>
      </w:r>
    </w:p>
    <w:p w14:paraId="5C009731">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关于调整优化节能产品、环境标志产品政府采购执行机制的通知》（财库〔2019〕9号）的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F9A3CFD">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31.2价格评审优惠：</w:t>
      </w:r>
    </w:p>
    <w:p w14:paraId="6349DB9D">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供应商为小型、微型企业，且提供本企业生产的货物或者提供其他小型、微型企业生产的货物，价格按相关规定给予10%-20%的价格折扣，用扣除后的价格参与评审。本项所称货物不包括使用大型企业注册商标的货物；</w:t>
      </w:r>
    </w:p>
    <w:p w14:paraId="109F43B8">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2）接受大中型企业与小微企业组成联合体或者允许大中型企业向一家或多家小微企业分包的采购项目，对于联合体协议或者分包意向协议约定小微企业的协议金额占到合同总金额30%以上的，对联合体或大中型企业的报价给与4%-6%的扣除，用扣除后的价格参加评审； </w:t>
      </w:r>
    </w:p>
    <w:p w14:paraId="38FD6046">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（3）监狱企业、残疾人福利性单位视同小型、微型企业，享受评审中价格扣除等促进中小企业发展的政府采购政策。 </w:t>
      </w:r>
    </w:p>
    <w:p w14:paraId="462AA306">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31.3供应商同时符合小型、微型企业及监狱企业、残疾人福利性单位要求的，评审时只有一种类型享受价格评审优惠政策；</w:t>
      </w:r>
    </w:p>
    <w:p w14:paraId="78AE2C4A">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31.4响应文件符合本章前款规定的，供应商应提供相关证明资料，且所提供资料必须真实可信。如有虚假，将依法承担相应责任。</w:t>
      </w:r>
    </w:p>
    <w:p w14:paraId="3A32856C">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31.5进口产品是指符合《政府采购进口产品管理办法》（财库〔2007〕119号）和《关于政府采购进口产品管理有关问题的通知》（财办库〔2008〕248号）文件规定的产品。除【谈判须知前附表】另有规定外，采购项目拒绝进口产品参加谈判。本款规定同意购买进口产品的，不限制满足谈判文件要求的国内产品参与谈判竞争。</w:t>
      </w:r>
    </w:p>
    <w:p w14:paraId="34DB5D82">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color w:val="auto"/>
          <w:kern w:val="2"/>
          <w:sz w:val="32"/>
          <w:szCs w:val="32"/>
          <w:highlight w:val="none"/>
          <w:lang w:val="en-US" w:eastAsia="zh-CN" w:bidi="ar-SA"/>
        </w:rPr>
      </w:pPr>
      <w:bookmarkStart w:id="221" w:name="_Toc15805"/>
      <w:bookmarkStart w:id="222" w:name="_Toc28078_WPSOffice_Level2"/>
      <w:bookmarkStart w:id="223" w:name="_Toc22869"/>
      <w:bookmarkStart w:id="224" w:name="_Toc3719_WPSOffice_Level2"/>
      <w:bookmarkStart w:id="225" w:name="_Toc34637772"/>
      <w:bookmarkStart w:id="226" w:name="_Toc30960"/>
      <w:bookmarkStart w:id="227" w:name="_Toc15316"/>
      <w:bookmarkStart w:id="228" w:name="_Toc10843_WPSOffice_Level2"/>
      <w:r>
        <w:rPr>
          <w:rFonts w:hint="eastAsia" w:ascii="黑体" w:hAnsi="黑体" w:eastAsia="黑体" w:cs="黑体"/>
          <w:b w:val="0"/>
          <w:bCs w:val="0"/>
          <w:color w:val="auto"/>
          <w:kern w:val="2"/>
          <w:sz w:val="32"/>
          <w:szCs w:val="32"/>
          <w:highlight w:val="none"/>
          <w:lang w:val="en-US" w:eastAsia="zh-CN" w:bidi="ar-SA"/>
        </w:rPr>
        <w:t>九、其他规定</w:t>
      </w:r>
      <w:bookmarkEnd w:id="221"/>
      <w:bookmarkEnd w:id="222"/>
      <w:bookmarkEnd w:id="223"/>
      <w:bookmarkEnd w:id="224"/>
      <w:bookmarkEnd w:id="225"/>
      <w:bookmarkEnd w:id="226"/>
      <w:bookmarkEnd w:id="227"/>
      <w:bookmarkEnd w:id="228"/>
    </w:p>
    <w:p w14:paraId="31655D96">
      <w:pPr>
        <w:pStyle w:val="4"/>
        <w:keepNext/>
        <w:keepLines/>
        <w:widowControl w:val="0"/>
        <w:wordWrap/>
        <w:adjustRightInd w:val="0"/>
        <w:snapToGrid w:val="0"/>
        <w:spacing w:before="157" w:beforeLines="50" w:after="0" w:line="560" w:lineRule="exact"/>
        <w:textAlignment w:val="auto"/>
        <w:outlineLvl w:val="2"/>
        <w:rPr>
          <w:rFonts w:hint="eastAsia" w:ascii="楷体_GB2312" w:hAnsi="楷体_GB2312" w:eastAsia="楷体_GB2312" w:cs="楷体_GB2312"/>
          <w:b/>
          <w:bCs/>
          <w:color w:val="auto"/>
          <w:kern w:val="2"/>
          <w:sz w:val="32"/>
          <w:szCs w:val="32"/>
          <w:lang w:val="en-US" w:eastAsia="zh-CN" w:bidi="ar-SA"/>
        </w:rPr>
      </w:pPr>
      <w:bookmarkStart w:id="229" w:name="_Toc12390_WPSOffice_Level3"/>
      <w:bookmarkStart w:id="230" w:name="_Toc10855"/>
      <w:bookmarkStart w:id="231" w:name="_Toc10247"/>
      <w:bookmarkStart w:id="232" w:name="_Toc22185_WPSOffice_Level3"/>
      <w:bookmarkStart w:id="233" w:name="_Toc31158"/>
      <w:r>
        <w:rPr>
          <w:rFonts w:hint="eastAsia" w:ascii="楷体_GB2312" w:hAnsi="楷体_GB2312" w:eastAsia="楷体_GB2312" w:cs="楷体_GB2312"/>
          <w:b/>
          <w:bCs/>
          <w:color w:val="auto"/>
          <w:kern w:val="2"/>
          <w:sz w:val="32"/>
          <w:szCs w:val="32"/>
          <w:lang w:val="en-US" w:eastAsia="zh-CN" w:bidi="ar-SA"/>
        </w:rPr>
        <w:t>32.代理服务费</w:t>
      </w:r>
      <w:bookmarkEnd w:id="229"/>
      <w:bookmarkEnd w:id="230"/>
      <w:bookmarkEnd w:id="231"/>
      <w:bookmarkEnd w:id="232"/>
      <w:bookmarkEnd w:id="233"/>
    </w:p>
    <w:p w14:paraId="702E989E">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采购代理服务费由成交供应商支付的，供应商应按【谈判须知前附表】规定向采购代理机构交纳代理服务费。</w:t>
      </w:r>
    </w:p>
    <w:p w14:paraId="4EF2607E">
      <w:pPr>
        <w:pStyle w:val="4"/>
        <w:wordWrap/>
        <w:adjustRightInd w:val="0"/>
        <w:snapToGrid w:val="0"/>
        <w:spacing w:before="157" w:beforeLines="50" w:after="0" w:line="560" w:lineRule="exact"/>
        <w:outlineLvl w:val="2"/>
        <w:rPr>
          <w:rFonts w:hint="eastAsia" w:ascii="楷体_GB2312" w:hAnsi="楷体_GB2312" w:eastAsia="楷体_GB2312" w:cs="楷体_GB2312"/>
          <w:b/>
          <w:bCs/>
          <w:color w:val="auto"/>
          <w:kern w:val="2"/>
          <w:sz w:val="32"/>
          <w:szCs w:val="32"/>
          <w:lang w:val="en-US" w:eastAsia="zh-CN" w:bidi="ar-SA"/>
        </w:rPr>
      </w:pPr>
      <w:bookmarkStart w:id="234" w:name="_Toc14580"/>
      <w:bookmarkStart w:id="235" w:name="_Toc16758"/>
      <w:bookmarkStart w:id="236" w:name="_Toc27699_WPSOffice_Level3"/>
      <w:bookmarkStart w:id="237" w:name="_Toc18975"/>
      <w:bookmarkStart w:id="238" w:name="_Toc1461_WPSOffice_Level3"/>
      <w:r>
        <w:rPr>
          <w:rFonts w:hint="eastAsia" w:ascii="楷体_GB2312" w:hAnsi="楷体_GB2312" w:eastAsia="楷体_GB2312" w:cs="楷体_GB2312"/>
          <w:b/>
          <w:bCs/>
          <w:color w:val="auto"/>
          <w:kern w:val="2"/>
          <w:sz w:val="32"/>
          <w:szCs w:val="32"/>
          <w:lang w:val="en-US" w:eastAsia="zh-CN" w:bidi="ar-SA"/>
        </w:rPr>
        <w:t>33.其他规定</w:t>
      </w:r>
      <w:bookmarkEnd w:id="234"/>
      <w:bookmarkEnd w:id="235"/>
      <w:bookmarkEnd w:id="236"/>
      <w:bookmarkEnd w:id="237"/>
      <w:bookmarkEnd w:id="238"/>
    </w:p>
    <w:p w14:paraId="4DAA91B8">
      <w:pPr>
        <w:widowControl w:val="0"/>
        <w:wordWrap/>
        <w:adjustRightInd w:val="0"/>
        <w:snapToGrid w:val="0"/>
        <w:spacing w:line="560" w:lineRule="exact"/>
        <w:ind w:firstLine="640" w:firstLineChars="200"/>
        <w:jc w:val="left"/>
        <w:textAlignment w:val="auto"/>
        <w:rPr>
          <w:rFonts w:hint="eastAsia" w:ascii="宋体" w:hAnsi="宋体"/>
          <w:color w:val="auto"/>
          <w:szCs w:val="21"/>
        </w:rPr>
      </w:pPr>
      <w:r>
        <w:rPr>
          <w:rFonts w:hint="eastAsia" w:ascii="仿宋_GB2312" w:hAnsi="仿宋_GB2312" w:eastAsia="仿宋_GB2312" w:cs="仿宋_GB2312"/>
          <w:color w:val="auto"/>
          <w:kern w:val="2"/>
          <w:sz w:val="32"/>
          <w:szCs w:val="32"/>
          <w:lang w:val="en-US" w:eastAsia="zh-CN" w:bidi="ar-SA"/>
        </w:rPr>
        <w:t>谈判文件的其他规定见【谈判邀请】</w:t>
      </w:r>
      <w:r>
        <w:rPr>
          <w:rFonts w:hint="eastAsia" w:ascii="仿宋_GB2312" w:hAnsi="仿宋_GB2312" w:eastAsia="仿宋_GB2312" w:cs="仿宋_GB2312"/>
          <w:color w:val="auto"/>
          <w:kern w:val="2"/>
          <w:sz w:val="30"/>
          <w:szCs w:val="30"/>
          <w:lang w:val="en-US" w:eastAsia="zh-CN" w:bidi="ar-SA"/>
        </w:rPr>
        <w:t>。</w:t>
      </w:r>
    </w:p>
    <w:p w14:paraId="7405B51B">
      <w:pPr>
        <w:pStyle w:val="2"/>
        <w:keepNext/>
        <w:widowControl w:val="0"/>
        <w:numPr>
          <w:ilvl w:val="0"/>
          <w:numId w:val="0"/>
        </w:numPr>
        <w:wordWrap/>
        <w:adjustRightInd w:val="0"/>
        <w:snapToGrid w:val="0"/>
        <w:spacing w:before="157" w:beforeLines="50" w:line="560" w:lineRule="exact"/>
        <w:jc w:val="center"/>
        <w:textAlignment w:val="auto"/>
        <w:outlineLvl w:val="0"/>
        <w:rPr>
          <w:rFonts w:hint="eastAsia" w:ascii="华文中宋" w:hAnsi="华文中宋" w:eastAsia="华文中宋" w:cs="华文中宋"/>
          <w:b w:val="0"/>
          <w:bCs w:val="0"/>
          <w:color w:val="auto"/>
          <w:sz w:val="44"/>
          <w:szCs w:val="44"/>
          <w:highlight w:val="none"/>
          <w:lang w:val="en-US" w:eastAsia="zh-CN"/>
        </w:rPr>
      </w:pPr>
      <w:bookmarkStart w:id="239" w:name="_Toc34637773"/>
      <w:bookmarkStart w:id="240" w:name="_Toc20750"/>
      <w:bookmarkStart w:id="241" w:name="_Toc2404_WPSOffice_Level1"/>
      <w:bookmarkStart w:id="242" w:name="_Toc7566"/>
      <w:bookmarkStart w:id="243" w:name="_Toc13204"/>
      <w:bookmarkStart w:id="244" w:name="_Toc18130_WPSOffice_Level1"/>
      <w:bookmarkStart w:id="245" w:name="_Toc7780_WPSOffice_Level1"/>
      <w:bookmarkStart w:id="246" w:name="_Toc31765_WPSOffice_Level1"/>
      <w:bookmarkStart w:id="247" w:name="_Toc29561_WPSOffice_Level1"/>
      <w:bookmarkStart w:id="248" w:name="_Toc4912_WPSOffice_Level1"/>
      <w:r>
        <w:rPr>
          <w:rFonts w:hint="eastAsia" w:ascii="华文中宋" w:hAnsi="华文中宋" w:eastAsia="华文中宋" w:cs="华文中宋"/>
          <w:b w:val="0"/>
          <w:bCs w:val="0"/>
          <w:color w:val="auto"/>
          <w:sz w:val="44"/>
          <w:szCs w:val="44"/>
          <w:highlight w:val="none"/>
          <w:lang w:val="en-US" w:eastAsia="zh-CN"/>
        </w:rPr>
        <w:br w:type="page"/>
      </w:r>
      <w:bookmarkStart w:id="249" w:name="_Toc5886"/>
      <w:r>
        <w:rPr>
          <w:rFonts w:hint="eastAsia" w:ascii="华文中宋" w:hAnsi="华文中宋" w:eastAsia="华文中宋" w:cs="华文中宋"/>
          <w:b w:val="0"/>
          <w:bCs w:val="0"/>
          <w:color w:val="auto"/>
          <w:sz w:val="44"/>
          <w:szCs w:val="44"/>
          <w:highlight w:val="none"/>
          <w:lang w:val="en-US" w:eastAsia="zh-CN"/>
        </w:rPr>
        <w:t>第三部分 采购需求</w:t>
      </w:r>
      <w:bookmarkEnd w:id="239"/>
      <w:bookmarkEnd w:id="240"/>
      <w:bookmarkEnd w:id="241"/>
      <w:bookmarkEnd w:id="242"/>
      <w:bookmarkEnd w:id="243"/>
      <w:bookmarkEnd w:id="244"/>
      <w:bookmarkEnd w:id="245"/>
      <w:bookmarkEnd w:id="246"/>
      <w:bookmarkEnd w:id="247"/>
      <w:bookmarkEnd w:id="248"/>
      <w:bookmarkEnd w:id="249"/>
    </w:p>
    <w:p w14:paraId="55F2E537">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color w:val="auto"/>
          <w:kern w:val="2"/>
          <w:sz w:val="32"/>
          <w:szCs w:val="32"/>
          <w:highlight w:val="none"/>
          <w:lang w:val="zh-CN" w:eastAsia="zh-CN" w:bidi="ar-SA"/>
        </w:rPr>
      </w:pPr>
      <w:bookmarkStart w:id="250" w:name="_Toc22976"/>
      <w:bookmarkStart w:id="251" w:name="_Toc17070"/>
      <w:bookmarkStart w:id="252" w:name="_Toc19812_WPSOffice_Level2"/>
      <w:bookmarkStart w:id="253" w:name="_Toc4601"/>
      <w:bookmarkStart w:id="254" w:name="_Toc515908232"/>
      <w:bookmarkStart w:id="255" w:name="_Toc20423_WPSOffice_Level2"/>
      <w:bookmarkStart w:id="256" w:name="_Toc13326_WPSOffice_Level2"/>
      <w:bookmarkStart w:id="257" w:name="_Toc8656"/>
      <w:r>
        <w:rPr>
          <w:rFonts w:hint="eastAsia" w:ascii="黑体" w:hAnsi="黑体" w:eastAsia="黑体" w:cs="黑体"/>
          <w:b w:val="0"/>
          <w:bCs w:val="0"/>
          <w:color w:val="auto"/>
          <w:kern w:val="2"/>
          <w:sz w:val="32"/>
          <w:szCs w:val="32"/>
          <w:highlight w:val="none"/>
          <w:lang w:val="zh-CN" w:eastAsia="zh-CN" w:bidi="ar-SA"/>
        </w:rPr>
        <w:t>十、响应说明</w:t>
      </w:r>
      <w:bookmarkEnd w:id="250"/>
      <w:bookmarkEnd w:id="251"/>
      <w:bookmarkEnd w:id="252"/>
      <w:bookmarkEnd w:id="253"/>
      <w:bookmarkEnd w:id="254"/>
      <w:bookmarkEnd w:id="255"/>
      <w:bookmarkEnd w:id="256"/>
      <w:bookmarkEnd w:id="257"/>
    </w:p>
    <w:p w14:paraId="34E6ADD9">
      <w:pPr>
        <w:widowControl w:val="0"/>
        <w:wordWrap/>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供应商可以按照谈判文件规定的包号选择响应，但必须对所响应包号中的所有内容作为一个整体进行响应，不能拆分或少报，</w:t>
      </w:r>
      <w:r>
        <w:rPr>
          <w:rFonts w:hint="eastAsia" w:ascii="仿宋_GB2312" w:hAnsi="仿宋_GB2312" w:eastAsia="仿宋_GB2312" w:cs="仿宋_GB2312"/>
          <w:color w:val="auto"/>
          <w:kern w:val="2"/>
          <w:sz w:val="32"/>
          <w:szCs w:val="32"/>
          <w:highlight w:val="none"/>
          <w:lang w:val="en-US" w:eastAsia="zh-CN" w:bidi="ar-SA"/>
        </w:rPr>
        <w:t>如有缺项、漏项，其响应无效。</w:t>
      </w:r>
    </w:p>
    <w:p w14:paraId="3DD2460A">
      <w:pPr>
        <w:widowControl w:val="0"/>
        <w:wordWrap/>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2.交货时间及地点：按采购单位指定的时间、地点服务。</w:t>
      </w:r>
    </w:p>
    <w:p w14:paraId="05659320">
      <w:pPr>
        <w:widowControl w:val="0"/>
        <w:wordWrap/>
        <w:adjustRightInd w:val="0"/>
        <w:snapToGrid w:val="0"/>
        <w:spacing w:before="157" w:beforeLines="50" w:line="560" w:lineRule="exact"/>
        <w:ind w:left="0" w:leftChars="0" w:right="0" w:firstLine="640" w:firstLineChars="200"/>
        <w:jc w:val="center"/>
        <w:textAlignment w:val="auto"/>
        <w:outlineLvl w:val="1"/>
        <w:rPr>
          <w:rFonts w:hint="default" w:ascii="黑体" w:hAnsi="黑体" w:eastAsia="黑体" w:cs="黑体"/>
          <w:b w:val="0"/>
          <w:bCs w:val="0"/>
          <w:color w:val="auto"/>
          <w:kern w:val="2"/>
          <w:sz w:val="32"/>
          <w:szCs w:val="32"/>
          <w:highlight w:val="none"/>
          <w:lang w:val="en-US" w:eastAsia="zh-CN" w:bidi="ar-SA"/>
        </w:rPr>
      </w:pPr>
      <w:bookmarkStart w:id="258" w:name="_Toc28791"/>
      <w:bookmarkStart w:id="259" w:name="_Toc22092"/>
      <w:bookmarkStart w:id="260" w:name="_Toc16271_WPSOffice_Level2"/>
      <w:bookmarkStart w:id="261" w:name="_Toc1475"/>
      <w:bookmarkStart w:id="262" w:name="_Toc26560_WPSOffice_Level2"/>
      <w:bookmarkStart w:id="263" w:name="_Toc515908233"/>
      <w:bookmarkStart w:id="264" w:name="_Toc10839"/>
      <w:bookmarkStart w:id="265" w:name="_Toc19609_WPSOffice_Level2"/>
      <w:r>
        <w:rPr>
          <w:rFonts w:hint="eastAsia" w:ascii="黑体" w:hAnsi="黑体" w:eastAsia="黑体" w:cs="黑体"/>
          <w:b w:val="0"/>
          <w:bCs w:val="0"/>
          <w:color w:val="auto"/>
          <w:kern w:val="2"/>
          <w:sz w:val="32"/>
          <w:szCs w:val="32"/>
          <w:highlight w:val="none"/>
          <w:lang w:val="zh-CN" w:eastAsia="zh-CN" w:bidi="ar-SA"/>
        </w:rPr>
        <w:t>十一、</w:t>
      </w:r>
      <w:bookmarkEnd w:id="258"/>
      <w:bookmarkEnd w:id="259"/>
      <w:bookmarkEnd w:id="260"/>
      <w:bookmarkEnd w:id="261"/>
      <w:bookmarkEnd w:id="262"/>
      <w:bookmarkEnd w:id="263"/>
      <w:bookmarkEnd w:id="264"/>
      <w:bookmarkEnd w:id="265"/>
      <w:r>
        <w:rPr>
          <w:rFonts w:hint="eastAsia" w:ascii="黑体" w:hAnsi="黑体" w:eastAsia="黑体" w:cs="黑体"/>
          <w:b w:val="0"/>
          <w:bCs w:val="0"/>
          <w:color w:val="auto"/>
          <w:kern w:val="2"/>
          <w:sz w:val="32"/>
          <w:szCs w:val="32"/>
          <w:highlight w:val="none"/>
          <w:lang w:val="en-US" w:eastAsia="zh-CN" w:bidi="ar-SA"/>
        </w:rPr>
        <w:t>商务要求</w:t>
      </w:r>
    </w:p>
    <w:p w14:paraId="71DF4AD9">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bookmarkStart w:id="266" w:name="_Toc488673674"/>
      <w:bookmarkStart w:id="267" w:name="_Toc18880"/>
      <w:r>
        <w:rPr>
          <w:rFonts w:hint="eastAsia" w:ascii="仿宋_GB2312" w:hAnsi="仿宋_GB2312" w:eastAsia="仿宋_GB2312" w:cs="仿宋_GB2312"/>
          <w:color w:val="auto"/>
          <w:kern w:val="2"/>
          <w:sz w:val="32"/>
          <w:szCs w:val="32"/>
          <w:highlight w:val="none"/>
          <w:lang w:val="en-US" w:eastAsia="zh-CN" w:bidi="ar-SA"/>
        </w:rPr>
        <w:t>1.交货期：</w:t>
      </w:r>
      <w:bookmarkEnd w:id="266"/>
      <w:r>
        <w:rPr>
          <w:rFonts w:hint="eastAsia" w:ascii="仿宋_GB2312" w:hAnsi="仿宋_GB2312" w:eastAsia="仿宋_GB2312" w:cs="仿宋_GB2312"/>
          <w:color w:val="auto"/>
          <w:kern w:val="2"/>
          <w:sz w:val="32"/>
          <w:szCs w:val="32"/>
          <w:highlight w:val="none"/>
          <w:lang w:val="en-US" w:eastAsia="zh-CN" w:bidi="ar-SA"/>
        </w:rPr>
        <w:t>2026年5月10日前交货。</w:t>
      </w:r>
    </w:p>
    <w:p w14:paraId="61113179">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bookmarkStart w:id="268" w:name="_Toc488673675"/>
      <w:r>
        <w:rPr>
          <w:rFonts w:hint="eastAsia" w:ascii="仿宋_GB2312" w:hAnsi="仿宋_GB2312" w:eastAsia="仿宋_GB2312" w:cs="仿宋_GB2312"/>
          <w:color w:val="auto"/>
          <w:kern w:val="2"/>
          <w:sz w:val="32"/>
          <w:szCs w:val="32"/>
          <w:highlight w:val="none"/>
          <w:lang w:val="en-US" w:eastAsia="zh-CN" w:bidi="ar-SA"/>
        </w:rPr>
        <w:t>2.交货地点：</w:t>
      </w:r>
      <w:bookmarkEnd w:id="268"/>
      <w:r>
        <w:rPr>
          <w:rFonts w:hint="eastAsia" w:ascii="仿宋_GB2312" w:hAnsi="仿宋_GB2312" w:eastAsia="仿宋_GB2312" w:cs="仿宋_GB2312"/>
          <w:color w:val="auto"/>
          <w:kern w:val="2"/>
          <w:sz w:val="32"/>
          <w:szCs w:val="32"/>
          <w:highlight w:val="none"/>
          <w:lang w:val="en-US" w:eastAsia="zh-CN" w:bidi="ar-SA"/>
        </w:rPr>
        <w:t>采购人指定地点。</w:t>
      </w:r>
    </w:p>
    <w:p w14:paraId="2980E56F">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b/>
          <w:bCs/>
          <w:color w:val="auto"/>
          <w:kern w:val="2"/>
          <w:sz w:val="32"/>
          <w:szCs w:val="32"/>
          <w:highlight w:val="none"/>
          <w:lang w:val="en-US" w:eastAsia="zh-CN" w:bidi="ar-SA"/>
        </w:rPr>
      </w:pPr>
      <w:bookmarkStart w:id="269" w:name="_Toc488673676"/>
      <w:r>
        <w:rPr>
          <w:rFonts w:hint="eastAsia" w:ascii="仿宋_GB2312" w:hAnsi="仿宋_GB2312" w:eastAsia="仿宋_GB2312" w:cs="仿宋_GB2312"/>
          <w:color w:val="auto"/>
          <w:kern w:val="2"/>
          <w:sz w:val="32"/>
          <w:szCs w:val="32"/>
          <w:highlight w:val="none"/>
          <w:lang w:val="en-US" w:eastAsia="zh-CN" w:bidi="ar-SA"/>
        </w:rPr>
        <w:t>3.付款方式：</w:t>
      </w:r>
      <w:bookmarkEnd w:id="269"/>
      <w:r>
        <w:rPr>
          <w:rFonts w:hint="eastAsia" w:ascii="仿宋_GB2312" w:hAnsi="仿宋_GB2312" w:eastAsia="仿宋_GB2312" w:cs="仿宋_GB2312"/>
          <w:color w:val="auto"/>
          <w:kern w:val="2"/>
          <w:sz w:val="32"/>
          <w:szCs w:val="32"/>
          <w:highlight w:val="none"/>
          <w:lang w:val="en-US" w:eastAsia="zh-CN" w:bidi="ar-SA"/>
        </w:rPr>
        <w:t>详见“第五部分  青海省政府采购项目合同书范本”中“四、付款方式”的规定。</w:t>
      </w:r>
    </w:p>
    <w:p w14:paraId="0CFEB556">
      <w:pPr>
        <w:widowControl w:val="0"/>
        <w:wordWrap/>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4.质保期：验收合格后2年。</w:t>
      </w:r>
    </w:p>
    <w:p w14:paraId="16037645">
      <w:pPr>
        <w:widowControl w:val="0"/>
        <w:wordWrap/>
        <w:adjustRightInd w:val="0"/>
        <w:snapToGrid w:val="0"/>
        <w:spacing w:before="157" w:beforeLines="50" w:line="560" w:lineRule="exact"/>
        <w:ind w:left="0" w:leftChars="0" w:right="0" w:firstLine="640" w:firstLineChars="200"/>
        <w:jc w:val="center"/>
        <w:textAlignment w:val="auto"/>
        <w:outlineLvl w:val="1"/>
        <w:rPr>
          <w:rFonts w:ascii="宋体" w:hAnsi="宋体" w:eastAsia="宋体" w:cs="宋体"/>
          <w:b/>
          <w:bCs/>
          <w:color w:val="000000" w:themeColor="text1"/>
          <w:sz w:val="28"/>
          <w:szCs w:val="28"/>
          <w14:textFill>
            <w14:solidFill>
              <w14:schemeClr w14:val="tx1"/>
            </w14:solidFill>
          </w14:textFill>
        </w:rPr>
      </w:pPr>
      <w:r>
        <w:rPr>
          <w:rFonts w:hint="eastAsia" w:ascii="黑体" w:hAnsi="黑体" w:eastAsia="黑体" w:cs="黑体"/>
          <w:b w:val="0"/>
          <w:bCs w:val="0"/>
          <w:color w:val="auto"/>
          <w:kern w:val="2"/>
          <w:sz w:val="32"/>
          <w:szCs w:val="32"/>
          <w:highlight w:val="none"/>
          <w:lang w:val="en-US" w:eastAsia="zh-CN" w:bidi="ar-SA"/>
        </w:rPr>
        <w:t>采购技术参数</w:t>
      </w:r>
    </w:p>
    <w:bookmarkEnd w:id="267"/>
    <w:p w14:paraId="1FE8DB59">
      <w:pPr>
        <w:numPr>
          <w:ilvl w:val="0"/>
          <w:numId w:val="0"/>
        </w:numPr>
        <w:rPr>
          <w:rFonts w:hint="eastAsia"/>
          <w:b/>
          <w:bCs/>
          <w:sz w:val="28"/>
          <w:szCs w:val="28"/>
          <w:lang w:val="en-US" w:eastAsia="zh-CN"/>
        </w:rPr>
      </w:pPr>
      <w:bookmarkStart w:id="270" w:name="_Toc6923_WPSOffice_Level1"/>
      <w:bookmarkStart w:id="271" w:name="_Toc955_WPSOffice_Level1"/>
      <w:bookmarkStart w:id="272" w:name="_Toc15487_WPSOffice_Level1"/>
      <w:bookmarkStart w:id="273" w:name="_Toc31138"/>
      <w:bookmarkStart w:id="274" w:name="_Toc1325"/>
      <w:bookmarkStart w:id="275" w:name="_Toc5732_WPSOffice_Level1"/>
      <w:bookmarkStart w:id="276" w:name="_Toc22544"/>
      <w:bookmarkStart w:id="277" w:name="_Toc18208_WPSOffice_Level1"/>
      <w:bookmarkStart w:id="278" w:name="_Toc18643_WPSOffice_Level1"/>
      <w:r>
        <w:rPr>
          <w:rFonts w:hint="eastAsia" w:asciiTheme="minorHAnsi" w:hAnsiTheme="minorHAnsi" w:eastAsiaTheme="minorEastAsia" w:cstheme="minorBidi"/>
          <w:b/>
          <w:bCs/>
          <w:kern w:val="2"/>
          <w:sz w:val="28"/>
          <w:szCs w:val="28"/>
          <w:lang w:val="en-US" w:eastAsia="zh-CN" w:bidi="ar-SA"/>
        </w:rPr>
        <w:t>一.</w:t>
      </w:r>
      <w:r>
        <w:rPr>
          <w:rFonts w:hint="eastAsia"/>
          <w:b/>
          <w:bCs/>
          <w:sz w:val="28"/>
          <w:szCs w:val="28"/>
          <w:lang w:val="en-US" w:eastAsia="zh-CN"/>
        </w:rPr>
        <w:t>耳鼻喉综合治疗台</w:t>
      </w:r>
    </w:p>
    <w:p w14:paraId="3F553041">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1、智能系统主操作台:钢化玻璃材质。台面具有智能触摸操作面板可以对射灯,喉镜预热器操作。</w:t>
      </w:r>
    </w:p>
    <w:p w14:paraId="4820D267">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2、整机噪音：≤55dB,整机功率1500环境温度:+10℃~+35℃ b)</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大气压力:86KPa~106Kpa</w:t>
      </w:r>
    </w:p>
    <w:p w14:paraId="6DBAFFAE">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3、枪体: 采用304不锈钢可高温消毒抗氧化材质,枪头可更换，二直一弯，气水两路分开操作. 金属可重复利用吸引管。</w:t>
      </w:r>
    </w:p>
    <w:p w14:paraId="2C0AE4FE">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4、静音正压泵:喷枪、吹枪正压工作范围0.1Mpa—0.15Mpa，压力表精度:2.5级。</w:t>
      </w:r>
    </w:p>
    <w:p w14:paraId="4371E89F">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5、静音负压泵：</w:t>
      </w:r>
      <w:r>
        <w:rPr>
          <w:rFonts w:hint="eastAsia" w:ascii="宋体" w:hAnsi="宋体" w:eastAsia="宋体" w:cs="宋体"/>
          <w:b w:val="0"/>
          <w:bCs w:val="0"/>
          <w:sz w:val="24"/>
          <w:szCs w:val="24"/>
          <w:lang w:val="zh-CN"/>
        </w:rPr>
        <w:t>吸枪负压:≥0.07Mpa，可调，压力表精度:2.5级，</w:t>
      </w:r>
      <w:r>
        <w:rPr>
          <w:rFonts w:hint="eastAsia" w:ascii="宋体" w:hAnsi="宋体" w:eastAsia="宋体" w:cs="宋体"/>
          <w:b w:val="0"/>
          <w:bCs w:val="0"/>
          <w:sz w:val="24"/>
          <w:szCs w:val="24"/>
        </w:rPr>
        <w:t xml:space="preserve">最高吸引力为140KPa, </w:t>
      </w:r>
      <w:r>
        <w:rPr>
          <w:rFonts w:hint="eastAsia" w:ascii="宋体" w:hAnsi="宋体" w:eastAsia="宋体" w:cs="宋体"/>
          <w:b w:val="0"/>
          <w:bCs w:val="0"/>
          <w:sz w:val="24"/>
          <w:szCs w:val="24"/>
          <w:lang w:val="zh-CN"/>
        </w:rPr>
        <w:t xml:space="preserve">吸枪：吸力0-600 </w:t>
      </w:r>
      <w:r>
        <w:rPr>
          <w:rFonts w:hint="eastAsia" w:ascii="宋体" w:hAnsi="宋体" w:eastAsia="宋体" w:cs="宋体"/>
          <w:b w:val="0"/>
          <w:bCs w:val="0"/>
          <w:sz w:val="24"/>
          <w:szCs w:val="24"/>
          <w:u w:val="single"/>
          <w:lang w:val="zh-CN"/>
        </w:rPr>
        <w:t>mmHg</w:t>
      </w:r>
      <w:r>
        <w:rPr>
          <w:rFonts w:hint="eastAsia" w:ascii="宋体" w:hAnsi="宋体" w:eastAsia="宋体" w:cs="宋体"/>
          <w:b w:val="0"/>
          <w:bCs w:val="0"/>
          <w:sz w:val="24"/>
          <w:szCs w:val="24"/>
        </w:rPr>
        <w:t>；吸引流量≥1.5L/1min；</w:t>
      </w:r>
    </w:p>
    <w:p w14:paraId="601CF627">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6、正负压力表: 52mm±</w:t>
      </w:r>
      <w:r>
        <w:rPr>
          <w:rFonts w:hint="eastAsia" w:ascii="宋体" w:hAnsi="宋体" w:eastAsia="宋体" w:cs="宋体"/>
          <w:b w:val="0"/>
          <w:bCs w:val="0"/>
          <w:sz w:val="24"/>
          <w:szCs w:val="24"/>
          <w:lang w:val="en-US" w:eastAsia="zh-CN"/>
        </w:rPr>
        <w:t>2mm，</w:t>
      </w:r>
      <w:r>
        <w:rPr>
          <w:rFonts w:hint="eastAsia" w:ascii="宋体" w:hAnsi="宋体" w:eastAsia="宋体" w:cs="宋体"/>
          <w:b w:val="0"/>
          <w:bCs w:val="0"/>
          <w:sz w:val="24"/>
          <w:szCs w:val="24"/>
        </w:rPr>
        <w:t>直径圆形变盘，不锈钢材质，</w:t>
      </w:r>
    </w:p>
    <w:p w14:paraId="732FEBE6">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7、内镜预热器：具有温度控制加热快</w:t>
      </w:r>
    </w:p>
    <w:p w14:paraId="2D6B359A">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8、关节万向转动照明系统: 三关节万向转动 LED冷射灯设计，可做任何方向调节，LED自然光:连续工作≥10分钟灯罩表面温度≤30°:照明灯调节范围：水平方向≥300°，垂直方向≥180°;灯臂升降调节范围：垂直方向≥640mm，水平方向≥200°</w:t>
      </w:r>
    </w:p>
    <w:p w14:paraId="5E1F1681">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9、观片灯:</w:t>
      </w:r>
      <w:r>
        <w:rPr>
          <w:rFonts w:hint="eastAsia" w:ascii="宋体" w:hAnsi="宋体" w:eastAsia="宋体" w:cs="宋体"/>
          <w:b w:val="0"/>
          <w:bCs w:val="0"/>
          <w:sz w:val="24"/>
          <w:szCs w:val="24"/>
          <w:lang w:val="en-US" w:eastAsia="zh-CN"/>
        </w:rPr>
        <w:t>LED</w:t>
      </w:r>
      <w:r>
        <w:rPr>
          <w:rFonts w:hint="eastAsia" w:ascii="宋体" w:hAnsi="宋体" w:eastAsia="宋体" w:cs="宋体"/>
          <w:b w:val="0"/>
          <w:bCs w:val="0"/>
          <w:sz w:val="24"/>
          <w:szCs w:val="24"/>
        </w:rPr>
        <w:t xml:space="preserve">观片灯的色温≥6500K;  </w:t>
      </w:r>
    </w:p>
    <w:p w14:paraId="7EB2249A">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10、整机：整机尺寸（mm）：1600×690×870±</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,万向脚轮设计。</w:t>
      </w:r>
    </w:p>
    <w:p w14:paraId="0FEF3C51">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11、</w:t>
      </w:r>
      <w:r>
        <w:rPr>
          <w:rFonts w:hint="eastAsia" w:ascii="宋体" w:hAnsi="宋体" w:eastAsia="宋体" w:cs="宋体"/>
          <w:b w:val="0"/>
          <w:bCs w:val="0"/>
          <w:sz w:val="24"/>
          <w:szCs w:val="24"/>
          <w:lang w:val="en-US" w:eastAsia="zh-CN"/>
        </w:rPr>
        <w:t>具有</w:t>
      </w:r>
      <w:r>
        <w:rPr>
          <w:rFonts w:hint="eastAsia" w:ascii="宋体" w:hAnsi="宋体" w:eastAsia="宋体" w:cs="宋体"/>
          <w:b w:val="0"/>
          <w:bCs w:val="0"/>
          <w:sz w:val="24"/>
          <w:szCs w:val="24"/>
        </w:rPr>
        <w:t>方便直接接入成像系统的主机自带电源备用座。</w:t>
      </w:r>
    </w:p>
    <w:p w14:paraId="7D1AFA20">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11、器械盘: 300mm*200mm*50mm±</w:t>
      </w:r>
      <w:r>
        <w:rPr>
          <w:rFonts w:hint="eastAsia" w:ascii="宋体" w:hAnsi="宋体" w:eastAsia="宋体" w:cs="宋体"/>
          <w:b w:val="0"/>
          <w:bCs w:val="0"/>
          <w:sz w:val="24"/>
          <w:szCs w:val="24"/>
          <w:lang w:val="en-US" w:eastAsia="zh-CN"/>
        </w:rPr>
        <w:t>5mm</w:t>
      </w:r>
      <w:r>
        <w:rPr>
          <w:rFonts w:hint="eastAsia" w:ascii="宋体" w:hAnsi="宋体" w:eastAsia="宋体" w:cs="宋体"/>
          <w:b w:val="0"/>
          <w:bCs w:val="0"/>
          <w:sz w:val="24"/>
          <w:szCs w:val="24"/>
        </w:rPr>
        <w:t>医用不锈钢器械盘。</w:t>
      </w:r>
    </w:p>
    <w:p w14:paraId="5BB9A270">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12、药棉罐：直径</w:t>
      </w:r>
      <w:r>
        <w:rPr>
          <w:rFonts w:hint="eastAsia" w:ascii="宋体" w:hAnsi="宋体" w:eastAsia="宋体" w:cs="宋体"/>
          <w:b w:val="0"/>
          <w:bCs w:val="0"/>
          <w:sz w:val="24"/>
          <w:szCs w:val="24"/>
          <w:lang w:val="en-US" w:eastAsia="zh-CN"/>
        </w:rPr>
        <w:t>100±2</w:t>
      </w:r>
      <w:r>
        <w:rPr>
          <w:rFonts w:hint="eastAsia" w:ascii="宋体" w:hAnsi="宋体" w:eastAsia="宋体" w:cs="宋体"/>
          <w:b w:val="0"/>
          <w:bCs w:val="0"/>
          <w:sz w:val="24"/>
          <w:szCs w:val="24"/>
        </w:rPr>
        <w:t>mm医用不锈钢带盖药棉罐≥3个。</w:t>
      </w:r>
    </w:p>
    <w:p w14:paraId="024B63F7">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13、2小时机器无操作自动关机，再次启动机器须关闭机器开关再打开机器正常操作。</w:t>
      </w:r>
    </w:p>
    <w:p w14:paraId="18709515">
      <w:pPr>
        <w:spacing w:line="24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14、吸引瓶水满自动报警10秒±</w:t>
      </w:r>
      <w:r>
        <w:rPr>
          <w:rFonts w:hint="eastAsia" w:ascii="宋体" w:hAnsi="宋体" w:eastAsia="宋体" w:cs="宋体"/>
          <w:b w:val="0"/>
          <w:bCs w:val="0"/>
          <w:sz w:val="24"/>
          <w:szCs w:val="24"/>
          <w:lang w:val="en-US" w:eastAsia="zh-CN"/>
        </w:rPr>
        <w:t>2秒</w:t>
      </w:r>
      <w:r>
        <w:rPr>
          <w:rFonts w:hint="eastAsia" w:ascii="宋体" w:hAnsi="宋体" w:eastAsia="宋体" w:cs="宋体"/>
          <w:b w:val="0"/>
          <w:bCs w:val="0"/>
          <w:sz w:val="24"/>
          <w:szCs w:val="24"/>
        </w:rPr>
        <w:t>,提示清理。容量≥2500ml。污物瓶内置吸引防回流装置</w:t>
      </w:r>
      <w:r>
        <w:rPr>
          <w:rFonts w:hint="eastAsia" w:ascii="宋体" w:hAnsi="宋体" w:eastAsia="宋体" w:cs="宋体"/>
          <w:b w:val="0"/>
          <w:bCs w:val="0"/>
          <w:sz w:val="24"/>
          <w:szCs w:val="24"/>
          <w:lang w:eastAsia="zh-CN"/>
        </w:rPr>
        <w:t>。</w:t>
      </w:r>
    </w:p>
    <w:p w14:paraId="441889D9">
      <w:pPr>
        <w:numPr>
          <w:ilvl w:val="0"/>
          <w:numId w:val="5"/>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椅子参数：</w:t>
      </w:r>
      <w:r>
        <w:rPr>
          <w:rFonts w:hint="eastAsia" w:ascii="宋体" w:hAnsi="宋体" w:eastAsia="宋体" w:cs="宋体"/>
          <w:b w:val="0"/>
          <w:bCs w:val="0"/>
          <w:sz w:val="24"/>
          <w:szCs w:val="24"/>
          <w:lang w:val="en-US" w:eastAsia="zh-CN"/>
        </w:rPr>
        <w:t xml:space="preserve"> 外观尺寸：</w:t>
      </w:r>
    </w:p>
    <w:p w14:paraId="0AF5962C">
      <w:pPr>
        <w:widowControl/>
        <w:spacing w:line="240" w:lineRule="auto"/>
        <w:rPr>
          <w:rFonts w:hint="default" w:ascii="宋体" w:hAnsi="宋体"/>
          <w:b w:val="0"/>
          <w:bCs w:val="0"/>
          <w:color w:val="auto"/>
          <w:sz w:val="24"/>
          <w:szCs w:val="24"/>
          <w:lang w:val="en-US" w:eastAsia="zh-CN"/>
        </w:rPr>
      </w:pPr>
      <w:r>
        <w:rPr>
          <w:rFonts w:hint="eastAsia" w:ascii="宋体" w:hAnsi="宋体"/>
          <w:b w:val="0"/>
          <w:bCs w:val="0"/>
          <w:color w:val="auto"/>
          <w:sz w:val="24"/>
          <w:szCs w:val="24"/>
          <w:lang w:val="en-US" w:eastAsia="zh-CN"/>
        </w:rPr>
        <w:t>15.1 座椅升降范围：≥110mm，允差±20mm。</w:t>
      </w:r>
    </w:p>
    <w:p w14:paraId="2C044DA8">
      <w:pPr>
        <w:widowControl/>
        <w:spacing w:line="240" w:lineRule="auto"/>
        <w:rPr>
          <w:rFonts w:hint="eastAsia" w:ascii="宋体" w:hAnsi="宋体"/>
          <w:b w:val="0"/>
          <w:bCs w:val="0"/>
          <w:color w:val="auto"/>
          <w:sz w:val="24"/>
          <w:szCs w:val="24"/>
          <w:lang w:val="en-US" w:eastAsia="zh-CN"/>
        </w:rPr>
      </w:pPr>
      <w:r>
        <w:rPr>
          <w:rFonts w:hint="eastAsia" w:ascii="宋体" w:hAnsi="宋体"/>
          <w:b w:val="0"/>
          <w:bCs w:val="0"/>
          <w:color w:val="auto"/>
          <w:sz w:val="24"/>
          <w:szCs w:val="24"/>
          <w:lang w:val="en-US" w:eastAsia="zh-CN"/>
        </w:rPr>
        <w:t>15.2 背板角度调节范围：能在90°～180°范围内可调。允差±5°</w:t>
      </w:r>
    </w:p>
    <w:p w14:paraId="60077025">
      <w:pPr>
        <w:widowControl/>
        <w:spacing w:line="240" w:lineRule="auto"/>
        <w:rPr>
          <w:rFonts w:hint="eastAsia" w:ascii="宋体" w:hAnsi="宋体"/>
          <w:b w:val="0"/>
          <w:bCs w:val="0"/>
          <w:color w:val="auto"/>
          <w:sz w:val="24"/>
          <w:szCs w:val="24"/>
          <w:lang w:val="en-US" w:eastAsia="zh-CN"/>
        </w:rPr>
      </w:pPr>
      <w:r>
        <w:rPr>
          <w:rFonts w:hint="eastAsia" w:ascii="宋体" w:hAnsi="宋体"/>
          <w:b w:val="0"/>
          <w:bCs w:val="0"/>
          <w:color w:val="auto"/>
          <w:sz w:val="24"/>
          <w:szCs w:val="24"/>
          <w:lang w:val="en-US" w:eastAsia="zh-CN"/>
        </w:rPr>
        <w:t>15.3医用诊疗椅能够360°旋转。</w:t>
      </w:r>
    </w:p>
    <w:p w14:paraId="4125E0E0">
      <w:pPr>
        <w:widowControl/>
        <w:spacing w:line="240" w:lineRule="auto"/>
        <w:rPr>
          <w:rFonts w:hint="default" w:ascii="宋体" w:hAnsi="宋体" w:eastAsia="宋体"/>
          <w:b w:val="0"/>
          <w:bCs w:val="0"/>
          <w:color w:val="auto"/>
          <w:sz w:val="24"/>
          <w:szCs w:val="24"/>
          <w:lang w:val="en-US" w:eastAsia="zh-CN"/>
        </w:rPr>
      </w:pPr>
      <w:r>
        <w:rPr>
          <w:rFonts w:hint="eastAsia" w:ascii="宋体" w:hAnsi="宋体"/>
          <w:b w:val="0"/>
          <w:bCs w:val="0"/>
          <w:color w:val="auto"/>
          <w:sz w:val="24"/>
          <w:szCs w:val="24"/>
          <w:lang w:val="en-US" w:eastAsia="zh-CN"/>
        </w:rPr>
        <w:t>15.4头枕延伸范围</w:t>
      </w:r>
      <w:r>
        <w:rPr>
          <w:rFonts w:hint="eastAsia" w:ascii="宋体" w:hAnsi="宋体" w:eastAsia="宋体"/>
          <w:b w:val="0"/>
          <w:bCs w:val="0"/>
          <w:color w:val="auto"/>
          <w:sz w:val="24"/>
          <w:szCs w:val="24"/>
          <w:lang w:val="en-US" w:eastAsia="zh-CN"/>
        </w:rPr>
        <w:t>：</w:t>
      </w:r>
      <w:r>
        <w:rPr>
          <w:rFonts w:hint="eastAsia" w:ascii="Times New Roman" w:hAnsi="Times New Roman" w:cs="Times New Roman"/>
          <w:b w:val="0"/>
          <w:bCs w:val="0"/>
          <w:color w:val="auto"/>
          <w:sz w:val="24"/>
          <w:szCs w:val="24"/>
          <w:vertAlign w:val="baseline"/>
          <w:lang w:val="en-US" w:eastAsia="zh-CN"/>
        </w:rPr>
        <w:t>≥</w:t>
      </w:r>
      <w:r>
        <w:rPr>
          <w:rFonts w:hint="eastAsia" w:ascii="宋体" w:hAnsi="宋体"/>
          <w:b w:val="0"/>
          <w:bCs w:val="0"/>
          <w:color w:val="auto"/>
          <w:sz w:val="24"/>
          <w:szCs w:val="24"/>
          <w:lang w:val="en-US" w:eastAsia="zh-CN"/>
        </w:rPr>
        <w:t>100</w:t>
      </w:r>
      <w:r>
        <w:rPr>
          <w:rFonts w:hint="eastAsia" w:ascii="宋体" w:hAnsi="宋体" w:eastAsia="宋体" w:cs="宋体"/>
          <w:b w:val="0"/>
          <w:bCs w:val="0"/>
          <w:color w:val="auto"/>
          <w:sz w:val="24"/>
          <w:szCs w:val="24"/>
          <w:vertAlign w:val="baseline"/>
          <w:lang w:val="en-US" w:eastAsia="zh-CN"/>
        </w:rPr>
        <w:t>mm</w:t>
      </w:r>
      <w:r>
        <w:rPr>
          <w:rFonts w:hint="eastAsia" w:ascii="宋体" w:hAnsi="宋体" w:eastAsia="宋体"/>
          <w:b w:val="0"/>
          <w:bCs w:val="0"/>
          <w:color w:val="auto"/>
          <w:sz w:val="24"/>
          <w:szCs w:val="24"/>
          <w:lang w:val="en-US" w:eastAsia="zh-CN"/>
        </w:rPr>
        <w:t>。</w:t>
      </w:r>
    </w:p>
    <w:p w14:paraId="150E5D89">
      <w:pPr>
        <w:keepNext w:val="0"/>
        <w:keepLines w:val="0"/>
        <w:pageBreakBefore w:val="0"/>
        <w:widowControl w:val="0"/>
        <w:numPr>
          <w:ilvl w:val="0"/>
          <w:numId w:val="0"/>
        </w:numPr>
        <w:kinsoku/>
        <w:wordWrap/>
        <w:overflowPunct/>
        <w:topLinePunct w:val="0"/>
        <w:autoSpaceDE/>
        <w:autoSpaceDN/>
        <w:bidi w:val="0"/>
        <w:adjustRightInd/>
        <w:snapToGrid/>
        <w:spacing w:line="240" w:lineRule="auto"/>
        <w:rPr>
          <w:rFonts w:hint="eastAsia"/>
          <w:b w:val="0"/>
          <w:bCs w:val="0"/>
          <w:sz w:val="24"/>
          <w:szCs w:val="24"/>
        </w:rPr>
      </w:pPr>
      <w:r>
        <w:rPr>
          <w:rFonts w:hint="eastAsia" w:ascii="宋体" w:hAnsi="宋体"/>
          <w:b w:val="0"/>
          <w:bCs w:val="0"/>
          <w:color w:val="auto"/>
          <w:sz w:val="24"/>
          <w:szCs w:val="24"/>
          <w:lang w:val="en-US" w:eastAsia="zh-CN"/>
        </w:rPr>
        <w:t>15.</w:t>
      </w:r>
      <w:r>
        <w:rPr>
          <w:rFonts w:hint="eastAsia" w:ascii="宋体" w:hAnsi="宋体"/>
          <w:b w:val="0"/>
          <w:bCs w:val="0"/>
          <w:sz w:val="24"/>
          <w:szCs w:val="24"/>
          <w:lang w:val="en-US" w:eastAsia="zh-CN"/>
        </w:rPr>
        <w:t>5</w:t>
      </w:r>
      <w:r>
        <w:rPr>
          <w:rFonts w:hint="eastAsia"/>
          <w:b w:val="0"/>
          <w:bCs w:val="0"/>
          <w:sz w:val="24"/>
          <w:szCs w:val="24"/>
        </w:rPr>
        <w:t>承重≥135Kg</w:t>
      </w:r>
    </w:p>
    <w:p w14:paraId="0D55AB4D">
      <w:pPr>
        <w:pStyle w:val="10"/>
        <w:spacing w:line="240" w:lineRule="auto"/>
        <w:ind w:left="482" w:hanging="480" w:hangingChars="200"/>
        <w:rPr>
          <w:rFonts w:hint="eastAsia" w:ascii="宋体" w:hAnsi="宋体" w:eastAsia="宋体" w:cs="宋体"/>
          <w:b w:val="0"/>
          <w:bCs w:val="0"/>
          <w:sz w:val="24"/>
          <w:szCs w:val="24"/>
        </w:rPr>
      </w:pPr>
      <w:r>
        <w:rPr>
          <w:rFonts w:hint="eastAsia" w:hAnsi="宋体" w:cs="宋体"/>
          <w:b w:val="0"/>
          <w:bCs w:val="0"/>
          <w:sz w:val="24"/>
          <w:szCs w:val="24"/>
          <w:lang w:val="en-US" w:eastAsia="zh-CN"/>
        </w:rPr>
        <w:t>16、</w:t>
      </w:r>
      <w:r>
        <w:rPr>
          <w:rFonts w:hint="eastAsia" w:ascii="宋体" w:hAnsi="宋体" w:eastAsia="宋体" w:cs="宋体"/>
          <w:b w:val="0"/>
          <w:bCs w:val="0"/>
          <w:color w:val="000000"/>
          <w:sz w:val="24"/>
          <w:szCs w:val="24"/>
          <w:shd w:val="clear" w:color="auto" w:fill="FFFFFF"/>
        </w:rPr>
        <w:t>耳咽管通气装置。耳鼻喉检查治疗台一体化</w:t>
      </w:r>
      <w:r>
        <w:rPr>
          <w:rFonts w:hint="eastAsia" w:hAnsi="宋体" w:cs="宋体"/>
          <w:b w:val="0"/>
          <w:bCs w:val="0"/>
          <w:color w:val="000000"/>
          <w:sz w:val="24"/>
          <w:szCs w:val="24"/>
          <w:shd w:val="clear" w:color="auto" w:fill="FFFFFF"/>
          <w:lang w:val="en-US" w:eastAsia="zh-CN"/>
        </w:rPr>
        <w:t>带有</w:t>
      </w:r>
      <w:r>
        <w:rPr>
          <w:rFonts w:hint="eastAsia" w:ascii="宋体" w:hAnsi="宋体" w:eastAsia="宋体" w:cs="宋体"/>
          <w:b w:val="0"/>
          <w:bCs w:val="0"/>
          <w:color w:val="000000"/>
          <w:sz w:val="24"/>
          <w:szCs w:val="24"/>
          <w:shd w:val="clear" w:color="auto" w:fill="FFFFFF"/>
        </w:rPr>
        <w:t>自清洗系统；</w:t>
      </w:r>
    </w:p>
    <w:p w14:paraId="18C1D95E">
      <w:pPr>
        <w:spacing w:line="240" w:lineRule="auto"/>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需配备医用内窥镜摄像系统。主要性能参数如下：</w:t>
      </w:r>
    </w:p>
    <w:p w14:paraId="2524CF7E">
      <w:pPr>
        <w:widowControl/>
        <w:spacing w:line="240" w:lineRule="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16.2.1、医用内窥镜摄像系统（含摄像主机和摄像头）</w:t>
      </w:r>
    </w:p>
    <w:p w14:paraId="39C6E88F">
      <w:pPr>
        <w:widowControl/>
        <w:spacing w:line="240" w:lineRule="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（1）高清摄像头：1/2.8  CMOS  成像器件</w:t>
      </w:r>
    </w:p>
    <w:p w14:paraId="0A636853">
      <w:pPr>
        <w:widowControl/>
        <w:spacing w:line="240" w:lineRule="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（2）摄像头防水等级：IPX8</w:t>
      </w:r>
    </w:p>
    <w:p w14:paraId="3EA28C47">
      <w:pPr>
        <w:widowControl/>
        <w:spacing w:line="240" w:lineRule="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（3）特殊抗干扰处理，有效解决高频电刀产生的干扰纹</w:t>
      </w:r>
    </w:p>
    <w:p w14:paraId="3272C6F4">
      <w:pPr>
        <w:widowControl/>
        <w:spacing w:line="240" w:lineRule="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 xml:space="preserve">（4）水平分辨率：≥1200TVL（1080P） </w:t>
      </w:r>
    </w:p>
    <w:p w14:paraId="41F64D2D">
      <w:pPr>
        <w:widowControl/>
        <w:spacing w:line="240" w:lineRule="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（5）有效像素：≥1920(H)x1080(V)</w:t>
      </w:r>
    </w:p>
    <w:p w14:paraId="4C25C98F">
      <w:pPr>
        <w:widowControl/>
        <w:spacing w:line="240" w:lineRule="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（6）扫描方式：逐行扫描</w:t>
      </w:r>
    </w:p>
    <w:p w14:paraId="5C9C7197">
      <w:pPr>
        <w:widowControl/>
        <w:spacing w:line="240" w:lineRule="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（7）白平衡:自动/手动/一键白平衡</w:t>
      </w:r>
    </w:p>
    <w:p w14:paraId="0954BDE4">
      <w:pPr>
        <w:widowControl/>
        <w:spacing w:line="240" w:lineRule="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（8）亮度：ODS可调</w:t>
      </w:r>
    </w:p>
    <w:p w14:paraId="35BFF8DD">
      <w:pPr>
        <w:widowControl/>
        <w:spacing w:line="240" w:lineRule="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（9）具有白平衡、影像亮度、锐利度、影像冻结、数位放大、语言选择等功能</w:t>
      </w:r>
    </w:p>
    <w:p w14:paraId="738B8472">
      <w:pPr>
        <w:widowControl/>
        <w:spacing w:line="240" w:lineRule="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（10）电子快门:可选速度范围为：自动/手动(1/50(60) ～1/60,000 秒)</w:t>
      </w:r>
    </w:p>
    <w:p w14:paraId="4C8FE87F">
      <w:pPr>
        <w:widowControl/>
        <w:spacing w:line="240" w:lineRule="auto"/>
        <w:rPr>
          <w:rFonts w:hint="default"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（11）视频输出接口：HDMI*4(4路高清实时输出，能满足一路手术监视器用、一路高清工作站录像报告用、一路远程教学用、一路手术直播用）、VGA*1等。</w:t>
      </w:r>
    </w:p>
    <w:p w14:paraId="5F88DC74">
      <w:pPr>
        <w:widowControl/>
        <w:spacing w:line="240" w:lineRule="auto"/>
        <w:rPr>
          <w:rFonts w:hint="default" w:ascii="宋体" w:hAnsi="宋体" w:eastAsia="宋体" w:cs="Times New Roman"/>
          <w:b/>
          <w:bCs/>
          <w:color w:val="auto"/>
          <w:sz w:val="24"/>
          <w:lang w:val="en-US" w:eastAsia="zh-CN"/>
        </w:rPr>
      </w:pPr>
      <w:r>
        <w:rPr>
          <w:rFonts w:hint="eastAsia" w:ascii="宋体" w:hAnsi="宋体" w:eastAsia="宋体" w:cs="Times New Roman"/>
          <w:b/>
          <w:bCs/>
          <w:color w:val="auto"/>
          <w:sz w:val="24"/>
          <w:lang w:val="en-US" w:eastAsia="zh-CN"/>
        </w:rPr>
        <w:t>16.2.2、</w:t>
      </w:r>
      <w:r>
        <w:rPr>
          <w:rFonts w:hint="eastAsia" w:ascii="宋体" w:hAnsi="宋体" w:eastAsia="宋体" w:cs="Times New Roman"/>
          <w:b w:val="0"/>
          <w:bCs w:val="0"/>
          <w:color w:val="auto"/>
          <w:sz w:val="24"/>
          <w:szCs w:val="24"/>
          <w:lang w:val="en-US" w:eastAsia="zh-CN"/>
        </w:rPr>
        <w:t>LED医用内窥镜冷光源</w:t>
      </w:r>
    </w:p>
    <w:p w14:paraId="1BF040E2">
      <w:pPr>
        <w:widowControl/>
        <w:spacing w:line="240" w:lineRule="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（1）采用LED发光组件，</w:t>
      </w:r>
    </w:p>
    <w:p w14:paraId="6AB277E9">
      <w:pPr>
        <w:widowControl/>
        <w:spacing w:line="240" w:lineRule="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（2）LED发光寿命≥2万小时，无需更换灯泡，</w:t>
      </w:r>
    </w:p>
    <w:p w14:paraId="7ECEA990">
      <w:pPr>
        <w:widowControl/>
        <w:spacing w:line="240" w:lineRule="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（3）色温：3000K～7000K，发光颜色纯，无杂光</w:t>
      </w:r>
    </w:p>
    <w:p w14:paraId="1351EDDE">
      <w:pPr>
        <w:widowControl/>
        <w:spacing w:line="240" w:lineRule="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（4）光输出孔：直径为（10±0.30）mm</w:t>
      </w:r>
    </w:p>
    <w:p w14:paraId="52D96EB9">
      <w:pPr>
        <w:widowControl/>
        <w:spacing w:line="240" w:lineRule="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（5）整机功率：≥130VA</w:t>
      </w:r>
    </w:p>
    <w:p w14:paraId="214087B6">
      <w:pPr>
        <w:widowControl/>
        <w:spacing w:line="240" w:lineRule="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（6）输出总光通量：≥100 lm</w:t>
      </w:r>
    </w:p>
    <w:p w14:paraId="2C3F6604">
      <w:pPr>
        <w:widowControl/>
        <w:spacing w:line="240" w:lineRule="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（7）显色指数：≥90</w:t>
      </w:r>
    </w:p>
    <w:p w14:paraId="5417E951">
      <w:pPr>
        <w:widowControl/>
        <w:spacing w:line="240" w:lineRule="auto"/>
        <w:rPr>
          <w:rFonts w:hint="default" w:ascii="宋体" w:hAnsi="宋体" w:eastAsia="宋体" w:cs="Times New Roman"/>
          <w:b/>
          <w:bCs/>
          <w:color w:val="auto"/>
          <w:sz w:val="24"/>
          <w:lang w:val="en-US" w:eastAsia="zh-CN"/>
        </w:rPr>
      </w:pPr>
      <w:r>
        <w:rPr>
          <w:rFonts w:hint="eastAsia" w:ascii="宋体" w:hAnsi="宋体" w:eastAsia="宋体" w:cs="Times New Roman"/>
          <w:b/>
          <w:bCs/>
          <w:color w:val="auto"/>
          <w:sz w:val="24"/>
          <w:lang w:val="en-US" w:eastAsia="zh-CN"/>
        </w:rPr>
        <w:t>16.2.3、显示器</w:t>
      </w:r>
    </w:p>
    <w:p w14:paraId="18CF95A4">
      <w:pPr>
        <w:widowControl/>
        <w:spacing w:line="240" w:lineRule="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（1）≥21寸液晶屏</w:t>
      </w:r>
    </w:p>
    <w:p w14:paraId="56F29212">
      <w:pPr>
        <w:widowControl/>
        <w:spacing w:line="24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（2）分辨率：≥1920</w:t>
      </w:r>
      <w:r>
        <w:rPr>
          <w:rFonts w:hint="default" w:ascii="宋体" w:hAnsi="宋体" w:eastAsia="宋体" w:cs="Times New Roman"/>
          <w:color w:val="auto"/>
          <w:sz w:val="24"/>
          <w:lang w:val="en-US" w:eastAsia="zh-CN"/>
        </w:rPr>
        <w:t>×</w:t>
      </w:r>
      <w:r>
        <w:rPr>
          <w:rFonts w:hint="eastAsia" w:ascii="宋体" w:hAnsi="宋体" w:eastAsia="宋体" w:cs="Times New Roman"/>
          <w:color w:val="auto"/>
          <w:sz w:val="24"/>
          <w:lang w:val="en-US" w:eastAsia="zh-CN"/>
        </w:rPr>
        <w:t>1080</w:t>
      </w:r>
    </w:p>
    <w:p w14:paraId="3BBC516D">
      <w:pPr>
        <w:widowControl/>
        <w:spacing w:line="24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（3）色彩：1670万±10%</w:t>
      </w:r>
    </w:p>
    <w:p w14:paraId="5E979002">
      <w:pPr>
        <w:widowControl/>
        <w:spacing w:line="240" w:lineRule="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 xml:space="preserve">（4）对比度：1000:1 </w:t>
      </w:r>
    </w:p>
    <w:p w14:paraId="005E025E">
      <w:pPr>
        <w:widowControl/>
        <w:spacing w:line="240" w:lineRule="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（5）可视角度：89/89/89/89(Typ)</w:t>
      </w:r>
    </w:p>
    <w:p w14:paraId="14BAB7BF">
      <w:pPr>
        <w:widowControl/>
        <w:spacing w:line="240" w:lineRule="auto"/>
        <w:rPr>
          <w:rFonts w:hint="default" w:ascii="宋体" w:hAnsi="宋体" w:eastAsia="宋体" w:cs="Times New Roman"/>
          <w:b/>
          <w:bCs/>
          <w:color w:val="auto"/>
          <w:sz w:val="24"/>
          <w:lang w:val="en-US" w:eastAsia="zh-CN"/>
        </w:rPr>
      </w:pPr>
      <w:r>
        <w:rPr>
          <w:rFonts w:hint="eastAsia" w:ascii="宋体" w:hAnsi="宋体" w:eastAsia="宋体" w:cs="Times New Roman"/>
          <w:b/>
          <w:bCs/>
          <w:color w:val="auto"/>
          <w:sz w:val="24"/>
          <w:lang w:val="en-US" w:eastAsia="zh-CN"/>
        </w:rPr>
        <w:t>16.2.4、附件</w:t>
      </w:r>
    </w:p>
    <w:p w14:paraId="07096F9A">
      <w:pPr>
        <w:widowControl/>
        <w:spacing w:line="240" w:lineRule="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（1）玻璃光纤束： 长度2500mm±5%</w:t>
      </w:r>
    </w:p>
    <w:p w14:paraId="75454D3C">
      <w:pPr>
        <w:widowControl/>
        <w:spacing w:line="240" w:lineRule="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（2）设备仪器台车：整体组合，装卸自如，层板可调，空间多重组合</w:t>
      </w:r>
    </w:p>
    <w:p w14:paraId="0D258CD5">
      <w:pPr>
        <w:widowControl/>
        <w:spacing w:line="240" w:lineRule="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（3）光学接口：可接任何硬管内窥镜</w:t>
      </w:r>
    </w:p>
    <w:p w14:paraId="29D9B2C3">
      <w:pPr>
        <w:widowControl/>
        <w:spacing w:line="240" w:lineRule="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（4）耳鼻喉内窥镜各一支</w:t>
      </w:r>
    </w:p>
    <w:p w14:paraId="575106A9">
      <w:pPr>
        <w:widowControl/>
        <w:spacing w:line="240" w:lineRule="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（5）电脑：含工作站软件</w:t>
      </w:r>
      <w:r>
        <w:rPr>
          <w:rFonts w:hint="eastAsia" w:ascii="宋体" w:hAnsi="宋体" w:cs="Times New Roman"/>
          <w:color w:val="auto"/>
          <w:sz w:val="24"/>
          <w:lang w:val="en-US" w:eastAsia="zh-CN"/>
        </w:rPr>
        <w:t>，</w:t>
      </w:r>
      <w:r>
        <w:rPr>
          <w:rFonts w:hint="eastAsia" w:ascii="宋体" w:hAnsi="宋体" w:eastAsia="宋体" w:cs="Times New Roman"/>
          <w:color w:val="auto"/>
          <w:sz w:val="24"/>
          <w:lang w:val="en-US" w:eastAsia="zh-CN"/>
        </w:rPr>
        <w:t>实现:1、高清视频采集2、病人信息资料存储3、拍照功能4、</w:t>
      </w:r>
    </w:p>
    <w:p w14:paraId="7E6A8D1A">
      <w:pPr>
        <w:widowControl/>
        <w:spacing w:line="240" w:lineRule="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录像功能。</w:t>
      </w:r>
    </w:p>
    <w:p w14:paraId="45A8E178">
      <w:pPr>
        <w:numPr>
          <w:ilvl w:val="0"/>
          <w:numId w:val="0"/>
        </w:numPr>
        <w:rPr>
          <w:rFonts w:hint="default"/>
          <w:b/>
          <w:bCs/>
          <w:sz w:val="28"/>
          <w:szCs w:val="28"/>
          <w:lang w:val="en-US" w:eastAsia="zh-CN"/>
        </w:rPr>
      </w:pPr>
      <w:r>
        <w:rPr>
          <w:rFonts w:hint="eastAsia" w:asciiTheme="minorHAnsi" w:hAnsiTheme="minorHAnsi" w:eastAsiaTheme="minorEastAsia" w:cstheme="minorBidi"/>
          <w:b/>
          <w:bCs/>
          <w:kern w:val="2"/>
          <w:sz w:val="28"/>
          <w:szCs w:val="28"/>
          <w:lang w:val="en-US" w:eastAsia="zh-CN" w:bidi="ar-SA"/>
        </w:rPr>
        <w:t>二.</w:t>
      </w:r>
      <w:r>
        <w:rPr>
          <w:rFonts w:hint="eastAsia"/>
          <w:b/>
          <w:bCs/>
          <w:sz w:val="28"/>
          <w:szCs w:val="28"/>
          <w:lang w:val="en-US" w:eastAsia="zh-CN"/>
        </w:rPr>
        <w:t>纯音听力仪</w:t>
      </w:r>
    </w:p>
    <w:p w14:paraId="274D296C">
      <w:pPr>
        <w:widowControl/>
        <w:spacing w:line="400" w:lineRule="exact"/>
        <w:jc w:val="left"/>
        <w:rPr>
          <w:rFonts w:hint="eastAsia"/>
          <w:kern w:val="10"/>
          <w:sz w:val="24"/>
          <w:szCs w:val="24"/>
        </w:rPr>
      </w:pPr>
      <w:r>
        <w:rPr>
          <w:rFonts w:hint="eastAsia"/>
          <w:b w:val="0"/>
          <w:bCs/>
          <w:kern w:val="10"/>
          <w:sz w:val="24"/>
          <w:szCs w:val="24"/>
          <w:lang w:val="en-US" w:eastAsia="zh-CN"/>
        </w:rPr>
        <w:t>1.</w:t>
      </w:r>
      <w:r>
        <w:rPr>
          <w:rFonts w:hint="eastAsia"/>
          <w:b w:val="0"/>
          <w:bCs/>
          <w:kern w:val="10"/>
          <w:sz w:val="24"/>
          <w:szCs w:val="24"/>
        </w:rPr>
        <w:t>通道：两</w:t>
      </w:r>
      <w:r>
        <w:rPr>
          <w:rFonts w:hint="eastAsia"/>
          <w:kern w:val="10"/>
          <w:sz w:val="24"/>
          <w:szCs w:val="24"/>
        </w:rPr>
        <w:t>路独立输出通道</w:t>
      </w:r>
    </w:p>
    <w:p w14:paraId="5132B972">
      <w:pPr>
        <w:widowControl/>
        <w:spacing w:line="400" w:lineRule="exact"/>
        <w:jc w:val="left"/>
        <w:rPr>
          <w:rFonts w:hint="eastAsia"/>
          <w:kern w:val="10"/>
          <w:sz w:val="24"/>
          <w:szCs w:val="24"/>
        </w:rPr>
      </w:pPr>
      <w:r>
        <w:rPr>
          <w:rFonts w:hint="eastAsia"/>
          <w:kern w:val="10"/>
          <w:sz w:val="24"/>
          <w:szCs w:val="24"/>
          <w:lang w:val="en-US" w:eastAsia="zh-CN"/>
        </w:rPr>
        <w:t>2.</w:t>
      </w:r>
      <w:r>
        <w:rPr>
          <w:rFonts w:hint="eastAsia"/>
          <w:kern w:val="10"/>
          <w:sz w:val="24"/>
          <w:szCs w:val="24"/>
        </w:rPr>
        <w:t>测试频率：气导125～8000Hz，骨导250～6000Hz，误差≤2%</w:t>
      </w:r>
    </w:p>
    <w:p w14:paraId="799F7372">
      <w:pPr>
        <w:widowControl/>
        <w:spacing w:line="400" w:lineRule="exact"/>
        <w:jc w:val="left"/>
        <w:rPr>
          <w:rFonts w:hint="eastAsia"/>
          <w:kern w:val="10"/>
          <w:sz w:val="24"/>
          <w:szCs w:val="24"/>
        </w:rPr>
      </w:pPr>
      <w:r>
        <w:rPr>
          <w:rFonts w:hint="eastAsia"/>
          <w:kern w:val="10"/>
          <w:sz w:val="24"/>
          <w:szCs w:val="24"/>
          <w:lang w:val="en-US" w:eastAsia="zh-CN"/>
        </w:rPr>
        <w:t>3.</w:t>
      </w:r>
      <w:r>
        <w:rPr>
          <w:rFonts w:hint="eastAsia"/>
          <w:kern w:val="10"/>
          <w:sz w:val="24"/>
          <w:szCs w:val="24"/>
        </w:rPr>
        <w:t>测试强度范围：气导-10～120dB  骨导-10~70dB</w:t>
      </w:r>
    </w:p>
    <w:p w14:paraId="59B9F240">
      <w:pPr>
        <w:widowControl/>
        <w:spacing w:line="400" w:lineRule="exact"/>
        <w:jc w:val="left"/>
        <w:rPr>
          <w:rFonts w:hint="eastAsia"/>
          <w:kern w:val="10"/>
          <w:sz w:val="24"/>
          <w:szCs w:val="24"/>
        </w:rPr>
      </w:pPr>
      <w:r>
        <w:rPr>
          <w:rFonts w:hint="eastAsia"/>
          <w:kern w:val="10"/>
          <w:sz w:val="24"/>
          <w:szCs w:val="24"/>
          <w:lang w:val="en-US" w:eastAsia="zh-CN"/>
        </w:rPr>
        <w:t>4.</w:t>
      </w:r>
      <w:r>
        <w:rPr>
          <w:rFonts w:hint="eastAsia"/>
          <w:kern w:val="10"/>
          <w:sz w:val="24"/>
          <w:szCs w:val="24"/>
        </w:rPr>
        <w:t>掩蔽强度范围：-10～110dB</w:t>
      </w:r>
    </w:p>
    <w:p w14:paraId="5361695B">
      <w:pPr>
        <w:widowControl/>
        <w:spacing w:line="400" w:lineRule="exact"/>
        <w:jc w:val="left"/>
        <w:rPr>
          <w:rFonts w:hint="eastAsia" w:ascii="宋体" w:hAnsi="宋体"/>
          <w:kern w:val="10"/>
          <w:sz w:val="24"/>
          <w:szCs w:val="24"/>
        </w:rPr>
      </w:pPr>
      <w:r>
        <w:rPr>
          <w:rFonts w:hint="eastAsia" w:ascii="宋体" w:hAnsi="宋体"/>
          <w:kern w:val="10"/>
          <w:sz w:val="24"/>
          <w:szCs w:val="24"/>
          <w:lang w:val="en-US" w:eastAsia="zh-CN"/>
        </w:rPr>
        <w:t>5.</w:t>
      </w:r>
      <w:r>
        <w:rPr>
          <w:rFonts w:hint="eastAsia" w:ascii="宋体" w:hAnsi="宋体"/>
          <w:kern w:val="10"/>
          <w:sz w:val="24"/>
          <w:szCs w:val="24"/>
        </w:rPr>
        <w:t>啭音调制频率：5Hz 正弦波</w:t>
      </w:r>
    </w:p>
    <w:p w14:paraId="68F638D2">
      <w:pPr>
        <w:widowControl/>
        <w:spacing w:line="400" w:lineRule="exact"/>
        <w:jc w:val="left"/>
        <w:rPr>
          <w:rFonts w:hint="eastAsia" w:ascii="宋体" w:hAnsi="宋体"/>
          <w:kern w:val="10"/>
          <w:sz w:val="24"/>
          <w:szCs w:val="24"/>
        </w:rPr>
      </w:pPr>
      <w:r>
        <w:rPr>
          <w:rFonts w:hint="eastAsia" w:ascii="宋体" w:hAnsi="宋体"/>
          <w:kern w:val="10"/>
          <w:sz w:val="24"/>
          <w:szCs w:val="24"/>
          <w:lang w:val="en-US" w:eastAsia="zh-CN"/>
        </w:rPr>
        <w:t>6.</w:t>
      </w:r>
      <w:r>
        <w:rPr>
          <w:rFonts w:hint="eastAsia" w:ascii="宋体" w:hAnsi="宋体"/>
          <w:kern w:val="10"/>
          <w:sz w:val="24"/>
          <w:szCs w:val="24"/>
        </w:rPr>
        <w:t>测试信号：≥三种测试信号</w:t>
      </w:r>
    </w:p>
    <w:p w14:paraId="1C3B769C">
      <w:pPr>
        <w:widowControl/>
        <w:spacing w:line="400" w:lineRule="exact"/>
        <w:jc w:val="left"/>
        <w:rPr>
          <w:rFonts w:hint="eastAsia" w:ascii="宋体" w:hAnsi="宋体"/>
          <w:kern w:val="10"/>
          <w:sz w:val="24"/>
          <w:szCs w:val="24"/>
        </w:rPr>
      </w:pPr>
      <w:r>
        <w:rPr>
          <w:rFonts w:hint="eastAsia" w:ascii="宋体" w:hAnsi="宋体"/>
          <w:kern w:val="10"/>
          <w:sz w:val="24"/>
          <w:szCs w:val="24"/>
          <w:lang w:val="en-US" w:eastAsia="zh-CN"/>
        </w:rPr>
        <w:t>7.</w:t>
      </w:r>
      <w:r>
        <w:rPr>
          <w:rFonts w:hint="eastAsia" w:ascii="宋体" w:hAnsi="宋体"/>
          <w:kern w:val="10"/>
          <w:sz w:val="24"/>
          <w:szCs w:val="24"/>
        </w:rPr>
        <w:t>显示屏：LCD显示屏，双行精确数值显示</w:t>
      </w:r>
    </w:p>
    <w:p w14:paraId="7BF7138A">
      <w:pPr>
        <w:widowControl/>
        <w:spacing w:line="400" w:lineRule="exact"/>
        <w:jc w:val="left"/>
        <w:rPr>
          <w:rFonts w:hint="eastAsia" w:ascii="宋体" w:hAnsi="宋体"/>
          <w:kern w:val="10"/>
          <w:sz w:val="24"/>
          <w:szCs w:val="24"/>
        </w:rPr>
      </w:pPr>
      <w:r>
        <w:rPr>
          <w:rFonts w:hint="eastAsia" w:ascii="宋体" w:hAnsi="宋体"/>
          <w:kern w:val="10"/>
          <w:sz w:val="24"/>
          <w:szCs w:val="24"/>
          <w:lang w:val="en-US" w:eastAsia="zh-CN"/>
        </w:rPr>
        <w:t>8.</w:t>
      </w:r>
      <w:r>
        <w:rPr>
          <w:rFonts w:hint="eastAsia" w:ascii="宋体" w:hAnsi="宋体"/>
          <w:kern w:val="10"/>
          <w:sz w:val="24"/>
          <w:szCs w:val="24"/>
        </w:rPr>
        <w:t>失真度：气导≤2.5% 骨导≤5.5%  </w:t>
      </w:r>
    </w:p>
    <w:p w14:paraId="390D160E">
      <w:pPr>
        <w:widowControl/>
        <w:spacing w:line="400" w:lineRule="exact"/>
        <w:jc w:val="left"/>
        <w:rPr>
          <w:rFonts w:ascii="宋体" w:hAnsi="宋体"/>
          <w:kern w:val="10"/>
          <w:sz w:val="24"/>
          <w:szCs w:val="24"/>
        </w:rPr>
      </w:pPr>
      <w:r>
        <w:rPr>
          <w:rFonts w:hint="eastAsia" w:ascii="宋体" w:hAnsi="宋体"/>
          <w:kern w:val="10"/>
          <w:sz w:val="24"/>
          <w:szCs w:val="24"/>
          <w:lang w:val="en-US" w:eastAsia="zh-CN"/>
        </w:rPr>
        <w:t>9.</w:t>
      </w:r>
      <w:r>
        <w:rPr>
          <w:rFonts w:hint="eastAsia" w:ascii="宋体" w:hAnsi="宋体"/>
          <w:kern w:val="10"/>
          <w:sz w:val="24"/>
          <w:szCs w:val="24"/>
        </w:rPr>
        <w:t>精度：连续衰减/步进5dB，误差1dB</w:t>
      </w:r>
    </w:p>
    <w:p w14:paraId="701CBD40">
      <w:pPr>
        <w:widowControl/>
        <w:spacing w:line="400" w:lineRule="exact"/>
        <w:jc w:val="left"/>
        <w:rPr>
          <w:rFonts w:hint="eastAsia" w:ascii="宋体" w:hAnsi="宋体"/>
          <w:kern w:val="10"/>
          <w:sz w:val="24"/>
          <w:szCs w:val="24"/>
        </w:rPr>
      </w:pPr>
      <w:r>
        <w:rPr>
          <w:rFonts w:hint="eastAsia" w:ascii="宋体" w:hAnsi="宋体" w:cs="宋体"/>
          <w:color w:val="000000"/>
          <w:kern w:val="10"/>
          <w:sz w:val="24"/>
          <w:szCs w:val="24"/>
          <w:lang w:val="en-US" w:eastAsia="zh-CN"/>
        </w:rPr>
        <w:t>10.</w:t>
      </w:r>
      <w:r>
        <w:rPr>
          <w:rFonts w:hint="eastAsia" w:ascii="宋体" w:hAnsi="宋体"/>
          <w:kern w:val="10"/>
          <w:sz w:val="24"/>
          <w:szCs w:val="24"/>
        </w:rPr>
        <w:t>患者应答：外置应答手柄，内置蜂鸣提示</w:t>
      </w:r>
    </w:p>
    <w:p w14:paraId="34DE0548">
      <w:pPr>
        <w:widowControl/>
        <w:spacing w:line="400" w:lineRule="exact"/>
        <w:jc w:val="left"/>
        <w:rPr>
          <w:rFonts w:hint="eastAsia" w:ascii="宋体" w:hAnsi="宋体"/>
          <w:kern w:val="10"/>
          <w:sz w:val="24"/>
          <w:szCs w:val="24"/>
        </w:rPr>
      </w:pPr>
      <w:r>
        <w:rPr>
          <w:rFonts w:hint="eastAsia" w:ascii="宋体" w:hAnsi="宋体"/>
          <w:kern w:val="10"/>
          <w:sz w:val="24"/>
          <w:szCs w:val="24"/>
          <w:lang w:val="en-US" w:eastAsia="zh-CN"/>
        </w:rPr>
        <w:t>11.</w:t>
      </w:r>
      <w:r>
        <w:rPr>
          <w:rFonts w:hint="eastAsia" w:ascii="宋体" w:hAnsi="宋体"/>
          <w:kern w:val="10"/>
          <w:sz w:val="24"/>
          <w:szCs w:val="24"/>
        </w:rPr>
        <w:t>麦克风： 内置麦克风，对讲系统，（0-</w:t>
      </w:r>
      <w:r>
        <w:rPr>
          <w:rFonts w:hint="eastAsia" w:ascii="宋体" w:hAnsi="宋体"/>
          <w:kern w:val="10"/>
          <w:sz w:val="24"/>
          <w:szCs w:val="24"/>
          <w:lang w:val="en-US" w:eastAsia="zh-CN"/>
        </w:rPr>
        <w:t>5</w:t>
      </w:r>
      <w:r>
        <w:rPr>
          <w:rFonts w:hint="eastAsia" w:ascii="宋体" w:hAnsi="宋体"/>
          <w:kern w:val="10"/>
          <w:sz w:val="24"/>
          <w:szCs w:val="24"/>
        </w:rPr>
        <w:t>0强度可调）</w:t>
      </w:r>
    </w:p>
    <w:p w14:paraId="06172088">
      <w:pPr>
        <w:widowControl/>
        <w:spacing w:line="400" w:lineRule="exact"/>
        <w:jc w:val="left"/>
        <w:rPr>
          <w:rFonts w:hint="eastAsia" w:ascii="宋体" w:hAnsi="宋体"/>
          <w:kern w:val="10"/>
          <w:sz w:val="24"/>
          <w:szCs w:val="24"/>
        </w:rPr>
      </w:pPr>
      <w:r>
        <w:rPr>
          <w:rFonts w:hint="eastAsia" w:ascii="宋体" w:hAnsi="宋体"/>
          <w:kern w:val="10"/>
          <w:sz w:val="24"/>
          <w:szCs w:val="24"/>
          <w:lang w:val="en-US" w:eastAsia="zh-CN"/>
        </w:rPr>
        <w:t>12.</w:t>
      </w:r>
      <w:r>
        <w:rPr>
          <w:rFonts w:hint="eastAsia" w:ascii="宋体" w:hAnsi="宋体"/>
          <w:kern w:val="10"/>
          <w:sz w:val="24"/>
          <w:szCs w:val="24"/>
        </w:rPr>
        <w:t>给声方式：二种给声方式，</w:t>
      </w:r>
    </w:p>
    <w:p w14:paraId="7AE2EF0C">
      <w:pPr>
        <w:widowControl/>
        <w:spacing w:line="400" w:lineRule="exact"/>
        <w:jc w:val="left"/>
        <w:rPr>
          <w:rFonts w:hint="eastAsia" w:ascii="宋体" w:hAnsi="宋体"/>
          <w:kern w:val="10"/>
          <w:sz w:val="24"/>
          <w:szCs w:val="24"/>
        </w:rPr>
      </w:pPr>
      <w:r>
        <w:rPr>
          <w:rFonts w:hint="eastAsia" w:ascii="宋体" w:hAnsi="宋体"/>
          <w:kern w:val="10"/>
          <w:sz w:val="24"/>
          <w:szCs w:val="24"/>
          <w:lang w:val="en-US" w:eastAsia="zh-CN"/>
        </w:rPr>
        <w:t>13.</w:t>
      </w:r>
      <w:r>
        <w:rPr>
          <w:rFonts w:hint="eastAsia" w:ascii="宋体" w:hAnsi="宋体"/>
          <w:kern w:val="10"/>
          <w:sz w:val="24"/>
          <w:szCs w:val="24"/>
        </w:rPr>
        <w:t>输出：TDH 39气导耳机、B71骨导耳机、自由声场</w:t>
      </w:r>
    </w:p>
    <w:p w14:paraId="5ABE4A32">
      <w:pPr>
        <w:widowControl/>
        <w:spacing w:line="400" w:lineRule="exact"/>
        <w:jc w:val="left"/>
        <w:rPr>
          <w:rFonts w:hint="eastAsia" w:ascii="宋体" w:hAnsi="宋体" w:eastAsiaTheme="minorEastAsia"/>
          <w:kern w:val="10"/>
          <w:sz w:val="24"/>
          <w:szCs w:val="24"/>
          <w:lang w:eastAsia="zh-CN"/>
        </w:rPr>
      </w:pPr>
      <w:r>
        <w:rPr>
          <w:rFonts w:hint="eastAsia" w:ascii="宋体" w:hAnsi="宋体"/>
          <w:kern w:val="10"/>
          <w:sz w:val="24"/>
          <w:szCs w:val="24"/>
          <w:lang w:val="en-US" w:eastAsia="zh-CN"/>
        </w:rPr>
        <w:t>14.</w:t>
      </w:r>
      <w:r>
        <w:rPr>
          <w:rFonts w:hint="eastAsia" w:ascii="宋体" w:hAnsi="宋体"/>
          <w:kern w:val="10"/>
          <w:sz w:val="24"/>
          <w:szCs w:val="24"/>
        </w:rPr>
        <w:t>保护功能：符合声学安全要求，有效保护受试者听力</w:t>
      </w:r>
      <w:r>
        <w:rPr>
          <w:rFonts w:hint="eastAsia" w:ascii="宋体" w:hAnsi="宋体"/>
          <w:kern w:val="10"/>
          <w:sz w:val="24"/>
          <w:szCs w:val="24"/>
          <w:lang w:eastAsia="zh-CN"/>
        </w:rPr>
        <w:t>等</w:t>
      </w:r>
    </w:p>
    <w:p w14:paraId="47BB37E1">
      <w:pPr>
        <w:widowControl/>
        <w:spacing w:line="400" w:lineRule="exact"/>
        <w:jc w:val="left"/>
        <w:rPr>
          <w:rFonts w:hint="eastAsia" w:ascii="宋体" w:hAnsi="宋体"/>
          <w:kern w:val="10"/>
          <w:sz w:val="24"/>
          <w:szCs w:val="24"/>
        </w:rPr>
      </w:pPr>
      <w:r>
        <w:rPr>
          <w:rFonts w:hint="eastAsia" w:ascii="宋体" w:hAnsi="宋体"/>
          <w:kern w:val="10"/>
          <w:sz w:val="24"/>
          <w:szCs w:val="24"/>
          <w:lang w:val="en-US" w:eastAsia="zh-CN"/>
        </w:rPr>
        <w:t>15.</w:t>
      </w:r>
      <w:r>
        <w:rPr>
          <w:rFonts w:hint="eastAsia" w:ascii="宋体" w:hAnsi="宋体"/>
          <w:kern w:val="10"/>
          <w:sz w:val="24"/>
          <w:szCs w:val="24"/>
        </w:rPr>
        <w:t>掩蔽：气导、骨导双路独立对侧掩蔽,可自由切换，无需调换气导耳机，自带掩蔽提示功能。</w:t>
      </w:r>
    </w:p>
    <w:p w14:paraId="116C2BB7">
      <w:pPr>
        <w:widowControl/>
        <w:spacing w:line="400" w:lineRule="exact"/>
        <w:jc w:val="left"/>
        <w:rPr>
          <w:rFonts w:hint="eastAsia" w:ascii="宋体" w:hAnsi="宋体"/>
          <w:kern w:val="10"/>
          <w:sz w:val="24"/>
          <w:szCs w:val="24"/>
        </w:rPr>
      </w:pPr>
      <w:r>
        <w:rPr>
          <w:rFonts w:hint="eastAsia" w:ascii="宋体" w:hAnsi="宋体"/>
          <w:kern w:val="10"/>
          <w:sz w:val="24"/>
          <w:szCs w:val="24"/>
          <w:lang w:val="en-US" w:eastAsia="zh-CN"/>
        </w:rPr>
        <w:t>16.</w:t>
      </w:r>
      <w:r>
        <w:rPr>
          <w:rFonts w:hint="eastAsia" w:ascii="宋体" w:hAnsi="宋体"/>
          <w:kern w:val="10"/>
          <w:sz w:val="24"/>
          <w:szCs w:val="24"/>
        </w:rPr>
        <w:t>声场测试： 配置外置功放，内置声场校准功能。</w:t>
      </w:r>
    </w:p>
    <w:p w14:paraId="7C74A710">
      <w:pPr>
        <w:widowControl/>
        <w:spacing w:line="400" w:lineRule="exact"/>
        <w:jc w:val="left"/>
        <w:rPr>
          <w:rFonts w:hint="eastAsia" w:ascii="宋体" w:hAnsi="宋体"/>
          <w:kern w:val="10"/>
          <w:sz w:val="24"/>
          <w:szCs w:val="24"/>
        </w:rPr>
      </w:pPr>
      <w:r>
        <w:rPr>
          <w:rFonts w:hint="eastAsia" w:ascii="宋体" w:hAnsi="宋体" w:cs="宋体"/>
          <w:kern w:val="10"/>
          <w:sz w:val="24"/>
          <w:szCs w:val="24"/>
          <w:lang w:val="en-US" w:eastAsia="zh-CN"/>
        </w:rPr>
        <w:t>17.具备</w:t>
      </w:r>
      <w:r>
        <w:rPr>
          <w:rFonts w:hint="eastAsia" w:ascii="宋体" w:hAnsi="宋体" w:cs="宋体"/>
          <w:kern w:val="10"/>
          <w:sz w:val="24"/>
          <w:szCs w:val="24"/>
        </w:rPr>
        <w:t>自定义</w:t>
      </w:r>
      <w:r>
        <w:rPr>
          <w:rFonts w:hint="eastAsia" w:ascii="宋体" w:hAnsi="宋体"/>
          <w:kern w:val="10"/>
          <w:sz w:val="24"/>
          <w:szCs w:val="24"/>
        </w:rPr>
        <w:t>听力诊断模块</w:t>
      </w:r>
      <w:r>
        <w:rPr>
          <w:rFonts w:hint="eastAsia" w:ascii="宋体" w:hAnsi="宋体"/>
          <w:kern w:val="10"/>
          <w:sz w:val="24"/>
          <w:szCs w:val="24"/>
          <w:lang w:eastAsia="zh-CN"/>
        </w:rPr>
        <w:t>，</w:t>
      </w:r>
    </w:p>
    <w:p w14:paraId="16CDAA70">
      <w:pPr>
        <w:widowControl/>
        <w:spacing w:line="400" w:lineRule="exact"/>
        <w:jc w:val="left"/>
        <w:rPr>
          <w:rFonts w:hint="eastAsia" w:ascii="宋体" w:hAnsi="宋体"/>
          <w:kern w:val="10"/>
          <w:sz w:val="24"/>
          <w:szCs w:val="24"/>
        </w:rPr>
      </w:pPr>
      <w:r>
        <w:rPr>
          <w:rFonts w:hint="eastAsia" w:ascii="宋体" w:hAnsi="宋体"/>
          <w:kern w:val="10"/>
          <w:sz w:val="24"/>
          <w:szCs w:val="24"/>
          <w:lang w:val="en-US" w:eastAsia="zh-CN"/>
        </w:rPr>
        <w:t>18.</w:t>
      </w:r>
      <w:r>
        <w:rPr>
          <w:rFonts w:hint="eastAsia" w:ascii="宋体" w:hAnsi="宋体"/>
          <w:kern w:val="10"/>
          <w:sz w:val="24"/>
          <w:szCs w:val="24"/>
        </w:rPr>
        <w:t>气骨导PTA计算方式：二种标准可选，亦可自定义选择计算方式。</w:t>
      </w:r>
    </w:p>
    <w:p w14:paraId="7BBD1572">
      <w:pPr>
        <w:widowControl/>
        <w:spacing w:line="400" w:lineRule="exact"/>
        <w:jc w:val="left"/>
        <w:rPr>
          <w:rFonts w:ascii="宋体" w:hAnsi="宋体"/>
          <w:kern w:val="10"/>
          <w:sz w:val="24"/>
          <w:szCs w:val="24"/>
        </w:rPr>
      </w:pPr>
      <w:r>
        <w:rPr>
          <w:rFonts w:hint="eastAsia" w:ascii="宋体" w:hAnsi="宋体"/>
          <w:kern w:val="10"/>
          <w:sz w:val="24"/>
          <w:szCs w:val="24"/>
          <w:lang w:val="en-US" w:eastAsia="zh-CN"/>
        </w:rPr>
        <w:t>19.具备</w:t>
      </w:r>
      <w:r>
        <w:rPr>
          <w:rFonts w:hint="eastAsia" w:ascii="宋体" w:hAnsi="宋体"/>
          <w:kern w:val="10"/>
          <w:sz w:val="24"/>
          <w:szCs w:val="24"/>
        </w:rPr>
        <w:t>听力诊断辅助分析</w:t>
      </w:r>
      <w:r>
        <w:rPr>
          <w:rFonts w:hint="eastAsia" w:ascii="宋体" w:hAnsi="宋体"/>
          <w:kern w:val="10"/>
          <w:sz w:val="24"/>
          <w:szCs w:val="24"/>
          <w:lang w:eastAsia="zh-CN"/>
        </w:rPr>
        <w:t>，</w:t>
      </w:r>
      <w:r>
        <w:rPr>
          <w:rFonts w:hint="eastAsia" w:ascii="宋体" w:hAnsi="宋体"/>
          <w:kern w:val="10"/>
          <w:sz w:val="24"/>
          <w:szCs w:val="24"/>
        </w:rPr>
        <w:t>多种听力辅助分析功能可选</w:t>
      </w:r>
    </w:p>
    <w:p w14:paraId="31757445">
      <w:pPr>
        <w:widowControl/>
        <w:spacing w:line="400" w:lineRule="exact"/>
        <w:jc w:val="left"/>
        <w:rPr>
          <w:rFonts w:hint="eastAsia" w:ascii="宋体" w:hAnsi="宋体"/>
          <w:kern w:val="10"/>
          <w:sz w:val="24"/>
          <w:szCs w:val="24"/>
        </w:rPr>
      </w:pPr>
      <w:r>
        <w:rPr>
          <w:rFonts w:hint="eastAsia" w:ascii="宋体" w:hAnsi="宋体"/>
          <w:kern w:val="10"/>
          <w:sz w:val="24"/>
          <w:szCs w:val="24"/>
          <w:lang w:val="en-US" w:eastAsia="zh-CN"/>
        </w:rPr>
        <w:t>20.</w:t>
      </w:r>
      <w:r>
        <w:rPr>
          <w:rFonts w:hint="eastAsia" w:ascii="宋体" w:hAnsi="宋体"/>
          <w:kern w:val="10"/>
          <w:sz w:val="24"/>
          <w:szCs w:val="24"/>
        </w:rPr>
        <w:t>计算精度：≥三种计算精度可选</w:t>
      </w:r>
    </w:p>
    <w:p w14:paraId="34B37577">
      <w:pPr>
        <w:widowControl/>
        <w:spacing w:line="400" w:lineRule="exact"/>
        <w:jc w:val="left"/>
        <w:rPr>
          <w:rFonts w:hint="default"/>
          <w:sz w:val="24"/>
          <w:szCs w:val="24"/>
          <w:lang w:val="en-US" w:eastAsia="zh-CN"/>
        </w:rPr>
      </w:pPr>
      <w:r>
        <w:rPr>
          <w:rFonts w:hint="eastAsia" w:ascii="宋体" w:hAnsi="宋体" w:cs="宋体"/>
          <w:kern w:val="10"/>
          <w:sz w:val="24"/>
          <w:szCs w:val="24"/>
          <w:lang w:val="en-US" w:eastAsia="zh-CN"/>
        </w:rPr>
        <w:t>21.</w:t>
      </w:r>
      <w:r>
        <w:rPr>
          <w:rFonts w:hint="eastAsia" w:ascii="宋体" w:hAnsi="宋体" w:cs="宋体"/>
          <w:kern w:val="10"/>
          <w:sz w:val="24"/>
          <w:szCs w:val="24"/>
        </w:rPr>
        <w:t>职业病诊断：可根据国标直接获取噪声聋诊断数值和诊断分级，对听力结果进行年龄性别修正，对听力测试数据一键计算分析。</w:t>
      </w:r>
    </w:p>
    <w:p w14:paraId="6022079E">
      <w:pPr>
        <w:numPr>
          <w:ilvl w:val="0"/>
          <w:numId w:val="0"/>
        </w:numPr>
        <w:rPr>
          <w:rFonts w:hint="default"/>
          <w:b/>
          <w:bCs/>
          <w:sz w:val="28"/>
          <w:szCs w:val="28"/>
          <w:lang w:val="en-US" w:eastAsia="zh-CN"/>
        </w:rPr>
      </w:pPr>
      <w:r>
        <w:rPr>
          <w:rFonts w:hint="eastAsia" w:asciiTheme="minorHAnsi" w:hAnsiTheme="minorHAnsi" w:eastAsiaTheme="minorEastAsia" w:cstheme="minorBidi"/>
          <w:b/>
          <w:bCs/>
          <w:kern w:val="2"/>
          <w:sz w:val="28"/>
          <w:szCs w:val="28"/>
          <w:lang w:val="en-US" w:eastAsia="zh-CN" w:bidi="ar-SA"/>
        </w:rPr>
        <w:t>三.</w:t>
      </w:r>
      <w:r>
        <w:rPr>
          <w:rFonts w:hint="eastAsia"/>
          <w:b/>
          <w:bCs/>
          <w:sz w:val="28"/>
          <w:szCs w:val="28"/>
          <w:lang w:val="en-US" w:eastAsia="zh-CN"/>
        </w:rPr>
        <w:t>高频电刀</w:t>
      </w:r>
    </w:p>
    <w:p w14:paraId="38291D05">
      <w:pPr>
        <w:jc w:val="left"/>
        <w:rPr>
          <w:rFonts w:hint="eastAsia" w:ascii="宋体" w:hAnsi="宋体" w:eastAsia="宋体" w:cs="宋体"/>
          <w:b w:val="0"/>
          <w:bCs w:val="0"/>
          <w:sz w:val="24"/>
          <w:szCs w:val="24"/>
          <w:lang w:eastAsia="zh-CN"/>
        </w:rPr>
      </w:pPr>
      <w:r>
        <w:rPr>
          <w:rFonts w:hint="eastAsia" w:ascii="宋体" w:hAnsi="宋体" w:cs="宋体"/>
          <w:b w:val="0"/>
          <w:bCs w:val="0"/>
          <w:sz w:val="24"/>
          <w:szCs w:val="24"/>
        </w:rPr>
        <w:t>1.能实现双极或多极切割、低温消融、切割、止血、凝固，微创</w:t>
      </w:r>
      <w:r>
        <w:rPr>
          <w:rFonts w:hint="eastAsia" w:ascii="宋体" w:hAnsi="宋体" w:cs="宋体"/>
          <w:b w:val="0"/>
          <w:bCs w:val="0"/>
          <w:sz w:val="24"/>
          <w:szCs w:val="24"/>
          <w:lang w:eastAsia="zh-CN"/>
        </w:rPr>
        <w:t>等</w:t>
      </w:r>
      <w:r>
        <w:rPr>
          <w:rFonts w:hint="eastAsia" w:ascii="宋体" w:hAnsi="宋体" w:cs="宋体"/>
          <w:b w:val="0"/>
          <w:bCs w:val="0"/>
          <w:sz w:val="24"/>
          <w:szCs w:val="24"/>
        </w:rPr>
        <w:t>。</w:t>
      </w:r>
      <w:r>
        <w:rPr>
          <w:rFonts w:hint="eastAsia" w:ascii="宋体" w:hAnsi="宋体" w:cs="宋体"/>
          <w:b w:val="0"/>
          <w:bCs w:val="0"/>
          <w:sz w:val="24"/>
          <w:szCs w:val="24"/>
        </w:rPr>
        <w:cr/>
      </w:r>
      <w:r>
        <w:rPr>
          <w:rFonts w:hint="eastAsia" w:ascii="宋体" w:hAnsi="宋体" w:cs="宋体"/>
          <w:b w:val="0"/>
          <w:bCs w:val="0"/>
          <w:sz w:val="24"/>
          <w:szCs w:val="24"/>
          <w:lang w:val="en-US" w:eastAsia="zh-CN"/>
        </w:rPr>
        <w:t>2</w:t>
      </w:r>
      <w:r>
        <w:rPr>
          <w:rFonts w:hint="eastAsia" w:ascii="宋体" w:hAnsi="宋体" w:cs="宋体"/>
          <w:b w:val="0"/>
          <w:bCs w:val="0"/>
          <w:sz w:val="24"/>
          <w:szCs w:val="24"/>
        </w:rPr>
        <w:t>.多刀头可选。</w:t>
      </w:r>
      <w:r>
        <w:rPr>
          <w:rFonts w:hint="eastAsia" w:ascii="宋体" w:hAnsi="宋体" w:cs="宋体"/>
          <w:b w:val="0"/>
          <w:bCs w:val="0"/>
          <w:sz w:val="24"/>
          <w:szCs w:val="24"/>
        </w:rPr>
        <w:cr/>
      </w:r>
      <w:r>
        <w:rPr>
          <w:rFonts w:hint="eastAsia" w:ascii="宋体" w:hAnsi="宋体" w:cs="宋体"/>
          <w:b w:val="0"/>
          <w:bCs w:val="0"/>
          <w:sz w:val="24"/>
          <w:szCs w:val="24"/>
          <w:lang w:val="en-US" w:eastAsia="zh-CN"/>
        </w:rPr>
        <w:t>3</w:t>
      </w:r>
      <w:r>
        <w:rPr>
          <w:rFonts w:hint="eastAsia" w:ascii="宋体" w:hAnsi="宋体" w:cs="宋体"/>
          <w:b w:val="0"/>
          <w:bCs w:val="0"/>
          <w:sz w:val="24"/>
          <w:szCs w:val="24"/>
        </w:rPr>
        <w:t>.一个治疗刀头能同时实现消融、凝固、止血、切割功能，在一个手柄、同一个输出接口输出</w:t>
      </w:r>
      <w:r>
        <w:rPr>
          <w:rFonts w:hint="eastAsia" w:ascii="宋体" w:hAnsi="宋体" w:cs="宋体"/>
          <w:b w:val="0"/>
          <w:bCs w:val="0"/>
          <w:sz w:val="24"/>
          <w:szCs w:val="24"/>
          <w:lang w:eastAsia="zh-CN"/>
        </w:rPr>
        <w:t>。</w:t>
      </w:r>
    </w:p>
    <w:p w14:paraId="5C389BCA">
      <w:pPr>
        <w:rPr>
          <w:rFonts w:hint="eastAsia" w:ascii="宋体" w:hAnsi="宋体" w:cs="宋体"/>
          <w:b w:val="0"/>
          <w:bCs w:val="0"/>
          <w:sz w:val="24"/>
          <w:szCs w:val="24"/>
        </w:rPr>
      </w:pPr>
      <w:r>
        <w:rPr>
          <w:rFonts w:hint="eastAsia" w:ascii="宋体" w:hAnsi="宋体" w:cs="宋体"/>
          <w:b w:val="0"/>
          <w:bCs w:val="0"/>
          <w:sz w:val="24"/>
          <w:szCs w:val="24"/>
        </w:rPr>
        <w:t>5.具备多极吸引切割功能及配置，适合开展扁桃体、腺样体、乳头状瘤、息肉、CAUP、UPPP等。</w:t>
      </w:r>
      <w:r>
        <w:rPr>
          <w:rFonts w:hint="eastAsia" w:ascii="宋体" w:hAnsi="宋体" w:cs="宋体"/>
          <w:b w:val="0"/>
          <w:bCs w:val="0"/>
          <w:sz w:val="24"/>
          <w:szCs w:val="24"/>
        </w:rPr>
        <w:cr/>
      </w:r>
      <w:r>
        <w:rPr>
          <w:rFonts w:hint="eastAsia" w:ascii="宋体" w:hAnsi="宋体" w:cs="宋体"/>
          <w:b w:val="0"/>
          <w:bCs w:val="0"/>
          <w:sz w:val="24"/>
          <w:szCs w:val="24"/>
        </w:rPr>
        <w:t>6.配备能安全有效治疗隐蔽及深部病变组织的功能及配置。</w:t>
      </w:r>
    </w:p>
    <w:p w14:paraId="68AB1834">
      <w:pPr>
        <w:rPr>
          <w:rFonts w:hint="eastAsia" w:ascii="宋体" w:hAnsi="宋体" w:cs="宋体"/>
          <w:b w:val="0"/>
          <w:bCs w:val="0"/>
          <w:sz w:val="24"/>
          <w:szCs w:val="24"/>
        </w:rPr>
      </w:pPr>
      <w:r>
        <w:rPr>
          <w:rFonts w:hint="eastAsia" w:ascii="宋体" w:hAnsi="宋体" w:cs="宋体"/>
          <w:b w:val="0"/>
          <w:bCs w:val="0"/>
          <w:sz w:val="24"/>
          <w:szCs w:val="24"/>
        </w:rPr>
        <w:t>7.治疗主机声音大小可调节，能区分ABLATION和PLACOAG的工作声音。</w:t>
      </w:r>
      <w:r>
        <w:rPr>
          <w:rFonts w:hint="eastAsia" w:ascii="宋体" w:hAnsi="宋体" w:cs="宋体"/>
          <w:b w:val="0"/>
          <w:bCs w:val="0"/>
          <w:sz w:val="24"/>
          <w:szCs w:val="24"/>
        </w:rPr>
        <w:cr/>
      </w:r>
      <w:r>
        <w:rPr>
          <w:rFonts w:hint="eastAsia" w:ascii="宋体" w:hAnsi="宋体" w:cs="宋体"/>
          <w:b w:val="0"/>
          <w:bCs w:val="0"/>
          <w:sz w:val="24"/>
          <w:szCs w:val="24"/>
        </w:rPr>
        <w:t>8.</w:t>
      </w:r>
      <w:r>
        <w:rPr>
          <w:rFonts w:hint="eastAsia" w:ascii="宋体" w:hAnsi="宋体" w:cs="宋体"/>
          <w:b w:val="0"/>
          <w:bCs w:val="0"/>
          <w:sz w:val="24"/>
          <w:szCs w:val="24"/>
          <w:lang w:eastAsia="zh-CN"/>
        </w:rPr>
        <w:t>具备</w:t>
      </w:r>
      <w:r>
        <w:rPr>
          <w:rFonts w:hint="eastAsia" w:ascii="宋体" w:hAnsi="宋体" w:cs="宋体"/>
          <w:b w:val="0"/>
          <w:bCs w:val="0"/>
          <w:sz w:val="24"/>
          <w:szCs w:val="24"/>
        </w:rPr>
        <w:t>阻抗侦测和自动能量检测技术，具有热损毁深度监控系统。</w:t>
      </w:r>
      <w:r>
        <w:rPr>
          <w:rFonts w:hint="eastAsia" w:ascii="宋体" w:hAnsi="宋体" w:cs="宋体"/>
          <w:b w:val="0"/>
          <w:bCs w:val="0"/>
          <w:sz w:val="24"/>
          <w:szCs w:val="24"/>
        </w:rPr>
        <w:cr/>
      </w:r>
      <w:r>
        <w:rPr>
          <w:rFonts w:hint="eastAsia" w:ascii="宋体" w:hAnsi="宋体" w:cs="宋体"/>
          <w:b w:val="0"/>
          <w:bCs w:val="0"/>
          <w:sz w:val="24"/>
          <w:szCs w:val="24"/>
        </w:rPr>
        <w:t>9.治疗主机自动识别手柄、脚踏的连接状态。</w:t>
      </w:r>
    </w:p>
    <w:p w14:paraId="18764050">
      <w:pPr>
        <w:rPr>
          <w:rFonts w:hint="eastAsia" w:ascii="宋体" w:hAnsi="宋体" w:cs="宋体"/>
          <w:b w:val="0"/>
          <w:bCs w:val="0"/>
          <w:sz w:val="24"/>
          <w:szCs w:val="24"/>
        </w:rPr>
      </w:pPr>
      <w:r>
        <w:rPr>
          <w:rFonts w:hint="eastAsia" w:ascii="宋体" w:hAnsi="宋体" w:cs="宋体"/>
          <w:b w:val="0"/>
          <w:bCs w:val="0"/>
          <w:sz w:val="24"/>
          <w:szCs w:val="24"/>
        </w:rPr>
        <w:t>10.能在连接好脚踏和手柄后主机根据不同刀头自动设置默认功率大小。</w:t>
      </w:r>
      <w:r>
        <w:rPr>
          <w:rFonts w:hint="eastAsia" w:ascii="宋体" w:hAnsi="宋体" w:cs="宋体"/>
          <w:b w:val="0"/>
          <w:bCs w:val="0"/>
          <w:sz w:val="24"/>
          <w:szCs w:val="24"/>
        </w:rPr>
        <w:cr/>
      </w:r>
      <w:r>
        <w:rPr>
          <w:rFonts w:hint="eastAsia" w:ascii="宋体" w:hAnsi="宋体" w:cs="宋体"/>
          <w:b w:val="0"/>
          <w:bCs w:val="0"/>
          <w:sz w:val="24"/>
          <w:szCs w:val="24"/>
        </w:rPr>
        <w:t>11.主机能自动侦测并提示刀头前端等离子强度状态。</w:t>
      </w:r>
    </w:p>
    <w:p w14:paraId="7C1FA022">
      <w:pPr>
        <w:rPr>
          <w:rFonts w:hint="eastAsia" w:ascii="宋体" w:hAnsi="宋体" w:cs="宋体"/>
          <w:b w:val="0"/>
          <w:bCs w:val="0"/>
          <w:sz w:val="24"/>
          <w:szCs w:val="24"/>
        </w:rPr>
      </w:pPr>
      <w:r>
        <w:rPr>
          <w:rFonts w:hint="eastAsia" w:ascii="宋体" w:hAnsi="宋体" w:cs="宋体"/>
          <w:b w:val="0"/>
          <w:bCs w:val="0"/>
          <w:sz w:val="24"/>
          <w:szCs w:val="24"/>
        </w:rPr>
        <w:t>1</w:t>
      </w:r>
      <w:r>
        <w:rPr>
          <w:rFonts w:hint="eastAsia" w:ascii="宋体" w:hAnsi="宋体" w:cs="宋体"/>
          <w:b w:val="0"/>
          <w:bCs w:val="0"/>
          <w:sz w:val="24"/>
          <w:szCs w:val="24"/>
          <w:lang w:val="en-US" w:eastAsia="zh-CN"/>
        </w:rPr>
        <w:t>2</w:t>
      </w:r>
      <w:r>
        <w:rPr>
          <w:rFonts w:hint="eastAsia" w:ascii="宋体" w:hAnsi="宋体" w:cs="宋体"/>
          <w:b w:val="0"/>
          <w:bCs w:val="0"/>
          <w:sz w:val="24"/>
          <w:szCs w:val="24"/>
        </w:rPr>
        <w:t>.低温控制：工作温度仅为40-70℃，创面无碳化。</w:t>
      </w:r>
    </w:p>
    <w:p w14:paraId="7D3CF7DE">
      <w:pPr>
        <w:rPr>
          <w:rFonts w:hint="eastAsia" w:ascii="宋体" w:hAnsi="宋体" w:cs="宋体"/>
          <w:b w:val="0"/>
          <w:bCs w:val="0"/>
          <w:sz w:val="24"/>
          <w:szCs w:val="24"/>
        </w:rPr>
      </w:pPr>
      <w:r>
        <w:rPr>
          <w:rFonts w:hint="eastAsia" w:ascii="宋体" w:hAnsi="宋体" w:cs="宋体"/>
          <w:b w:val="0"/>
          <w:bCs w:val="0"/>
          <w:sz w:val="24"/>
          <w:szCs w:val="24"/>
          <w:lang w:val="en-US" w:eastAsia="zh-CN"/>
        </w:rPr>
        <w:t>13</w:t>
      </w:r>
      <w:r>
        <w:rPr>
          <w:rFonts w:hint="eastAsia" w:ascii="宋体" w:hAnsi="宋体" w:cs="宋体"/>
          <w:b w:val="0"/>
          <w:bCs w:val="0"/>
          <w:sz w:val="24"/>
          <w:szCs w:val="24"/>
        </w:rPr>
        <w:t>.操作精</w:t>
      </w:r>
      <w:r>
        <w:rPr>
          <w:rFonts w:hint="eastAsia" w:ascii="宋体" w:hAnsi="宋体" w:cs="宋体"/>
          <w:b w:val="0"/>
          <w:bCs w:val="0"/>
          <w:sz w:val="24"/>
          <w:szCs w:val="24"/>
          <w:lang w:eastAsia="zh-CN"/>
        </w:rPr>
        <w:t>度</w:t>
      </w:r>
      <w:r>
        <w:rPr>
          <w:rFonts w:hint="eastAsia" w:ascii="宋体" w:hAnsi="宋体" w:cs="宋体"/>
          <w:b w:val="0"/>
          <w:bCs w:val="0"/>
          <w:sz w:val="24"/>
          <w:szCs w:val="24"/>
        </w:rPr>
        <w:t>：等离子作用≤100微米。</w:t>
      </w:r>
    </w:p>
    <w:p w14:paraId="26FDA94E">
      <w:pPr>
        <w:rPr>
          <w:rFonts w:hint="eastAsia" w:ascii="宋体" w:hAnsi="宋体" w:cs="宋体"/>
          <w:b w:val="0"/>
          <w:bCs w:val="0"/>
          <w:sz w:val="24"/>
          <w:szCs w:val="24"/>
        </w:rPr>
      </w:pPr>
      <w:r>
        <w:rPr>
          <w:rFonts w:hint="eastAsia" w:ascii="宋体" w:hAnsi="宋体" w:cs="宋体"/>
          <w:b w:val="0"/>
          <w:bCs w:val="0"/>
          <w:sz w:val="24"/>
          <w:szCs w:val="24"/>
          <w:lang w:val="en-US" w:eastAsia="zh-CN"/>
        </w:rPr>
        <w:t>14</w:t>
      </w:r>
      <w:r>
        <w:rPr>
          <w:rFonts w:hint="eastAsia" w:ascii="宋体" w:hAnsi="宋体" w:cs="宋体"/>
          <w:b w:val="0"/>
          <w:bCs w:val="0"/>
          <w:sz w:val="24"/>
          <w:szCs w:val="24"/>
        </w:rPr>
        <w:t>.保障安全：电场仅局限于刀头的双极之间；工作能量精确地控制在3-3.5eV。</w:t>
      </w:r>
    </w:p>
    <w:p w14:paraId="3FB62BB5">
      <w:pPr>
        <w:rPr>
          <w:rFonts w:hint="eastAsia" w:ascii="宋体" w:hAnsi="宋体" w:cs="宋体"/>
          <w:b w:val="0"/>
          <w:bCs w:val="0"/>
          <w:sz w:val="24"/>
          <w:szCs w:val="24"/>
        </w:rPr>
      </w:pPr>
      <w:r>
        <w:rPr>
          <w:rFonts w:hint="eastAsia" w:ascii="宋体" w:hAnsi="宋体" w:cs="宋体"/>
          <w:b w:val="0"/>
          <w:bCs w:val="0"/>
          <w:sz w:val="24"/>
          <w:szCs w:val="24"/>
        </w:rPr>
        <w:t>三、 性能指标：</w:t>
      </w:r>
    </w:p>
    <w:p w14:paraId="7AD6757D">
      <w:pPr>
        <w:rPr>
          <w:rFonts w:hint="eastAsia" w:ascii="宋体" w:hAnsi="宋体" w:cs="宋体" w:eastAsiaTheme="minorEastAsia"/>
          <w:b w:val="0"/>
          <w:bCs w:val="0"/>
          <w:sz w:val="24"/>
          <w:szCs w:val="24"/>
          <w:lang w:val="en-US" w:eastAsia="zh-CN"/>
        </w:rPr>
      </w:pPr>
      <w:r>
        <w:rPr>
          <w:rFonts w:hint="eastAsia" w:ascii="宋体" w:hAnsi="宋体" w:cs="宋体"/>
          <w:b w:val="0"/>
          <w:bCs w:val="0"/>
          <w:sz w:val="24"/>
          <w:szCs w:val="24"/>
        </w:rPr>
        <w:t>1.工作频率：100KHz±</w:t>
      </w:r>
      <w:r>
        <w:rPr>
          <w:rFonts w:hint="eastAsia" w:ascii="宋体" w:hAnsi="宋体" w:cs="宋体"/>
          <w:b w:val="0"/>
          <w:bCs w:val="0"/>
          <w:sz w:val="24"/>
          <w:szCs w:val="24"/>
          <w:lang w:val="en-US" w:eastAsia="zh-CN"/>
        </w:rPr>
        <w:t>5</w:t>
      </w:r>
      <w:r>
        <w:rPr>
          <w:rFonts w:hint="eastAsia" w:ascii="宋体" w:hAnsi="宋体" w:cs="宋体"/>
          <w:b w:val="0"/>
          <w:bCs w:val="0"/>
          <w:sz w:val="24"/>
          <w:szCs w:val="24"/>
        </w:rPr>
        <w:t>KHz</w:t>
      </w:r>
    </w:p>
    <w:p w14:paraId="37B21178">
      <w:pPr>
        <w:rPr>
          <w:rFonts w:hint="eastAsia" w:ascii="宋体" w:hAnsi="宋体" w:cs="宋体"/>
          <w:b w:val="0"/>
          <w:bCs w:val="0"/>
          <w:sz w:val="24"/>
          <w:szCs w:val="24"/>
        </w:rPr>
      </w:pPr>
      <w:r>
        <w:rPr>
          <w:rFonts w:hint="eastAsia" w:ascii="宋体" w:hAnsi="宋体" w:cs="宋体"/>
          <w:b w:val="0"/>
          <w:bCs w:val="0"/>
          <w:sz w:val="24"/>
          <w:szCs w:val="24"/>
        </w:rPr>
        <w:t>2.输出功率：</w:t>
      </w:r>
    </w:p>
    <w:p w14:paraId="41284968">
      <w:pPr>
        <w:rPr>
          <w:rFonts w:hint="eastAsia" w:ascii="宋体" w:hAnsi="宋体" w:cs="宋体"/>
          <w:b w:val="0"/>
          <w:bCs w:val="0"/>
          <w:sz w:val="24"/>
          <w:szCs w:val="24"/>
        </w:rPr>
      </w:pPr>
      <w:r>
        <w:rPr>
          <w:rFonts w:hint="eastAsia" w:ascii="宋体" w:hAnsi="宋体" w:cs="宋体"/>
          <w:b w:val="0"/>
          <w:bCs w:val="0"/>
          <w:sz w:val="24"/>
          <w:szCs w:val="24"/>
        </w:rPr>
        <w:t>等离子汽化切割：1-10档可调</w:t>
      </w:r>
    </w:p>
    <w:p w14:paraId="24BD5E85">
      <w:pPr>
        <w:ind w:left="2148" w:hanging="1840" w:hangingChars="767"/>
        <w:rPr>
          <w:rFonts w:hint="eastAsia" w:ascii="宋体" w:hAnsi="宋体" w:cs="宋体"/>
          <w:b w:val="0"/>
          <w:bCs w:val="0"/>
          <w:sz w:val="24"/>
          <w:szCs w:val="24"/>
        </w:rPr>
      </w:pPr>
      <w:r>
        <w:rPr>
          <w:rFonts w:hint="eastAsia" w:ascii="宋体" w:hAnsi="宋体" w:cs="宋体"/>
          <w:b w:val="0"/>
          <w:bCs w:val="0"/>
          <w:sz w:val="24"/>
          <w:szCs w:val="24"/>
        </w:rPr>
        <w:t>等离子汽化凝血：1-10档可调</w:t>
      </w:r>
    </w:p>
    <w:p w14:paraId="2579D556">
      <w:pPr>
        <w:ind w:left="2148" w:hanging="1840" w:hangingChars="767"/>
        <w:rPr>
          <w:rFonts w:hint="eastAsia" w:ascii="宋体" w:hAnsi="宋体" w:cs="宋体"/>
          <w:b w:val="0"/>
          <w:bCs w:val="0"/>
          <w:sz w:val="24"/>
          <w:szCs w:val="24"/>
        </w:rPr>
      </w:pPr>
      <w:r>
        <w:rPr>
          <w:rFonts w:hint="eastAsia" w:ascii="宋体" w:hAnsi="宋体" w:cs="宋体"/>
          <w:b w:val="0"/>
          <w:bCs w:val="0"/>
          <w:sz w:val="24"/>
          <w:szCs w:val="24"/>
        </w:rPr>
        <w:t>等离子汽化打孔：1-10档可调</w:t>
      </w:r>
    </w:p>
    <w:p w14:paraId="3B73DAE2">
      <w:pPr>
        <w:ind w:left="2148" w:hanging="1840" w:hangingChars="767"/>
        <w:rPr>
          <w:rFonts w:hint="eastAsia" w:ascii="宋体" w:hAnsi="宋体" w:cs="宋体"/>
          <w:b w:val="0"/>
          <w:bCs w:val="0"/>
          <w:sz w:val="24"/>
          <w:szCs w:val="24"/>
        </w:rPr>
      </w:pPr>
      <w:r>
        <w:rPr>
          <w:rFonts w:hint="eastAsia" w:ascii="宋体" w:hAnsi="宋体" w:cs="宋体"/>
          <w:b w:val="0"/>
          <w:bCs w:val="0"/>
          <w:sz w:val="24"/>
          <w:szCs w:val="24"/>
        </w:rPr>
        <w:t>等离子消融凝血：1-10档可调</w:t>
      </w:r>
    </w:p>
    <w:p w14:paraId="3B004BAE">
      <w:pPr>
        <w:rPr>
          <w:rFonts w:hint="eastAsia" w:ascii="宋体" w:hAnsi="宋体" w:cs="宋体"/>
          <w:b w:val="0"/>
          <w:bCs w:val="0"/>
          <w:sz w:val="24"/>
          <w:szCs w:val="24"/>
        </w:rPr>
      </w:pPr>
      <w:r>
        <w:rPr>
          <w:rFonts w:hint="eastAsia" w:ascii="宋体" w:hAnsi="宋体" w:cs="宋体"/>
          <w:b w:val="0"/>
          <w:bCs w:val="0"/>
          <w:sz w:val="24"/>
          <w:szCs w:val="24"/>
        </w:rPr>
        <w:t>3.阻抗显示</w:t>
      </w:r>
      <w:r>
        <w:rPr>
          <w:rFonts w:hint="eastAsia" w:ascii="宋体" w:hAnsi="宋体" w:cs="宋体"/>
          <w:b w:val="0"/>
          <w:bCs w:val="0"/>
          <w:sz w:val="24"/>
          <w:szCs w:val="24"/>
          <w:lang w:eastAsia="zh-CN"/>
        </w:rPr>
        <w:t>：</w:t>
      </w:r>
      <w:r>
        <w:rPr>
          <w:rFonts w:hint="eastAsia" w:ascii="宋体" w:hAnsi="宋体" w:cs="宋体"/>
          <w:b w:val="0"/>
          <w:bCs w:val="0"/>
          <w:sz w:val="24"/>
          <w:szCs w:val="24"/>
        </w:rPr>
        <w:t>阻抗显示为0-999，阻抗侦测和自动能量检测技术。具有热损毁深度监控系统，对治疗深度进行实时检测反馈、达到预期（设置）的消融深度和治疗范围自动提示操作者。</w:t>
      </w:r>
    </w:p>
    <w:p w14:paraId="5997FC98">
      <w:pPr>
        <w:rPr>
          <w:rFonts w:hint="eastAsia" w:ascii="宋体" w:hAnsi="宋体" w:cs="宋体"/>
          <w:b w:val="0"/>
          <w:bCs w:val="0"/>
          <w:sz w:val="24"/>
          <w:szCs w:val="24"/>
        </w:rPr>
      </w:pPr>
      <w:r>
        <w:rPr>
          <w:rFonts w:hint="eastAsia" w:ascii="宋体" w:hAnsi="宋体" w:cs="宋体"/>
          <w:b w:val="0"/>
          <w:bCs w:val="0"/>
          <w:sz w:val="24"/>
          <w:szCs w:val="24"/>
          <w:lang w:val="en-US" w:eastAsia="zh-CN"/>
        </w:rPr>
        <w:t>4</w:t>
      </w:r>
      <w:r>
        <w:rPr>
          <w:rFonts w:hint="eastAsia" w:ascii="宋体" w:hAnsi="宋体" w:cs="宋体"/>
          <w:b w:val="0"/>
          <w:bCs w:val="0"/>
          <w:sz w:val="24"/>
          <w:szCs w:val="24"/>
        </w:rPr>
        <w:t>.工作计时0-99s循环计时</w:t>
      </w:r>
    </w:p>
    <w:p w14:paraId="6A6150BB">
      <w:pPr>
        <w:rPr>
          <w:rFonts w:hint="eastAsia" w:ascii="宋体" w:hAnsi="宋体" w:cs="宋体"/>
          <w:b w:val="0"/>
          <w:bCs w:val="0"/>
          <w:sz w:val="24"/>
          <w:szCs w:val="24"/>
        </w:rPr>
      </w:pPr>
      <w:r>
        <w:rPr>
          <w:rFonts w:hint="eastAsia" w:ascii="宋体" w:hAnsi="宋体" w:cs="宋体"/>
          <w:b w:val="0"/>
          <w:bCs w:val="0"/>
          <w:sz w:val="24"/>
          <w:szCs w:val="24"/>
          <w:lang w:val="en-US" w:eastAsia="zh-CN"/>
        </w:rPr>
        <w:t>5</w:t>
      </w:r>
      <w:r>
        <w:rPr>
          <w:rFonts w:hint="eastAsia" w:ascii="宋体" w:hAnsi="宋体" w:cs="宋体"/>
          <w:b w:val="0"/>
          <w:bCs w:val="0"/>
          <w:sz w:val="24"/>
          <w:szCs w:val="24"/>
        </w:rPr>
        <w:t>.整机功耗≦ 700W</w:t>
      </w:r>
    </w:p>
    <w:p w14:paraId="1D1205A2">
      <w:pPr>
        <w:rPr>
          <w:rFonts w:hint="eastAsia" w:ascii="宋体" w:hAnsi="宋体" w:cs="宋体"/>
          <w:b w:val="0"/>
          <w:bCs w:val="0"/>
          <w:sz w:val="24"/>
          <w:szCs w:val="24"/>
        </w:rPr>
      </w:pPr>
      <w:r>
        <w:rPr>
          <w:rFonts w:hint="eastAsia" w:ascii="宋体" w:hAnsi="宋体" w:cs="宋体"/>
          <w:b w:val="0"/>
          <w:bCs w:val="0"/>
          <w:sz w:val="24"/>
          <w:szCs w:val="24"/>
          <w:lang w:val="en-US" w:eastAsia="zh-CN"/>
        </w:rPr>
        <w:t>6</w:t>
      </w:r>
      <w:r>
        <w:rPr>
          <w:rFonts w:hint="eastAsia" w:ascii="宋体" w:hAnsi="宋体" w:cs="宋体"/>
          <w:b w:val="0"/>
          <w:bCs w:val="0"/>
          <w:sz w:val="24"/>
          <w:szCs w:val="24"/>
        </w:rPr>
        <w:t>.输出功率≦ 350W</w:t>
      </w:r>
    </w:p>
    <w:p w14:paraId="3B6B653E">
      <w:pPr>
        <w:rPr>
          <w:rFonts w:hint="eastAsia" w:ascii="宋体" w:hAnsi="宋体" w:cs="宋体"/>
          <w:b w:val="0"/>
          <w:bCs w:val="0"/>
          <w:sz w:val="24"/>
          <w:szCs w:val="24"/>
        </w:rPr>
      </w:pPr>
      <w:r>
        <w:rPr>
          <w:rFonts w:hint="eastAsia" w:ascii="宋体" w:hAnsi="宋体" w:cs="宋体"/>
          <w:b w:val="0"/>
          <w:bCs w:val="0"/>
          <w:sz w:val="24"/>
          <w:szCs w:val="24"/>
        </w:rPr>
        <w:t>四、界面显示及指示：</w:t>
      </w:r>
    </w:p>
    <w:p w14:paraId="55A17830">
      <w:pPr>
        <w:rPr>
          <w:rFonts w:hint="default"/>
          <w:b/>
          <w:bCs/>
          <w:sz w:val="28"/>
          <w:szCs w:val="28"/>
          <w:lang w:val="en-US" w:eastAsia="zh-CN"/>
        </w:rPr>
      </w:pPr>
      <w:r>
        <w:rPr>
          <w:rFonts w:hint="eastAsia" w:ascii="宋体" w:hAnsi="宋体" w:cs="宋体"/>
          <w:b w:val="0"/>
          <w:bCs w:val="0"/>
          <w:sz w:val="24"/>
          <w:szCs w:val="24"/>
        </w:rPr>
        <w:t>按键式操作界面，采用LED数码显示，面板密封防水设计</w:t>
      </w:r>
    </w:p>
    <w:p w14:paraId="494569D9">
      <w:pPr>
        <w:numPr>
          <w:ilvl w:val="0"/>
          <w:numId w:val="0"/>
        </w:numPr>
        <w:rPr>
          <w:rFonts w:hint="default"/>
          <w:b/>
          <w:bCs/>
          <w:sz w:val="28"/>
          <w:szCs w:val="28"/>
          <w:lang w:val="en-US" w:eastAsia="zh-CN"/>
        </w:rPr>
      </w:pPr>
      <w:r>
        <w:rPr>
          <w:rFonts w:hint="eastAsia" w:asciiTheme="minorHAnsi" w:hAnsiTheme="minorHAnsi" w:eastAsiaTheme="minorEastAsia" w:cstheme="minorBidi"/>
          <w:b/>
          <w:bCs/>
          <w:kern w:val="2"/>
          <w:sz w:val="28"/>
          <w:szCs w:val="28"/>
          <w:lang w:val="en-US" w:eastAsia="zh-CN" w:bidi="ar-SA"/>
        </w:rPr>
        <w:t>四.</w:t>
      </w:r>
      <w:r>
        <w:rPr>
          <w:rFonts w:hint="eastAsia"/>
          <w:b/>
          <w:bCs/>
          <w:sz w:val="28"/>
          <w:szCs w:val="28"/>
          <w:lang w:val="en-US" w:eastAsia="zh-CN"/>
        </w:rPr>
        <w:t>电子喉镜</w:t>
      </w:r>
    </w:p>
    <w:p w14:paraId="5C4F46C0">
      <w:pPr>
        <w:jc w:val="both"/>
        <w:rPr>
          <w:rFonts w:hint="eastAsia" w:ascii="宋体" w:hAnsi="宋体" w:cs="宋体"/>
          <w:sz w:val="24"/>
          <w:szCs w:val="24"/>
          <w:lang w:val="en-US" w:eastAsia="zh-CN"/>
        </w:rPr>
      </w:pPr>
      <w:r>
        <w:rPr>
          <w:rFonts w:hint="eastAsia" w:ascii="宋体" w:hAnsi="宋体" w:cs="宋体"/>
          <w:sz w:val="24"/>
          <w:szCs w:val="24"/>
          <w:lang w:val="en-US" w:eastAsia="zh-CN"/>
        </w:rPr>
        <w:t>1、具有自动白平衡功能；</w:t>
      </w:r>
    </w:p>
    <w:p w14:paraId="1CF62275">
      <w:pPr>
        <w:jc w:val="both"/>
        <w:rPr>
          <w:rFonts w:hint="eastAsia" w:ascii="宋体" w:hAnsi="宋体" w:cs="宋体"/>
          <w:sz w:val="24"/>
          <w:szCs w:val="24"/>
          <w:lang w:val="en-US" w:eastAsia="zh-CN"/>
        </w:rPr>
      </w:pPr>
      <w:r>
        <w:rPr>
          <w:rFonts w:hint="eastAsia" w:ascii="宋体" w:hAnsi="宋体" w:cs="宋体"/>
          <w:sz w:val="24"/>
          <w:szCs w:val="24"/>
          <w:lang w:val="en-US" w:eastAsia="zh-CN"/>
        </w:rPr>
        <w:t>2、具有亮度自动增益功能；</w:t>
      </w:r>
    </w:p>
    <w:p w14:paraId="51924DAF">
      <w:pPr>
        <w:jc w:val="both"/>
        <w:rPr>
          <w:rFonts w:hint="eastAsia" w:ascii="宋体" w:hAnsi="宋体" w:cs="宋体"/>
          <w:sz w:val="24"/>
          <w:szCs w:val="24"/>
          <w:lang w:val="en-US" w:eastAsia="zh-CN"/>
        </w:rPr>
      </w:pPr>
      <w:r>
        <w:rPr>
          <w:rFonts w:hint="eastAsia" w:ascii="宋体" w:hAnsi="宋体" w:cs="宋体"/>
          <w:sz w:val="24"/>
          <w:szCs w:val="24"/>
          <w:lang w:val="en-US" w:eastAsia="zh-CN"/>
        </w:rPr>
        <w:t>3、具有≥4档轮廓增强功能；</w:t>
      </w:r>
    </w:p>
    <w:p w14:paraId="6A6FD628">
      <w:pPr>
        <w:jc w:val="both"/>
        <w:rPr>
          <w:rFonts w:hint="eastAsia" w:ascii="宋体" w:hAnsi="宋体" w:cs="宋体"/>
          <w:sz w:val="24"/>
          <w:szCs w:val="24"/>
          <w:lang w:val="en-US" w:eastAsia="zh-CN"/>
        </w:rPr>
      </w:pPr>
      <w:r>
        <w:rPr>
          <w:rFonts w:hint="eastAsia" w:ascii="宋体" w:hAnsi="宋体" w:cs="宋体"/>
          <w:sz w:val="24"/>
          <w:szCs w:val="24"/>
          <w:lang w:val="en-US" w:eastAsia="zh-CN"/>
        </w:rPr>
        <w:t>4、测光模式≥3种，即平均测光、峰值测光和自动测光等；</w:t>
      </w:r>
    </w:p>
    <w:p w14:paraId="1632D9D0">
      <w:pPr>
        <w:jc w:val="both"/>
        <w:rPr>
          <w:rFonts w:hint="eastAsia" w:ascii="宋体" w:hAnsi="宋体" w:cs="宋体"/>
          <w:sz w:val="24"/>
          <w:szCs w:val="24"/>
          <w:lang w:val="en-US" w:eastAsia="zh-CN"/>
        </w:rPr>
      </w:pPr>
      <w:r>
        <w:rPr>
          <w:rFonts w:hint="eastAsia" w:ascii="宋体" w:hAnsi="宋体" w:cs="宋体"/>
          <w:sz w:val="24"/>
          <w:szCs w:val="24"/>
          <w:lang w:val="en-US" w:eastAsia="zh-CN"/>
        </w:rPr>
        <w:t>5、具有图像冻结、存储、回放功能；</w:t>
      </w:r>
    </w:p>
    <w:p w14:paraId="50D677E8">
      <w:pPr>
        <w:jc w:val="both"/>
        <w:rPr>
          <w:rFonts w:hint="eastAsia" w:ascii="宋体" w:hAnsi="宋体" w:cs="宋体"/>
          <w:sz w:val="24"/>
          <w:szCs w:val="24"/>
          <w:lang w:val="en-US" w:eastAsia="zh-CN"/>
        </w:rPr>
      </w:pPr>
      <w:r>
        <w:rPr>
          <w:rFonts w:hint="eastAsia" w:ascii="宋体" w:hAnsi="宋体" w:cs="宋体"/>
          <w:sz w:val="24"/>
          <w:szCs w:val="24"/>
          <w:lang w:val="en-US" w:eastAsia="zh-CN"/>
        </w:rPr>
        <w:t>6、具有STAND待机（更换内窥镜）功能，更换内窥镜后可≤3秒内显示图像；</w:t>
      </w:r>
    </w:p>
    <w:p w14:paraId="71B649E1">
      <w:pPr>
        <w:jc w:val="both"/>
        <w:rPr>
          <w:rFonts w:hint="eastAsia" w:ascii="宋体" w:hAnsi="宋体" w:cs="宋体"/>
          <w:sz w:val="24"/>
          <w:szCs w:val="24"/>
          <w:lang w:val="en-US" w:eastAsia="zh-CN"/>
        </w:rPr>
      </w:pPr>
      <w:r>
        <w:rPr>
          <w:rFonts w:hint="eastAsia" w:ascii="宋体" w:hAnsi="宋体" w:cs="宋体"/>
          <w:sz w:val="24"/>
          <w:szCs w:val="24"/>
          <w:lang w:val="en-US" w:eastAsia="zh-CN"/>
        </w:rPr>
        <w:t>7、采用触控式一键操控面板设计；</w:t>
      </w:r>
    </w:p>
    <w:p w14:paraId="30C6F80D">
      <w:pPr>
        <w:jc w:val="both"/>
        <w:rPr>
          <w:rFonts w:hint="eastAsia" w:ascii="宋体" w:hAnsi="宋体" w:cs="宋体"/>
          <w:sz w:val="24"/>
          <w:szCs w:val="24"/>
          <w:lang w:val="en-US" w:eastAsia="zh-CN"/>
        </w:rPr>
      </w:pPr>
      <w:r>
        <w:rPr>
          <w:rFonts w:hint="eastAsia" w:ascii="宋体" w:hAnsi="宋体" w:cs="宋体"/>
          <w:sz w:val="24"/>
          <w:szCs w:val="24"/>
          <w:lang w:val="en-US" w:eastAsia="zh-CN"/>
        </w:rPr>
        <w:t>8、内置存储模块，可存储≥64张图片（非U盘存储）；</w:t>
      </w:r>
    </w:p>
    <w:p w14:paraId="79115D41">
      <w:pPr>
        <w:jc w:val="both"/>
        <w:rPr>
          <w:rFonts w:hint="eastAsia" w:ascii="宋体" w:hAnsi="宋体" w:cs="宋体"/>
          <w:sz w:val="24"/>
          <w:szCs w:val="24"/>
          <w:lang w:val="en-US" w:eastAsia="zh-CN"/>
        </w:rPr>
      </w:pPr>
      <w:r>
        <w:rPr>
          <w:rFonts w:hint="eastAsia" w:ascii="宋体" w:hAnsi="宋体" w:cs="宋体"/>
          <w:sz w:val="24"/>
          <w:szCs w:val="24"/>
          <w:lang w:val="en-US" w:eastAsia="zh-CN"/>
        </w:rPr>
        <w:t>9、视频信号输出接口：DVI*2、S-VIDEO、CVBS视频接口等，连接监视器可输出视频信号；</w:t>
      </w:r>
    </w:p>
    <w:p w14:paraId="36DDA7FA">
      <w:pPr>
        <w:jc w:val="both"/>
        <w:rPr>
          <w:rFonts w:hint="eastAsia" w:ascii="宋体" w:hAnsi="宋体" w:cs="宋体"/>
          <w:sz w:val="24"/>
          <w:szCs w:val="24"/>
          <w:lang w:val="en-US" w:eastAsia="zh-CN"/>
        </w:rPr>
      </w:pPr>
      <w:r>
        <w:rPr>
          <w:rFonts w:hint="eastAsia" w:ascii="宋体" w:hAnsi="宋体" w:cs="宋体"/>
          <w:sz w:val="24"/>
          <w:szCs w:val="24"/>
          <w:lang w:val="en-US" w:eastAsia="zh-CN"/>
        </w:rPr>
        <w:t>10、具有≥2个USB接口，可连接U盘和键盘，方便图像存储、软件升级及功能操控；</w:t>
      </w:r>
    </w:p>
    <w:p w14:paraId="6176E34B">
      <w:pPr>
        <w:jc w:val="both"/>
        <w:rPr>
          <w:rFonts w:hint="eastAsia" w:ascii="宋体" w:hAnsi="宋体" w:cs="宋体"/>
          <w:sz w:val="24"/>
          <w:szCs w:val="24"/>
          <w:lang w:val="en-US" w:eastAsia="zh-CN"/>
        </w:rPr>
      </w:pPr>
      <w:r>
        <w:rPr>
          <w:rFonts w:hint="eastAsia" w:ascii="宋体" w:hAnsi="宋体" w:cs="宋体"/>
          <w:sz w:val="24"/>
          <w:szCs w:val="24"/>
          <w:lang w:val="en-US" w:eastAsia="zh-CN"/>
        </w:rPr>
        <w:t>11、可输入、显示病人信息菜单；</w:t>
      </w:r>
    </w:p>
    <w:p w14:paraId="2CB206DC">
      <w:pPr>
        <w:jc w:val="both"/>
        <w:rPr>
          <w:rFonts w:hint="eastAsia" w:ascii="宋体" w:hAnsi="宋体" w:cs="宋体"/>
          <w:sz w:val="24"/>
          <w:szCs w:val="24"/>
          <w:lang w:val="en-US" w:eastAsia="zh-CN"/>
        </w:rPr>
      </w:pPr>
      <w:r>
        <w:rPr>
          <w:rFonts w:hint="eastAsia" w:ascii="宋体" w:hAnsi="宋体" w:cs="宋体"/>
          <w:sz w:val="24"/>
          <w:szCs w:val="24"/>
          <w:lang w:val="en-US" w:eastAsia="zh-CN"/>
        </w:rPr>
        <w:t>12、具有≥2种图像显示模式：圆角模式或八角模式；</w:t>
      </w:r>
    </w:p>
    <w:p w14:paraId="30527B00">
      <w:pPr>
        <w:jc w:val="both"/>
        <w:rPr>
          <w:rFonts w:hint="eastAsia" w:ascii="宋体" w:hAnsi="宋体" w:cs="宋体"/>
          <w:sz w:val="24"/>
          <w:szCs w:val="24"/>
          <w:lang w:val="en-US" w:eastAsia="zh-CN"/>
        </w:rPr>
      </w:pPr>
      <w:r>
        <w:rPr>
          <w:rFonts w:hint="eastAsia" w:ascii="宋体" w:hAnsi="宋体" w:cs="宋体"/>
          <w:sz w:val="24"/>
          <w:szCs w:val="24"/>
          <w:lang w:val="en-US" w:eastAsia="zh-CN"/>
        </w:rPr>
        <w:t>13、增强模式：≥2种增强模式，即结构和血红蛋白增强模式；结构模式可突出显示病变组织中的多重纹路、血管及纤维构造；血红蛋白强化模式增强显示血管及富含血液组织；</w:t>
      </w:r>
    </w:p>
    <w:p w14:paraId="3E596A95">
      <w:pPr>
        <w:jc w:val="both"/>
        <w:rPr>
          <w:rFonts w:hint="eastAsia" w:ascii="宋体" w:hAnsi="宋体" w:cs="宋体"/>
          <w:sz w:val="24"/>
          <w:szCs w:val="24"/>
          <w:lang w:val="en-US" w:eastAsia="zh-CN"/>
        </w:rPr>
      </w:pPr>
      <w:r>
        <w:rPr>
          <w:rFonts w:hint="eastAsia" w:ascii="宋体" w:hAnsi="宋体" w:cs="宋体"/>
          <w:sz w:val="24"/>
          <w:szCs w:val="24"/>
          <w:lang w:val="en-US" w:eastAsia="zh-CN"/>
        </w:rPr>
        <w:t>14、电子放大：可调节1X、2X、4X；</w:t>
      </w:r>
    </w:p>
    <w:p w14:paraId="0A1784DD">
      <w:pPr>
        <w:jc w:val="both"/>
        <w:rPr>
          <w:rFonts w:hint="eastAsia" w:ascii="宋体" w:hAnsi="宋体" w:cs="宋体"/>
          <w:sz w:val="24"/>
          <w:szCs w:val="24"/>
          <w:lang w:val="en-US" w:eastAsia="zh-CN"/>
        </w:rPr>
      </w:pPr>
      <w:r>
        <w:rPr>
          <w:rFonts w:hint="eastAsia" w:ascii="宋体" w:hAnsi="宋体" w:cs="宋体"/>
          <w:sz w:val="24"/>
          <w:szCs w:val="24"/>
          <w:lang w:val="en-US" w:eastAsia="zh-CN"/>
        </w:rPr>
        <w:t>15、电子染色：可打开或关闭电子染色功能，；</w:t>
      </w:r>
    </w:p>
    <w:p w14:paraId="31F2FC66">
      <w:pPr>
        <w:jc w:val="both"/>
        <w:rPr>
          <w:rFonts w:hint="eastAsia" w:ascii="宋体" w:hAnsi="宋体" w:cs="宋体"/>
          <w:sz w:val="24"/>
          <w:szCs w:val="24"/>
          <w:lang w:val="en-US" w:eastAsia="zh-CN"/>
        </w:rPr>
      </w:pPr>
      <w:r>
        <w:rPr>
          <w:rFonts w:hint="eastAsia" w:ascii="宋体" w:hAnsi="宋体" w:cs="宋体"/>
          <w:sz w:val="24"/>
          <w:szCs w:val="24"/>
          <w:lang w:val="en-US" w:eastAsia="zh-CN"/>
        </w:rPr>
        <w:t>16、具有RGB色彩调节功能：红色、绿色、蓝色调节范围0-99档；</w:t>
      </w:r>
    </w:p>
    <w:p w14:paraId="5C29EE9A">
      <w:pPr>
        <w:jc w:val="both"/>
        <w:rPr>
          <w:rFonts w:hint="eastAsia" w:ascii="宋体" w:hAnsi="宋体" w:cs="宋体"/>
          <w:sz w:val="24"/>
          <w:szCs w:val="24"/>
          <w:lang w:val="en-US" w:eastAsia="zh-CN"/>
        </w:rPr>
      </w:pPr>
      <w:r>
        <w:rPr>
          <w:rFonts w:hint="eastAsia" w:ascii="宋体" w:hAnsi="宋体" w:cs="宋体"/>
          <w:sz w:val="24"/>
          <w:szCs w:val="24"/>
          <w:lang w:val="en-US" w:eastAsia="zh-CN"/>
        </w:rPr>
        <w:t>17、自定义按键：内窥镜1,2按键可设置无、冻结、电子放大、测光模式、结构增强、血红蛋白等遥控功能；</w:t>
      </w:r>
    </w:p>
    <w:p w14:paraId="2BA3B40D">
      <w:pPr>
        <w:jc w:val="both"/>
        <w:rPr>
          <w:rFonts w:hint="eastAsia" w:ascii="宋体" w:hAnsi="宋体" w:cs="宋体"/>
          <w:sz w:val="24"/>
          <w:szCs w:val="24"/>
          <w:lang w:val="en-US" w:eastAsia="zh-CN"/>
        </w:rPr>
      </w:pPr>
      <w:r>
        <w:rPr>
          <w:rFonts w:hint="eastAsia" w:ascii="宋体" w:hAnsi="宋体" w:cs="宋体"/>
          <w:sz w:val="24"/>
          <w:szCs w:val="24"/>
          <w:lang w:val="en-US" w:eastAsia="zh-CN"/>
        </w:rPr>
        <w:t>18、广泛兼容性：可连接胃镜、肠镜、支气管镜、胆道镜、鼻咽喉镜、膀胱镜等电子内窥镜；</w:t>
      </w:r>
    </w:p>
    <w:p w14:paraId="6467CF01">
      <w:pPr>
        <w:jc w:val="both"/>
        <w:rPr>
          <w:rFonts w:hint="eastAsia" w:ascii="宋体" w:hAnsi="宋体" w:cs="宋体"/>
          <w:sz w:val="24"/>
          <w:szCs w:val="24"/>
          <w:lang w:val="en-US" w:eastAsia="zh-CN"/>
        </w:rPr>
      </w:pPr>
      <w:r>
        <w:rPr>
          <w:rFonts w:hint="eastAsia" w:ascii="宋体" w:hAnsi="宋体" w:cs="宋体"/>
          <w:sz w:val="24"/>
          <w:szCs w:val="24"/>
          <w:lang w:val="en-US" w:eastAsia="zh-CN"/>
        </w:rPr>
        <w:t>19、可以设置时间、日期；</w:t>
      </w:r>
    </w:p>
    <w:p w14:paraId="20650163">
      <w:pPr>
        <w:jc w:val="both"/>
        <w:rPr>
          <w:rFonts w:hint="eastAsia" w:ascii="宋体" w:hAnsi="宋体" w:cs="宋体"/>
          <w:sz w:val="24"/>
          <w:szCs w:val="24"/>
          <w:lang w:val="en-US" w:eastAsia="zh-CN"/>
        </w:rPr>
      </w:pPr>
      <w:r>
        <w:rPr>
          <w:rFonts w:hint="eastAsia" w:ascii="宋体" w:hAnsi="宋体" w:cs="宋体"/>
          <w:sz w:val="24"/>
          <w:szCs w:val="24"/>
          <w:lang w:val="en-US" w:eastAsia="zh-CN"/>
        </w:rPr>
        <w:t>20、语言：可以设置中文、英文；</w:t>
      </w:r>
    </w:p>
    <w:p w14:paraId="0F1AF42E">
      <w:pPr>
        <w:jc w:val="both"/>
        <w:rPr>
          <w:rFonts w:hint="eastAsia" w:ascii="宋体" w:hAnsi="宋体" w:cs="宋体"/>
          <w:sz w:val="24"/>
          <w:szCs w:val="24"/>
          <w:lang w:val="en-US" w:eastAsia="zh-CN"/>
        </w:rPr>
      </w:pPr>
      <w:r>
        <w:rPr>
          <w:rFonts w:hint="eastAsia" w:ascii="宋体" w:hAnsi="宋体" w:cs="宋体"/>
          <w:sz w:val="24"/>
          <w:szCs w:val="24"/>
          <w:lang w:val="en-US" w:eastAsia="zh-CN"/>
        </w:rPr>
        <w:t>21、具有画中画功能；</w:t>
      </w:r>
    </w:p>
    <w:p w14:paraId="58419A92">
      <w:pPr>
        <w:jc w:val="both"/>
        <w:rPr>
          <w:rFonts w:hint="eastAsia" w:ascii="宋体" w:hAnsi="宋体" w:cs="宋体"/>
          <w:sz w:val="24"/>
          <w:szCs w:val="24"/>
          <w:lang w:val="en-US" w:eastAsia="zh-CN"/>
        </w:rPr>
      </w:pPr>
      <w:r>
        <w:rPr>
          <w:rFonts w:hint="eastAsia" w:ascii="宋体" w:hAnsi="宋体" w:cs="宋体"/>
          <w:sz w:val="24"/>
          <w:szCs w:val="24"/>
          <w:lang w:val="en-US" w:eastAsia="zh-CN"/>
        </w:rPr>
        <w:t>二、内窥镜冷光源</w:t>
      </w:r>
    </w:p>
    <w:p w14:paraId="49EFA2DF">
      <w:pPr>
        <w:jc w:val="both"/>
        <w:rPr>
          <w:rFonts w:hint="eastAsia" w:ascii="宋体" w:hAnsi="宋体" w:cs="宋体"/>
          <w:sz w:val="24"/>
          <w:szCs w:val="24"/>
          <w:lang w:val="en-US" w:eastAsia="zh-CN"/>
        </w:rPr>
      </w:pPr>
      <w:r>
        <w:rPr>
          <w:rFonts w:hint="eastAsia" w:ascii="宋体" w:hAnsi="宋体" w:cs="宋体"/>
          <w:sz w:val="24"/>
          <w:szCs w:val="24"/>
          <w:lang w:val="en-US" w:eastAsia="zh-CN"/>
        </w:rPr>
        <w:t>1、显色指数：≥90；</w:t>
      </w:r>
    </w:p>
    <w:p w14:paraId="02E412FF">
      <w:pPr>
        <w:jc w:val="both"/>
        <w:rPr>
          <w:rFonts w:hint="eastAsia" w:ascii="宋体" w:hAnsi="宋体" w:cs="宋体"/>
          <w:sz w:val="24"/>
          <w:szCs w:val="24"/>
          <w:lang w:val="en-US" w:eastAsia="zh-CN"/>
        </w:rPr>
      </w:pPr>
      <w:r>
        <w:rPr>
          <w:rFonts w:hint="eastAsia" w:ascii="宋体" w:hAnsi="宋体" w:cs="宋体"/>
          <w:sz w:val="24"/>
          <w:szCs w:val="24"/>
          <w:lang w:val="en-US" w:eastAsia="zh-CN"/>
        </w:rPr>
        <w:t>2、色温：3000-7000K；</w:t>
      </w:r>
    </w:p>
    <w:p w14:paraId="710445F9">
      <w:pPr>
        <w:jc w:val="both"/>
        <w:rPr>
          <w:rFonts w:hint="eastAsia" w:ascii="宋体" w:hAnsi="宋体" w:cs="宋体"/>
          <w:sz w:val="24"/>
          <w:szCs w:val="24"/>
          <w:lang w:val="en-US" w:eastAsia="zh-CN"/>
        </w:rPr>
      </w:pPr>
      <w:r>
        <w:rPr>
          <w:rFonts w:hint="eastAsia" w:ascii="宋体" w:hAnsi="宋体" w:cs="宋体"/>
          <w:sz w:val="24"/>
          <w:szCs w:val="24"/>
          <w:lang w:val="en-US" w:eastAsia="zh-CN"/>
        </w:rPr>
        <w:t>3、灯泡使用寿命：≥10000小时。</w:t>
      </w:r>
    </w:p>
    <w:p w14:paraId="560E222E">
      <w:pPr>
        <w:jc w:val="both"/>
        <w:rPr>
          <w:rFonts w:hint="eastAsia" w:ascii="宋体" w:hAnsi="宋体" w:cs="宋体"/>
          <w:sz w:val="24"/>
          <w:szCs w:val="24"/>
          <w:lang w:val="en-US" w:eastAsia="zh-CN"/>
        </w:rPr>
      </w:pPr>
      <w:r>
        <w:rPr>
          <w:rFonts w:hint="eastAsia" w:ascii="宋体" w:hAnsi="宋体" w:cs="宋体"/>
          <w:sz w:val="24"/>
          <w:szCs w:val="24"/>
          <w:lang w:val="en-US" w:eastAsia="zh-CN"/>
        </w:rPr>
        <w:t>4、具有手动和自动两种调光模式，调光级别：≥10级；</w:t>
      </w:r>
    </w:p>
    <w:p w14:paraId="7B03F963">
      <w:pPr>
        <w:jc w:val="both"/>
        <w:rPr>
          <w:rFonts w:hint="eastAsia" w:ascii="宋体" w:hAnsi="宋体" w:cs="宋体"/>
          <w:sz w:val="24"/>
          <w:szCs w:val="24"/>
          <w:lang w:val="en-US" w:eastAsia="zh-CN"/>
        </w:rPr>
      </w:pPr>
      <w:r>
        <w:rPr>
          <w:rFonts w:hint="eastAsia" w:ascii="宋体" w:hAnsi="宋体" w:cs="宋体"/>
          <w:sz w:val="24"/>
          <w:szCs w:val="24"/>
          <w:lang w:val="en-US" w:eastAsia="zh-CN"/>
        </w:rPr>
        <w:t>5、气泵流量可调，可设为高、低二档；</w:t>
      </w:r>
    </w:p>
    <w:p w14:paraId="75A38F4A">
      <w:pPr>
        <w:jc w:val="both"/>
        <w:rPr>
          <w:rFonts w:hint="eastAsia" w:ascii="宋体" w:hAnsi="宋体" w:cs="宋体"/>
          <w:sz w:val="24"/>
          <w:szCs w:val="24"/>
          <w:lang w:val="en-US" w:eastAsia="zh-CN"/>
        </w:rPr>
      </w:pPr>
      <w:r>
        <w:rPr>
          <w:rFonts w:hint="eastAsia" w:ascii="宋体" w:hAnsi="宋体" w:cs="宋体"/>
          <w:sz w:val="24"/>
          <w:szCs w:val="24"/>
          <w:lang w:val="en-US" w:eastAsia="zh-CN"/>
        </w:rPr>
        <w:t>6、光通量：≥800lm；</w:t>
      </w:r>
    </w:p>
    <w:p w14:paraId="77438706">
      <w:pPr>
        <w:jc w:val="both"/>
        <w:rPr>
          <w:rFonts w:hint="eastAsia" w:ascii="宋体" w:hAnsi="宋体" w:cs="宋体"/>
          <w:sz w:val="24"/>
          <w:szCs w:val="24"/>
          <w:lang w:val="en-US" w:eastAsia="zh-CN"/>
        </w:rPr>
      </w:pPr>
      <w:r>
        <w:rPr>
          <w:rFonts w:hint="eastAsia" w:ascii="宋体" w:hAnsi="宋体" w:cs="宋体"/>
          <w:sz w:val="24"/>
          <w:szCs w:val="24"/>
          <w:lang w:val="en-US" w:eastAsia="zh-CN"/>
        </w:rPr>
        <w:t>7、用于连接照明用光缆的机械接口的孔径为Φ8.3+0.1mm；</w:t>
      </w:r>
    </w:p>
    <w:p w14:paraId="23558752">
      <w:pPr>
        <w:jc w:val="both"/>
        <w:rPr>
          <w:rFonts w:hint="eastAsia" w:ascii="宋体" w:hAnsi="宋体" w:cs="宋体"/>
          <w:sz w:val="24"/>
          <w:szCs w:val="24"/>
          <w:lang w:val="en-US" w:eastAsia="zh-CN"/>
        </w:rPr>
      </w:pPr>
      <w:r>
        <w:rPr>
          <w:rFonts w:hint="eastAsia" w:ascii="宋体" w:hAnsi="宋体" w:cs="宋体"/>
          <w:sz w:val="24"/>
          <w:szCs w:val="24"/>
          <w:lang w:val="en-US" w:eastAsia="zh-CN"/>
        </w:rPr>
        <w:t>8、在工作条件下整机噪声应≤55dB；</w:t>
      </w:r>
    </w:p>
    <w:p w14:paraId="5255EA5C">
      <w:pPr>
        <w:jc w:val="both"/>
        <w:rPr>
          <w:rFonts w:hint="eastAsia" w:ascii="宋体" w:hAnsi="宋体" w:cs="宋体"/>
          <w:sz w:val="24"/>
          <w:szCs w:val="24"/>
          <w:lang w:val="en-US" w:eastAsia="zh-CN"/>
        </w:rPr>
      </w:pPr>
      <w:r>
        <w:rPr>
          <w:rFonts w:hint="eastAsia" w:ascii="宋体" w:hAnsi="宋体" w:cs="宋体"/>
          <w:sz w:val="24"/>
          <w:szCs w:val="24"/>
          <w:lang w:val="en-US" w:eastAsia="zh-CN"/>
        </w:rPr>
        <w:t>9、气泵压力和流量：冷光源的气泵压力P应满足0.03MPa≤P≤0.06MPa；</w:t>
      </w:r>
    </w:p>
    <w:p w14:paraId="4020E2BC">
      <w:pPr>
        <w:jc w:val="both"/>
        <w:rPr>
          <w:rFonts w:hint="eastAsia" w:ascii="宋体" w:hAnsi="宋体" w:cs="宋体"/>
          <w:sz w:val="24"/>
          <w:szCs w:val="24"/>
          <w:lang w:val="en-US" w:eastAsia="zh-CN"/>
        </w:rPr>
      </w:pPr>
      <w:r>
        <w:rPr>
          <w:rFonts w:hint="eastAsia" w:ascii="宋体" w:hAnsi="宋体" w:cs="宋体"/>
          <w:sz w:val="24"/>
          <w:szCs w:val="24"/>
          <w:lang w:val="en-US" w:eastAsia="zh-CN"/>
        </w:rPr>
        <w:t>三、电子喉内窥镜</w:t>
      </w:r>
    </w:p>
    <w:p w14:paraId="25016F01">
      <w:pPr>
        <w:jc w:val="both"/>
        <w:rPr>
          <w:rFonts w:hint="eastAsia" w:ascii="宋体" w:hAnsi="宋体" w:cs="宋体"/>
          <w:sz w:val="24"/>
          <w:szCs w:val="24"/>
          <w:lang w:val="en-US" w:eastAsia="zh-CN"/>
        </w:rPr>
      </w:pPr>
      <w:r>
        <w:rPr>
          <w:rFonts w:hint="eastAsia" w:ascii="宋体" w:hAnsi="宋体" w:cs="宋体"/>
          <w:sz w:val="24"/>
          <w:szCs w:val="24"/>
          <w:lang w:val="en-US" w:eastAsia="zh-CN"/>
        </w:rPr>
        <w:t>1、视场角：≥120°</w:t>
      </w:r>
    </w:p>
    <w:p w14:paraId="28B35C34">
      <w:pPr>
        <w:jc w:val="both"/>
        <w:rPr>
          <w:rFonts w:hint="eastAsia" w:ascii="宋体" w:hAnsi="宋体" w:cs="宋体"/>
          <w:sz w:val="24"/>
          <w:szCs w:val="24"/>
          <w:lang w:val="en-US" w:eastAsia="zh-CN"/>
        </w:rPr>
      </w:pPr>
      <w:r>
        <w:rPr>
          <w:rFonts w:hint="eastAsia" w:ascii="宋体" w:hAnsi="宋体" w:cs="宋体"/>
          <w:sz w:val="24"/>
          <w:szCs w:val="24"/>
          <w:lang w:val="en-US" w:eastAsia="zh-CN"/>
        </w:rPr>
        <w:t>2、景深范围：2-100mm</w:t>
      </w:r>
    </w:p>
    <w:p w14:paraId="0050F218">
      <w:pPr>
        <w:jc w:val="both"/>
        <w:rPr>
          <w:rFonts w:hint="eastAsia" w:ascii="宋体" w:hAnsi="宋体" w:cs="宋体"/>
          <w:sz w:val="24"/>
          <w:szCs w:val="24"/>
          <w:lang w:val="en-US" w:eastAsia="zh-CN"/>
        </w:rPr>
      </w:pPr>
      <w:r>
        <w:rPr>
          <w:rFonts w:hint="eastAsia" w:ascii="宋体" w:hAnsi="宋体" w:cs="宋体"/>
          <w:sz w:val="24"/>
          <w:szCs w:val="24"/>
          <w:lang w:val="en-US" w:eastAsia="zh-CN"/>
        </w:rPr>
        <w:t>3、弯曲角度：上≥180°、下≥130°</w:t>
      </w:r>
    </w:p>
    <w:p w14:paraId="2CB3703F">
      <w:pPr>
        <w:jc w:val="both"/>
        <w:rPr>
          <w:rFonts w:hint="eastAsia" w:ascii="宋体" w:hAnsi="宋体" w:cs="宋体"/>
          <w:sz w:val="24"/>
          <w:szCs w:val="24"/>
          <w:lang w:val="en-US" w:eastAsia="zh-CN"/>
        </w:rPr>
      </w:pPr>
      <w:r>
        <w:rPr>
          <w:rFonts w:hint="eastAsia" w:ascii="宋体" w:hAnsi="宋体" w:cs="宋体"/>
          <w:sz w:val="24"/>
          <w:szCs w:val="24"/>
          <w:lang w:val="en-US" w:eastAsia="zh-CN"/>
        </w:rPr>
        <w:t>4、插入主软管部外径：≤5.3mm</w:t>
      </w:r>
    </w:p>
    <w:p w14:paraId="1E0224EC">
      <w:pPr>
        <w:jc w:val="both"/>
        <w:rPr>
          <w:rFonts w:hint="eastAsia" w:ascii="宋体" w:hAnsi="宋体" w:cs="宋体"/>
          <w:sz w:val="24"/>
          <w:szCs w:val="24"/>
          <w:lang w:val="en-US" w:eastAsia="zh-CN"/>
        </w:rPr>
      </w:pPr>
      <w:r>
        <w:rPr>
          <w:rFonts w:hint="eastAsia" w:ascii="宋体" w:hAnsi="宋体" w:cs="宋体"/>
          <w:sz w:val="24"/>
          <w:szCs w:val="24"/>
          <w:lang w:val="en-US" w:eastAsia="zh-CN"/>
        </w:rPr>
        <w:t>5、工作通道内径：≥2.0mm</w:t>
      </w:r>
    </w:p>
    <w:p w14:paraId="5B4631A8">
      <w:pPr>
        <w:jc w:val="both"/>
        <w:rPr>
          <w:rFonts w:hint="eastAsia" w:ascii="宋体" w:hAnsi="宋体" w:cs="宋体"/>
          <w:sz w:val="24"/>
          <w:szCs w:val="24"/>
          <w:lang w:val="en-US" w:eastAsia="zh-CN"/>
        </w:rPr>
      </w:pPr>
      <w:r>
        <w:rPr>
          <w:rFonts w:hint="eastAsia" w:ascii="宋体" w:hAnsi="宋体" w:cs="宋体"/>
          <w:sz w:val="24"/>
          <w:szCs w:val="24"/>
          <w:lang w:val="en-US" w:eastAsia="zh-CN"/>
        </w:rPr>
        <w:t>6、工作距离7mm时中心分辨率≥10.50lp/mm；</w:t>
      </w:r>
    </w:p>
    <w:p w14:paraId="7AE56F65">
      <w:pPr>
        <w:jc w:val="both"/>
        <w:rPr>
          <w:rFonts w:hint="default" w:ascii="宋体" w:hAnsi="宋体" w:cs="宋体"/>
          <w:sz w:val="24"/>
          <w:szCs w:val="24"/>
          <w:lang w:val="en-US" w:eastAsia="zh-CN"/>
        </w:rPr>
      </w:pPr>
      <w:r>
        <w:rPr>
          <w:rFonts w:hint="eastAsia" w:ascii="宋体" w:hAnsi="宋体" w:cs="宋体"/>
          <w:sz w:val="24"/>
          <w:szCs w:val="24"/>
          <w:lang w:val="en-US" w:eastAsia="zh-CN"/>
        </w:rPr>
        <w:t>7、工作长度：450mm±2mm</w:t>
      </w:r>
    </w:p>
    <w:p w14:paraId="4B10FA59">
      <w:pPr>
        <w:jc w:val="both"/>
        <w:rPr>
          <w:rFonts w:hint="eastAsia" w:ascii="宋体" w:hAnsi="宋体" w:cs="宋体"/>
          <w:sz w:val="24"/>
          <w:szCs w:val="24"/>
          <w:lang w:val="en-US" w:eastAsia="zh-CN"/>
        </w:rPr>
      </w:pPr>
      <w:r>
        <w:rPr>
          <w:rFonts w:hint="eastAsia" w:ascii="宋体" w:hAnsi="宋体" w:cs="宋体"/>
          <w:sz w:val="24"/>
          <w:szCs w:val="24"/>
          <w:lang w:val="en-US" w:eastAsia="zh-CN"/>
        </w:rPr>
        <w:t>8、镜体操作部具有≥2个自定义功能遥控按钮</w:t>
      </w:r>
    </w:p>
    <w:p w14:paraId="788A73BA">
      <w:pPr>
        <w:jc w:val="both"/>
        <w:rPr>
          <w:rFonts w:hint="eastAsia" w:ascii="宋体" w:hAnsi="宋体" w:cs="宋体"/>
          <w:sz w:val="24"/>
          <w:szCs w:val="24"/>
          <w:lang w:val="en-US" w:eastAsia="zh-CN"/>
        </w:rPr>
      </w:pPr>
      <w:r>
        <w:rPr>
          <w:rFonts w:hint="eastAsia" w:ascii="宋体" w:hAnsi="宋体" w:cs="宋体"/>
          <w:sz w:val="24"/>
          <w:szCs w:val="24"/>
          <w:lang w:val="en-US" w:eastAsia="zh-CN"/>
        </w:rPr>
        <w:t>四、医用彩色液晶监视器</w:t>
      </w:r>
    </w:p>
    <w:p w14:paraId="6F129EF3">
      <w:pPr>
        <w:jc w:val="both"/>
        <w:rPr>
          <w:rFonts w:hint="eastAsia" w:ascii="宋体" w:hAnsi="宋体" w:cs="宋体"/>
          <w:sz w:val="24"/>
          <w:szCs w:val="24"/>
          <w:lang w:val="en-US" w:eastAsia="zh-CN"/>
        </w:rPr>
      </w:pPr>
      <w:r>
        <w:rPr>
          <w:rFonts w:hint="eastAsia" w:ascii="宋体" w:hAnsi="宋体" w:cs="宋体"/>
          <w:sz w:val="24"/>
          <w:szCs w:val="24"/>
          <w:lang w:val="en-US" w:eastAsia="zh-CN"/>
        </w:rPr>
        <w:t>1、监视器为彩色医疗图像监视器，具有16:9比例高亮度、高清液晶显示；</w:t>
      </w:r>
    </w:p>
    <w:p w14:paraId="3FD1E5D8">
      <w:pPr>
        <w:jc w:val="both"/>
        <w:rPr>
          <w:rFonts w:hint="eastAsia" w:ascii="宋体" w:hAnsi="宋体" w:cs="宋体"/>
          <w:sz w:val="24"/>
          <w:szCs w:val="24"/>
          <w:lang w:val="en-US" w:eastAsia="zh-CN"/>
        </w:rPr>
      </w:pPr>
      <w:r>
        <w:rPr>
          <w:rFonts w:hint="eastAsia" w:ascii="宋体" w:hAnsi="宋体" w:cs="宋体"/>
          <w:sz w:val="24"/>
          <w:szCs w:val="24"/>
          <w:lang w:val="en-US" w:eastAsia="zh-CN"/>
        </w:rPr>
        <w:t>2、显示尺寸：≥24英寸；</w:t>
      </w:r>
    </w:p>
    <w:p w14:paraId="0B40FCDB">
      <w:pPr>
        <w:jc w:val="both"/>
        <w:rPr>
          <w:rFonts w:hint="eastAsia" w:ascii="宋体" w:hAnsi="宋体" w:cs="宋体"/>
          <w:sz w:val="24"/>
          <w:szCs w:val="24"/>
          <w:lang w:val="en-US" w:eastAsia="zh-CN"/>
        </w:rPr>
      </w:pPr>
      <w:r>
        <w:rPr>
          <w:rFonts w:hint="eastAsia" w:ascii="宋体" w:hAnsi="宋体" w:cs="宋体"/>
          <w:sz w:val="24"/>
          <w:szCs w:val="24"/>
          <w:lang w:val="en-US" w:eastAsia="zh-CN"/>
        </w:rPr>
        <w:t>3、分辨率：≥1920×1200 ；</w:t>
      </w:r>
    </w:p>
    <w:p w14:paraId="1B1B6A3F">
      <w:pPr>
        <w:jc w:val="both"/>
        <w:rPr>
          <w:rFonts w:hint="eastAsia" w:ascii="宋体" w:hAnsi="宋体" w:cs="宋体"/>
          <w:sz w:val="24"/>
          <w:szCs w:val="24"/>
          <w:lang w:val="en-US" w:eastAsia="zh-CN"/>
        </w:rPr>
      </w:pPr>
      <w:r>
        <w:rPr>
          <w:rFonts w:hint="eastAsia" w:ascii="宋体" w:hAnsi="宋体" w:cs="宋体"/>
          <w:sz w:val="24"/>
          <w:szCs w:val="24"/>
          <w:lang w:val="en-US" w:eastAsia="zh-CN"/>
        </w:rPr>
        <w:t>4、视角：水平≥178°，垂直≥178°；</w:t>
      </w:r>
    </w:p>
    <w:p w14:paraId="3B28EB5F">
      <w:pPr>
        <w:jc w:val="both"/>
        <w:rPr>
          <w:rFonts w:hint="eastAsia" w:ascii="宋体" w:hAnsi="宋体" w:cs="宋体"/>
          <w:sz w:val="24"/>
          <w:szCs w:val="24"/>
          <w:lang w:val="en-US" w:eastAsia="zh-CN"/>
        </w:rPr>
      </w:pPr>
      <w:r>
        <w:rPr>
          <w:rFonts w:hint="eastAsia" w:ascii="宋体" w:hAnsi="宋体" w:cs="宋体"/>
          <w:sz w:val="24"/>
          <w:szCs w:val="24"/>
          <w:lang w:val="en-US" w:eastAsia="zh-CN"/>
        </w:rPr>
        <w:t>5、显示对比度：≥1000:1</w:t>
      </w:r>
    </w:p>
    <w:p w14:paraId="6A9CA316">
      <w:pPr>
        <w:jc w:val="both"/>
        <w:rPr>
          <w:rFonts w:hint="eastAsia" w:ascii="宋体" w:hAnsi="宋体" w:cs="宋体"/>
          <w:sz w:val="24"/>
          <w:szCs w:val="24"/>
          <w:lang w:val="en-US" w:eastAsia="zh-CN"/>
        </w:rPr>
      </w:pPr>
      <w:r>
        <w:rPr>
          <w:rFonts w:hint="eastAsia" w:ascii="宋体" w:hAnsi="宋体" w:cs="宋体"/>
          <w:sz w:val="24"/>
          <w:szCs w:val="24"/>
          <w:lang w:val="en-US" w:eastAsia="zh-CN"/>
        </w:rPr>
        <w:t>6、亮度：≥600cd/m²</w:t>
      </w:r>
    </w:p>
    <w:p w14:paraId="44736D9F">
      <w:pPr>
        <w:jc w:val="both"/>
        <w:rPr>
          <w:rFonts w:hint="eastAsia" w:ascii="宋体" w:hAnsi="宋体" w:cs="宋体"/>
          <w:sz w:val="24"/>
          <w:szCs w:val="24"/>
          <w:lang w:val="en-US" w:eastAsia="zh-CN"/>
        </w:rPr>
      </w:pPr>
      <w:r>
        <w:rPr>
          <w:rFonts w:hint="eastAsia" w:ascii="宋体" w:hAnsi="宋体" w:cs="宋体"/>
          <w:sz w:val="24"/>
          <w:szCs w:val="24"/>
          <w:lang w:val="en-US" w:eastAsia="zh-CN"/>
        </w:rPr>
        <w:t>7、信号输入：DVI/SDI/Video/S-Video/YPbPr等。</w:t>
      </w:r>
    </w:p>
    <w:p w14:paraId="0F7FFB39">
      <w:pPr>
        <w:jc w:val="both"/>
        <w:rPr>
          <w:rFonts w:hint="eastAsia" w:ascii="宋体" w:hAnsi="宋体" w:cs="宋体"/>
          <w:sz w:val="24"/>
          <w:szCs w:val="24"/>
          <w:lang w:val="en-US" w:eastAsia="zh-CN"/>
        </w:rPr>
      </w:pPr>
      <w:r>
        <w:rPr>
          <w:rFonts w:hint="eastAsia" w:ascii="宋体" w:hAnsi="宋体" w:cs="宋体"/>
          <w:sz w:val="24"/>
          <w:szCs w:val="24"/>
          <w:lang w:val="en-US" w:eastAsia="zh-CN"/>
        </w:rPr>
        <w:t>五、台车</w:t>
      </w:r>
    </w:p>
    <w:p w14:paraId="0A5D4023">
      <w:pPr>
        <w:jc w:val="both"/>
        <w:rPr>
          <w:rFonts w:hint="eastAsia" w:ascii="宋体" w:hAnsi="宋体" w:cs="宋体"/>
          <w:sz w:val="24"/>
          <w:szCs w:val="24"/>
          <w:lang w:val="en-US" w:eastAsia="zh-CN"/>
        </w:rPr>
      </w:pPr>
      <w:r>
        <w:rPr>
          <w:rFonts w:hint="eastAsia" w:ascii="宋体" w:hAnsi="宋体" w:cs="宋体"/>
          <w:sz w:val="24"/>
          <w:szCs w:val="24"/>
          <w:lang w:val="en-US" w:eastAsia="zh-CN"/>
        </w:rPr>
        <w:t>1、专业设计的内镜专用台车；</w:t>
      </w:r>
    </w:p>
    <w:p w14:paraId="4B6708EA">
      <w:pPr>
        <w:jc w:val="both"/>
        <w:rPr>
          <w:rFonts w:hint="eastAsia" w:ascii="宋体" w:hAnsi="宋体" w:cs="宋体"/>
          <w:sz w:val="24"/>
          <w:szCs w:val="24"/>
          <w:lang w:val="en-US" w:eastAsia="zh-CN"/>
        </w:rPr>
      </w:pPr>
      <w:r>
        <w:rPr>
          <w:rFonts w:hint="eastAsia" w:ascii="宋体" w:hAnsi="宋体" w:cs="宋体"/>
          <w:sz w:val="24"/>
          <w:szCs w:val="24"/>
          <w:lang w:val="en-US" w:eastAsia="zh-CN"/>
        </w:rPr>
        <w:t>2、带键盘托盘；</w:t>
      </w:r>
    </w:p>
    <w:p w14:paraId="27DE5806">
      <w:pPr>
        <w:jc w:val="both"/>
        <w:rPr>
          <w:rFonts w:hint="eastAsia" w:ascii="宋体" w:hAnsi="宋体" w:cs="宋体"/>
          <w:sz w:val="24"/>
          <w:szCs w:val="24"/>
          <w:lang w:val="en-US" w:eastAsia="zh-CN"/>
        </w:rPr>
      </w:pPr>
      <w:r>
        <w:rPr>
          <w:rFonts w:hint="eastAsia" w:ascii="宋体" w:hAnsi="宋体" w:cs="宋体"/>
          <w:sz w:val="24"/>
          <w:szCs w:val="24"/>
          <w:lang w:val="en-US" w:eastAsia="zh-CN"/>
        </w:rPr>
        <w:t>3、层板高度可调；</w:t>
      </w:r>
    </w:p>
    <w:p w14:paraId="4B3C4699">
      <w:pPr>
        <w:jc w:val="both"/>
        <w:rPr>
          <w:rFonts w:hint="default"/>
          <w:sz w:val="24"/>
          <w:szCs w:val="24"/>
          <w:lang w:val="en-US" w:eastAsia="zh-CN"/>
        </w:rPr>
      </w:pPr>
      <w:r>
        <w:rPr>
          <w:rFonts w:hint="eastAsia" w:ascii="宋体" w:hAnsi="宋体" w:cs="宋体"/>
          <w:sz w:val="24"/>
          <w:szCs w:val="24"/>
          <w:lang w:val="en-US" w:eastAsia="zh-CN"/>
        </w:rPr>
        <w:t>4、可支撑≥2个导光部插头，可同时悬挂≥2条内镜。</w:t>
      </w:r>
    </w:p>
    <w:p w14:paraId="67B9A9E2">
      <w:pPr>
        <w:numPr>
          <w:ilvl w:val="0"/>
          <w:numId w:val="0"/>
        </w:numPr>
        <w:rPr>
          <w:rFonts w:hint="default"/>
          <w:b/>
          <w:bCs/>
          <w:sz w:val="28"/>
          <w:szCs w:val="28"/>
          <w:lang w:val="en-US" w:eastAsia="zh-CN"/>
        </w:rPr>
      </w:pPr>
      <w:r>
        <w:rPr>
          <w:rFonts w:hint="eastAsia" w:asciiTheme="minorHAnsi" w:hAnsiTheme="minorHAnsi" w:eastAsiaTheme="minorEastAsia" w:cstheme="minorBidi"/>
          <w:b/>
          <w:bCs/>
          <w:kern w:val="2"/>
          <w:sz w:val="28"/>
          <w:szCs w:val="28"/>
          <w:lang w:val="en-US" w:eastAsia="zh-CN" w:bidi="ar-SA"/>
        </w:rPr>
        <w:t>五.</w:t>
      </w:r>
      <w:r>
        <w:rPr>
          <w:rFonts w:hint="eastAsia"/>
          <w:b/>
          <w:bCs/>
          <w:sz w:val="28"/>
          <w:szCs w:val="28"/>
          <w:lang w:val="en-US" w:eastAsia="zh-CN"/>
        </w:rPr>
        <w:t>鼻内窥镜</w:t>
      </w:r>
    </w:p>
    <w:p w14:paraId="198942DE">
      <w:pPr>
        <w:jc w:val="both"/>
        <w:rPr>
          <w:rFonts w:hint="eastAsia" w:ascii="宋体" w:hAnsi="宋体" w:cs="宋体"/>
          <w:sz w:val="24"/>
          <w:szCs w:val="24"/>
          <w:lang w:val="en-US" w:eastAsia="zh-CN"/>
        </w:rPr>
      </w:pPr>
      <w:r>
        <w:rPr>
          <w:rFonts w:hint="eastAsia" w:ascii="宋体" w:hAnsi="宋体" w:cs="宋体"/>
          <w:sz w:val="24"/>
          <w:szCs w:val="24"/>
          <w:lang w:val="en-US" w:eastAsia="zh-CN"/>
        </w:rPr>
        <w:t>1、高清摄像头：1/2.8 CMOS成像器件</w:t>
      </w:r>
    </w:p>
    <w:p w14:paraId="564CCA7B">
      <w:pPr>
        <w:jc w:val="both"/>
        <w:rPr>
          <w:rFonts w:hint="eastAsia" w:ascii="宋体" w:hAnsi="宋体" w:eastAsia="宋体" w:cs="宋体"/>
          <w:kern w:val="2"/>
          <w:sz w:val="24"/>
          <w:szCs w:val="24"/>
          <w:lang w:val="en-US" w:eastAsia="zh-CN"/>
        </w:rPr>
      </w:pPr>
      <w:r>
        <w:rPr>
          <w:rFonts w:hint="eastAsia" w:ascii="宋体" w:hAnsi="宋体" w:cs="宋体"/>
          <w:sz w:val="24"/>
          <w:szCs w:val="24"/>
          <w:lang w:val="en-US" w:eastAsia="zh-CN"/>
        </w:rPr>
        <w:t>2、摄像头防水等级：</w:t>
      </w:r>
      <w:r>
        <w:rPr>
          <w:rFonts w:hint="eastAsia" w:ascii="宋体" w:hAnsi="宋体"/>
          <w:color w:val="auto"/>
          <w:kern w:val="1"/>
          <w:sz w:val="24"/>
          <w:szCs w:val="24"/>
          <w:highlight w:val="none"/>
          <w:lang w:val="en-US" w:eastAsia="zh-CN"/>
        </w:rPr>
        <w:t>≥</w:t>
      </w:r>
      <w:r>
        <w:rPr>
          <w:rFonts w:hint="eastAsia" w:ascii="宋体" w:hAnsi="宋体" w:cs="宋体"/>
          <w:sz w:val="24"/>
          <w:szCs w:val="24"/>
          <w:lang w:val="en-US" w:eastAsia="zh-CN"/>
        </w:rPr>
        <w:t>IPX8</w:t>
      </w:r>
    </w:p>
    <w:p w14:paraId="142CEFA6">
      <w:pPr>
        <w:jc w:val="both"/>
        <w:rPr>
          <w:rFonts w:hint="eastAsia" w:ascii="宋体" w:hAnsi="宋体" w:cs="宋体"/>
          <w:sz w:val="24"/>
          <w:szCs w:val="24"/>
          <w:lang w:val="en-US" w:eastAsia="zh-CN"/>
        </w:rPr>
      </w:pPr>
      <w:r>
        <w:rPr>
          <w:rFonts w:hint="eastAsia" w:ascii="宋体" w:hAnsi="宋体" w:cs="宋体"/>
          <w:sz w:val="24"/>
          <w:szCs w:val="24"/>
          <w:lang w:val="en-US" w:eastAsia="zh-CN"/>
        </w:rPr>
        <w:t>3、抗干扰处理，</w:t>
      </w:r>
    </w:p>
    <w:p w14:paraId="2DAEA5FF">
      <w:pPr>
        <w:jc w:val="both"/>
        <w:rPr>
          <w:rFonts w:hint="eastAsia" w:ascii="宋体" w:hAnsi="宋体" w:eastAsia="宋体" w:cs="宋体"/>
          <w:kern w:val="2"/>
          <w:sz w:val="24"/>
          <w:szCs w:val="24"/>
          <w:lang w:val="en-US" w:eastAsia="zh-CN"/>
        </w:rPr>
      </w:pPr>
      <w:r>
        <w:rPr>
          <w:rFonts w:hint="eastAsia" w:ascii="宋体" w:hAnsi="宋体" w:cs="宋体"/>
          <w:sz w:val="24"/>
          <w:szCs w:val="24"/>
          <w:lang w:val="en-US" w:eastAsia="zh-CN"/>
        </w:rPr>
        <w:t xml:space="preserve">4、水平分辨率：≥1200TVL（1080P） </w:t>
      </w:r>
    </w:p>
    <w:p w14:paraId="5F2C0D62">
      <w:pPr>
        <w:jc w:val="both"/>
        <w:rPr>
          <w:rFonts w:hint="eastAsia" w:ascii="宋体" w:hAnsi="宋体" w:cs="宋体"/>
          <w:sz w:val="24"/>
          <w:szCs w:val="24"/>
          <w:lang w:val="en-US" w:eastAsia="zh-CN"/>
        </w:rPr>
      </w:pPr>
      <w:r>
        <w:rPr>
          <w:rFonts w:hint="eastAsia" w:ascii="宋体" w:hAnsi="宋体" w:cs="宋体"/>
          <w:sz w:val="24"/>
          <w:szCs w:val="24"/>
          <w:lang w:val="en-US" w:eastAsia="zh-CN"/>
        </w:rPr>
        <w:t>5、有效像素：≥1920(H)x1080(V)</w:t>
      </w:r>
    </w:p>
    <w:p w14:paraId="3245DF8E">
      <w:pPr>
        <w:jc w:val="both"/>
        <w:rPr>
          <w:rFonts w:hint="eastAsia" w:ascii="宋体" w:hAnsi="宋体" w:eastAsia="宋体" w:cs="宋体"/>
          <w:kern w:val="2"/>
          <w:sz w:val="24"/>
          <w:szCs w:val="24"/>
          <w:lang w:val="en-US" w:eastAsia="zh-CN"/>
        </w:rPr>
      </w:pPr>
      <w:r>
        <w:rPr>
          <w:rFonts w:hint="eastAsia" w:ascii="宋体" w:hAnsi="宋体" w:cs="宋体"/>
          <w:sz w:val="24"/>
          <w:szCs w:val="24"/>
          <w:lang w:val="en-US" w:eastAsia="zh-CN"/>
        </w:rPr>
        <w:t>6、扫描方式：逐行扫描</w:t>
      </w:r>
    </w:p>
    <w:p w14:paraId="4DBFBE56">
      <w:pPr>
        <w:jc w:val="both"/>
        <w:rPr>
          <w:rFonts w:hint="eastAsia" w:ascii="宋体" w:hAnsi="宋体" w:cs="宋体"/>
          <w:sz w:val="24"/>
          <w:szCs w:val="24"/>
          <w:lang w:val="en-US" w:eastAsia="zh-CN"/>
        </w:rPr>
      </w:pPr>
      <w:r>
        <w:rPr>
          <w:rFonts w:hint="eastAsia" w:ascii="宋体" w:hAnsi="宋体" w:cs="宋体"/>
          <w:sz w:val="24"/>
          <w:szCs w:val="24"/>
          <w:lang w:val="en-US" w:eastAsia="zh-CN"/>
        </w:rPr>
        <w:t>7、白平衡:自动/手动/一键白平衡</w:t>
      </w:r>
    </w:p>
    <w:p w14:paraId="01A64A6A">
      <w:pPr>
        <w:jc w:val="both"/>
        <w:rPr>
          <w:rFonts w:hint="eastAsia" w:ascii="宋体" w:hAnsi="宋体" w:eastAsia="宋体" w:cs="宋体"/>
          <w:kern w:val="2"/>
          <w:sz w:val="24"/>
          <w:szCs w:val="24"/>
          <w:lang w:val="en-US" w:eastAsia="zh-CN"/>
        </w:rPr>
      </w:pPr>
      <w:r>
        <w:rPr>
          <w:rFonts w:hint="eastAsia" w:ascii="宋体" w:hAnsi="宋体" w:cs="宋体"/>
          <w:sz w:val="24"/>
          <w:szCs w:val="24"/>
          <w:lang w:val="en-US" w:eastAsia="zh-CN"/>
        </w:rPr>
        <w:t>8、亮度：ODS可调</w:t>
      </w:r>
    </w:p>
    <w:p w14:paraId="5344700A">
      <w:pPr>
        <w:jc w:val="both"/>
        <w:rPr>
          <w:rFonts w:hint="eastAsia" w:ascii="宋体" w:hAnsi="宋体" w:cs="宋体"/>
          <w:sz w:val="24"/>
          <w:szCs w:val="24"/>
          <w:lang w:val="en-US" w:eastAsia="zh-CN"/>
        </w:rPr>
      </w:pPr>
      <w:r>
        <w:rPr>
          <w:rFonts w:hint="eastAsia" w:ascii="宋体" w:hAnsi="宋体" w:cs="宋体"/>
          <w:sz w:val="24"/>
          <w:szCs w:val="24"/>
          <w:lang w:val="en-US" w:eastAsia="zh-CN"/>
        </w:rPr>
        <w:t>9、具有白平衡、影像亮度、锐利度、影像冻结、数位放大、语言选择等功能</w:t>
      </w:r>
    </w:p>
    <w:p w14:paraId="642B5E8D">
      <w:pPr>
        <w:jc w:val="both"/>
        <w:rPr>
          <w:rFonts w:hint="eastAsia" w:ascii="宋体" w:hAnsi="宋体" w:eastAsia="宋体" w:cs="宋体"/>
          <w:kern w:val="2"/>
          <w:sz w:val="24"/>
          <w:szCs w:val="24"/>
          <w:lang w:val="en-US" w:eastAsia="zh-CN"/>
        </w:rPr>
      </w:pPr>
      <w:r>
        <w:rPr>
          <w:rFonts w:hint="eastAsia" w:ascii="宋体" w:hAnsi="宋体" w:cs="宋体"/>
          <w:sz w:val="24"/>
          <w:szCs w:val="24"/>
          <w:lang w:val="en-US" w:eastAsia="zh-CN"/>
        </w:rPr>
        <w:t>10、电子快门:可选速度范围为：自动/手动(1/50(60) ～1/60,000 秒)</w:t>
      </w:r>
    </w:p>
    <w:p w14:paraId="5DF789ED">
      <w:pPr>
        <w:jc w:val="both"/>
        <w:rPr>
          <w:rFonts w:hint="eastAsia" w:ascii="宋体" w:hAnsi="宋体" w:cs="宋体"/>
          <w:sz w:val="24"/>
          <w:szCs w:val="24"/>
          <w:lang w:val="en-US" w:eastAsia="zh-CN"/>
        </w:rPr>
      </w:pPr>
      <w:r>
        <w:rPr>
          <w:rFonts w:hint="eastAsia" w:ascii="宋体" w:hAnsi="宋体" w:cs="宋体"/>
          <w:sz w:val="24"/>
          <w:szCs w:val="24"/>
          <w:lang w:val="en-US" w:eastAsia="zh-CN"/>
        </w:rPr>
        <w:t>11、信噪比:</w:t>
      </w:r>
      <w:r>
        <w:rPr>
          <w:rFonts w:hint="eastAsia" w:ascii="宋体" w:hAnsi="宋体"/>
          <w:color w:val="auto"/>
          <w:kern w:val="1"/>
          <w:sz w:val="24"/>
          <w:szCs w:val="24"/>
          <w:highlight w:val="none"/>
          <w:lang w:val="en-US" w:eastAsia="zh-CN"/>
        </w:rPr>
        <w:t>≥</w:t>
      </w:r>
      <w:r>
        <w:rPr>
          <w:rFonts w:hint="eastAsia" w:ascii="宋体" w:hAnsi="宋体" w:cs="宋体"/>
          <w:sz w:val="24"/>
          <w:szCs w:val="24"/>
          <w:lang w:val="en-US" w:eastAsia="zh-CN"/>
        </w:rPr>
        <w:t>50dB</w:t>
      </w:r>
    </w:p>
    <w:p w14:paraId="1F017B27">
      <w:pPr>
        <w:jc w:val="left"/>
        <w:rPr>
          <w:rFonts w:hint="default"/>
          <w:b/>
          <w:bCs/>
          <w:sz w:val="24"/>
          <w:szCs w:val="24"/>
          <w:vertAlign w:val="baseline"/>
          <w:lang w:val="en-US" w:eastAsia="zh-CN"/>
        </w:rPr>
      </w:pPr>
      <w:r>
        <w:rPr>
          <w:rFonts w:hint="eastAsia"/>
          <w:b/>
          <w:bCs/>
          <w:sz w:val="24"/>
          <w:szCs w:val="24"/>
          <w:vertAlign w:val="baseline"/>
          <w:lang w:val="en-US" w:eastAsia="zh-CN"/>
        </w:rPr>
        <w:t>二、LED医用内窥镜冷光源</w:t>
      </w:r>
    </w:p>
    <w:p w14:paraId="70BEE607">
      <w:pPr>
        <w:jc w:val="both"/>
        <w:rPr>
          <w:rFonts w:hint="eastAsia" w:ascii="宋体" w:hAnsi="宋体" w:cs="宋体"/>
          <w:sz w:val="24"/>
          <w:szCs w:val="24"/>
          <w:lang w:val="en-US" w:eastAsia="zh-CN"/>
        </w:rPr>
      </w:pPr>
      <w:r>
        <w:rPr>
          <w:rFonts w:hint="eastAsia" w:ascii="宋体" w:hAnsi="宋体" w:cs="宋体"/>
          <w:sz w:val="24"/>
          <w:szCs w:val="24"/>
          <w:lang w:val="en-US" w:eastAsia="zh-CN"/>
        </w:rPr>
        <w:t>1、采用LED发光组件</w:t>
      </w:r>
    </w:p>
    <w:p w14:paraId="2D76230C">
      <w:pPr>
        <w:jc w:val="both"/>
        <w:rPr>
          <w:rFonts w:hint="eastAsia" w:ascii="宋体" w:hAnsi="宋体" w:cs="宋体"/>
          <w:sz w:val="24"/>
          <w:szCs w:val="24"/>
          <w:lang w:val="en-US" w:eastAsia="zh-CN"/>
        </w:rPr>
      </w:pPr>
      <w:r>
        <w:rPr>
          <w:rFonts w:hint="eastAsia" w:ascii="宋体" w:hAnsi="宋体" w:cs="宋体"/>
          <w:sz w:val="24"/>
          <w:szCs w:val="24"/>
          <w:lang w:val="en-US" w:eastAsia="zh-CN"/>
        </w:rPr>
        <w:t>2、寿命长；LED发光寿命长达</w:t>
      </w:r>
      <w:r>
        <w:rPr>
          <w:rFonts w:hint="eastAsia" w:ascii="宋体" w:hAnsi="宋体"/>
          <w:color w:val="auto"/>
          <w:kern w:val="1"/>
          <w:sz w:val="24"/>
          <w:szCs w:val="24"/>
          <w:highlight w:val="none"/>
          <w:lang w:val="en-US" w:eastAsia="zh-CN"/>
        </w:rPr>
        <w:t>≥</w:t>
      </w:r>
      <w:r>
        <w:rPr>
          <w:rFonts w:hint="eastAsia" w:ascii="宋体" w:hAnsi="宋体" w:cs="宋体"/>
          <w:sz w:val="24"/>
          <w:szCs w:val="24"/>
          <w:lang w:val="en-US" w:eastAsia="zh-CN"/>
        </w:rPr>
        <w:t>2万小时，</w:t>
      </w:r>
    </w:p>
    <w:p w14:paraId="6EF4E1FE">
      <w:pPr>
        <w:jc w:val="both"/>
        <w:rPr>
          <w:rFonts w:hint="eastAsia" w:ascii="宋体" w:hAnsi="宋体" w:cs="宋体"/>
          <w:sz w:val="24"/>
          <w:szCs w:val="24"/>
          <w:lang w:val="en-US" w:eastAsia="zh-CN"/>
        </w:rPr>
      </w:pPr>
      <w:r>
        <w:rPr>
          <w:rFonts w:hint="eastAsia" w:ascii="宋体" w:hAnsi="宋体" w:cs="宋体"/>
          <w:sz w:val="24"/>
          <w:szCs w:val="24"/>
          <w:lang w:val="en-US" w:eastAsia="zh-CN"/>
        </w:rPr>
        <w:t>3、色温：3000K～7000K，发光颜色纯，</w:t>
      </w:r>
    </w:p>
    <w:p w14:paraId="0662B1B6">
      <w:pPr>
        <w:jc w:val="both"/>
        <w:rPr>
          <w:rFonts w:hint="eastAsia" w:ascii="宋体" w:hAnsi="宋体" w:eastAsia="宋体" w:cs="宋体"/>
          <w:kern w:val="2"/>
          <w:sz w:val="24"/>
          <w:szCs w:val="24"/>
          <w:lang w:val="en-US" w:eastAsia="zh-CN"/>
        </w:rPr>
      </w:pPr>
      <w:r>
        <w:rPr>
          <w:rFonts w:hint="eastAsia" w:ascii="宋体" w:hAnsi="宋体" w:cs="宋体"/>
          <w:sz w:val="24"/>
          <w:szCs w:val="24"/>
          <w:lang w:val="en-US" w:eastAsia="zh-CN"/>
        </w:rPr>
        <w:t>4、光输出孔：直径为（10±0.30）mm</w:t>
      </w:r>
    </w:p>
    <w:p w14:paraId="20DCDEE1">
      <w:pPr>
        <w:jc w:val="both"/>
        <w:rPr>
          <w:rFonts w:hint="eastAsia" w:ascii="宋体" w:hAnsi="宋体" w:cs="宋体"/>
          <w:sz w:val="24"/>
          <w:szCs w:val="24"/>
          <w:lang w:val="en-US" w:eastAsia="zh-CN"/>
        </w:rPr>
      </w:pPr>
      <w:r>
        <w:rPr>
          <w:rFonts w:hint="eastAsia" w:ascii="宋体" w:hAnsi="宋体" w:cs="宋体"/>
          <w:sz w:val="24"/>
          <w:szCs w:val="24"/>
          <w:lang w:val="en-US" w:eastAsia="zh-CN"/>
        </w:rPr>
        <w:t>5、整机功率：≥130VA</w:t>
      </w:r>
    </w:p>
    <w:p w14:paraId="01EC130E">
      <w:pPr>
        <w:jc w:val="both"/>
        <w:rPr>
          <w:rFonts w:hint="eastAsia" w:ascii="宋体" w:hAnsi="宋体" w:eastAsia="宋体" w:cs="宋体"/>
          <w:kern w:val="2"/>
          <w:sz w:val="24"/>
          <w:szCs w:val="24"/>
          <w:lang w:val="en-US" w:eastAsia="zh-CN"/>
        </w:rPr>
      </w:pPr>
      <w:r>
        <w:rPr>
          <w:rFonts w:hint="eastAsia" w:ascii="宋体" w:hAnsi="宋体" w:cs="宋体"/>
          <w:sz w:val="24"/>
          <w:szCs w:val="24"/>
          <w:lang w:val="en-US" w:eastAsia="zh-CN"/>
        </w:rPr>
        <w:t>6、输出总光通量：</w:t>
      </w:r>
      <w:r>
        <w:rPr>
          <w:rFonts w:hint="eastAsia" w:ascii="宋体" w:hAnsi="宋体"/>
          <w:color w:val="auto"/>
          <w:kern w:val="1"/>
          <w:sz w:val="24"/>
          <w:szCs w:val="24"/>
          <w:highlight w:val="none"/>
          <w:lang w:val="en-US" w:eastAsia="zh-CN"/>
        </w:rPr>
        <w:t>≥</w:t>
      </w:r>
      <w:r>
        <w:rPr>
          <w:rFonts w:hint="eastAsia" w:ascii="宋体" w:hAnsi="宋体" w:cs="宋体"/>
          <w:sz w:val="24"/>
          <w:szCs w:val="24"/>
          <w:lang w:val="en-US" w:eastAsia="zh-CN"/>
        </w:rPr>
        <w:t>100 lm</w:t>
      </w:r>
    </w:p>
    <w:p w14:paraId="1AC91CFF">
      <w:pPr>
        <w:jc w:val="both"/>
        <w:rPr>
          <w:rFonts w:hint="eastAsia" w:ascii="宋体" w:hAnsi="宋体" w:cs="宋体"/>
          <w:sz w:val="24"/>
          <w:szCs w:val="24"/>
          <w:lang w:val="en-US" w:eastAsia="zh-CN"/>
        </w:rPr>
      </w:pPr>
      <w:r>
        <w:rPr>
          <w:rFonts w:hint="eastAsia" w:ascii="宋体" w:hAnsi="宋体" w:cs="宋体"/>
          <w:sz w:val="24"/>
          <w:szCs w:val="24"/>
          <w:lang w:val="en-US" w:eastAsia="zh-CN"/>
        </w:rPr>
        <w:t>7、显色指数：≥90</w:t>
      </w:r>
    </w:p>
    <w:p w14:paraId="7A8F8460">
      <w:pPr>
        <w:tabs>
          <w:tab w:val="left" w:pos="1392"/>
          <w:tab w:val="center" w:pos="3642"/>
        </w:tabs>
        <w:jc w:val="left"/>
        <w:rPr>
          <w:rFonts w:hint="default"/>
          <w:sz w:val="24"/>
          <w:szCs w:val="24"/>
          <w:vertAlign w:val="baseline"/>
          <w:lang w:val="en-US" w:eastAsia="zh-CN"/>
        </w:rPr>
      </w:pPr>
      <w:r>
        <w:rPr>
          <w:rFonts w:hint="eastAsia"/>
          <w:b/>
          <w:bCs/>
          <w:sz w:val="24"/>
          <w:szCs w:val="24"/>
          <w:vertAlign w:val="baseline"/>
          <w:lang w:val="en-US" w:eastAsia="zh-CN"/>
        </w:rPr>
        <w:t>三、显示器</w:t>
      </w:r>
    </w:p>
    <w:p w14:paraId="0B8FBFCC">
      <w:pPr>
        <w:spacing w:line="480" w:lineRule="auto"/>
        <w:rPr>
          <w:rFonts w:hint="eastAsia" w:ascii="宋体" w:hAnsi="宋体" w:cs="宋体"/>
          <w:sz w:val="24"/>
          <w:szCs w:val="24"/>
          <w:lang w:val="en-US" w:eastAsia="zh-CN"/>
        </w:rPr>
      </w:pPr>
      <w:r>
        <w:rPr>
          <w:rFonts w:hint="eastAsia" w:ascii="宋体" w:hAnsi="宋体" w:cs="宋体"/>
          <w:sz w:val="24"/>
          <w:szCs w:val="24"/>
          <w:lang w:val="en-US" w:eastAsia="zh-CN"/>
        </w:rPr>
        <w:t>1、</w:t>
      </w:r>
      <w:r>
        <w:rPr>
          <w:rFonts w:hint="eastAsia" w:ascii="宋体" w:hAnsi="宋体"/>
          <w:color w:val="auto"/>
          <w:kern w:val="1"/>
          <w:sz w:val="24"/>
          <w:szCs w:val="24"/>
          <w:highlight w:val="none"/>
          <w:lang w:val="en-US" w:eastAsia="zh-CN"/>
        </w:rPr>
        <w:t>≥</w:t>
      </w:r>
      <w:r>
        <w:rPr>
          <w:rFonts w:hint="eastAsia" w:ascii="宋体" w:hAnsi="宋体" w:cs="宋体"/>
          <w:sz w:val="24"/>
          <w:szCs w:val="24"/>
          <w:lang w:val="en-US" w:eastAsia="zh-CN"/>
        </w:rPr>
        <w:t>21寸液晶屏</w:t>
      </w:r>
    </w:p>
    <w:p w14:paraId="75F386DF">
      <w:pPr>
        <w:numPr>
          <w:ilvl w:val="0"/>
          <w:numId w:val="0"/>
        </w:numPr>
        <w:rPr>
          <w:rFonts w:hint="default"/>
          <w:b/>
          <w:bCs/>
          <w:sz w:val="28"/>
          <w:szCs w:val="28"/>
          <w:lang w:val="en-US" w:eastAsia="zh-CN"/>
        </w:rPr>
      </w:pPr>
      <w:r>
        <w:rPr>
          <w:rFonts w:hint="eastAsia" w:asciiTheme="minorHAnsi" w:hAnsiTheme="minorHAnsi" w:eastAsiaTheme="minorEastAsia" w:cstheme="minorBidi"/>
          <w:b/>
          <w:bCs/>
          <w:kern w:val="2"/>
          <w:sz w:val="28"/>
          <w:szCs w:val="28"/>
          <w:lang w:val="en-US" w:eastAsia="zh-CN" w:bidi="ar-SA"/>
        </w:rPr>
        <w:t>六.</w:t>
      </w:r>
      <w:r>
        <w:rPr>
          <w:rFonts w:hint="eastAsia"/>
          <w:b/>
          <w:bCs/>
          <w:sz w:val="28"/>
          <w:szCs w:val="28"/>
          <w:lang w:val="en-US" w:eastAsia="zh-CN"/>
        </w:rPr>
        <w:t>隔音室</w:t>
      </w:r>
    </w:p>
    <w:tbl>
      <w:tblPr>
        <w:tblStyle w:val="48"/>
        <w:tblW w:w="96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18"/>
        <w:gridCol w:w="9328"/>
      </w:tblGrid>
      <w:tr w14:paraId="56955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318" w:type="dxa"/>
            <w:vAlign w:val="top"/>
          </w:tcPr>
          <w:p w14:paraId="49D2E1A0">
            <w:pPr>
              <w:snapToGrid w:val="0"/>
              <w:rPr>
                <w:rFonts w:ascii="Arial"/>
                <w:sz w:val="21"/>
              </w:rPr>
            </w:pPr>
          </w:p>
        </w:tc>
        <w:tc>
          <w:tcPr>
            <w:tcW w:w="9328" w:type="dxa"/>
            <w:vAlign w:val="top"/>
          </w:tcPr>
          <w:p w14:paraId="48700A66">
            <w:pPr>
              <w:pStyle w:val="49"/>
              <w:snapToGrid w:val="0"/>
              <w:spacing w:before="61" w:line="219" w:lineRule="auto"/>
              <w:ind w:left="2014"/>
            </w:pPr>
            <w:r>
              <w:rPr>
                <w:b/>
                <w:bCs/>
                <w:spacing w:val="-4"/>
              </w:rPr>
              <w:t>双层单门电测听室主要技术指标</w:t>
            </w:r>
          </w:p>
        </w:tc>
      </w:tr>
      <w:tr w14:paraId="5C8BA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jc w:val="center"/>
        </w:trPr>
        <w:tc>
          <w:tcPr>
            <w:tcW w:w="318" w:type="dxa"/>
            <w:vAlign w:val="top"/>
          </w:tcPr>
          <w:p w14:paraId="3E480A22">
            <w:pPr>
              <w:snapToGrid w:val="0"/>
              <w:spacing w:line="285" w:lineRule="auto"/>
              <w:rPr>
                <w:rFonts w:ascii="Arial"/>
                <w:sz w:val="21"/>
              </w:rPr>
            </w:pPr>
          </w:p>
          <w:p w14:paraId="7E7A5131">
            <w:pPr>
              <w:snapToGrid w:val="0"/>
              <w:spacing w:line="285" w:lineRule="auto"/>
              <w:rPr>
                <w:rFonts w:ascii="Arial"/>
                <w:sz w:val="21"/>
              </w:rPr>
            </w:pPr>
          </w:p>
          <w:p w14:paraId="64FB8AA4">
            <w:pPr>
              <w:pStyle w:val="49"/>
              <w:snapToGrid w:val="0"/>
              <w:spacing w:before="81" w:line="241" w:lineRule="auto"/>
              <w:ind w:left="105"/>
            </w:pPr>
            <w:r>
              <w:t>1</w:t>
            </w:r>
          </w:p>
        </w:tc>
        <w:tc>
          <w:tcPr>
            <w:tcW w:w="9328" w:type="dxa"/>
            <w:vAlign w:val="top"/>
          </w:tcPr>
          <w:p w14:paraId="35504E23">
            <w:pPr>
              <w:pStyle w:val="49"/>
              <w:snapToGrid w:val="0"/>
              <w:spacing w:before="31" w:line="220" w:lineRule="auto"/>
              <w:ind w:left="81"/>
            </w:pPr>
            <w:r>
              <w:rPr>
                <w:spacing w:val="2"/>
              </w:rPr>
              <w:t>隔声室主体</w:t>
            </w:r>
          </w:p>
          <w:p w14:paraId="3A6D4249">
            <w:pPr>
              <w:pStyle w:val="49"/>
              <w:snapToGrid w:val="0"/>
              <w:spacing w:before="239" w:line="340" w:lineRule="auto"/>
              <w:ind w:left="81" w:right="324"/>
            </w:pPr>
            <w:r>
              <w:rPr>
                <w:spacing w:val="1"/>
              </w:rPr>
              <w:t>(单位：</w:t>
            </w:r>
            <w:r>
              <w:t>mm</w:t>
            </w:r>
            <w:r>
              <w:rPr>
                <w:spacing w:val="1"/>
              </w:rPr>
              <w:t>)1.2</w:t>
            </w:r>
            <w:r>
              <w:t>mm</w:t>
            </w:r>
            <w:r>
              <w:rPr>
                <w:spacing w:val="1"/>
              </w:rPr>
              <w:t>、1.5</w:t>
            </w:r>
            <w:r>
              <w:t>mm</w:t>
            </w:r>
            <w:r>
              <w:rPr>
                <w:spacing w:val="1"/>
              </w:rPr>
              <w:t>冷轧钢板静电喷涂处理、50</w:t>
            </w:r>
            <w:r>
              <w:t>mm</w:t>
            </w:r>
            <w:r>
              <w:rPr>
                <w:spacing w:val="1"/>
              </w:rPr>
              <w:t>无甲</w:t>
            </w:r>
            <w:r>
              <w:rPr>
                <w:spacing w:val="3"/>
              </w:rPr>
              <w:t xml:space="preserve"> </w:t>
            </w:r>
            <w:r>
              <w:t>醛环保吸音棉、冲孔吸声板、消音地毯</w:t>
            </w:r>
          </w:p>
        </w:tc>
      </w:tr>
      <w:tr w14:paraId="12E12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318" w:type="dxa"/>
            <w:vAlign w:val="top"/>
          </w:tcPr>
          <w:p w14:paraId="5D9001FF">
            <w:pPr>
              <w:pStyle w:val="49"/>
              <w:snapToGrid w:val="0"/>
              <w:spacing w:before="166" w:line="241" w:lineRule="auto"/>
              <w:ind w:left="105"/>
            </w:pPr>
            <w:r>
              <w:t>2</w:t>
            </w:r>
          </w:p>
        </w:tc>
        <w:tc>
          <w:tcPr>
            <w:tcW w:w="9328" w:type="dxa"/>
            <w:vAlign w:val="top"/>
          </w:tcPr>
          <w:p w14:paraId="43C2E315">
            <w:pPr>
              <w:pStyle w:val="49"/>
              <w:snapToGrid w:val="0"/>
              <w:spacing w:before="139" w:line="227" w:lineRule="auto"/>
              <w:ind w:left="81"/>
            </w:pPr>
            <w:r>
              <w:rPr>
                <w:spacing w:val="1"/>
              </w:rPr>
              <w:t>主体机构结构：隔音层+吸音层+隔音层+吸音层</w:t>
            </w:r>
            <w:r>
              <w:rPr>
                <w:spacing w:val="60"/>
              </w:rPr>
              <w:t xml:space="preserve"> </w:t>
            </w:r>
          </w:p>
        </w:tc>
      </w:tr>
      <w:tr w14:paraId="2DFBA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318" w:type="dxa"/>
            <w:vAlign w:val="top"/>
          </w:tcPr>
          <w:p w14:paraId="6C2104B6">
            <w:pPr>
              <w:pStyle w:val="49"/>
              <w:snapToGrid w:val="0"/>
              <w:spacing w:before="176"/>
              <w:ind w:left="105"/>
            </w:pPr>
            <w:r>
              <w:t>3</w:t>
            </w:r>
          </w:p>
        </w:tc>
        <w:tc>
          <w:tcPr>
            <w:tcW w:w="9328" w:type="dxa"/>
            <w:vAlign w:val="top"/>
          </w:tcPr>
          <w:p w14:paraId="58949DBA">
            <w:pPr>
              <w:pStyle w:val="49"/>
              <w:snapToGrid w:val="0"/>
              <w:spacing w:before="133" w:line="224" w:lineRule="auto"/>
              <w:ind w:left="81"/>
            </w:pPr>
            <w:r>
              <w:rPr>
                <w:spacing w:val="-2"/>
              </w:rPr>
              <w:t>主体外尺寸：1500×1500×2600(长×宽×高)</w:t>
            </w:r>
            <w:r>
              <w:rPr>
                <w:rFonts w:hint="eastAsia"/>
                <w:spacing w:val="-2"/>
                <w:lang w:val="en-US" w:eastAsia="zh-CN"/>
              </w:rPr>
              <w:t>mm</w:t>
            </w:r>
            <w:r>
              <w:rPr>
                <w:spacing w:val="-2"/>
              </w:rPr>
              <w:t>±</w:t>
            </w:r>
            <w:r>
              <w:rPr>
                <w:rFonts w:hint="eastAsia"/>
                <w:spacing w:val="70"/>
                <w:lang w:val="en-US" w:eastAsia="zh-CN"/>
              </w:rPr>
              <w:t>5</w:t>
            </w:r>
            <w:r>
              <w:rPr>
                <w:spacing w:val="-2"/>
                <w:position w:val="1"/>
              </w:rPr>
              <w:t>%</w:t>
            </w:r>
          </w:p>
        </w:tc>
      </w:tr>
      <w:tr w14:paraId="2423E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318" w:type="dxa"/>
            <w:vAlign w:val="top"/>
          </w:tcPr>
          <w:p w14:paraId="783BB2AB">
            <w:pPr>
              <w:pStyle w:val="49"/>
              <w:snapToGrid w:val="0"/>
              <w:spacing w:before="168" w:line="241" w:lineRule="auto"/>
              <w:ind w:left="105"/>
            </w:pPr>
            <w:r>
              <w:t>4</w:t>
            </w:r>
          </w:p>
        </w:tc>
        <w:tc>
          <w:tcPr>
            <w:tcW w:w="9328" w:type="dxa"/>
            <w:vAlign w:val="top"/>
          </w:tcPr>
          <w:p w14:paraId="48C119F7">
            <w:pPr>
              <w:pStyle w:val="49"/>
              <w:snapToGrid w:val="0"/>
              <w:spacing w:before="142" w:line="222" w:lineRule="auto"/>
              <w:ind w:left="81"/>
            </w:pPr>
            <w:r>
              <w:rPr>
                <w:spacing w:val="2"/>
              </w:rPr>
              <w:t>主体内尺寸：1060×1060×2000(长×宽×高)</w:t>
            </w:r>
            <w:r>
              <w:rPr>
                <w:rFonts w:hint="eastAsia"/>
                <w:spacing w:val="2"/>
                <w:lang w:val="en-US" w:eastAsia="zh-CN"/>
              </w:rPr>
              <w:t>mm</w:t>
            </w:r>
            <w:r>
              <w:rPr>
                <w:spacing w:val="2"/>
              </w:rPr>
              <w:t>±</w:t>
            </w:r>
            <w:r>
              <w:rPr>
                <w:rFonts w:hint="eastAsia"/>
                <w:spacing w:val="2"/>
                <w:lang w:val="en-US" w:eastAsia="zh-CN"/>
              </w:rPr>
              <w:t>5</w:t>
            </w:r>
            <w:r>
              <w:rPr>
                <w:spacing w:val="2"/>
              </w:rPr>
              <w:t xml:space="preserve">% </w:t>
            </w:r>
          </w:p>
        </w:tc>
      </w:tr>
      <w:tr w14:paraId="0E92C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318" w:type="dxa"/>
            <w:vAlign w:val="top"/>
          </w:tcPr>
          <w:p w14:paraId="7BBA7B99">
            <w:pPr>
              <w:pStyle w:val="49"/>
              <w:snapToGrid w:val="0"/>
              <w:spacing w:before="178"/>
              <w:ind w:left="105"/>
            </w:pPr>
            <w:r>
              <w:t>5</w:t>
            </w:r>
          </w:p>
        </w:tc>
        <w:tc>
          <w:tcPr>
            <w:tcW w:w="9328" w:type="dxa"/>
            <w:vAlign w:val="top"/>
          </w:tcPr>
          <w:p w14:paraId="137FC5B7">
            <w:pPr>
              <w:pStyle w:val="49"/>
              <w:snapToGrid w:val="0"/>
              <w:spacing w:before="152" w:line="219" w:lineRule="auto"/>
              <w:ind w:left="81"/>
            </w:pPr>
            <w:r>
              <w:rPr>
                <w:spacing w:val="1"/>
              </w:rPr>
              <w:t>采用无孔安装及磁吸技术</w:t>
            </w:r>
          </w:p>
        </w:tc>
      </w:tr>
      <w:tr w14:paraId="665A9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318" w:type="dxa"/>
            <w:vAlign w:val="top"/>
          </w:tcPr>
          <w:p w14:paraId="0EFF0DD5">
            <w:pPr>
              <w:pStyle w:val="49"/>
              <w:snapToGrid w:val="0"/>
              <w:spacing w:before="179"/>
              <w:ind w:left="105"/>
            </w:pPr>
            <w:r>
              <w:t>6</w:t>
            </w:r>
          </w:p>
        </w:tc>
        <w:tc>
          <w:tcPr>
            <w:tcW w:w="9328" w:type="dxa"/>
            <w:vAlign w:val="top"/>
          </w:tcPr>
          <w:p w14:paraId="6737B3D1">
            <w:pPr>
              <w:pStyle w:val="49"/>
              <w:snapToGrid w:val="0"/>
              <w:spacing w:before="114" w:line="226" w:lineRule="auto"/>
              <w:ind w:left="81"/>
            </w:pPr>
            <w:r>
              <w:rPr>
                <w:spacing w:val="3"/>
                <w:position w:val="-1"/>
              </w:rPr>
              <w:t>隔声门门板尺寸：820×1900(宽×高)</w:t>
            </w:r>
            <w:r>
              <w:rPr>
                <w:rFonts w:hint="eastAsia"/>
                <w:spacing w:val="3"/>
                <w:position w:val="-1"/>
                <w:lang w:val="en-US" w:eastAsia="zh-CN"/>
              </w:rPr>
              <w:t>mm</w:t>
            </w:r>
            <w:r>
              <w:rPr>
                <w:spacing w:val="2"/>
              </w:rPr>
              <w:t>±</w:t>
            </w:r>
            <w:r>
              <w:rPr>
                <w:spacing w:val="2"/>
                <w:position w:val="2"/>
              </w:rPr>
              <w:t>2</w:t>
            </w:r>
            <w:r>
              <w:rPr>
                <w:rFonts w:hint="eastAsia"/>
                <w:spacing w:val="2"/>
                <w:position w:val="2"/>
                <w:lang w:val="en-US" w:eastAsia="zh-CN"/>
              </w:rPr>
              <w:t>%</w:t>
            </w:r>
          </w:p>
        </w:tc>
      </w:tr>
      <w:tr w14:paraId="23A19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318" w:type="dxa"/>
            <w:vAlign w:val="top"/>
          </w:tcPr>
          <w:p w14:paraId="780D09C5">
            <w:pPr>
              <w:pStyle w:val="49"/>
              <w:snapToGrid w:val="0"/>
              <w:spacing w:before="279"/>
              <w:ind w:left="105"/>
            </w:pPr>
            <w:r>
              <w:t>7</w:t>
            </w:r>
          </w:p>
        </w:tc>
        <w:tc>
          <w:tcPr>
            <w:tcW w:w="9328" w:type="dxa"/>
            <w:vAlign w:val="top"/>
          </w:tcPr>
          <w:p w14:paraId="366AB893">
            <w:pPr>
              <w:pStyle w:val="49"/>
              <w:snapToGrid w:val="0"/>
              <w:spacing w:before="85" w:line="219" w:lineRule="auto"/>
              <w:ind w:left="81"/>
            </w:pPr>
            <w:r>
              <w:rPr>
                <w:spacing w:val="2"/>
              </w:rPr>
              <w:t>隔声门双层密封，隔音量≥35</w:t>
            </w:r>
            <w:r>
              <w:t>dB</w:t>
            </w:r>
            <w:r>
              <w:rPr>
                <w:spacing w:val="2"/>
              </w:rPr>
              <w:t>(A)</w:t>
            </w:r>
          </w:p>
          <w:p w14:paraId="370DAECA">
            <w:pPr>
              <w:pStyle w:val="49"/>
              <w:keepNext w:val="0"/>
              <w:keepLines w:val="0"/>
              <w:pageBreakBefore w:val="0"/>
              <w:widowControl w:val="0"/>
              <w:kinsoku/>
              <w:wordWrap/>
              <w:overflowPunct/>
              <w:topLinePunct w:val="0"/>
              <w:autoSpaceDE/>
              <w:autoSpaceDN/>
              <w:bidi w:val="0"/>
              <w:adjustRightInd/>
              <w:snapToGrid w:val="0"/>
              <w:spacing w:before="82" w:line="238" w:lineRule="auto"/>
              <w:textAlignment w:val="auto"/>
            </w:pPr>
            <w:r>
              <w:t>隔声观察窗尺寸：600*800(宽*高)</w:t>
            </w:r>
            <w:r>
              <w:rPr>
                <w:rFonts w:hint="eastAsia"/>
                <w:spacing w:val="3"/>
                <w:position w:val="-1"/>
                <w:lang w:val="en-US" w:eastAsia="zh-CN"/>
              </w:rPr>
              <w:t>mm</w:t>
            </w:r>
            <w:r>
              <w:rPr>
                <w:spacing w:val="2"/>
              </w:rPr>
              <w:t>±</w:t>
            </w:r>
            <w:r>
              <w:rPr>
                <w:spacing w:val="2"/>
                <w:position w:val="2"/>
              </w:rPr>
              <w:t>2</w:t>
            </w:r>
            <w:r>
              <w:rPr>
                <w:rFonts w:hint="eastAsia"/>
                <w:spacing w:val="2"/>
                <w:position w:val="2"/>
                <w:lang w:val="en-US" w:eastAsia="zh-CN"/>
              </w:rPr>
              <w:t>%</w:t>
            </w:r>
            <w:r>
              <w:t>双层中空</w:t>
            </w:r>
          </w:p>
        </w:tc>
      </w:tr>
      <w:tr w14:paraId="5C46D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318" w:type="dxa"/>
            <w:vAlign w:val="top"/>
          </w:tcPr>
          <w:p w14:paraId="01495839">
            <w:pPr>
              <w:pStyle w:val="49"/>
              <w:snapToGrid w:val="0"/>
              <w:spacing w:before="160"/>
              <w:ind w:left="105"/>
            </w:pPr>
            <w:r>
              <w:t>8</w:t>
            </w:r>
          </w:p>
        </w:tc>
        <w:tc>
          <w:tcPr>
            <w:tcW w:w="9328" w:type="dxa"/>
            <w:vAlign w:val="top"/>
          </w:tcPr>
          <w:p w14:paraId="16D91737">
            <w:pPr>
              <w:pStyle w:val="49"/>
              <w:snapToGrid w:val="0"/>
              <w:spacing w:before="86" w:line="326" w:lineRule="auto"/>
              <w:ind w:left="81"/>
            </w:pPr>
            <w:r>
              <w:rPr>
                <w:spacing w:val="-9"/>
              </w:rPr>
              <w:t>信号转接器规格：</w:t>
            </w:r>
            <w:r>
              <w:rPr>
                <w:rFonts w:hint="eastAsia"/>
                <w:spacing w:val="-9"/>
              </w:rPr>
              <w:t>≥</w:t>
            </w:r>
            <w:r>
              <w:rPr>
                <w:spacing w:val="-9"/>
              </w:rPr>
              <w:t>8通道φ6.5mm立体声插座立体声信号转接线：</w:t>
            </w:r>
            <w:r>
              <w:rPr>
                <w:rFonts w:hint="eastAsia"/>
                <w:spacing w:val="17"/>
              </w:rPr>
              <w:t>≥</w:t>
            </w:r>
            <w:r>
              <w:rPr>
                <w:spacing w:val="-3"/>
              </w:rPr>
              <w:t>8根</w:t>
            </w:r>
          </w:p>
        </w:tc>
      </w:tr>
      <w:tr w14:paraId="5DC17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318" w:type="dxa"/>
            <w:vAlign w:val="top"/>
          </w:tcPr>
          <w:p w14:paraId="1E2F04BA">
            <w:pPr>
              <w:pStyle w:val="49"/>
              <w:snapToGrid w:val="0"/>
              <w:spacing w:before="181"/>
              <w:ind w:left="105"/>
            </w:pPr>
            <w:r>
              <w:t>9</w:t>
            </w:r>
          </w:p>
        </w:tc>
        <w:tc>
          <w:tcPr>
            <w:tcW w:w="9328" w:type="dxa"/>
            <w:vAlign w:val="top"/>
          </w:tcPr>
          <w:p w14:paraId="708B1385">
            <w:pPr>
              <w:pStyle w:val="49"/>
              <w:snapToGrid w:val="0"/>
              <w:spacing w:before="157" w:line="219" w:lineRule="auto"/>
              <w:ind w:left="81"/>
            </w:pPr>
            <w:r>
              <w:rPr>
                <w:spacing w:val="8"/>
              </w:rPr>
              <w:t>独有迷路阻抗换风量≥90</w:t>
            </w:r>
            <w:r>
              <w:rPr>
                <w:rFonts w:hint="eastAsia"/>
                <w:spacing w:val="8"/>
              </w:rPr>
              <w:t>m³</w:t>
            </w:r>
            <w:r>
              <w:rPr>
                <w:spacing w:val="8"/>
              </w:rPr>
              <w:t>/小时</w:t>
            </w:r>
          </w:p>
        </w:tc>
      </w:tr>
      <w:tr w14:paraId="755EC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318" w:type="dxa"/>
            <w:vAlign w:val="top"/>
          </w:tcPr>
          <w:p w14:paraId="3C89F385">
            <w:pPr>
              <w:pStyle w:val="49"/>
              <w:snapToGrid w:val="0"/>
              <w:spacing w:before="181"/>
              <w:ind w:left="45"/>
            </w:pPr>
            <w:r>
              <w:rPr>
                <w:spacing w:val="-8"/>
              </w:rPr>
              <w:t>10</w:t>
            </w:r>
          </w:p>
        </w:tc>
        <w:tc>
          <w:tcPr>
            <w:tcW w:w="9328" w:type="dxa"/>
            <w:vAlign w:val="top"/>
          </w:tcPr>
          <w:p w14:paraId="7C8A9C93">
            <w:pPr>
              <w:pStyle w:val="49"/>
              <w:snapToGrid w:val="0"/>
              <w:spacing w:before="158" w:line="220" w:lineRule="auto"/>
              <w:ind w:left="81"/>
            </w:pPr>
            <w:r>
              <w:rPr>
                <w:spacing w:val="3"/>
              </w:rPr>
              <w:t>消音换气系统消音量≥30</w:t>
            </w:r>
            <w:r>
              <w:t>dB</w:t>
            </w:r>
            <w:r>
              <w:rPr>
                <w:spacing w:val="3"/>
              </w:rPr>
              <w:t>(A)</w:t>
            </w:r>
          </w:p>
        </w:tc>
      </w:tr>
      <w:tr w14:paraId="57F5F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318" w:type="dxa"/>
            <w:vAlign w:val="top"/>
          </w:tcPr>
          <w:p w14:paraId="2B27226F">
            <w:pPr>
              <w:pStyle w:val="49"/>
              <w:snapToGrid w:val="0"/>
              <w:spacing w:before="81" w:line="241" w:lineRule="auto"/>
            </w:pPr>
            <w:r>
              <w:rPr>
                <w:spacing w:val="-8"/>
              </w:rPr>
              <w:t>11</w:t>
            </w:r>
          </w:p>
        </w:tc>
        <w:tc>
          <w:tcPr>
            <w:tcW w:w="9328" w:type="dxa"/>
            <w:vAlign w:val="top"/>
          </w:tcPr>
          <w:p w14:paraId="3666B9AD">
            <w:pPr>
              <w:pStyle w:val="49"/>
              <w:snapToGrid w:val="0"/>
              <w:spacing w:before="48" w:line="219" w:lineRule="auto"/>
              <w:ind w:left="81" w:right="-2669" w:rightChars="-1271"/>
              <w:rPr>
                <w:rFonts w:hint="eastAsia"/>
                <w:lang w:eastAsia="zh-CN"/>
              </w:rPr>
            </w:pPr>
            <w:r>
              <w:t>电气系统照明：朗能LED吸顶灯1套开</w:t>
            </w:r>
            <w:r>
              <w:rPr>
                <w:rFonts w:hint="eastAsia"/>
                <w:lang w:eastAsia="zh-CN"/>
              </w:rPr>
              <w:t>关，双</w:t>
            </w:r>
            <w:r>
              <w:rPr>
                <w:spacing w:val="-2"/>
              </w:rPr>
              <w:t>开开关1只</w:t>
            </w:r>
            <w:r>
              <w:rPr>
                <w:rFonts w:hint="eastAsia"/>
                <w:spacing w:val="-2"/>
                <w:lang w:eastAsia="zh-CN"/>
              </w:rPr>
              <w:t>，</w:t>
            </w:r>
            <w:r>
              <w:t>插座：5孔插座1只</w:t>
            </w:r>
            <w:r>
              <w:rPr>
                <w:rFonts w:hint="eastAsia"/>
                <w:lang w:eastAsia="zh-CN"/>
              </w:rPr>
              <w:t>，</w:t>
            </w:r>
          </w:p>
          <w:p w14:paraId="722E05E8">
            <w:pPr>
              <w:pStyle w:val="49"/>
              <w:snapToGrid w:val="0"/>
              <w:spacing w:before="48" w:line="219" w:lineRule="auto"/>
              <w:ind w:left="81" w:right="-2669" w:rightChars="-1271"/>
              <w:rPr>
                <w:rFonts w:hint="default" w:eastAsia="宋体"/>
                <w:lang w:val="en-US" w:eastAsia="zh-CN"/>
              </w:rPr>
            </w:pPr>
            <w:r>
              <w:t>隔声室最大负载≤2kW额定电流20A</w:t>
            </w:r>
          </w:p>
        </w:tc>
      </w:tr>
      <w:tr w14:paraId="3A1C8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318" w:type="dxa"/>
            <w:vAlign w:val="top"/>
          </w:tcPr>
          <w:p w14:paraId="014BA1CE">
            <w:pPr>
              <w:pStyle w:val="49"/>
              <w:snapToGrid w:val="0"/>
              <w:spacing w:before="284" w:line="241" w:lineRule="auto"/>
              <w:ind w:left="45"/>
            </w:pPr>
            <w:r>
              <w:rPr>
                <w:spacing w:val="-8"/>
              </w:rPr>
              <w:t>12</w:t>
            </w:r>
          </w:p>
        </w:tc>
        <w:tc>
          <w:tcPr>
            <w:tcW w:w="9328" w:type="dxa"/>
            <w:vAlign w:val="top"/>
          </w:tcPr>
          <w:p w14:paraId="777C6E4F">
            <w:pPr>
              <w:pStyle w:val="49"/>
              <w:snapToGrid w:val="0"/>
              <w:spacing w:before="59" w:line="219" w:lineRule="auto"/>
              <w:jc w:val="both"/>
            </w:pPr>
            <w:r>
              <w:rPr>
                <w:spacing w:val="-1"/>
              </w:rPr>
              <w:t>橡胶减震器减振器额定载荷：</w:t>
            </w:r>
            <w:r>
              <w:rPr>
                <w:rFonts w:hint="eastAsia"/>
                <w:spacing w:val="-1"/>
              </w:rPr>
              <w:t>≥</w:t>
            </w:r>
            <w:r>
              <w:rPr>
                <w:spacing w:val="-1"/>
              </w:rPr>
              <w:t>160KG:额定固有频率：7±1HZ/只</w:t>
            </w:r>
          </w:p>
          <w:p w14:paraId="746282F0">
            <w:pPr>
              <w:pStyle w:val="49"/>
              <w:snapToGrid w:val="0"/>
              <w:spacing w:before="199" w:line="216" w:lineRule="auto"/>
              <w:ind w:left="81"/>
              <w:rPr>
                <w:rFonts w:hint="eastAsia" w:eastAsia="宋体"/>
                <w:lang w:eastAsia="zh-CN"/>
              </w:rPr>
            </w:pPr>
            <w:r>
              <w:rPr>
                <w:spacing w:val="1"/>
              </w:rPr>
              <w:t>阻尼比：≥0.05</w:t>
            </w:r>
            <w:r>
              <w:rPr>
                <w:rFonts w:hint="eastAsia"/>
                <w:spacing w:val="1"/>
                <w:lang w:eastAsia="zh-CN"/>
              </w:rPr>
              <w:t>，</w:t>
            </w:r>
          </w:p>
        </w:tc>
      </w:tr>
      <w:tr w14:paraId="1F989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318" w:type="dxa"/>
            <w:vAlign w:val="top"/>
          </w:tcPr>
          <w:p w14:paraId="5D2DCC6D">
            <w:pPr>
              <w:pStyle w:val="49"/>
              <w:snapToGrid w:val="0"/>
              <w:spacing w:before="184"/>
              <w:ind w:left="45"/>
            </w:pPr>
            <w:r>
              <w:rPr>
                <w:spacing w:val="-8"/>
              </w:rPr>
              <w:t>13</w:t>
            </w:r>
          </w:p>
        </w:tc>
        <w:tc>
          <w:tcPr>
            <w:tcW w:w="9328" w:type="dxa"/>
            <w:vAlign w:val="top"/>
          </w:tcPr>
          <w:p w14:paraId="3CD8716D">
            <w:pPr>
              <w:pStyle w:val="49"/>
              <w:snapToGrid w:val="0"/>
              <w:spacing w:before="160" w:line="219" w:lineRule="auto"/>
              <w:ind w:right="10"/>
              <w:jc w:val="both"/>
            </w:pPr>
            <w:r>
              <w:rPr>
                <w:spacing w:val="-6"/>
              </w:rPr>
              <w:t>安装方式：模块结构，工厂化生产，现场拼装、可循环拆卸使用</w:t>
            </w:r>
          </w:p>
        </w:tc>
      </w:tr>
      <w:tr w14:paraId="616DB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318" w:type="dxa"/>
            <w:vAlign w:val="top"/>
          </w:tcPr>
          <w:p w14:paraId="5CB84418">
            <w:pPr>
              <w:pStyle w:val="49"/>
              <w:snapToGrid w:val="0"/>
              <w:spacing w:before="185" w:line="241" w:lineRule="auto"/>
              <w:ind w:left="45"/>
            </w:pPr>
            <w:r>
              <w:rPr>
                <w:spacing w:val="-8"/>
              </w:rPr>
              <w:t>14</w:t>
            </w:r>
          </w:p>
        </w:tc>
        <w:tc>
          <w:tcPr>
            <w:tcW w:w="9328" w:type="dxa"/>
            <w:vAlign w:val="top"/>
          </w:tcPr>
          <w:p w14:paraId="18B4058D">
            <w:pPr>
              <w:pStyle w:val="49"/>
              <w:snapToGrid w:val="0"/>
              <w:spacing w:before="158" w:line="219" w:lineRule="auto"/>
              <w:ind w:left="81"/>
            </w:pPr>
            <w:r>
              <w:rPr>
                <w:spacing w:val="2"/>
              </w:rPr>
              <w:t>隔声量：环境噪声≤65</w:t>
            </w:r>
            <w:r>
              <w:t>dB</w:t>
            </w:r>
            <w:r>
              <w:rPr>
                <w:spacing w:val="2"/>
              </w:rPr>
              <w:t>(A)时，室内本底噪声≤25</w:t>
            </w:r>
            <w:r>
              <w:t>dB</w:t>
            </w:r>
            <w:r>
              <w:rPr>
                <w:spacing w:val="1"/>
              </w:rPr>
              <w:t>(A)</w:t>
            </w:r>
          </w:p>
        </w:tc>
      </w:tr>
      <w:tr w14:paraId="4D797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jc w:val="center"/>
        </w:trPr>
        <w:tc>
          <w:tcPr>
            <w:tcW w:w="318" w:type="dxa"/>
            <w:vAlign w:val="top"/>
          </w:tcPr>
          <w:p w14:paraId="3135B58E">
            <w:pPr>
              <w:spacing w:line="272" w:lineRule="auto"/>
              <w:rPr>
                <w:rFonts w:ascii="Arial"/>
                <w:sz w:val="21"/>
              </w:rPr>
            </w:pPr>
          </w:p>
          <w:p w14:paraId="5BCF1659">
            <w:pPr>
              <w:spacing w:line="272" w:lineRule="auto"/>
              <w:rPr>
                <w:rFonts w:ascii="Arial"/>
                <w:sz w:val="21"/>
              </w:rPr>
            </w:pPr>
          </w:p>
          <w:p w14:paraId="672237D6">
            <w:pPr>
              <w:pStyle w:val="49"/>
              <w:spacing w:before="82"/>
              <w:ind w:left="84"/>
            </w:pPr>
            <w:r>
              <w:rPr>
                <w:spacing w:val="-8"/>
              </w:rPr>
              <w:t>15</w:t>
            </w:r>
          </w:p>
        </w:tc>
        <w:tc>
          <w:tcPr>
            <w:tcW w:w="9328" w:type="dxa"/>
            <w:vAlign w:val="top"/>
          </w:tcPr>
          <w:p w14:paraId="66B851F1">
            <w:pPr>
              <w:pStyle w:val="49"/>
              <w:spacing w:before="65" w:line="344" w:lineRule="auto"/>
              <w:ind w:left="50" w:right="101"/>
            </w:pPr>
            <w:r>
              <w:rPr>
                <w:spacing w:val="-4"/>
              </w:rPr>
              <w:t>室内空气质量：符合GB50325—2010《民用建筑工程室内环境污</w:t>
            </w:r>
            <w:r>
              <w:t>染控制规范》I类标准、满足GB/T18883-2022新国标标准</w:t>
            </w:r>
          </w:p>
          <w:p w14:paraId="1A2928FB">
            <w:pPr>
              <w:pStyle w:val="49"/>
              <w:spacing w:line="213" w:lineRule="auto"/>
              <w:ind w:left="50"/>
            </w:pPr>
            <w:r>
              <w:rPr>
                <w:spacing w:val="8"/>
              </w:rPr>
              <w:t xml:space="preserve">甲醛：≤0.08 </w:t>
            </w:r>
            <w:r>
              <w:t>mg</w:t>
            </w:r>
            <w:r>
              <w:rPr>
                <w:spacing w:val="8"/>
              </w:rPr>
              <w:t xml:space="preserve">/m³苯：≤0.09 </w:t>
            </w:r>
            <w:r>
              <w:t>mg</w:t>
            </w:r>
            <w:r>
              <w:rPr>
                <w:spacing w:val="8"/>
              </w:rPr>
              <w:t>/m³</w:t>
            </w:r>
            <w:r>
              <w:t>TVOC</w:t>
            </w:r>
            <w:r>
              <w:rPr>
                <w:spacing w:val="8"/>
              </w:rPr>
              <w:t>:≤</w:t>
            </w:r>
            <w:r>
              <w:rPr>
                <w:spacing w:val="7"/>
              </w:rPr>
              <w:t xml:space="preserve">0.50 </w:t>
            </w:r>
            <w:r>
              <w:t>mg</w:t>
            </w:r>
            <w:r>
              <w:rPr>
                <w:spacing w:val="7"/>
              </w:rPr>
              <w:t>/m</w:t>
            </w:r>
          </w:p>
        </w:tc>
      </w:tr>
      <w:tr w14:paraId="69E1A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318" w:type="dxa"/>
            <w:vAlign w:val="top"/>
          </w:tcPr>
          <w:p w14:paraId="5FBE45CE">
            <w:pPr>
              <w:pStyle w:val="49"/>
              <w:spacing w:before="277"/>
              <w:ind w:right="13"/>
              <w:jc w:val="right"/>
            </w:pPr>
            <w:r>
              <w:rPr>
                <w:spacing w:val="-8"/>
              </w:rPr>
              <w:t>16</w:t>
            </w:r>
          </w:p>
        </w:tc>
        <w:tc>
          <w:tcPr>
            <w:tcW w:w="9328" w:type="dxa"/>
            <w:vAlign w:val="top"/>
          </w:tcPr>
          <w:p w14:paraId="1057E491">
            <w:pPr>
              <w:pStyle w:val="49"/>
              <w:spacing w:before="42" w:line="364" w:lineRule="auto"/>
              <w:ind w:left="50" w:right="4"/>
            </w:pPr>
            <w:r>
              <w:rPr>
                <w:spacing w:val="-1"/>
              </w:rPr>
              <w:t>结构稳定性满足GBT28046.3-2011道路车辆电气及电子设备环境</w:t>
            </w:r>
            <w:r>
              <w:rPr>
                <w:spacing w:val="2"/>
              </w:rPr>
              <w:t>条件试验</w:t>
            </w:r>
          </w:p>
          <w:p w14:paraId="4ACE9241">
            <w:pPr>
              <w:pStyle w:val="49"/>
              <w:spacing w:before="3" w:line="219" w:lineRule="auto"/>
              <w:ind w:left="50"/>
            </w:pPr>
            <w:r>
              <w:t>第3部分机械负载稳定性测试。</w:t>
            </w:r>
          </w:p>
        </w:tc>
      </w:tr>
      <w:tr w14:paraId="1D9F1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318" w:type="dxa"/>
            <w:vAlign w:val="top"/>
          </w:tcPr>
          <w:p w14:paraId="65EFF79E">
            <w:pPr>
              <w:pStyle w:val="49"/>
              <w:spacing w:before="271"/>
              <w:ind w:right="13"/>
              <w:jc w:val="right"/>
            </w:pPr>
            <w:r>
              <w:rPr>
                <w:spacing w:val="-8"/>
              </w:rPr>
              <w:t>17</w:t>
            </w:r>
          </w:p>
        </w:tc>
        <w:tc>
          <w:tcPr>
            <w:tcW w:w="9328" w:type="dxa"/>
            <w:vAlign w:val="top"/>
          </w:tcPr>
          <w:p w14:paraId="73ED8B27">
            <w:pPr>
              <w:pStyle w:val="49"/>
              <w:spacing w:before="56" w:line="366" w:lineRule="auto"/>
              <w:ind w:left="50" w:right="123" w:hanging="20"/>
            </w:pPr>
            <w:r>
              <w:t>隔音性能满足GB/T16296.1-2018纯音气导和骨导测听法及体检</w:t>
            </w:r>
            <w:r>
              <w:rPr>
                <w:spacing w:val="2"/>
              </w:rPr>
              <w:t>测听</w:t>
            </w:r>
            <w:r>
              <w:t>GB</w:t>
            </w:r>
            <w:r>
              <w:rPr>
                <w:spacing w:val="2"/>
              </w:rPr>
              <w:t>7583</w:t>
            </w:r>
            <w:r>
              <w:rPr>
                <w:spacing w:val="1"/>
              </w:rPr>
              <w:t>标准。</w:t>
            </w:r>
          </w:p>
        </w:tc>
      </w:tr>
    </w:tbl>
    <w:p w14:paraId="395C45D8">
      <w:pPr>
        <w:pStyle w:val="49"/>
        <w:spacing w:before="42" w:line="364" w:lineRule="auto"/>
        <w:ind w:left="50" w:right="4"/>
        <w:rPr>
          <w:rFonts w:hint="default"/>
          <w:spacing w:val="-1"/>
          <w:lang w:val="en-US" w:eastAsia="zh-CN"/>
        </w:rPr>
      </w:pPr>
      <w:r>
        <w:rPr>
          <w:rFonts w:hint="eastAsia"/>
          <w:spacing w:val="-1"/>
          <w:lang w:val="en-US" w:eastAsia="zh-CN"/>
        </w:rPr>
        <w:t>15.16.17项提供验收承诺</w:t>
      </w:r>
    </w:p>
    <w:p w14:paraId="31DF4A0C">
      <w:pPr>
        <w:widowControl/>
        <w:wordWrap/>
        <w:spacing w:before="157" w:beforeLines="50" w:line="560" w:lineRule="exact"/>
        <w:jc w:val="center"/>
        <w:outlineLvl w:val="0"/>
        <w:rPr>
          <w:rFonts w:hint="default" w:ascii="华文中宋" w:hAnsi="华文中宋" w:eastAsia="华文中宋" w:cs="华文中宋"/>
          <w:b w:val="0"/>
          <w:bCs w:val="0"/>
          <w:color w:val="auto"/>
          <w:sz w:val="44"/>
          <w:szCs w:val="44"/>
          <w:lang w:val="en-US" w:eastAsia="zh-CN"/>
        </w:rPr>
      </w:pPr>
    </w:p>
    <w:p w14:paraId="10FA23A1">
      <w:pPr>
        <w:widowControl/>
        <w:wordWrap/>
        <w:spacing w:before="157" w:beforeLines="50" w:line="560" w:lineRule="exact"/>
        <w:jc w:val="center"/>
        <w:outlineLvl w:val="0"/>
        <w:rPr>
          <w:rFonts w:hint="eastAsia" w:ascii="华文中宋" w:hAnsi="华文中宋" w:eastAsia="华文中宋" w:cs="华文中宋"/>
          <w:b w:val="0"/>
          <w:bCs w:val="0"/>
          <w:color w:val="auto"/>
          <w:sz w:val="44"/>
          <w:szCs w:val="44"/>
          <w:lang w:eastAsia="zh-CN"/>
        </w:rPr>
      </w:pPr>
      <w:bookmarkStart w:id="738" w:name="_GoBack"/>
      <w:bookmarkEnd w:id="738"/>
    </w:p>
    <w:p w14:paraId="3E82BB39">
      <w:pPr>
        <w:widowControl/>
        <w:wordWrap/>
        <w:spacing w:before="157" w:beforeLines="50" w:line="560" w:lineRule="exact"/>
        <w:jc w:val="center"/>
        <w:outlineLvl w:val="0"/>
        <w:rPr>
          <w:rFonts w:hint="eastAsia" w:ascii="华文中宋" w:hAnsi="华文中宋" w:eastAsia="华文中宋" w:cs="华文中宋"/>
          <w:b w:val="0"/>
          <w:bCs w:val="0"/>
          <w:color w:val="auto"/>
          <w:sz w:val="44"/>
          <w:szCs w:val="44"/>
          <w:lang w:eastAsia="zh-CN"/>
        </w:rPr>
      </w:pPr>
    </w:p>
    <w:p w14:paraId="1752762B">
      <w:pPr>
        <w:widowControl/>
        <w:wordWrap/>
        <w:spacing w:before="157" w:beforeLines="50" w:line="560" w:lineRule="exact"/>
        <w:jc w:val="center"/>
        <w:outlineLvl w:val="0"/>
        <w:rPr>
          <w:rFonts w:hint="eastAsia" w:ascii="华文中宋" w:hAnsi="华文中宋" w:eastAsia="华文中宋" w:cs="华文中宋"/>
          <w:b w:val="0"/>
          <w:bCs w:val="0"/>
          <w:color w:val="auto"/>
          <w:sz w:val="44"/>
          <w:szCs w:val="44"/>
          <w:lang w:eastAsia="zh-CN"/>
        </w:rPr>
      </w:pPr>
    </w:p>
    <w:p w14:paraId="140445EB">
      <w:pPr>
        <w:widowControl/>
        <w:wordWrap/>
        <w:spacing w:before="157" w:beforeLines="50" w:line="560" w:lineRule="exact"/>
        <w:jc w:val="center"/>
        <w:outlineLvl w:val="0"/>
        <w:rPr>
          <w:rFonts w:hint="eastAsia" w:ascii="华文中宋" w:hAnsi="华文中宋" w:eastAsia="华文中宋" w:cs="华文中宋"/>
          <w:b w:val="0"/>
          <w:bCs w:val="0"/>
          <w:color w:val="auto"/>
          <w:sz w:val="44"/>
          <w:szCs w:val="44"/>
          <w:lang w:eastAsia="zh-CN"/>
        </w:rPr>
      </w:pPr>
    </w:p>
    <w:p w14:paraId="556E5AD4">
      <w:pPr>
        <w:widowControl/>
        <w:wordWrap/>
        <w:spacing w:before="157" w:beforeLines="50" w:line="560" w:lineRule="exact"/>
        <w:jc w:val="center"/>
        <w:outlineLvl w:val="0"/>
        <w:rPr>
          <w:rFonts w:hint="eastAsia" w:ascii="华文中宋" w:hAnsi="华文中宋" w:eastAsia="华文中宋" w:cs="华文中宋"/>
          <w:b w:val="0"/>
          <w:bCs w:val="0"/>
          <w:color w:val="auto"/>
          <w:sz w:val="44"/>
          <w:szCs w:val="44"/>
          <w:lang w:eastAsia="zh-CN"/>
        </w:rPr>
      </w:pPr>
    </w:p>
    <w:p w14:paraId="4E43BDCF">
      <w:pPr>
        <w:widowControl/>
        <w:wordWrap/>
        <w:spacing w:before="157" w:beforeLines="50" w:line="560" w:lineRule="exact"/>
        <w:jc w:val="center"/>
        <w:outlineLvl w:val="0"/>
        <w:rPr>
          <w:rFonts w:hint="eastAsia" w:ascii="华文中宋" w:hAnsi="华文中宋" w:eastAsia="华文中宋" w:cs="华文中宋"/>
          <w:b w:val="0"/>
          <w:bCs w:val="0"/>
          <w:color w:val="auto"/>
          <w:sz w:val="44"/>
          <w:szCs w:val="44"/>
          <w:lang w:eastAsia="zh-CN"/>
        </w:rPr>
      </w:pPr>
    </w:p>
    <w:p w14:paraId="756CF391">
      <w:pPr>
        <w:widowControl/>
        <w:wordWrap/>
        <w:spacing w:before="157" w:beforeLines="50" w:line="560" w:lineRule="exact"/>
        <w:jc w:val="center"/>
        <w:outlineLvl w:val="0"/>
        <w:rPr>
          <w:rFonts w:hint="eastAsia" w:ascii="华文中宋" w:hAnsi="华文中宋" w:eastAsia="华文中宋" w:cs="华文中宋"/>
          <w:b w:val="0"/>
          <w:bCs w:val="0"/>
          <w:color w:val="auto"/>
          <w:sz w:val="44"/>
          <w:szCs w:val="44"/>
          <w:lang w:eastAsia="zh-CN"/>
        </w:rPr>
      </w:pPr>
    </w:p>
    <w:p w14:paraId="1B0B7970">
      <w:pPr>
        <w:widowControl/>
        <w:wordWrap/>
        <w:spacing w:before="157" w:beforeLines="50" w:line="560" w:lineRule="exact"/>
        <w:jc w:val="center"/>
        <w:outlineLvl w:val="0"/>
        <w:rPr>
          <w:rFonts w:hint="eastAsia" w:ascii="华文中宋" w:hAnsi="华文中宋" w:eastAsia="华文中宋" w:cs="华文中宋"/>
          <w:b w:val="0"/>
          <w:bCs w:val="0"/>
          <w:color w:val="auto"/>
          <w:sz w:val="44"/>
          <w:szCs w:val="44"/>
          <w:lang w:eastAsia="zh-CN"/>
        </w:rPr>
      </w:pPr>
    </w:p>
    <w:p w14:paraId="52D550AA">
      <w:pPr>
        <w:widowControl/>
        <w:wordWrap/>
        <w:spacing w:before="157" w:beforeLines="50" w:line="560" w:lineRule="exact"/>
        <w:jc w:val="center"/>
        <w:outlineLvl w:val="0"/>
        <w:rPr>
          <w:rFonts w:hint="eastAsia" w:ascii="华文中宋" w:hAnsi="华文中宋" w:eastAsia="华文中宋" w:cs="华文中宋"/>
          <w:b w:val="0"/>
          <w:bCs w:val="0"/>
          <w:color w:val="auto"/>
          <w:sz w:val="44"/>
          <w:szCs w:val="44"/>
          <w:lang w:eastAsia="zh-CN"/>
        </w:rPr>
      </w:pPr>
    </w:p>
    <w:p w14:paraId="4AB8EA2C">
      <w:pPr>
        <w:widowControl/>
        <w:wordWrap/>
        <w:spacing w:before="157" w:beforeLines="50" w:line="560" w:lineRule="exact"/>
        <w:jc w:val="center"/>
        <w:outlineLvl w:val="0"/>
        <w:rPr>
          <w:rFonts w:hint="eastAsia" w:ascii="华文中宋" w:hAnsi="华文中宋" w:eastAsia="华文中宋" w:cs="华文中宋"/>
          <w:b w:val="0"/>
          <w:bCs w:val="0"/>
          <w:color w:val="auto"/>
          <w:sz w:val="44"/>
          <w:szCs w:val="44"/>
          <w:lang w:eastAsia="zh-CN"/>
        </w:rPr>
      </w:pPr>
    </w:p>
    <w:p w14:paraId="3351579C">
      <w:pPr>
        <w:widowControl/>
        <w:wordWrap/>
        <w:spacing w:before="157" w:beforeLines="50" w:line="560" w:lineRule="exact"/>
        <w:jc w:val="center"/>
        <w:outlineLvl w:val="0"/>
        <w:rPr>
          <w:rFonts w:hint="eastAsia" w:ascii="华文中宋" w:hAnsi="华文中宋" w:eastAsia="华文中宋" w:cs="华文中宋"/>
          <w:b w:val="0"/>
          <w:bCs w:val="0"/>
          <w:color w:val="auto"/>
          <w:sz w:val="44"/>
          <w:szCs w:val="44"/>
          <w:lang w:eastAsia="zh-CN"/>
        </w:rPr>
      </w:pPr>
    </w:p>
    <w:p w14:paraId="64C4FE70">
      <w:pPr>
        <w:widowControl/>
        <w:wordWrap/>
        <w:spacing w:before="157" w:beforeLines="50" w:line="560" w:lineRule="exact"/>
        <w:jc w:val="center"/>
        <w:outlineLvl w:val="0"/>
        <w:rPr>
          <w:rFonts w:hint="eastAsia" w:ascii="华文中宋" w:hAnsi="华文中宋" w:eastAsia="华文中宋" w:cs="华文中宋"/>
          <w:b w:val="0"/>
          <w:bCs w:val="0"/>
          <w:color w:val="auto"/>
          <w:sz w:val="44"/>
          <w:szCs w:val="44"/>
          <w:lang w:eastAsia="zh-CN"/>
        </w:rPr>
      </w:pPr>
    </w:p>
    <w:p w14:paraId="255A1677">
      <w:pPr>
        <w:widowControl/>
        <w:wordWrap/>
        <w:spacing w:before="157" w:beforeLines="50" w:line="560" w:lineRule="exact"/>
        <w:jc w:val="center"/>
        <w:outlineLvl w:val="0"/>
        <w:rPr>
          <w:rFonts w:hint="eastAsia" w:ascii="华文中宋" w:hAnsi="华文中宋" w:eastAsia="华文中宋" w:cs="华文中宋"/>
          <w:b w:val="0"/>
          <w:bCs w:val="0"/>
          <w:color w:val="auto"/>
          <w:sz w:val="44"/>
          <w:szCs w:val="44"/>
          <w:lang w:eastAsia="zh-CN"/>
        </w:rPr>
      </w:pPr>
    </w:p>
    <w:p w14:paraId="3DC30DD1">
      <w:pPr>
        <w:widowControl/>
        <w:wordWrap/>
        <w:spacing w:before="157" w:beforeLines="50" w:line="560" w:lineRule="exact"/>
        <w:jc w:val="center"/>
        <w:outlineLvl w:val="0"/>
        <w:rPr>
          <w:rFonts w:hint="eastAsia" w:ascii="宋体"/>
          <w:b/>
          <w:color w:val="auto"/>
          <w:sz w:val="44"/>
          <w:szCs w:val="44"/>
        </w:rPr>
      </w:pPr>
      <w:r>
        <w:rPr>
          <w:rFonts w:hint="eastAsia" w:ascii="华文中宋" w:hAnsi="华文中宋" w:eastAsia="华文中宋" w:cs="华文中宋"/>
          <w:b w:val="0"/>
          <w:bCs w:val="0"/>
          <w:color w:val="auto"/>
          <w:sz w:val="44"/>
          <w:szCs w:val="44"/>
          <w:lang w:eastAsia="zh-CN"/>
        </w:rPr>
        <w:t>第四部分</w:t>
      </w:r>
      <w:r>
        <w:rPr>
          <w:rFonts w:hint="eastAsia" w:ascii="华文中宋" w:hAnsi="华文中宋" w:eastAsia="华文中宋" w:cs="华文中宋"/>
          <w:b w:val="0"/>
          <w:bCs w:val="0"/>
          <w:color w:val="auto"/>
          <w:sz w:val="44"/>
          <w:szCs w:val="44"/>
          <w:lang w:val="en-US" w:eastAsia="zh-CN"/>
        </w:rPr>
        <w:t xml:space="preserve"> </w:t>
      </w:r>
      <w:r>
        <w:rPr>
          <w:rFonts w:hint="eastAsia" w:ascii="华文中宋" w:hAnsi="华文中宋" w:eastAsia="华文中宋" w:cs="华文中宋"/>
          <w:b w:val="0"/>
          <w:bCs w:val="0"/>
          <w:color w:val="auto"/>
          <w:sz w:val="44"/>
          <w:szCs w:val="44"/>
          <w:lang w:eastAsia="zh-CN"/>
        </w:rPr>
        <w:t>谈判响应文件格式</w:t>
      </w:r>
      <w:bookmarkEnd w:id="270"/>
      <w:bookmarkEnd w:id="271"/>
      <w:bookmarkEnd w:id="272"/>
      <w:bookmarkEnd w:id="273"/>
      <w:bookmarkEnd w:id="274"/>
      <w:bookmarkEnd w:id="275"/>
      <w:bookmarkEnd w:id="276"/>
      <w:bookmarkEnd w:id="277"/>
      <w:bookmarkEnd w:id="278"/>
    </w:p>
    <w:p w14:paraId="5CBFE01D">
      <w:pPr>
        <w:widowControl w:val="0"/>
        <w:wordWrap/>
        <w:adjustRightInd w:val="0"/>
        <w:snapToGrid w:val="0"/>
        <w:spacing w:line="560" w:lineRule="exact"/>
        <w:jc w:val="center"/>
        <w:textAlignment w:val="auto"/>
        <w:outlineLvl w:val="1"/>
        <w:rPr>
          <w:rFonts w:hint="eastAsia" w:ascii="黑体" w:hAnsi="黑体" w:eastAsia="黑体" w:cs="黑体"/>
          <w:color w:val="auto"/>
          <w:kern w:val="2"/>
          <w:sz w:val="32"/>
          <w:szCs w:val="32"/>
          <w:lang w:val="en-US" w:eastAsia="zh-CN" w:bidi="ar-SA"/>
        </w:rPr>
      </w:pPr>
      <w:bookmarkStart w:id="279" w:name="_Toc11968"/>
      <w:bookmarkStart w:id="280" w:name="_Toc12691_WPSOffice_Level2"/>
      <w:bookmarkStart w:id="281" w:name="_Toc2376"/>
      <w:bookmarkStart w:id="282" w:name="_Toc20166_WPSOffice_Level2"/>
      <w:bookmarkStart w:id="283" w:name="_Toc4945_WPSOffice_Level2"/>
      <w:r>
        <w:rPr>
          <w:rFonts w:hint="eastAsia" w:ascii="黑体" w:hAnsi="黑体" w:eastAsia="黑体" w:cs="黑体"/>
          <w:color w:val="auto"/>
          <w:kern w:val="2"/>
          <w:sz w:val="32"/>
          <w:szCs w:val="32"/>
          <w:lang w:val="en-US" w:eastAsia="zh-CN" w:bidi="ar-SA"/>
        </w:rPr>
        <w:t>十二、谈判响应文件的组成</w:t>
      </w:r>
      <w:bookmarkEnd w:id="279"/>
      <w:bookmarkEnd w:id="280"/>
      <w:bookmarkEnd w:id="281"/>
      <w:bookmarkEnd w:id="282"/>
      <w:bookmarkEnd w:id="283"/>
    </w:p>
    <w:p w14:paraId="33956C6F">
      <w:pPr>
        <w:widowControl w:val="0"/>
        <w:wordWrap/>
        <w:adjustRightInd w:val="0"/>
        <w:snapToGrid w:val="0"/>
        <w:spacing w:line="560" w:lineRule="exact"/>
        <w:jc w:val="left"/>
        <w:textAlignment w:val="auto"/>
        <w:outlineLvl w:val="2"/>
        <w:rPr>
          <w:rFonts w:hint="eastAsia" w:ascii="楷体_GB2312" w:hAnsi="楷体_GB2312" w:eastAsia="楷体_GB2312" w:cs="楷体_GB2312"/>
          <w:b/>
          <w:bCs/>
          <w:color w:val="auto"/>
          <w:kern w:val="2"/>
          <w:sz w:val="32"/>
          <w:szCs w:val="32"/>
          <w:lang w:val="zh-CN" w:eastAsia="zh-CN" w:bidi="ar-SA"/>
        </w:rPr>
      </w:pPr>
      <w:bookmarkStart w:id="284" w:name="_Toc4049"/>
      <w:bookmarkStart w:id="285" w:name="_Toc31451_WPSOffice_Level3"/>
      <w:bookmarkStart w:id="286" w:name="_Toc22172"/>
      <w:bookmarkStart w:id="287" w:name="_Toc185_WPSOffice_Level2"/>
      <w:r>
        <w:rPr>
          <w:rFonts w:hint="eastAsia" w:ascii="楷体_GB2312" w:hAnsi="楷体_GB2312" w:eastAsia="楷体_GB2312" w:cs="楷体_GB2312"/>
          <w:b/>
          <w:bCs/>
          <w:color w:val="auto"/>
          <w:kern w:val="2"/>
          <w:sz w:val="32"/>
          <w:szCs w:val="32"/>
          <w:lang w:val="zh-CN" w:eastAsia="zh-CN" w:bidi="ar-SA"/>
        </w:rPr>
        <w:t>（一）资格审查部分</w:t>
      </w:r>
      <w:bookmarkEnd w:id="284"/>
      <w:bookmarkEnd w:id="285"/>
      <w:bookmarkEnd w:id="286"/>
      <w:bookmarkEnd w:id="287"/>
    </w:p>
    <w:p w14:paraId="78BF713A">
      <w:pPr>
        <w:widowControl w:val="0"/>
        <w:wordWrap/>
        <w:adjustRightInd w:val="0"/>
        <w:snapToGrid w:val="0"/>
        <w:spacing w:line="560" w:lineRule="exact"/>
        <w:jc w:val="left"/>
        <w:textAlignment w:val="auto"/>
        <w:rPr>
          <w:rFonts w:hint="eastAsia" w:ascii="仿宋_GB2312" w:hAnsi="仿宋_GB2312" w:eastAsia="仿宋_GB2312" w:cs="仿宋_GB2312"/>
          <w:color w:val="auto"/>
          <w:kern w:val="2"/>
          <w:sz w:val="32"/>
          <w:szCs w:val="32"/>
          <w:lang w:val="zh-CN" w:eastAsia="zh-CN" w:bidi="ar-SA"/>
        </w:rPr>
      </w:pPr>
      <w:bookmarkStart w:id="288" w:name="_Toc19260_WPSOffice_Level3"/>
      <w:r>
        <w:rPr>
          <w:rFonts w:hint="eastAsia" w:ascii="仿宋_GB2312" w:hAnsi="仿宋_GB2312" w:eastAsia="仿宋_GB2312" w:cs="仿宋_GB2312"/>
          <w:color w:val="auto"/>
          <w:kern w:val="2"/>
          <w:sz w:val="32"/>
          <w:szCs w:val="32"/>
          <w:lang w:val="zh-CN" w:eastAsia="zh-CN" w:bidi="ar-SA"/>
        </w:rPr>
        <w:t>1、响应函（见附件1）</w:t>
      </w:r>
      <w:bookmarkEnd w:id="288"/>
    </w:p>
    <w:p w14:paraId="0B504114">
      <w:pPr>
        <w:widowControl w:val="0"/>
        <w:wordWrap/>
        <w:adjustRightInd w:val="0"/>
        <w:snapToGrid w:val="0"/>
        <w:spacing w:line="560" w:lineRule="exact"/>
        <w:jc w:val="left"/>
        <w:textAlignment w:val="auto"/>
        <w:rPr>
          <w:rFonts w:hint="eastAsia" w:ascii="仿宋_GB2312" w:hAnsi="仿宋_GB2312" w:eastAsia="仿宋_GB2312" w:cs="仿宋_GB2312"/>
          <w:color w:val="auto"/>
          <w:kern w:val="2"/>
          <w:sz w:val="32"/>
          <w:szCs w:val="32"/>
          <w:lang w:val="zh-CN" w:eastAsia="zh-CN" w:bidi="ar-SA"/>
        </w:rPr>
      </w:pPr>
      <w:bookmarkStart w:id="289" w:name="_Toc13122_WPSOffice_Level3"/>
      <w:r>
        <w:rPr>
          <w:rFonts w:hint="eastAsia" w:ascii="仿宋_GB2312" w:hAnsi="仿宋_GB2312" w:eastAsia="仿宋_GB2312" w:cs="仿宋_GB2312"/>
          <w:color w:val="auto"/>
          <w:kern w:val="2"/>
          <w:sz w:val="32"/>
          <w:szCs w:val="32"/>
          <w:lang w:val="zh-CN" w:eastAsia="zh-CN" w:bidi="ar-SA"/>
        </w:rPr>
        <w:t>2、法定代表人证明书（见附件2）</w:t>
      </w:r>
      <w:bookmarkEnd w:id="289"/>
    </w:p>
    <w:p w14:paraId="4BC74422">
      <w:pPr>
        <w:widowControl w:val="0"/>
        <w:wordWrap/>
        <w:adjustRightInd w:val="0"/>
        <w:snapToGrid w:val="0"/>
        <w:spacing w:line="560" w:lineRule="exact"/>
        <w:jc w:val="left"/>
        <w:textAlignment w:val="auto"/>
        <w:rPr>
          <w:rFonts w:hint="eastAsia" w:ascii="仿宋_GB2312" w:hAnsi="仿宋_GB2312" w:eastAsia="仿宋_GB2312" w:cs="仿宋_GB2312"/>
          <w:color w:val="auto"/>
          <w:kern w:val="2"/>
          <w:sz w:val="32"/>
          <w:szCs w:val="32"/>
          <w:lang w:val="zh-CN" w:eastAsia="zh-CN" w:bidi="ar-SA"/>
        </w:rPr>
      </w:pPr>
      <w:bookmarkStart w:id="290" w:name="_Toc5677_WPSOffice_Level3"/>
      <w:r>
        <w:rPr>
          <w:rFonts w:hint="eastAsia" w:ascii="仿宋_GB2312" w:hAnsi="仿宋_GB2312" w:eastAsia="仿宋_GB2312" w:cs="仿宋_GB2312"/>
          <w:color w:val="auto"/>
          <w:kern w:val="2"/>
          <w:sz w:val="32"/>
          <w:szCs w:val="32"/>
          <w:lang w:val="zh-CN" w:eastAsia="zh-CN" w:bidi="ar-SA"/>
        </w:rPr>
        <w:t>3、法定代表人授权书（见附件3）</w:t>
      </w:r>
      <w:bookmarkEnd w:id="290"/>
    </w:p>
    <w:p w14:paraId="01E6B963">
      <w:pPr>
        <w:widowControl w:val="0"/>
        <w:wordWrap/>
        <w:adjustRightInd w:val="0"/>
        <w:snapToGrid w:val="0"/>
        <w:spacing w:line="560" w:lineRule="exact"/>
        <w:jc w:val="left"/>
        <w:textAlignment w:val="auto"/>
        <w:rPr>
          <w:rFonts w:hint="eastAsia" w:ascii="仿宋_GB2312" w:hAnsi="仿宋_GB2312" w:eastAsia="仿宋_GB2312" w:cs="仿宋_GB2312"/>
          <w:color w:val="auto"/>
          <w:kern w:val="2"/>
          <w:sz w:val="32"/>
          <w:szCs w:val="32"/>
          <w:lang w:val="zh-CN" w:eastAsia="zh-CN" w:bidi="ar-SA"/>
        </w:rPr>
      </w:pPr>
      <w:bookmarkStart w:id="291" w:name="_Toc1890_WPSOffice_Level3"/>
      <w:r>
        <w:rPr>
          <w:rFonts w:hint="eastAsia" w:ascii="仿宋_GB2312" w:hAnsi="仿宋_GB2312" w:eastAsia="仿宋_GB2312" w:cs="仿宋_GB2312"/>
          <w:color w:val="auto"/>
          <w:kern w:val="2"/>
          <w:sz w:val="32"/>
          <w:szCs w:val="32"/>
          <w:lang w:val="zh-CN" w:eastAsia="zh-CN" w:bidi="ar-SA"/>
        </w:rPr>
        <w:t>4、供应商承诺函（见附件4）</w:t>
      </w:r>
      <w:bookmarkEnd w:id="291"/>
    </w:p>
    <w:p w14:paraId="534082B6">
      <w:pPr>
        <w:widowControl w:val="0"/>
        <w:wordWrap/>
        <w:adjustRightInd w:val="0"/>
        <w:snapToGrid w:val="0"/>
        <w:spacing w:line="560" w:lineRule="exact"/>
        <w:jc w:val="left"/>
        <w:textAlignment w:val="auto"/>
        <w:rPr>
          <w:rFonts w:hint="eastAsia" w:ascii="仿宋_GB2312" w:hAnsi="仿宋_GB2312" w:eastAsia="仿宋_GB2312" w:cs="仿宋_GB2312"/>
          <w:color w:val="auto"/>
          <w:kern w:val="2"/>
          <w:sz w:val="32"/>
          <w:szCs w:val="32"/>
          <w:lang w:val="zh-CN" w:eastAsia="zh-CN" w:bidi="ar-SA"/>
        </w:rPr>
      </w:pPr>
      <w:bookmarkStart w:id="292" w:name="_Toc25873_WPSOffice_Level3"/>
      <w:r>
        <w:rPr>
          <w:rFonts w:hint="eastAsia" w:ascii="仿宋_GB2312" w:hAnsi="仿宋_GB2312" w:eastAsia="仿宋_GB2312" w:cs="仿宋_GB2312"/>
          <w:color w:val="auto"/>
          <w:kern w:val="2"/>
          <w:sz w:val="32"/>
          <w:szCs w:val="32"/>
          <w:lang w:val="zh-CN" w:eastAsia="zh-CN" w:bidi="ar-SA"/>
        </w:rPr>
        <w:t>5、供应商诚信承诺书（见附件5）</w:t>
      </w:r>
      <w:bookmarkEnd w:id="292"/>
    </w:p>
    <w:p w14:paraId="5A05B798">
      <w:pPr>
        <w:widowControl w:val="0"/>
        <w:wordWrap/>
        <w:adjustRightInd w:val="0"/>
        <w:snapToGrid w:val="0"/>
        <w:spacing w:line="560" w:lineRule="exact"/>
        <w:jc w:val="left"/>
        <w:textAlignment w:val="auto"/>
        <w:rPr>
          <w:rFonts w:hint="eastAsia" w:ascii="仿宋_GB2312" w:hAnsi="仿宋_GB2312" w:eastAsia="仿宋_GB2312" w:cs="仿宋_GB2312"/>
          <w:color w:val="auto"/>
          <w:kern w:val="2"/>
          <w:sz w:val="32"/>
          <w:szCs w:val="32"/>
          <w:lang w:val="zh-CN" w:eastAsia="zh-CN" w:bidi="ar-SA"/>
        </w:rPr>
      </w:pPr>
      <w:bookmarkStart w:id="293" w:name="_Toc31370_WPSOffice_Level3"/>
      <w:r>
        <w:rPr>
          <w:rFonts w:hint="eastAsia" w:ascii="仿宋_GB2312" w:hAnsi="仿宋_GB2312" w:eastAsia="仿宋_GB2312" w:cs="仿宋_GB2312"/>
          <w:color w:val="auto"/>
          <w:kern w:val="2"/>
          <w:sz w:val="32"/>
          <w:szCs w:val="32"/>
          <w:lang w:val="zh-CN" w:eastAsia="zh-CN" w:bidi="ar-SA"/>
        </w:rPr>
        <w:t>6、供应商资格证明文件（见附件6）</w:t>
      </w:r>
      <w:bookmarkEnd w:id="293"/>
    </w:p>
    <w:p w14:paraId="4E495AA4">
      <w:pPr>
        <w:widowControl w:val="0"/>
        <w:wordWrap/>
        <w:adjustRightInd w:val="0"/>
        <w:snapToGrid w:val="0"/>
        <w:spacing w:line="560" w:lineRule="exact"/>
        <w:jc w:val="left"/>
        <w:textAlignment w:val="auto"/>
        <w:rPr>
          <w:rFonts w:hint="eastAsia" w:ascii="仿宋_GB2312" w:hAnsi="仿宋_GB2312" w:eastAsia="仿宋_GB2312" w:cs="仿宋_GB2312"/>
          <w:color w:val="auto"/>
          <w:kern w:val="2"/>
          <w:sz w:val="32"/>
          <w:szCs w:val="32"/>
          <w:lang w:val="zh-CN" w:eastAsia="zh-CN" w:bidi="ar-SA"/>
        </w:rPr>
      </w:pPr>
      <w:bookmarkStart w:id="294" w:name="_Toc10045_WPSOffice_Level3"/>
      <w:r>
        <w:rPr>
          <w:rFonts w:hint="eastAsia" w:ascii="仿宋_GB2312" w:hAnsi="仿宋_GB2312" w:eastAsia="仿宋_GB2312" w:cs="仿宋_GB2312"/>
          <w:color w:val="auto"/>
          <w:kern w:val="2"/>
          <w:sz w:val="32"/>
          <w:szCs w:val="32"/>
          <w:lang w:val="zh-CN" w:eastAsia="zh-CN" w:bidi="ar-SA"/>
        </w:rPr>
        <w:t>7、财务状况、缴纳税收和社会保障资金证明（见附件7）</w:t>
      </w:r>
      <w:bookmarkEnd w:id="294"/>
    </w:p>
    <w:p w14:paraId="7AB644C9">
      <w:pPr>
        <w:widowControl w:val="0"/>
        <w:wordWrap/>
        <w:adjustRightInd w:val="0"/>
        <w:snapToGrid w:val="0"/>
        <w:spacing w:line="560" w:lineRule="exact"/>
        <w:jc w:val="left"/>
        <w:textAlignment w:val="auto"/>
        <w:rPr>
          <w:rFonts w:hint="eastAsia" w:ascii="仿宋_GB2312" w:hAnsi="仿宋_GB2312" w:eastAsia="仿宋_GB2312" w:cs="仿宋_GB2312"/>
          <w:color w:val="auto"/>
          <w:kern w:val="2"/>
          <w:sz w:val="32"/>
          <w:szCs w:val="32"/>
          <w:lang w:val="zh-CN" w:eastAsia="zh-CN" w:bidi="ar-SA"/>
        </w:rPr>
      </w:pPr>
      <w:bookmarkStart w:id="295" w:name="_Toc12223_WPSOffice_Level3"/>
      <w:r>
        <w:rPr>
          <w:rFonts w:hint="eastAsia" w:ascii="仿宋_GB2312" w:hAnsi="仿宋_GB2312" w:eastAsia="仿宋_GB2312" w:cs="仿宋_GB2312"/>
          <w:color w:val="auto"/>
          <w:kern w:val="2"/>
          <w:sz w:val="32"/>
          <w:szCs w:val="32"/>
          <w:lang w:val="zh-CN" w:eastAsia="zh-CN" w:bidi="ar-SA"/>
        </w:rPr>
        <w:t>8、具备履行合同所必须的设备和专业技术能力证明（</w:t>
      </w:r>
      <w:r>
        <w:rPr>
          <w:rFonts w:hint="eastAsia" w:ascii="仿宋_GB2312" w:hAnsi="仿宋_GB2312" w:eastAsia="仿宋_GB2312" w:cs="仿宋_GB2312"/>
          <w:color w:val="auto"/>
          <w:kern w:val="2"/>
          <w:sz w:val="32"/>
          <w:szCs w:val="32"/>
          <w:lang w:val="en-US" w:eastAsia="zh-CN" w:bidi="ar-SA"/>
        </w:rPr>
        <w:t>见</w:t>
      </w:r>
      <w:r>
        <w:rPr>
          <w:rFonts w:hint="eastAsia" w:ascii="仿宋_GB2312" w:hAnsi="仿宋_GB2312" w:eastAsia="仿宋_GB2312" w:cs="仿宋_GB2312"/>
          <w:color w:val="auto"/>
          <w:kern w:val="2"/>
          <w:sz w:val="32"/>
          <w:szCs w:val="32"/>
          <w:lang w:val="zh-CN" w:eastAsia="zh-CN" w:bidi="ar-SA"/>
        </w:rPr>
        <w:t>附件</w:t>
      </w:r>
      <w:r>
        <w:rPr>
          <w:rFonts w:hint="eastAsia" w:ascii="仿宋_GB2312" w:hAnsi="仿宋_GB2312" w:eastAsia="仿宋_GB2312" w:cs="仿宋_GB2312"/>
          <w:color w:val="auto"/>
          <w:kern w:val="2"/>
          <w:sz w:val="32"/>
          <w:szCs w:val="32"/>
          <w:lang w:val="en-US" w:eastAsia="zh-CN" w:bidi="ar-SA"/>
        </w:rPr>
        <w:t>8</w:t>
      </w:r>
      <w:r>
        <w:rPr>
          <w:rFonts w:hint="eastAsia" w:ascii="仿宋_GB2312" w:hAnsi="仿宋_GB2312" w:eastAsia="仿宋_GB2312" w:cs="仿宋_GB2312"/>
          <w:color w:val="auto"/>
          <w:kern w:val="2"/>
          <w:sz w:val="32"/>
          <w:szCs w:val="32"/>
          <w:lang w:val="zh-CN" w:eastAsia="zh-CN" w:bidi="ar-SA"/>
        </w:rPr>
        <w:t>）</w:t>
      </w:r>
    </w:p>
    <w:p w14:paraId="5617292A">
      <w:pPr>
        <w:widowControl w:val="0"/>
        <w:wordWrap/>
        <w:adjustRightInd w:val="0"/>
        <w:snapToGrid w:val="0"/>
        <w:spacing w:line="560" w:lineRule="exact"/>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9、</w:t>
      </w:r>
      <w:r>
        <w:rPr>
          <w:rFonts w:hint="eastAsia" w:ascii="仿宋_GB2312" w:hAnsi="仿宋_GB2312" w:eastAsia="仿宋_GB2312" w:cs="仿宋_GB2312"/>
          <w:color w:val="auto"/>
          <w:kern w:val="2"/>
          <w:sz w:val="32"/>
          <w:szCs w:val="32"/>
          <w:lang w:val="zh-CN" w:eastAsia="zh-CN" w:bidi="ar-SA"/>
        </w:rPr>
        <w:t>无重大违法记录声明（见附件</w:t>
      </w:r>
      <w:r>
        <w:rPr>
          <w:rFonts w:hint="eastAsia" w:ascii="仿宋_GB2312" w:hAnsi="仿宋_GB2312" w:eastAsia="仿宋_GB2312" w:cs="仿宋_GB2312"/>
          <w:color w:val="auto"/>
          <w:kern w:val="2"/>
          <w:sz w:val="32"/>
          <w:szCs w:val="32"/>
          <w:lang w:val="en-US" w:eastAsia="zh-CN" w:bidi="ar-SA"/>
        </w:rPr>
        <w:t>9</w:t>
      </w:r>
      <w:r>
        <w:rPr>
          <w:rFonts w:hint="eastAsia" w:ascii="仿宋_GB2312" w:hAnsi="仿宋_GB2312" w:eastAsia="仿宋_GB2312" w:cs="仿宋_GB2312"/>
          <w:color w:val="auto"/>
          <w:kern w:val="2"/>
          <w:sz w:val="32"/>
          <w:szCs w:val="32"/>
          <w:lang w:val="zh-CN" w:eastAsia="zh-CN" w:bidi="ar-SA"/>
        </w:rPr>
        <w:t>）</w:t>
      </w:r>
      <w:bookmarkEnd w:id="295"/>
    </w:p>
    <w:p w14:paraId="3DD8140D">
      <w:pPr>
        <w:widowControl w:val="0"/>
        <w:wordWrap/>
        <w:adjustRightInd w:val="0"/>
        <w:snapToGrid w:val="0"/>
        <w:spacing w:line="560" w:lineRule="exact"/>
        <w:jc w:val="left"/>
        <w:textAlignment w:val="auto"/>
        <w:rPr>
          <w:rFonts w:hint="default" w:ascii="仿宋_GB2312" w:hAnsi="仿宋_GB2312" w:eastAsia="仿宋_GB2312" w:cs="仿宋_GB2312"/>
          <w:color w:val="auto"/>
          <w:kern w:val="2"/>
          <w:sz w:val="32"/>
          <w:szCs w:val="32"/>
          <w:lang w:val="en-US" w:eastAsia="zh-CN" w:bidi="ar-SA"/>
        </w:rPr>
      </w:pPr>
      <w:bookmarkStart w:id="296" w:name="_Toc10394_WPSOffice_Level3"/>
      <w:r>
        <w:rPr>
          <w:rFonts w:hint="eastAsia" w:ascii="仿宋_GB2312" w:hAnsi="仿宋_GB2312" w:eastAsia="仿宋_GB2312" w:cs="仿宋_GB2312"/>
          <w:color w:val="auto"/>
          <w:kern w:val="2"/>
          <w:sz w:val="32"/>
          <w:szCs w:val="32"/>
          <w:lang w:val="en-US" w:eastAsia="zh-CN" w:bidi="ar-SA"/>
        </w:rPr>
        <w:t>10、谈判保证金证明（见附件10）</w:t>
      </w:r>
      <w:bookmarkEnd w:id="296"/>
    </w:p>
    <w:p w14:paraId="16B6F893">
      <w:pPr>
        <w:widowControl w:val="0"/>
        <w:wordWrap/>
        <w:adjustRightInd w:val="0"/>
        <w:snapToGrid w:val="0"/>
        <w:spacing w:line="560" w:lineRule="exact"/>
        <w:jc w:val="left"/>
        <w:textAlignment w:val="auto"/>
        <w:outlineLvl w:val="2"/>
        <w:rPr>
          <w:rFonts w:hint="eastAsia" w:ascii="楷体_GB2312" w:hAnsi="楷体_GB2312" w:eastAsia="楷体_GB2312" w:cs="楷体_GB2312"/>
          <w:b/>
          <w:bCs/>
          <w:color w:val="auto"/>
          <w:kern w:val="2"/>
          <w:sz w:val="32"/>
          <w:szCs w:val="32"/>
          <w:lang w:val="zh-CN" w:eastAsia="zh-CN" w:bidi="ar-SA"/>
        </w:rPr>
      </w:pPr>
      <w:bookmarkStart w:id="297" w:name="_Toc18301_WPSOffice_Level3"/>
      <w:bookmarkStart w:id="298" w:name="_Toc3154_WPSOffice_Level2"/>
      <w:bookmarkStart w:id="299" w:name="_Toc21135"/>
      <w:bookmarkStart w:id="300" w:name="_Toc4501"/>
      <w:r>
        <w:rPr>
          <w:rFonts w:hint="eastAsia" w:ascii="楷体_GB2312" w:hAnsi="楷体_GB2312" w:eastAsia="楷体_GB2312" w:cs="楷体_GB2312"/>
          <w:b/>
          <w:bCs/>
          <w:color w:val="auto"/>
          <w:kern w:val="2"/>
          <w:sz w:val="32"/>
          <w:szCs w:val="32"/>
          <w:lang w:val="zh-CN" w:eastAsia="zh-CN" w:bidi="ar-SA"/>
        </w:rPr>
        <w:t>（二）有效性、完整性、响应程度审查部分</w:t>
      </w:r>
      <w:bookmarkEnd w:id="297"/>
      <w:bookmarkEnd w:id="298"/>
      <w:bookmarkEnd w:id="299"/>
      <w:bookmarkEnd w:id="300"/>
    </w:p>
    <w:p w14:paraId="79A413D5">
      <w:pPr>
        <w:widowControl w:val="0"/>
        <w:wordWrap/>
        <w:adjustRightInd w:val="0"/>
        <w:snapToGrid w:val="0"/>
        <w:spacing w:line="560" w:lineRule="exact"/>
        <w:jc w:val="left"/>
        <w:textAlignment w:val="auto"/>
        <w:rPr>
          <w:rFonts w:hint="eastAsia" w:ascii="仿宋_GB2312" w:hAnsi="仿宋_GB2312" w:eastAsia="仿宋_GB2312" w:cs="仿宋_GB2312"/>
          <w:color w:val="auto"/>
          <w:kern w:val="2"/>
          <w:sz w:val="32"/>
          <w:szCs w:val="32"/>
          <w:lang w:val="zh-CN" w:eastAsia="zh-CN" w:bidi="ar-SA"/>
        </w:rPr>
      </w:pPr>
      <w:bookmarkStart w:id="301" w:name="_Toc9730_WPSOffice_Level3"/>
      <w:r>
        <w:rPr>
          <w:rFonts w:hint="eastAsia" w:ascii="仿宋_GB2312" w:hAnsi="仿宋_GB2312" w:eastAsia="仿宋_GB2312" w:cs="仿宋_GB2312"/>
          <w:color w:val="auto"/>
          <w:kern w:val="2"/>
          <w:sz w:val="32"/>
          <w:szCs w:val="32"/>
          <w:lang w:val="zh-CN" w:eastAsia="zh-CN" w:bidi="ar-SA"/>
        </w:rPr>
        <w:t>1、谈判首次报价表（见附件</w:t>
      </w:r>
      <w:r>
        <w:rPr>
          <w:rFonts w:hint="eastAsia" w:ascii="仿宋_GB2312" w:hAnsi="仿宋_GB2312" w:eastAsia="仿宋_GB2312" w:cs="仿宋_GB2312"/>
          <w:color w:val="auto"/>
          <w:kern w:val="2"/>
          <w:sz w:val="32"/>
          <w:szCs w:val="32"/>
          <w:lang w:val="en-US" w:eastAsia="zh-CN" w:bidi="ar-SA"/>
        </w:rPr>
        <w:t>11</w:t>
      </w:r>
      <w:r>
        <w:rPr>
          <w:rFonts w:hint="eastAsia" w:ascii="仿宋_GB2312" w:hAnsi="仿宋_GB2312" w:eastAsia="仿宋_GB2312" w:cs="仿宋_GB2312"/>
          <w:color w:val="auto"/>
          <w:kern w:val="2"/>
          <w:sz w:val="32"/>
          <w:szCs w:val="32"/>
          <w:lang w:val="zh-CN" w:eastAsia="zh-CN" w:bidi="ar-SA"/>
        </w:rPr>
        <w:t>）</w:t>
      </w:r>
      <w:bookmarkEnd w:id="301"/>
    </w:p>
    <w:p w14:paraId="44C95402">
      <w:pPr>
        <w:widowControl w:val="0"/>
        <w:wordWrap/>
        <w:adjustRightInd w:val="0"/>
        <w:snapToGrid w:val="0"/>
        <w:spacing w:line="560" w:lineRule="exact"/>
        <w:jc w:val="left"/>
        <w:textAlignment w:val="auto"/>
        <w:rPr>
          <w:rFonts w:hint="eastAsia" w:ascii="仿宋_GB2312" w:hAnsi="仿宋_GB2312" w:eastAsia="仿宋_GB2312" w:cs="仿宋_GB2312"/>
          <w:color w:val="auto"/>
          <w:kern w:val="2"/>
          <w:sz w:val="32"/>
          <w:szCs w:val="32"/>
          <w:lang w:val="zh-CN" w:eastAsia="zh-CN" w:bidi="ar-SA"/>
        </w:rPr>
      </w:pPr>
      <w:bookmarkStart w:id="302" w:name="_Toc15196_WPSOffice_Level3"/>
      <w:r>
        <w:rPr>
          <w:rFonts w:hint="eastAsia" w:ascii="仿宋_GB2312" w:hAnsi="仿宋_GB2312" w:eastAsia="仿宋_GB2312" w:cs="仿宋_GB2312"/>
          <w:color w:val="auto"/>
          <w:kern w:val="2"/>
          <w:sz w:val="32"/>
          <w:szCs w:val="32"/>
          <w:lang w:val="zh-CN" w:eastAsia="zh-CN" w:bidi="ar-SA"/>
        </w:rPr>
        <w:t>2、分项报价表（见附件1</w:t>
      </w: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lang w:val="zh-CN" w:eastAsia="zh-CN" w:bidi="ar-SA"/>
        </w:rPr>
        <w:t>）</w:t>
      </w:r>
      <w:bookmarkEnd w:id="302"/>
    </w:p>
    <w:p w14:paraId="522FED50">
      <w:pPr>
        <w:keepNext w:val="0"/>
        <w:keepLines w:val="0"/>
        <w:widowControl/>
        <w:suppressLineNumbers w:val="0"/>
        <w:jc w:val="left"/>
        <w:rPr>
          <w:rFonts w:hint="eastAsia" w:ascii="仿宋_GB2312" w:hAnsi="仿宋_GB2312" w:eastAsia="仿宋_GB2312" w:cs="仿宋_GB2312"/>
          <w:color w:val="auto"/>
          <w:kern w:val="2"/>
          <w:sz w:val="32"/>
          <w:szCs w:val="32"/>
          <w:lang w:val="zh-CN" w:eastAsia="zh-CN" w:bidi="ar-SA"/>
        </w:rPr>
      </w:pPr>
      <w:bookmarkStart w:id="303" w:name="_Toc319_WPSOffice_Level3"/>
      <w:r>
        <w:rPr>
          <w:rFonts w:hint="eastAsia" w:ascii="仿宋_GB2312" w:hAnsi="仿宋_GB2312" w:eastAsia="仿宋_GB2312" w:cs="仿宋_GB2312"/>
          <w:color w:val="auto"/>
          <w:kern w:val="2"/>
          <w:sz w:val="32"/>
          <w:szCs w:val="32"/>
          <w:lang w:val="zh-CN" w:eastAsia="zh-CN" w:bidi="ar-SA"/>
        </w:rPr>
        <w:t>3、</w:t>
      </w:r>
      <w:bookmarkEnd w:id="303"/>
      <w:bookmarkStart w:id="304" w:name="_Toc22060_WPSOffice_Level3"/>
      <w:r>
        <w:rPr>
          <w:rFonts w:ascii="仿宋" w:hAnsi="仿宋" w:eastAsia="仿宋" w:cs="仿宋"/>
          <w:color w:val="000000"/>
          <w:kern w:val="0"/>
          <w:sz w:val="31"/>
          <w:szCs w:val="31"/>
          <w:lang w:val="en-US" w:eastAsia="zh-CN" w:bidi="ar"/>
        </w:rPr>
        <w:t>技术规格响应表（见附件 1</w:t>
      </w:r>
      <w:r>
        <w:rPr>
          <w:rFonts w:hint="eastAsia" w:ascii="仿宋" w:hAnsi="仿宋" w:eastAsia="仿宋" w:cs="仿宋"/>
          <w:color w:val="000000"/>
          <w:kern w:val="0"/>
          <w:sz w:val="31"/>
          <w:szCs w:val="31"/>
          <w:lang w:val="en-US" w:eastAsia="zh-CN" w:bidi="ar"/>
        </w:rPr>
        <w:t>3</w:t>
      </w:r>
      <w:r>
        <w:rPr>
          <w:rFonts w:ascii="仿宋" w:hAnsi="仿宋" w:eastAsia="仿宋" w:cs="仿宋"/>
          <w:color w:val="000000"/>
          <w:kern w:val="0"/>
          <w:sz w:val="31"/>
          <w:szCs w:val="31"/>
          <w:lang w:val="en-US" w:eastAsia="zh-CN" w:bidi="ar"/>
        </w:rPr>
        <w:t>）</w:t>
      </w:r>
    </w:p>
    <w:p w14:paraId="2F701D2A">
      <w:pPr>
        <w:widowControl w:val="0"/>
        <w:wordWrap/>
        <w:adjustRightInd w:val="0"/>
        <w:snapToGrid w:val="0"/>
        <w:spacing w:line="560" w:lineRule="exact"/>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4、所投产品相关资料</w:t>
      </w:r>
      <w:r>
        <w:rPr>
          <w:rFonts w:hint="eastAsia" w:ascii="仿宋_GB2312" w:hAnsi="仿宋_GB2312" w:eastAsia="仿宋_GB2312" w:cs="仿宋_GB2312"/>
          <w:color w:val="auto"/>
          <w:kern w:val="2"/>
          <w:sz w:val="32"/>
          <w:szCs w:val="32"/>
          <w:lang w:val="zh-CN" w:eastAsia="zh-CN" w:bidi="ar-SA"/>
        </w:rPr>
        <w:t>（</w:t>
      </w:r>
      <w:r>
        <w:rPr>
          <w:rFonts w:hint="eastAsia" w:ascii="仿宋_GB2312" w:hAnsi="仿宋_GB2312" w:eastAsia="仿宋_GB2312" w:cs="仿宋_GB2312"/>
          <w:color w:val="auto"/>
          <w:kern w:val="2"/>
          <w:sz w:val="32"/>
          <w:szCs w:val="32"/>
          <w:lang w:val="en-US" w:eastAsia="zh-CN" w:bidi="ar-SA"/>
        </w:rPr>
        <w:t>见</w:t>
      </w:r>
      <w:r>
        <w:rPr>
          <w:rFonts w:hint="eastAsia" w:ascii="仿宋_GB2312" w:hAnsi="仿宋_GB2312" w:eastAsia="仿宋_GB2312" w:cs="仿宋_GB2312"/>
          <w:color w:val="auto"/>
          <w:kern w:val="2"/>
          <w:sz w:val="32"/>
          <w:szCs w:val="32"/>
          <w:lang w:val="zh-CN" w:eastAsia="zh-CN" w:bidi="ar-SA"/>
        </w:rPr>
        <w:t>附件1</w:t>
      </w: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zh-CN" w:eastAsia="zh-CN" w:bidi="ar-SA"/>
        </w:rPr>
        <w:t>）</w:t>
      </w:r>
      <w:bookmarkEnd w:id="304"/>
      <w:bookmarkStart w:id="305" w:name="_Toc16307_WPSOffice_Level3"/>
    </w:p>
    <w:p w14:paraId="35B527B6">
      <w:pPr>
        <w:widowControl w:val="0"/>
        <w:wordWrap/>
        <w:adjustRightInd w:val="0"/>
        <w:snapToGrid w:val="0"/>
        <w:spacing w:line="560" w:lineRule="exact"/>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5、供应商的类似业绩证明（见附件 15）</w:t>
      </w:r>
    </w:p>
    <w:p w14:paraId="2090F0CA">
      <w:pPr>
        <w:widowControl w:val="0"/>
        <w:wordWrap/>
        <w:adjustRightInd w:val="0"/>
        <w:snapToGrid w:val="0"/>
        <w:spacing w:line="560" w:lineRule="exact"/>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2"/>
          <w:sz w:val="32"/>
          <w:szCs w:val="32"/>
          <w:lang w:val="zh-CN" w:eastAsia="zh-CN" w:bidi="ar-SA"/>
        </w:rPr>
        <w:t>供应商认为在其他方面有必要说明的事项（</w:t>
      </w:r>
      <w:r>
        <w:rPr>
          <w:rFonts w:hint="eastAsia" w:ascii="仿宋_GB2312" w:hAnsi="仿宋_GB2312" w:eastAsia="仿宋_GB2312" w:cs="仿宋_GB2312"/>
          <w:color w:val="auto"/>
          <w:kern w:val="2"/>
          <w:sz w:val="32"/>
          <w:szCs w:val="32"/>
          <w:lang w:val="en-US" w:eastAsia="zh-CN" w:bidi="ar-SA"/>
        </w:rPr>
        <w:t>见附件16</w:t>
      </w:r>
      <w:r>
        <w:rPr>
          <w:rFonts w:hint="eastAsia" w:ascii="仿宋_GB2312" w:hAnsi="仿宋_GB2312" w:eastAsia="仿宋_GB2312" w:cs="仿宋_GB2312"/>
          <w:color w:val="auto"/>
          <w:kern w:val="2"/>
          <w:sz w:val="32"/>
          <w:szCs w:val="32"/>
          <w:lang w:val="zh-CN" w:eastAsia="zh-CN" w:bidi="ar-SA"/>
        </w:rPr>
        <w:t>）</w:t>
      </w:r>
      <w:bookmarkEnd w:id="305"/>
    </w:p>
    <w:p w14:paraId="10384690">
      <w:pPr>
        <w:widowControl w:val="0"/>
        <w:wordWrap/>
        <w:adjustRightInd w:val="0"/>
        <w:snapToGrid w:val="0"/>
        <w:spacing w:line="560" w:lineRule="exact"/>
        <w:jc w:val="left"/>
        <w:textAlignment w:val="auto"/>
        <w:rPr>
          <w:rFonts w:hint="eastAsia" w:ascii="仿宋_GB2312" w:hAnsi="仿宋_GB2312" w:eastAsia="仿宋_GB2312" w:cs="仿宋_GB2312"/>
          <w:color w:val="auto"/>
          <w:kern w:val="2"/>
          <w:sz w:val="32"/>
          <w:szCs w:val="32"/>
          <w:lang w:val="zh-CN" w:eastAsia="zh-CN" w:bidi="ar-SA"/>
        </w:rPr>
      </w:pPr>
      <w:bookmarkStart w:id="306" w:name="_Toc1748_WPSOffice_Level3"/>
      <w:r>
        <w:rPr>
          <w:rFonts w:hint="eastAsia" w:ascii="仿宋_GB2312" w:hAnsi="仿宋_GB2312"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2"/>
          <w:sz w:val="32"/>
          <w:szCs w:val="32"/>
          <w:lang w:val="zh-CN" w:eastAsia="zh-CN" w:bidi="ar-SA"/>
        </w:rPr>
        <w:t>享受政府采购政策优惠的证明资料（见附件</w:t>
      </w:r>
      <w:r>
        <w:rPr>
          <w:rFonts w:hint="eastAsia" w:ascii="仿宋_GB2312" w:hAnsi="仿宋_GB2312" w:eastAsia="仿宋_GB2312" w:cs="仿宋_GB2312"/>
          <w:color w:val="auto"/>
          <w:kern w:val="2"/>
          <w:sz w:val="32"/>
          <w:szCs w:val="32"/>
          <w:lang w:val="en-US" w:eastAsia="zh-CN" w:bidi="ar-SA"/>
        </w:rPr>
        <w:t>17</w:t>
      </w:r>
      <w:r>
        <w:rPr>
          <w:rFonts w:hint="eastAsia" w:ascii="仿宋_GB2312" w:hAnsi="仿宋_GB2312" w:eastAsia="仿宋_GB2312" w:cs="仿宋_GB2312"/>
          <w:color w:val="auto"/>
          <w:kern w:val="2"/>
          <w:sz w:val="32"/>
          <w:szCs w:val="32"/>
          <w:lang w:val="zh-CN" w:eastAsia="zh-CN" w:bidi="ar-SA"/>
        </w:rPr>
        <w:t>）</w:t>
      </w:r>
      <w:bookmarkEnd w:id="306"/>
    </w:p>
    <w:p w14:paraId="79E7DA9C">
      <w:pPr>
        <w:widowControl w:val="0"/>
        <w:wordWrap/>
        <w:adjustRightInd w:val="0"/>
        <w:snapToGrid w:val="0"/>
        <w:spacing w:line="560" w:lineRule="exact"/>
        <w:jc w:val="left"/>
        <w:textAlignment w:val="auto"/>
        <w:rPr>
          <w:rFonts w:hint="default" w:ascii="仿宋_GB2312" w:hAnsi="仿宋_GB2312" w:eastAsia="仿宋_GB2312" w:cs="仿宋_GB2312"/>
          <w:color w:val="auto"/>
          <w:kern w:val="2"/>
          <w:sz w:val="32"/>
          <w:szCs w:val="32"/>
          <w:lang w:val="en-US" w:eastAsia="zh-CN" w:bidi="ar-SA"/>
        </w:rPr>
      </w:pPr>
      <w:bookmarkStart w:id="307" w:name="_Toc30100_WPSOffice_Level3"/>
      <w:r>
        <w:rPr>
          <w:rFonts w:hint="eastAsia" w:ascii="仿宋_GB2312" w:hAnsi="仿宋_GB2312" w:eastAsia="仿宋_GB2312" w:cs="仿宋_GB2312"/>
          <w:color w:val="auto"/>
          <w:kern w:val="2"/>
          <w:sz w:val="32"/>
          <w:szCs w:val="32"/>
          <w:lang w:val="en-US" w:eastAsia="zh-CN" w:bidi="ar-SA"/>
        </w:rPr>
        <w:t>8、谈判最后报价表（见附件18）</w:t>
      </w:r>
      <w:bookmarkEnd w:id="307"/>
    </w:p>
    <w:p w14:paraId="11B0B633">
      <w:pPr>
        <w:widowControl w:val="0"/>
        <w:wordWrap/>
        <w:adjustRightInd w:val="0"/>
        <w:snapToGrid w:val="0"/>
        <w:spacing w:line="560" w:lineRule="exact"/>
        <w:jc w:val="left"/>
        <w:textAlignment w:val="auto"/>
        <w:rPr>
          <w:rFonts w:hint="default" w:ascii="仿宋_GB2312" w:hAnsi="仿宋_GB2312" w:eastAsia="仿宋_GB2312" w:cs="仿宋_GB2312"/>
          <w:color w:val="auto"/>
          <w:kern w:val="2"/>
          <w:sz w:val="32"/>
          <w:szCs w:val="32"/>
          <w:lang w:val="en-US" w:eastAsia="zh-CN" w:bidi="ar-SA"/>
        </w:rPr>
      </w:pPr>
    </w:p>
    <w:p w14:paraId="4A8304A3">
      <w:pPr>
        <w:widowControl w:val="0"/>
        <w:wordWrap/>
        <w:adjustRightInd w:val="0"/>
        <w:snapToGrid w:val="0"/>
        <w:spacing w:line="560" w:lineRule="exact"/>
        <w:jc w:val="left"/>
        <w:textAlignment w:val="auto"/>
        <w:rPr>
          <w:rFonts w:hint="default" w:ascii="仿宋_GB2312" w:hAnsi="仿宋_GB2312" w:eastAsia="仿宋_GB2312" w:cs="仿宋_GB2312"/>
          <w:color w:val="auto"/>
          <w:kern w:val="2"/>
          <w:sz w:val="32"/>
          <w:szCs w:val="32"/>
          <w:lang w:val="en-US" w:eastAsia="zh-CN" w:bidi="ar-SA"/>
        </w:rPr>
      </w:pPr>
    </w:p>
    <w:p w14:paraId="5CE76D0B">
      <w:pPr>
        <w:widowControl w:val="0"/>
        <w:wordWrap/>
        <w:adjustRightInd w:val="0"/>
        <w:snapToGrid w:val="0"/>
        <w:spacing w:line="560" w:lineRule="exact"/>
        <w:jc w:val="center"/>
        <w:textAlignment w:val="auto"/>
        <w:outlineLvl w:val="1"/>
        <w:rPr>
          <w:rFonts w:hint="eastAsia" w:ascii="黑体" w:hAnsi="黑体" w:eastAsia="黑体" w:cs="黑体"/>
          <w:color w:val="auto"/>
          <w:kern w:val="2"/>
          <w:sz w:val="32"/>
          <w:szCs w:val="32"/>
          <w:lang w:val="en-US" w:eastAsia="zh-CN" w:bidi="ar-SA"/>
        </w:rPr>
      </w:pPr>
      <w:bookmarkStart w:id="308" w:name="_Toc11918"/>
      <w:bookmarkStart w:id="309" w:name="_Toc8795"/>
      <w:bookmarkStart w:id="310" w:name="_Toc1684_WPSOffice_Level2"/>
      <w:bookmarkStart w:id="311" w:name="_Toc5252_WPSOffice_Level2"/>
      <w:bookmarkStart w:id="312" w:name="_Toc14930_WPSOffice_Level2"/>
      <w:r>
        <w:rPr>
          <w:rFonts w:hint="eastAsia" w:ascii="黑体" w:hAnsi="黑体" w:eastAsia="黑体" w:cs="黑体"/>
          <w:color w:val="auto"/>
          <w:kern w:val="2"/>
          <w:sz w:val="32"/>
          <w:szCs w:val="32"/>
          <w:lang w:val="en-US" w:eastAsia="zh-CN" w:bidi="ar-SA"/>
        </w:rPr>
        <w:t>十三、谈判响应文件</w:t>
      </w:r>
      <w:bookmarkEnd w:id="308"/>
      <w:bookmarkEnd w:id="309"/>
      <w:bookmarkEnd w:id="310"/>
      <w:bookmarkEnd w:id="311"/>
      <w:bookmarkEnd w:id="312"/>
    </w:p>
    <w:p w14:paraId="4C74C239">
      <w:pPr>
        <w:wordWrap/>
        <w:spacing w:before="157" w:beforeLines="50" w:line="560" w:lineRule="exact"/>
        <w:ind w:firstLine="1285" w:firstLineChars="400"/>
        <w:rPr>
          <w:rFonts w:hint="eastAsia" w:ascii="仿宋_GB2312" w:hAnsi="仿宋_GB2312" w:eastAsia="仿宋_GB2312" w:cs="仿宋_GB2312"/>
          <w:b/>
          <w:color w:val="auto"/>
          <w:sz w:val="32"/>
          <w:szCs w:val="32"/>
        </w:rPr>
      </w:pPr>
      <w:bookmarkStart w:id="313" w:name="_Toc28269_WPSOffice_Level3"/>
    </w:p>
    <w:p w14:paraId="1A2FF190">
      <w:pPr>
        <w:wordWrap/>
        <w:spacing w:before="157" w:beforeLines="50" w:line="560" w:lineRule="exact"/>
        <w:jc w:val="center"/>
        <w:outlineLvl w:val="9"/>
        <w:rPr>
          <w:rFonts w:hint="eastAsia" w:ascii="仿宋_GB2312" w:hAnsi="仿宋_GB2312" w:eastAsia="仿宋_GB2312" w:cs="仿宋_GB2312"/>
          <w:b/>
          <w:color w:val="auto"/>
          <w:sz w:val="52"/>
          <w:szCs w:val="52"/>
        </w:rPr>
      </w:pPr>
      <w:bookmarkStart w:id="314" w:name="_Toc31682_WPSOffice_Level2"/>
      <w:bookmarkStart w:id="315" w:name="_Toc10997_WPSOffice_Level2"/>
      <w:r>
        <w:rPr>
          <w:rFonts w:hint="eastAsia" w:ascii="仿宋_GB2312" w:hAnsi="仿宋_GB2312" w:eastAsia="仿宋_GB2312" w:cs="仿宋_GB2312"/>
          <w:b/>
          <w:color w:val="auto"/>
          <w:sz w:val="52"/>
          <w:szCs w:val="52"/>
        </w:rPr>
        <w:t>青海省政府采购项目</w:t>
      </w:r>
      <w:bookmarkEnd w:id="313"/>
      <w:bookmarkEnd w:id="314"/>
      <w:bookmarkEnd w:id="315"/>
    </w:p>
    <w:p w14:paraId="201E34DE">
      <w:pPr>
        <w:wordWrap/>
        <w:spacing w:before="157" w:beforeLines="50" w:line="560" w:lineRule="exact"/>
        <w:jc w:val="center"/>
        <w:outlineLvl w:val="9"/>
        <w:rPr>
          <w:rFonts w:hint="eastAsia" w:ascii="仿宋_GB2312" w:hAnsi="仿宋_GB2312" w:eastAsia="仿宋_GB2312" w:cs="仿宋_GB2312"/>
          <w:b/>
          <w:color w:val="auto"/>
          <w:sz w:val="52"/>
          <w:szCs w:val="52"/>
        </w:rPr>
      </w:pPr>
      <w:bookmarkStart w:id="316" w:name="_Toc23622_WPSOffice_Level2"/>
      <w:bookmarkStart w:id="317" w:name="_Toc25378_WPSOffice_Level2"/>
      <w:r>
        <w:rPr>
          <w:rFonts w:hint="eastAsia" w:ascii="仿宋_GB2312" w:hAnsi="仿宋_GB2312" w:eastAsia="仿宋_GB2312" w:cs="仿宋_GB2312"/>
          <w:b/>
          <w:color w:val="auto"/>
          <w:sz w:val="52"/>
          <w:szCs w:val="52"/>
        </w:rPr>
        <w:t>谈判响应文件</w:t>
      </w:r>
      <w:bookmarkEnd w:id="316"/>
      <w:bookmarkEnd w:id="317"/>
    </w:p>
    <w:p w14:paraId="115E8259">
      <w:pPr>
        <w:wordWrap/>
        <w:adjustRightInd w:val="0"/>
        <w:spacing w:before="157" w:beforeLines="50" w:line="560" w:lineRule="exact"/>
        <w:ind w:firstLine="3052" w:firstLineChars="950"/>
        <w:textAlignment w:val="baseline"/>
        <w:outlineLvl w:val="9"/>
        <w:rPr>
          <w:rFonts w:hint="eastAsia" w:ascii="仿宋_GB2312" w:hAnsi="仿宋_GB2312" w:eastAsia="仿宋_GB2312" w:cs="仿宋_GB2312"/>
          <w:b/>
          <w:bCs/>
          <w:color w:val="auto"/>
          <w:sz w:val="32"/>
          <w:szCs w:val="32"/>
        </w:rPr>
      </w:pPr>
      <w:bookmarkStart w:id="318" w:name="_Toc28825_WPSOffice_Level2"/>
      <w:bookmarkStart w:id="319" w:name="_Toc13231_WPSOffice_Level2"/>
    </w:p>
    <w:p w14:paraId="6EFD0617">
      <w:pPr>
        <w:wordWrap/>
        <w:adjustRightInd w:val="0"/>
        <w:spacing w:before="157" w:beforeLines="50" w:line="560" w:lineRule="exact"/>
        <w:ind w:firstLine="3052" w:firstLineChars="950"/>
        <w:textAlignment w:val="baseline"/>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val="0"/>
          <w:bCs w:val="0"/>
          <w:color w:val="auto"/>
          <w:kern w:val="2"/>
          <w:sz w:val="32"/>
          <w:szCs w:val="32"/>
          <w:lang w:val="en-US" w:eastAsia="zh-CN" w:bidi="ar-SA"/>
        </w:rPr>
        <w:t>资格审查部分</w:t>
      </w:r>
      <w:r>
        <w:rPr>
          <w:rFonts w:hint="eastAsia" w:ascii="仿宋_GB2312" w:hAnsi="仿宋_GB2312" w:eastAsia="仿宋_GB2312" w:cs="仿宋_GB2312"/>
          <w:b/>
          <w:bCs/>
          <w:color w:val="auto"/>
          <w:sz w:val="32"/>
          <w:szCs w:val="32"/>
        </w:rPr>
        <w:t>）</w:t>
      </w:r>
      <w:bookmarkEnd w:id="318"/>
      <w:bookmarkEnd w:id="319"/>
    </w:p>
    <w:p w14:paraId="0F79F489">
      <w:pPr>
        <w:wordWrap/>
        <w:adjustRightInd w:val="0"/>
        <w:spacing w:before="157" w:beforeLines="50" w:line="560" w:lineRule="exact"/>
        <w:textAlignment w:val="baseline"/>
        <w:outlineLvl w:val="9"/>
        <w:rPr>
          <w:rFonts w:hint="eastAsia" w:ascii="仿宋_GB2312" w:hAnsi="仿宋_GB2312" w:eastAsia="仿宋_GB2312" w:cs="仿宋_GB2312"/>
          <w:b/>
          <w:bCs/>
          <w:color w:val="auto"/>
          <w:sz w:val="32"/>
          <w:szCs w:val="32"/>
        </w:rPr>
      </w:pPr>
    </w:p>
    <w:p w14:paraId="73C857D5">
      <w:pPr>
        <w:wordWrap/>
        <w:adjustRightInd w:val="0"/>
        <w:spacing w:before="157" w:beforeLines="50" w:line="560" w:lineRule="exact"/>
        <w:textAlignment w:val="baseline"/>
        <w:outlineLvl w:val="9"/>
        <w:rPr>
          <w:rFonts w:hint="eastAsia" w:ascii="仿宋_GB2312" w:hAnsi="仿宋_GB2312" w:eastAsia="仿宋_GB2312" w:cs="仿宋_GB2312"/>
          <w:b/>
          <w:bCs/>
          <w:color w:val="auto"/>
          <w:sz w:val="32"/>
          <w:szCs w:val="32"/>
        </w:rPr>
      </w:pPr>
    </w:p>
    <w:p w14:paraId="68A6844E">
      <w:pPr>
        <w:wordWrap/>
        <w:adjustRightInd w:val="0"/>
        <w:spacing w:before="157" w:beforeLines="50" w:line="560" w:lineRule="exact"/>
        <w:textAlignment w:val="baseline"/>
        <w:outlineLvl w:val="9"/>
        <w:rPr>
          <w:rFonts w:hint="eastAsia" w:ascii="仿宋_GB2312" w:hAnsi="仿宋_GB2312" w:eastAsia="仿宋_GB2312" w:cs="仿宋_GB2312"/>
          <w:b/>
          <w:bCs/>
          <w:color w:val="auto"/>
          <w:sz w:val="32"/>
          <w:szCs w:val="32"/>
        </w:rPr>
      </w:pPr>
    </w:p>
    <w:p w14:paraId="6B0BA374">
      <w:pPr>
        <w:wordWrap/>
        <w:adjustRightInd w:val="0"/>
        <w:spacing w:before="157" w:beforeLines="50" w:line="560" w:lineRule="exact"/>
        <w:textAlignment w:val="baseline"/>
        <w:outlineLvl w:val="9"/>
        <w:rPr>
          <w:rFonts w:hint="eastAsia" w:ascii="仿宋_GB2312" w:hAnsi="仿宋_GB2312" w:eastAsia="仿宋_GB2312" w:cs="仿宋_GB2312"/>
          <w:b/>
          <w:bCs/>
          <w:color w:val="auto"/>
          <w:sz w:val="32"/>
          <w:szCs w:val="32"/>
          <w:lang w:eastAsia="zh-CN"/>
        </w:rPr>
      </w:pPr>
      <w:bookmarkStart w:id="320" w:name="_Toc29803_WPSOffice_Level2"/>
      <w:bookmarkStart w:id="321" w:name="_Toc19521_WPSOffice_Level2"/>
      <w:r>
        <w:rPr>
          <w:rFonts w:hint="eastAsia" w:ascii="仿宋_GB2312" w:hAnsi="仿宋_GB2312" w:eastAsia="仿宋_GB2312" w:cs="仿宋_GB2312"/>
          <w:b/>
          <w:bCs/>
          <w:color w:val="auto"/>
          <w:sz w:val="32"/>
          <w:szCs w:val="32"/>
        </w:rPr>
        <w:t>采购项目编号:</w:t>
      </w:r>
      <w:bookmarkEnd w:id="320"/>
      <w:bookmarkEnd w:id="321"/>
    </w:p>
    <w:p w14:paraId="596E5E58">
      <w:pPr>
        <w:wordWrap/>
        <w:spacing w:before="157" w:beforeLines="50" w:line="560" w:lineRule="exact"/>
        <w:ind w:left="2530" w:hanging="2249" w:hangingChars="700"/>
        <w:jc w:val="left"/>
        <w:outlineLvl w:val="9"/>
        <w:rPr>
          <w:rFonts w:hint="eastAsia" w:ascii="仿宋_GB2312" w:hAnsi="仿宋_GB2312" w:eastAsia="仿宋_GB2312" w:cs="仿宋_GB2312"/>
          <w:b/>
          <w:bCs/>
          <w:color w:val="auto"/>
          <w:sz w:val="32"/>
          <w:szCs w:val="32"/>
        </w:rPr>
      </w:pPr>
      <w:bookmarkStart w:id="322" w:name="_Toc14786_WPSOffice_Level2"/>
      <w:bookmarkStart w:id="323" w:name="_Toc18713_WPSOffice_Level2"/>
      <w:r>
        <w:rPr>
          <w:rFonts w:hint="eastAsia" w:ascii="仿宋_GB2312" w:hAnsi="仿宋_GB2312" w:eastAsia="仿宋_GB2312" w:cs="仿宋_GB2312"/>
          <w:b/>
          <w:bCs/>
          <w:color w:val="auto"/>
          <w:sz w:val="32"/>
          <w:szCs w:val="32"/>
        </w:rPr>
        <w:t>采购项目名称:</w:t>
      </w:r>
      <w:bookmarkEnd w:id="322"/>
      <w:bookmarkEnd w:id="323"/>
      <w:r>
        <w:rPr>
          <w:rFonts w:hint="eastAsia" w:ascii="仿宋_GB2312" w:hAnsi="仿宋_GB2312" w:eastAsia="仿宋_GB2312" w:cs="仿宋_GB2312"/>
          <w:b/>
          <w:bCs/>
          <w:color w:val="auto"/>
          <w:sz w:val="32"/>
          <w:szCs w:val="32"/>
        </w:rPr>
        <w:t xml:space="preserve"> </w:t>
      </w:r>
    </w:p>
    <w:p w14:paraId="1C15BE38">
      <w:pPr>
        <w:wordWrap/>
        <w:spacing w:before="157" w:beforeLines="50" w:line="560" w:lineRule="exact"/>
        <w:ind w:left="2530" w:hanging="2249" w:hangingChars="700"/>
        <w:jc w:val="left"/>
        <w:outlineLvl w:val="9"/>
        <w:rPr>
          <w:rFonts w:hint="eastAsia" w:ascii="仿宋_GB2312" w:hAnsi="仿宋_GB2312" w:eastAsia="仿宋_GB2312" w:cs="仿宋_GB2312"/>
          <w:b/>
          <w:bCs/>
          <w:color w:val="auto"/>
          <w:sz w:val="32"/>
          <w:szCs w:val="32"/>
          <w:lang w:eastAsia="zh-CN"/>
        </w:rPr>
      </w:pPr>
      <w:bookmarkStart w:id="324" w:name="_Toc22044_WPSOffice_Level2"/>
      <w:bookmarkStart w:id="325" w:name="_Toc14087_WPSOffice_Level2"/>
      <w:r>
        <w:rPr>
          <w:rFonts w:hint="eastAsia" w:ascii="仿宋_GB2312" w:hAnsi="仿宋_GB2312" w:eastAsia="仿宋_GB2312" w:cs="仿宋_GB2312"/>
          <w:b/>
          <w:bCs/>
          <w:color w:val="auto"/>
          <w:sz w:val="32"/>
          <w:szCs w:val="32"/>
          <w:lang w:eastAsia="zh-CN"/>
        </w:rPr>
        <w:t>供应商名称：</w:t>
      </w:r>
      <w:bookmarkEnd w:id="324"/>
      <w:bookmarkEnd w:id="325"/>
    </w:p>
    <w:p w14:paraId="33C93573">
      <w:pPr>
        <w:wordWrap/>
        <w:spacing w:before="157" w:beforeLines="50" w:line="560" w:lineRule="exact"/>
        <w:jc w:val="center"/>
        <w:outlineLvl w:val="9"/>
        <w:rPr>
          <w:rFonts w:hint="eastAsia" w:ascii="仿宋_GB2312" w:hAnsi="仿宋_GB2312" w:eastAsia="仿宋_GB2312" w:cs="仿宋_GB2312"/>
          <w:b/>
          <w:bCs/>
          <w:color w:val="auto"/>
          <w:sz w:val="32"/>
          <w:szCs w:val="32"/>
        </w:rPr>
      </w:pPr>
    </w:p>
    <w:p w14:paraId="323C6CBA">
      <w:pPr>
        <w:wordWrap/>
        <w:spacing w:before="157" w:beforeLines="50" w:line="560" w:lineRule="exact"/>
        <w:jc w:val="center"/>
        <w:outlineLvl w:val="9"/>
        <w:rPr>
          <w:rFonts w:hint="eastAsia" w:ascii="仿宋_GB2312" w:hAnsi="仿宋_GB2312" w:eastAsia="仿宋_GB2312" w:cs="仿宋_GB2312"/>
          <w:b/>
          <w:color w:val="auto"/>
          <w:sz w:val="32"/>
          <w:szCs w:val="32"/>
        </w:rPr>
      </w:pPr>
      <w:bookmarkStart w:id="326" w:name="_Toc1142_WPSOffice_Level3"/>
      <w:r>
        <w:rPr>
          <w:rFonts w:hint="eastAsia" w:ascii="仿宋_GB2312" w:hAnsi="仿宋_GB2312" w:eastAsia="仿宋_GB2312" w:cs="仿宋_GB2312"/>
          <w:b/>
          <w:color w:val="auto"/>
          <w:sz w:val="32"/>
          <w:szCs w:val="32"/>
        </w:rPr>
        <w:t>年  月  日</w:t>
      </w:r>
      <w:bookmarkEnd w:id="326"/>
    </w:p>
    <w:p w14:paraId="6538DD63">
      <w:pPr>
        <w:widowControl/>
        <w:wordWrap/>
        <w:snapToGrid w:val="0"/>
        <w:spacing w:before="157" w:beforeLines="50" w:line="560" w:lineRule="exact"/>
        <w:jc w:val="left"/>
        <w:outlineLvl w:val="9"/>
        <w:rPr>
          <w:rFonts w:hint="eastAsia" w:ascii="宋体"/>
          <w:b/>
          <w:color w:val="auto"/>
          <w:sz w:val="28"/>
          <w:szCs w:val="28"/>
        </w:rPr>
      </w:pPr>
    </w:p>
    <w:p w14:paraId="2B326EC0">
      <w:pPr>
        <w:widowControl/>
        <w:wordWrap/>
        <w:snapToGrid w:val="0"/>
        <w:spacing w:before="157" w:beforeLines="50" w:line="560" w:lineRule="exact"/>
        <w:jc w:val="left"/>
        <w:outlineLvl w:val="2"/>
        <w:rPr>
          <w:rFonts w:hint="eastAsia" w:ascii="宋体"/>
          <w:b/>
          <w:color w:val="auto"/>
          <w:sz w:val="28"/>
          <w:szCs w:val="28"/>
        </w:rPr>
      </w:pPr>
      <w:r>
        <w:rPr>
          <w:rFonts w:ascii="宋体"/>
          <w:b/>
          <w:color w:val="auto"/>
          <w:sz w:val="28"/>
          <w:szCs w:val="28"/>
        </w:rPr>
        <w:br w:type="page"/>
      </w:r>
      <w:bookmarkStart w:id="327" w:name="_Toc27578"/>
      <w:bookmarkStart w:id="328" w:name="_Toc27597"/>
      <w:bookmarkStart w:id="329" w:name="_Toc32479_WPSOffice_Level3"/>
      <w:bookmarkStart w:id="330" w:name="_Toc19203"/>
      <w:bookmarkStart w:id="331" w:name="_Toc27464"/>
      <w:r>
        <w:rPr>
          <w:rFonts w:hint="eastAsia" w:ascii="楷体_GB2312" w:hAnsi="楷体_GB2312" w:eastAsia="楷体_GB2312" w:cs="楷体_GB2312"/>
          <w:b/>
          <w:color w:val="auto"/>
          <w:sz w:val="32"/>
          <w:szCs w:val="32"/>
          <w:lang w:eastAsia="zh-CN"/>
        </w:rPr>
        <w:t>附件1：响应函</w:t>
      </w:r>
      <w:bookmarkEnd w:id="327"/>
      <w:bookmarkEnd w:id="328"/>
      <w:bookmarkEnd w:id="329"/>
      <w:bookmarkEnd w:id="330"/>
      <w:bookmarkEnd w:id="331"/>
    </w:p>
    <w:p w14:paraId="0B2EA680">
      <w:pPr>
        <w:widowControl w:val="0"/>
        <w:wordWrap/>
        <w:spacing w:before="157" w:beforeLines="50" w:line="560" w:lineRule="exact"/>
        <w:ind w:firstLine="3710" w:firstLineChars="1155"/>
        <w:jc w:val="both"/>
        <w:textAlignment w:val="auto"/>
        <w:outlineLvl w:val="9"/>
        <w:rPr>
          <w:rFonts w:hint="eastAsia" w:ascii="仿宋_GB2312" w:hAnsi="仿宋_GB2312" w:eastAsia="仿宋_GB2312" w:cs="仿宋_GB2312"/>
          <w:b/>
          <w:color w:val="auto"/>
          <w:sz w:val="32"/>
          <w:szCs w:val="32"/>
        </w:rPr>
      </w:pPr>
      <w:bookmarkStart w:id="332" w:name="_Toc24288_WPSOffice_Level2"/>
      <w:bookmarkStart w:id="333" w:name="_Toc22598_WPSOffice_Level2"/>
      <w:r>
        <w:rPr>
          <w:rFonts w:hint="eastAsia" w:ascii="仿宋_GB2312" w:hAnsi="仿宋_GB2312" w:eastAsia="仿宋_GB2312" w:cs="仿宋_GB2312"/>
          <w:b/>
          <w:color w:val="auto"/>
          <w:sz w:val="32"/>
          <w:szCs w:val="32"/>
          <w:lang w:eastAsia="zh-CN"/>
        </w:rPr>
        <w:t>响</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lang w:eastAsia="zh-CN"/>
        </w:rPr>
        <w:t>应</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函</w:t>
      </w:r>
      <w:bookmarkEnd w:id="332"/>
      <w:bookmarkEnd w:id="333"/>
    </w:p>
    <w:p w14:paraId="77A3B0C3">
      <w:pPr>
        <w:widowControl w:val="0"/>
        <w:wordWrap/>
        <w:adjustRightInd w:val="0"/>
        <w:snapToGrid w:val="0"/>
        <w:spacing w:line="560" w:lineRule="exact"/>
        <w:textAlignment w:val="auto"/>
        <w:outlineLvl w:val="9"/>
        <w:rPr>
          <w:rFonts w:hint="eastAsia" w:ascii="仿宋_GB2312" w:hAnsi="仿宋_GB2312" w:eastAsia="仿宋_GB2312" w:cs="仿宋_GB2312"/>
          <w:b w:val="0"/>
          <w:bCs w:val="0"/>
          <w:color w:val="auto"/>
          <w:sz w:val="32"/>
          <w:szCs w:val="32"/>
        </w:rPr>
      </w:pPr>
      <w:bookmarkStart w:id="334" w:name="_Toc16867_WPSOffice_Level2"/>
      <w:r>
        <w:rPr>
          <w:rFonts w:hint="eastAsia" w:ascii="仿宋_GB2312" w:hAnsi="仿宋_GB2312" w:eastAsia="仿宋_GB2312" w:cs="仿宋_GB2312"/>
          <w:b w:val="0"/>
          <w:bCs w:val="0"/>
          <w:color w:val="auto"/>
          <w:sz w:val="32"/>
          <w:szCs w:val="32"/>
        </w:rPr>
        <w:t>致：</w:t>
      </w:r>
      <w:r>
        <w:rPr>
          <w:rFonts w:hint="eastAsia" w:ascii="仿宋_GB2312" w:hAnsi="仿宋_GB2312" w:eastAsia="仿宋_GB2312" w:cs="仿宋_GB2312"/>
          <w:b w:val="0"/>
          <w:bCs w:val="0"/>
          <w:color w:val="auto"/>
          <w:sz w:val="32"/>
          <w:szCs w:val="32"/>
          <w:u w:val="single"/>
          <w:lang w:eastAsia="zh-CN"/>
        </w:rPr>
        <w:t>（代理机构名称）</w:t>
      </w:r>
      <w:bookmarkEnd w:id="334"/>
    </w:p>
    <w:p w14:paraId="795960B6">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我们收到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lang w:val="en-US" w:eastAsia="zh-CN"/>
        </w:rPr>
        <w:t>（项目名称及编号）</w:t>
      </w:r>
      <w:r>
        <w:rPr>
          <w:rFonts w:hint="eastAsia" w:ascii="仿宋_GB2312" w:hAnsi="仿宋_GB2312" w:eastAsia="仿宋_GB2312" w:cs="仿宋_GB2312"/>
          <w:color w:val="auto"/>
          <w:sz w:val="32"/>
          <w:szCs w:val="32"/>
        </w:rPr>
        <w:t xml:space="preserve">谈判文件，经研究，法定代表人（姓名、职务）正式授权（委托代理人姓名、职务）代表供应商（供应商名称、地址）提交谈判响应文件。    </w:t>
      </w:r>
    </w:p>
    <w:p w14:paraId="1E1FE3DB">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据此函，签字代表宣布同意如下：</w:t>
      </w:r>
    </w:p>
    <w:p w14:paraId="71DBECC0">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1、我方已详阅谈判文件的全部内容，包括澄清、修改条款等有关附件，承诺对其完全理解并接受。</w:t>
      </w:r>
    </w:p>
    <w:p w14:paraId="5AAF0D2B">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响应文件有效期：自谈判提交响应文件截止之日起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天。</w:t>
      </w:r>
      <w:r>
        <w:rPr>
          <w:rFonts w:hint="eastAsia" w:ascii="仿宋_GB2312" w:hAnsi="仿宋_GB2312" w:eastAsia="仿宋_GB2312" w:cs="仿宋_GB2312"/>
          <w:color w:val="auto"/>
          <w:sz w:val="32"/>
          <w:szCs w:val="32"/>
        </w:rPr>
        <w:t>我方在</w:t>
      </w:r>
      <w:r>
        <w:rPr>
          <w:rFonts w:hint="eastAsia" w:ascii="仿宋_GB2312" w:hAnsi="仿宋_GB2312" w:eastAsia="仿宋_GB2312" w:cs="仿宋_GB2312"/>
          <w:color w:val="auto"/>
          <w:sz w:val="32"/>
          <w:szCs w:val="32"/>
          <w:lang w:eastAsia="zh-CN"/>
        </w:rPr>
        <w:t>响应文件</w:t>
      </w:r>
      <w:r>
        <w:rPr>
          <w:rFonts w:hint="eastAsia" w:ascii="仿宋_GB2312" w:hAnsi="仿宋_GB2312" w:eastAsia="仿宋_GB2312" w:cs="仿宋_GB2312"/>
          <w:color w:val="auto"/>
          <w:sz w:val="32"/>
          <w:szCs w:val="32"/>
        </w:rPr>
        <w:t>有效期内撤回或成交后不签约的，</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保证金将被贵方没收。</w:t>
      </w:r>
    </w:p>
    <w:p w14:paraId="794DB4C9">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3、我方同意按照贵方要求提供与</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有关的一切数据或资料，理解并接受贵方制定的评标办法。</w:t>
      </w:r>
    </w:p>
    <w:p w14:paraId="79C605AC">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4、与本</w:t>
      </w:r>
      <w:r>
        <w:rPr>
          <w:rFonts w:hint="eastAsia" w:ascii="仿宋_GB2312" w:hAnsi="仿宋_GB2312" w:eastAsia="仿宋_GB2312" w:cs="仿宋_GB2312"/>
          <w:color w:val="auto"/>
          <w:sz w:val="32"/>
          <w:szCs w:val="32"/>
          <w:lang w:eastAsia="zh-CN"/>
        </w:rPr>
        <w:t>次竞争性谈判</w:t>
      </w:r>
      <w:r>
        <w:rPr>
          <w:rFonts w:hint="eastAsia" w:ascii="仿宋_GB2312" w:hAnsi="仿宋_GB2312" w:eastAsia="仿宋_GB2312" w:cs="仿宋_GB2312"/>
          <w:color w:val="auto"/>
          <w:sz w:val="32"/>
          <w:szCs w:val="32"/>
        </w:rPr>
        <w:t>有关的一切正式往来通讯请寄：</w:t>
      </w:r>
    </w:p>
    <w:p w14:paraId="60BF4468">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地址：_______________   邮编：______________</w:t>
      </w:r>
    </w:p>
    <w:p w14:paraId="04985628">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电话：_______________   传真：______________</w:t>
      </w:r>
    </w:p>
    <w:p w14:paraId="4DBA1B96">
      <w:pPr>
        <w:widowControl w:val="0"/>
        <w:wordWrap/>
        <w:adjustRightInd w:val="0"/>
        <w:snapToGrid w:val="0"/>
        <w:spacing w:line="560" w:lineRule="exact"/>
        <w:ind w:firstLine="640" w:firstLineChars="200"/>
        <w:textAlignment w:val="auto"/>
        <w:outlineLvl w:val="9"/>
        <w:rPr>
          <w:rFonts w:hint="eastAsia" w:ascii="仿宋_GB2312" w:hAnsi="宋体" w:eastAsia="仿宋_GB2312"/>
          <w:color w:val="auto"/>
          <w:sz w:val="28"/>
          <w:szCs w:val="28"/>
        </w:rPr>
      </w:pPr>
      <w:r>
        <w:rPr>
          <w:rFonts w:hint="eastAsia" w:ascii="仿宋_GB2312" w:hAnsi="仿宋_GB2312" w:eastAsia="仿宋_GB2312" w:cs="仿宋_GB2312"/>
          <w:color w:val="auto"/>
          <w:sz w:val="32"/>
          <w:szCs w:val="32"/>
        </w:rPr>
        <w:t>法定代表人姓名： ___________ 职务：_________</w:t>
      </w:r>
    </w:p>
    <w:p w14:paraId="493CDC1C">
      <w:pPr>
        <w:wordWrap/>
        <w:spacing w:before="157" w:beforeLines="50" w:line="560" w:lineRule="exact"/>
        <w:ind w:firstLine="560" w:firstLineChars="200"/>
        <w:jc w:val="center"/>
        <w:outlineLvl w:val="9"/>
        <w:rPr>
          <w:rFonts w:hint="eastAsia" w:ascii="仿宋_GB2312" w:hAnsi="仿宋_GB2312" w:eastAsia="仿宋_GB2312" w:cs="仿宋_GB2312"/>
          <w:b w:val="0"/>
          <w:bCs/>
          <w:color w:val="auto"/>
          <w:sz w:val="32"/>
          <w:szCs w:val="32"/>
        </w:rPr>
      </w:pPr>
      <w:r>
        <w:rPr>
          <w:rFonts w:hint="eastAsia" w:ascii="仿宋_GB2312" w:hAnsi="宋体" w:eastAsia="仿宋_GB2312"/>
          <w:color w:val="auto"/>
          <w:sz w:val="28"/>
          <w:szCs w:val="28"/>
        </w:rPr>
        <w:t xml:space="preserve">         </w:t>
      </w:r>
      <w:r>
        <w:rPr>
          <w:rFonts w:hint="eastAsia" w:ascii="宋体" w:hAnsi="宋体"/>
          <w:b/>
          <w:color w:val="auto"/>
          <w:sz w:val="24"/>
        </w:rPr>
        <w:t xml:space="preserve">  </w:t>
      </w:r>
      <w:r>
        <w:rPr>
          <w:rFonts w:hint="eastAsia" w:ascii="仿宋_GB2312" w:hAnsi="仿宋_GB2312" w:eastAsia="仿宋_GB2312" w:cs="仿宋_GB2312"/>
          <w:b w:val="0"/>
          <w:bCs/>
          <w:color w:val="auto"/>
          <w:sz w:val="32"/>
          <w:szCs w:val="32"/>
        </w:rPr>
        <w:t xml:space="preserve">  </w:t>
      </w:r>
      <w:bookmarkStart w:id="335" w:name="_Toc1506_WPSOffice_Level3"/>
      <w:r>
        <w:rPr>
          <w:rFonts w:hint="eastAsia" w:ascii="仿宋_GB2312" w:hAnsi="仿宋_GB2312" w:eastAsia="仿宋_GB2312" w:cs="仿宋_GB2312"/>
          <w:b w:val="0"/>
          <w:bCs/>
          <w:color w:val="auto"/>
          <w:sz w:val="32"/>
          <w:szCs w:val="32"/>
          <w:lang w:val="en-US" w:eastAsia="zh-CN"/>
        </w:rPr>
        <w:t xml:space="preserve">               </w:t>
      </w:r>
      <w:bookmarkStart w:id="336" w:name="_Toc28112_WPSOffice_Level3"/>
      <w:r>
        <w:rPr>
          <w:rFonts w:hint="eastAsia" w:ascii="仿宋_GB2312" w:hAnsi="仿宋_GB2312" w:eastAsia="仿宋_GB2312" w:cs="仿宋_GB2312"/>
          <w:b w:val="0"/>
          <w:bCs/>
          <w:color w:val="auto"/>
          <w:sz w:val="32"/>
          <w:szCs w:val="32"/>
          <w:lang w:eastAsia="zh-CN"/>
        </w:rPr>
        <w:t>单</w:t>
      </w:r>
      <w:r>
        <w:rPr>
          <w:rFonts w:hint="eastAsia" w:ascii="仿宋_GB2312" w:hAnsi="仿宋_GB2312" w:eastAsia="仿宋_GB2312" w:cs="仿宋_GB2312"/>
          <w:b w:val="0"/>
          <w:bCs/>
          <w:color w:val="auto"/>
          <w:sz w:val="32"/>
          <w:szCs w:val="32"/>
        </w:rPr>
        <w:t>位</w:t>
      </w:r>
      <w:r>
        <w:rPr>
          <w:rFonts w:hint="eastAsia" w:ascii="仿宋_GB2312" w:hAnsi="仿宋_GB2312" w:eastAsia="仿宋_GB2312" w:cs="仿宋_GB2312"/>
          <w:b w:val="0"/>
          <w:bCs/>
          <w:color w:val="auto"/>
          <w:sz w:val="32"/>
          <w:szCs w:val="32"/>
          <w:lang w:eastAsia="zh-CN"/>
        </w:rPr>
        <w:t>名称</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（公章）</w:t>
      </w:r>
      <w:bookmarkEnd w:id="335"/>
      <w:bookmarkEnd w:id="336"/>
    </w:p>
    <w:p w14:paraId="7A8009A8">
      <w:pPr>
        <w:wordWrap/>
        <w:spacing w:before="157" w:beforeLines="50" w:line="560" w:lineRule="exact"/>
        <w:ind w:firstLine="640" w:firstLineChars="200"/>
        <w:jc w:val="center"/>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w:t>
      </w:r>
      <w:bookmarkStart w:id="337" w:name="_Toc6385_WPSOffice_Level3"/>
      <w:bookmarkStart w:id="338" w:name="_Toc28651_WPSOffice_Level3"/>
      <w:r>
        <w:rPr>
          <w:rFonts w:hint="eastAsia" w:ascii="仿宋_GB2312" w:hAnsi="仿宋_GB2312" w:eastAsia="仿宋_GB2312" w:cs="仿宋_GB2312"/>
          <w:b w:val="0"/>
          <w:bCs/>
          <w:color w:val="auto"/>
          <w:sz w:val="32"/>
          <w:szCs w:val="32"/>
        </w:rPr>
        <w:t>法定代表人或委托代理人：</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（签字或盖章）</w:t>
      </w:r>
      <w:bookmarkEnd w:id="337"/>
      <w:bookmarkEnd w:id="338"/>
    </w:p>
    <w:p w14:paraId="5298E5E4">
      <w:pPr>
        <w:wordWrap/>
        <w:spacing w:before="157" w:beforeLines="50" w:line="560" w:lineRule="exact"/>
        <w:ind w:firstLine="640" w:firstLineChars="200"/>
        <w:jc w:val="center"/>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 xml:space="preserve">   </w:t>
      </w:r>
      <w:bookmarkStart w:id="339" w:name="_Toc13325_WPSOffice_Level3"/>
      <w:bookmarkStart w:id="340" w:name="_Toc130_WPSOffice_Level3"/>
      <w:r>
        <w:rPr>
          <w:rFonts w:hint="eastAsia" w:ascii="仿宋_GB2312" w:hAnsi="仿宋_GB2312" w:eastAsia="仿宋_GB2312" w:cs="仿宋_GB2312"/>
          <w:b w:val="0"/>
          <w:bCs/>
          <w:color w:val="auto"/>
          <w:sz w:val="32"/>
          <w:szCs w:val="32"/>
        </w:rPr>
        <w:t>年   月  日</w:t>
      </w:r>
      <w:bookmarkEnd w:id="339"/>
      <w:bookmarkEnd w:id="340"/>
    </w:p>
    <w:p w14:paraId="7A25F7EC">
      <w:pPr>
        <w:widowControl/>
        <w:wordWrap/>
        <w:snapToGrid w:val="0"/>
        <w:spacing w:before="157" w:beforeLines="50" w:line="560" w:lineRule="exact"/>
        <w:jc w:val="left"/>
        <w:outlineLvl w:val="2"/>
        <w:rPr>
          <w:rFonts w:hint="eastAsia" w:ascii="楷体_GB2312" w:hAnsi="楷体_GB2312" w:eastAsia="楷体_GB2312" w:cs="楷体_GB2312"/>
          <w:b/>
          <w:color w:val="auto"/>
          <w:sz w:val="32"/>
          <w:szCs w:val="32"/>
          <w:lang w:eastAsia="zh-CN"/>
        </w:rPr>
      </w:pPr>
      <w:bookmarkStart w:id="341" w:name="_Toc20882_WPSOffice_Level3"/>
      <w:bookmarkStart w:id="342" w:name="_Toc3082"/>
      <w:bookmarkStart w:id="343" w:name="_Toc9845"/>
      <w:bookmarkStart w:id="344" w:name="_Toc26257_WPSOffice_Level2"/>
      <w:bookmarkStart w:id="345" w:name="_Toc12487"/>
      <w:bookmarkStart w:id="346" w:name="_Toc16050"/>
      <w:bookmarkStart w:id="347" w:name="_Toc17887_WPSOffice_Level2"/>
    </w:p>
    <w:p w14:paraId="6D1D3852">
      <w:pPr>
        <w:widowControl/>
        <w:wordWrap/>
        <w:snapToGrid w:val="0"/>
        <w:spacing w:before="157" w:beforeLines="50" w:line="560" w:lineRule="exact"/>
        <w:jc w:val="left"/>
        <w:outlineLvl w:val="2"/>
        <w:rPr>
          <w:rFonts w:hint="eastAsia" w:ascii="宋体" w:hAnsi="宋体"/>
          <w:b/>
          <w:bCs/>
          <w:color w:val="auto"/>
          <w:sz w:val="36"/>
          <w:szCs w:val="36"/>
        </w:rPr>
      </w:pPr>
      <w:r>
        <w:rPr>
          <w:rFonts w:hint="eastAsia" w:ascii="楷体_GB2312" w:hAnsi="楷体_GB2312" w:eastAsia="楷体_GB2312" w:cs="楷体_GB2312"/>
          <w:b/>
          <w:color w:val="auto"/>
          <w:sz w:val="32"/>
          <w:szCs w:val="32"/>
          <w:lang w:eastAsia="zh-CN"/>
        </w:rPr>
        <w:t>附件2：法定代表人证明书</w:t>
      </w:r>
      <w:bookmarkEnd w:id="341"/>
      <w:bookmarkEnd w:id="342"/>
      <w:bookmarkEnd w:id="343"/>
      <w:bookmarkEnd w:id="344"/>
      <w:bookmarkEnd w:id="345"/>
      <w:bookmarkEnd w:id="346"/>
      <w:bookmarkEnd w:id="347"/>
    </w:p>
    <w:p w14:paraId="7E309E64">
      <w:pPr>
        <w:widowControl w:val="0"/>
        <w:wordWrap/>
        <w:spacing w:before="157" w:beforeLines="50" w:line="560" w:lineRule="exact"/>
        <w:ind w:firstLine="2891" w:firstLineChars="900"/>
        <w:jc w:val="both"/>
        <w:textAlignment w:val="auto"/>
        <w:outlineLvl w:val="9"/>
        <w:rPr>
          <w:rFonts w:hint="eastAsia" w:ascii="仿宋_GB2312" w:hAnsi="仿宋_GB2312" w:eastAsia="仿宋_GB2312" w:cs="仿宋_GB2312"/>
          <w:b/>
          <w:color w:val="auto"/>
          <w:sz w:val="32"/>
          <w:szCs w:val="32"/>
          <w:lang w:eastAsia="zh-CN"/>
        </w:rPr>
      </w:pPr>
      <w:bookmarkStart w:id="348" w:name="_Toc32036_WPSOffice_Level1"/>
      <w:bookmarkStart w:id="349" w:name="_Toc28170_WPSOffice_Level2"/>
      <w:bookmarkStart w:id="350" w:name="_Toc14917_WPSOffice_Level1"/>
      <w:bookmarkStart w:id="351" w:name="_Toc6898_WPSOffice_Level2"/>
      <w:r>
        <w:rPr>
          <w:rFonts w:hint="eastAsia" w:ascii="仿宋_GB2312" w:hAnsi="仿宋_GB2312" w:eastAsia="仿宋_GB2312" w:cs="仿宋_GB2312"/>
          <w:b/>
          <w:color w:val="auto"/>
          <w:sz w:val="32"/>
          <w:szCs w:val="32"/>
          <w:lang w:eastAsia="zh-CN"/>
        </w:rPr>
        <w:t>法定代表人证明书</w:t>
      </w:r>
      <w:bookmarkEnd w:id="348"/>
      <w:bookmarkEnd w:id="349"/>
      <w:bookmarkEnd w:id="350"/>
      <w:bookmarkEnd w:id="351"/>
    </w:p>
    <w:p w14:paraId="3D576A9A">
      <w:pPr>
        <w:wordWrap/>
        <w:spacing w:before="157" w:beforeLines="50" w:line="560" w:lineRule="exact"/>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sz w:val="32"/>
          <w:szCs w:val="32"/>
        </w:rPr>
        <w:t>致：</w:t>
      </w:r>
      <w:r>
        <w:rPr>
          <w:rFonts w:hint="eastAsia" w:ascii="仿宋_GB2312" w:hAnsi="仿宋_GB2312" w:eastAsia="仿宋_GB2312" w:cs="仿宋_GB2312"/>
          <w:b w:val="0"/>
          <w:bCs w:val="0"/>
          <w:color w:val="auto"/>
          <w:sz w:val="32"/>
          <w:szCs w:val="32"/>
          <w:u w:val="single"/>
          <w:lang w:eastAsia="zh-CN"/>
        </w:rPr>
        <w:t>（代理机构名称）</w:t>
      </w:r>
    </w:p>
    <w:p w14:paraId="56777FF6">
      <w:pPr>
        <w:wordWrap/>
        <w:autoSpaceDE w:val="0"/>
        <w:autoSpaceDN w:val="0"/>
        <w:adjustRightInd w:val="0"/>
        <w:spacing w:before="157" w:beforeLines="50" w:line="560" w:lineRule="exact"/>
        <w:ind w:firstLine="640" w:firstLineChars="200"/>
        <w:jc w:val="left"/>
        <w:outlineLvl w:val="9"/>
        <w:rPr>
          <w:rFonts w:hint="eastAsia" w:ascii="仿宋_GB2312" w:hAnsi="仿宋_GB2312" w:eastAsia="仿宋_GB2312" w:cs="仿宋_GB2312"/>
          <w:b w:val="0"/>
          <w:bCs w:val="0"/>
          <w:color w:val="auto"/>
          <w:sz w:val="32"/>
          <w:szCs w:val="32"/>
          <w:u w:val="single"/>
        </w:rPr>
      </w:pPr>
      <w:r>
        <w:rPr>
          <w:rFonts w:hint="eastAsia" w:ascii="仿宋_GB2312" w:hAnsi="仿宋_GB2312" w:eastAsia="仿宋_GB2312" w:cs="仿宋_GB2312"/>
          <w:b w:val="0"/>
          <w:bCs w:val="0"/>
          <w:color w:val="auto"/>
          <w:sz w:val="32"/>
          <w:szCs w:val="32"/>
          <w:u w:val="single"/>
        </w:rPr>
        <w:t xml:space="preserve">  （法定代表人姓名）  </w:t>
      </w:r>
      <w:r>
        <w:rPr>
          <w:rFonts w:hint="eastAsia" w:ascii="仿宋_GB2312" w:hAnsi="仿宋_GB2312" w:eastAsia="仿宋_GB2312" w:cs="仿宋_GB2312"/>
          <w:b w:val="0"/>
          <w:bCs w:val="0"/>
          <w:color w:val="auto"/>
          <w:sz w:val="32"/>
          <w:szCs w:val="32"/>
        </w:rPr>
        <w:t>现任我单位</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rPr>
        <w:t>职务，为法定代表人，特此证明。</w:t>
      </w:r>
    </w:p>
    <w:p w14:paraId="30175157">
      <w:pPr>
        <w:wordWrap/>
        <w:autoSpaceDE w:val="0"/>
        <w:autoSpaceDN w:val="0"/>
        <w:adjustRightInd w:val="0"/>
        <w:spacing w:before="157" w:beforeLines="50" w:line="560" w:lineRule="exact"/>
        <w:ind w:firstLine="640" w:firstLineChars="200"/>
        <w:jc w:val="left"/>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法定代表人基本情况：</w:t>
      </w:r>
    </w:p>
    <w:p w14:paraId="71C3FA77">
      <w:pPr>
        <w:wordWrap/>
        <w:autoSpaceDE w:val="0"/>
        <w:autoSpaceDN w:val="0"/>
        <w:adjustRightInd w:val="0"/>
        <w:spacing w:before="157" w:beforeLines="50" w:line="560" w:lineRule="exact"/>
        <w:ind w:firstLine="640" w:firstLineChars="200"/>
        <w:jc w:val="left"/>
        <w:outlineLvl w:val="9"/>
        <w:rPr>
          <w:rFonts w:hint="eastAsia" w:ascii="仿宋_GB2312" w:hAnsi="仿宋_GB2312" w:eastAsia="仿宋_GB2312" w:cs="仿宋_GB2312"/>
          <w:b w:val="0"/>
          <w:bCs w:val="0"/>
          <w:color w:val="auto"/>
          <w:sz w:val="32"/>
          <w:szCs w:val="32"/>
          <w:u w:val="single"/>
        </w:rPr>
      </w:pPr>
      <w:r>
        <w:rPr>
          <w:rFonts w:hint="eastAsia" w:ascii="仿宋_GB2312" w:hAnsi="仿宋_GB2312" w:eastAsia="仿宋_GB2312" w:cs="仿宋_GB2312"/>
          <w:b w:val="0"/>
          <w:bCs w:val="0"/>
          <w:color w:val="auto"/>
          <w:sz w:val="32"/>
          <w:szCs w:val="32"/>
        </w:rPr>
        <w:t>性别：</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rPr>
        <w:t>年龄：</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rPr>
        <w:t>民族：</w:t>
      </w:r>
      <w:r>
        <w:rPr>
          <w:rFonts w:hint="eastAsia" w:ascii="仿宋_GB2312" w:hAnsi="仿宋_GB2312" w:eastAsia="仿宋_GB2312" w:cs="仿宋_GB2312"/>
          <w:b w:val="0"/>
          <w:bCs w:val="0"/>
          <w:color w:val="auto"/>
          <w:sz w:val="32"/>
          <w:szCs w:val="32"/>
          <w:u w:val="single"/>
        </w:rPr>
        <w:t xml:space="preserve">     </w:t>
      </w:r>
    </w:p>
    <w:p w14:paraId="1DC8D8E5">
      <w:pPr>
        <w:wordWrap/>
        <w:autoSpaceDE w:val="0"/>
        <w:autoSpaceDN w:val="0"/>
        <w:adjustRightInd w:val="0"/>
        <w:spacing w:before="157" w:beforeLines="50" w:line="560" w:lineRule="exact"/>
        <w:ind w:firstLine="640" w:firstLineChars="200"/>
        <w:jc w:val="left"/>
        <w:outlineLvl w:val="9"/>
        <w:rPr>
          <w:rFonts w:hint="eastAsia" w:ascii="仿宋_GB2312" w:hAnsi="仿宋_GB2312" w:eastAsia="仿宋_GB2312" w:cs="仿宋_GB2312"/>
          <w:b w:val="0"/>
          <w:bCs w:val="0"/>
          <w:color w:val="auto"/>
          <w:sz w:val="32"/>
          <w:szCs w:val="32"/>
          <w:u w:val="single"/>
        </w:rPr>
      </w:pPr>
      <w:r>
        <w:rPr>
          <w:rFonts w:hint="eastAsia" w:ascii="仿宋_GB2312" w:hAnsi="仿宋_GB2312" w:eastAsia="仿宋_GB2312" w:cs="仿宋_GB2312"/>
          <w:b w:val="0"/>
          <w:bCs w:val="0"/>
          <w:color w:val="auto"/>
          <w:sz w:val="32"/>
          <w:szCs w:val="32"/>
        </w:rPr>
        <w:t>地址：</w:t>
      </w:r>
      <w:r>
        <w:rPr>
          <w:rFonts w:hint="eastAsia" w:ascii="仿宋_GB2312" w:hAnsi="仿宋_GB2312" w:eastAsia="仿宋_GB2312" w:cs="仿宋_GB2312"/>
          <w:b w:val="0"/>
          <w:bCs w:val="0"/>
          <w:color w:val="auto"/>
          <w:sz w:val="32"/>
          <w:szCs w:val="32"/>
          <w:u w:val="single"/>
        </w:rPr>
        <w:t xml:space="preserve">                             </w:t>
      </w:r>
    </w:p>
    <w:p w14:paraId="4DE0E4D0">
      <w:pPr>
        <w:wordWrap/>
        <w:autoSpaceDE w:val="0"/>
        <w:autoSpaceDN w:val="0"/>
        <w:adjustRightInd w:val="0"/>
        <w:spacing w:before="157" w:beforeLines="50" w:line="560" w:lineRule="exact"/>
        <w:ind w:firstLine="640" w:firstLineChars="200"/>
        <w:jc w:val="left"/>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身份证号码：</w:t>
      </w:r>
      <w:r>
        <w:rPr>
          <w:rFonts w:hint="eastAsia" w:ascii="仿宋_GB2312" w:hAnsi="仿宋_GB2312" w:eastAsia="仿宋_GB2312" w:cs="仿宋_GB2312"/>
          <w:b w:val="0"/>
          <w:bCs w:val="0"/>
          <w:color w:val="auto"/>
          <w:sz w:val="32"/>
          <w:szCs w:val="32"/>
          <w:u w:val="single"/>
        </w:rPr>
        <w:t xml:space="preserve">                       </w:t>
      </w:r>
    </w:p>
    <w:p w14:paraId="4416B0D6">
      <w:pPr>
        <w:wordWrap/>
        <w:autoSpaceDE w:val="0"/>
        <w:autoSpaceDN w:val="0"/>
        <w:adjustRightInd w:val="0"/>
        <w:spacing w:before="157" w:beforeLines="50" w:line="560" w:lineRule="exact"/>
        <w:ind w:firstLine="640" w:firstLineChars="200"/>
        <w:jc w:val="left"/>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附法定代表人第二代身份证双面扫描</w:t>
      </w:r>
      <w:r>
        <w:rPr>
          <w:rFonts w:hint="eastAsia" w:ascii="仿宋_GB2312" w:hAnsi="仿宋_GB2312" w:eastAsia="仿宋_GB2312" w:cs="仿宋_GB2312"/>
          <w:b w:val="0"/>
          <w:bCs w:val="0"/>
          <w:color w:val="auto"/>
          <w:sz w:val="32"/>
          <w:szCs w:val="32"/>
          <w:lang w:eastAsia="zh-CN"/>
        </w:rPr>
        <w:t>或其他身份证明材料</w:t>
      </w:r>
      <w:r>
        <w:rPr>
          <w:rFonts w:hint="eastAsia" w:ascii="仿宋_GB2312" w:hAnsi="仿宋_GB2312" w:eastAsia="仿宋_GB2312" w:cs="仿宋_GB2312"/>
          <w:b w:val="0"/>
          <w:bCs w:val="0"/>
          <w:color w:val="auto"/>
          <w:sz w:val="32"/>
          <w:szCs w:val="32"/>
        </w:rPr>
        <w:t>（复印件</w:t>
      </w:r>
      <w:r>
        <w:rPr>
          <w:rFonts w:hint="eastAsia" w:ascii="仿宋_GB2312" w:hAnsi="仿宋_GB2312" w:eastAsia="仿宋_GB2312" w:cs="仿宋_GB2312"/>
          <w:color w:val="auto"/>
          <w:sz w:val="32"/>
          <w:szCs w:val="32"/>
          <w:lang w:eastAsia="zh-CN"/>
        </w:rPr>
        <w:t>）</w:t>
      </w:r>
    </w:p>
    <w:p w14:paraId="46E44CDC">
      <w:pPr>
        <w:wordWrap/>
        <w:autoSpaceDE w:val="0"/>
        <w:autoSpaceDN w:val="0"/>
        <w:adjustRightInd w:val="0"/>
        <w:spacing w:before="157" w:beforeLines="50" w:line="560" w:lineRule="exact"/>
        <w:ind w:firstLine="480" w:firstLineChars="200"/>
        <w:jc w:val="left"/>
        <w:outlineLvl w:val="9"/>
        <w:rPr>
          <w:rFonts w:hint="eastAsia" w:ascii="宋体" w:hAnsi="宋体" w:cs="宋体"/>
          <w:color w:val="auto"/>
          <w:kern w:val="0"/>
          <w:sz w:val="24"/>
        </w:rPr>
      </w:pPr>
    </w:p>
    <w:p w14:paraId="33703557">
      <w:pPr>
        <w:wordWrap/>
        <w:autoSpaceDE w:val="0"/>
        <w:autoSpaceDN w:val="0"/>
        <w:adjustRightInd w:val="0"/>
        <w:spacing w:before="157" w:beforeLines="50" w:line="560" w:lineRule="exact"/>
        <w:jc w:val="right"/>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单位</w:t>
      </w:r>
      <w:r>
        <w:rPr>
          <w:rFonts w:hint="eastAsia" w:ascii="仿宋_GB2312" w:hAnsi="仿宋_GB2312" w:eastAsia="仿宋_GB2312" w:cs="仿宋_GB2312"/>
          <w:b w:val="0"/>
          <w:bCs w:val="0"/>
          <w:color w:val="auto"/>
          <w:sz w:val="32"/>
          <w:szCs w:val="32"/>
          <w:lang w:eastAsia="zh-CN"/>
        </w:rPr>
        <w:t>名称</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rPr>
        <w:t>（公章）</w:t>
      </w:r>
    </w:p>
    <w:p w14:paraId="4529009E">
      <w:pPr>
        <w:widowControl w:val="0"/>
        <w:wordWrap/>
        <w:adjustRightInd/>
        <w:snapToGrid/>
        <w:spacing w:before="157" w:beforeLines="50" w:line="560" w:lineRule="exact"/>
        <w:ind w:firstLine="480" w:firstLineChars="200"/>
        <w:jc w:val="center"/>
        <w:textAlignment w:val="auto"/>
        <w:outlineLvl w:val="9"/>
        <w:rPr>
          <w:rFonts w:hint="eastAsia" w:ascii="仿宋_GB2312" w:hAnsi="仿宋_GB2312" w:eastAsia="仿宋_GB2312" w:cs="仿宋_GB2312"/>
          <w:b w:val="0"/>
          <w:bCs/>
          <w:color w:val="auto"/>
          <w:sz w:val="32"/>
          <w:szCs w:val="32"/>
        </w:rPr>
      </w:pPr>
      <w:r>
        <w:rPr>
          <w:rFonts w:hint="eastAsia" w:ascii="宋体" w:hAnsi="宋体"/>
          <w:color w:val="auto"/>
          <w:sz w:val="24"/>
        </w:rPr>
        <w:t xml:space="preserve">         </w:t>
      </w:r>
      <w:r>
        <w:rPr>
          <w:rFonts w:hint="eastAsia" w:ascii="仿宋_GB2312" w:hAnsi="仿宋_GB2312" w:eastAsia="仿宋_GB2312" w:cs="仿宋_GB2312"/>
          <w:b w:val="0"/>
          <w:bCs/>
          <w:color w:val="auto"/>
          <w:sz w:val="32"/>
          <w:szCs w:val="32"/>
        </w:rPr>
        <w:t xml:space="preserve">   法定代表人：</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（签字</w:t>
      </w:r>
      <w:r>
        <w:rPr>
          <w:rFonts w:hint="eastAsia" w:ascii="仿宋_GB2312" w:hAnsi="仿宋_GB2312" w:eastAsia="仿宋_GB2312" w:cs="仿宋_GB2312"/>
          <w:b w:val="0"/>
          <w:bCs/>
          <w:color w:val="auto"/>
          <w:sz w:val="32"/>
          <w:szCs w:val="32"/>
          <w:lang w:val="en-US" w:eastAsia="zh-CN"/>
        </w:rPr>
        <w:t>并</w:t>
      </w:r>
      <w:r>
        <w:rPr>
          <w:rFonts w:hint="eastAsia" w:ascii="仿宋_GB2312" w:hAnsi="仿宋_GB2312" w:eastAsia="仿宋_GB2312" w:cs="仿宋_GB2312"/>
          <w:b w:val="0"/>
          <w:bCs/>
          <w:color w:val="auto"/>
          <w:sz w:val="32"/>
          <w:szCs w:val="32"/>
        </w:rPr>
        <w:t>盖章）</w:t>
      </w:r>
    </w:p>
    <w:p w14:paraId="54A157C8">
      <w:pPr>
        <w:wordWrap/>
        <w:autoSpaceDE w:val="0"/>
        <w:autoSpaceDN w:val="0"/>
        <w:adjustRightInd w:val="0"/>
        <w:spacing w:before="157" w:beforeLines="50" w:line="560" w:lineRule="exact"/>
        <w:jc w:val="center"/>
        <w:outlineLvl w:val="9"/>
        <w:rPr>
          <w:rFonts w:hint="eastAsia" w:ascii="仿宋_GB2312" w:hAnsi="仿宋_GB2312" w:eastAsia="仿宋_GB2312" w:cs="仿宋_GB2312"/>
          <w:b w:val="0"/>
          <w:bCs w:val="0"/>
          <w:color w:val="auto"/>
          <w:sz w:val="32"/>
          <w:szCs w:val="32"/>
        </w:rPr>
      </w:pPr>
      <w:bookmarkStart w:id="352" w:name="_Toc10597_WPSOffice_Level3"/>
      <w:r>
        <w:rPr>
          <w:rFonts w:hint="eastAsia" w:ascii="仿宋_GB2312" w:hAnsi="仿宋_GB2312" w:eastAsia="仿宋_GB2312" w:cs="仿宋_GB2312"/>
          <w:b w:val="0"/>
          <w:bCs w:val="0"/>
          <w:color w:val="auto"/>
          <w:sz w:val="32"/>
          <w:szCs w:val="32"/>
          <w:lang w:val="en-US" w:eastAsia="zh-CN"/>
        </w:rPr>
        <w:t xml:space="preserve">                                       </w:t>
      </w:r>
      <w:bookmarkStart w:id="353" w:name="_Toc16117_WPSOffice_Level3"/>
      <w:r>
        <w:rPr>
          <w:rFonts w:hint="eastAsia" w:ascii="仿宋_GB2312" w:hAnsi="仿宋_GB2312" w:eastAsia="仿宋_GB2312" w:cs="仿宋_GB2312"/>
          <w:b w:val="0"/>
          <w:bCs w:val="0"/>
          <w:color w:val="auto"/>
          <w:sz w:val="32"/>
          <w:szCs w:val="32"/>
        </w:rPr>
        <w:t>年   月   日</w:t>
      </w:r>
      <w:bookmarkEnd w:id="352"/>
      <w:bookmarkEnd w:id="353"/>
    </w:p>
    <w:p w14:paraId="29E10956">
      <w:pPr>
        <w:wordWrap/>
        <w:spacing w:before="157" w:beforeLines="50" w:line="560" w:lineRule="exact"/>
        <w:ind w:right="480"/>
        <w:jc w:val="right"/>
        <w:outlineLvl w:val="9"/>
        <w:rPr>
          <w:rFonts w:hint="eastAsia" w:ascii="宋体"/>
          <w:b/>
          <w:color w:val="auto"/>
          <w:sz w:val="36"/>
          <w:szCs w:val="36"/>
        </w:rPr>
      </w:pPr>
    </w:p>
    <w:p w14:paraId="7529834E">
      <w:pPr>
        <w:wordWrap/>
        <w:spacing w:before="157" w:beforeLines="50" w:line="560" w:lineRule="exact"/>
        <w:jc w:val="right"/>
        <w:rPr>
          <w:rFonts w:hint="eastAsia" w:ascii="宋体"/>
          <w:b/>
          <w:color w:val="auto"/>
          <w:sz w:val="36"/>
          <w:szCs w:val="36"/>
        </w:rPr>
      </w:pPr>
    </w:p>
    <w:p w14:paraId="37974753">
      <w:pPr>
        <w:wordWrap/>
        <w:spacing w:before="157" w:beforeLines="50" w:line="560" w:lineRule="exact"/>
        <w:rPr>
          <w:rFonts w:hint="eastAsia" w:ascii="宋体"/>
          <w:b/>
          <w:color w:val="auto"/>
          <w:sz w:val="36"/>
          <w:szCs w:val="36"/>
        </w:rPr>
      </w:pPr>
    </w:p>
    <w:p w14:paraId="74E54F0C">
      <w:pPr>
        <w:wordWrap/>
        <w:spacing w:before="157" w:beforeLines="50" w:line="560" w:lineRule="exact"/>
        <w:rPr>
          <w:rFonts w:hint="eastAsia" w:ascii="宋体"/>
          <w:b/>
          <w:color w:val="auto"/>
          <w:sz w:val="36"/>
          <w:szCs w:val="36"/>
        </w:rPr>
      </w:pPr>
    </w:p>
    <w:p w14:paraId="324E8078">
      <w:pPr>
        <w:wordWrap/>
        <w:spacing w:before="157" w:beforeLines="50" w:line="560" w:lineRule="exact"/>
        <w:rPr>
          <w:rFonts w:hint="eastAsia" w:ascii="宋体"/>
          <w:b/>
          <w:color w:val="auto"/>
          <w:sz w:val="36"/>
          <w:szCs w:val="36"/>
        </w:rPr>
      </w:pPr>
    </w:p>
    <w:p w14:paraId="145FDB43">
      <w:pPr>
        <w:widowControl/>
        <w:wordWrap/>
        <w:snapToGrid w:val="0"/>
        <w:spacing w:before="157" w:beforeLines="50" w:line="560" w:lineRule="exact"/>
        <w:jc w:val="left"/>
        <w:outlineLvl w:val="2"/>
        <w:rPr>
          <w:rFonts w:hint="eastAsia" w:ascii="宋体" w:hAnsi="宋体"/>
          <w:b/>
          <w:color w:val="auto"/>
          <w:sz w:val="36"/>
          <w:szCs w:val="36"/>
        </w:rPr>
      </w:pPr>
      <w:bookmarkStart w:id="354" w:name="_Toc27782"/>
      <w:bookmarkStart w:id="355" w:name="_Toc31901"/>
      <w:bookmarkStart w:id="356" w:name="_Toc21545_WPSOffice_Level3"/>
      <w:bookmarkStart w:id="357" w:name="_Toc18183"/>
      <w:bookmarkStart w:id="358" w:name="_Toc23035_WPSOffice_Level2"/>
      <w:bookmarkStart w:id="359" w:name="_Toc23551"/>
      <w:r>
        <w:rPr>
          <w:rFonts w:hint="eastAsia" w:ascii="楷体_GB2312" w:hAnsi="楷体_GB2312" w:eastAsia="楷体_GB2312" w:cs="楷体_GB2312"/>
          <w:b/>
          <w:color w:val="auto"/>
          <w:sz w:val="32"/>
          <w:szCs w:val="32"/>
          <w:lang w:eastAsia="zh-CN"/>
        </w:rPr>
        <w:t>附件3：法定代表人授权书</w:t>
      </w:r>
      <w:bookmarkEnd w:id="354"/>
      <w:bookmarkEnd w:id="355"/>
      <w:bookmarkEnd w:id="356"/>
      <w:bookmarkEnd w:id="357"/>
      <w:bookmarkEnd w:id="358"/>
      <w:bookmarkEnd w:id="359"/>
    </w:p>
    <w:p w14:paraId="798603EE">
      <w:pPr>
        <w:widowControl w:val="0"/>
        <w:wordWrap/>
        <w:spacing w:before="157" w:beforeLines="50" w:line="560" w:lineRule="exact"/>
        <w:ind w:firstLine="2891" w:firstLineChars="900"/>
        <w:jc w:val="both"/>
        <w:textAlignment w:val="auto"/>
        <w:outlineLvl w:val="9"/>
        <w:rPr>
          <w:rFonts w:hint="eastAsia" w:ascii="仿宋_GB2312" w:hAnsi="仿宋_GB2312" w:eastAsia="仿宋_GB2312" w:cs="仿宋_GB2312"/>
          <w:b/>
          <w:color w:val="auto"/>
          <w:sz w:val="32"/>
          <w:szCs w:val="32"/>
          <w:lang w:eastAsia="zh-CN"/>
        </w:rPr>
      </w:pPr>
      <w:bookmarkStart w:id="360" w:name="_Toc5048_WPSOffice_Level2"/>
      <w:bookmarkStart w:id="361" w:name="_Toc1148_WPSOffice_Level3"/>
      <w:bookmarkStart w:id="362" w:name="_Toc26434_WPSOffice_Level2"/>
      <w:r>
        <w:rPr>
          <w:rFonts w:hint="eastAsia" w:ascii="仿宋_GB2312" w:hAnsi="仿宋_GB2312" w:eastAsia="仿宋_GB2312" w:cs="仿宋_GB2312"/>
          <w:b/>
          <w:color w:val="auto"/>
          <w:sz w:val="32"/>
          <w:szCs w:val="32"/>
          <w:lang w:eastAsia="zh-CN"/>
        </w:rPr>
        <w:t>法定代表人授权书</w:t>
      </w:r>
      <w:bookmarkEnd w:id="360"/>
      <w:bookmarkEnd w:id="361"/>
      <w:bookmarkEnd w:id="362"/>
    </w:p>
    <w:p w14:paraId="54A66B87">
      <w:pPr>
        <w:widowControl w:val="0"/>
        <w:wordWrap/>
        <w:adjustRightInd/>
        <w:snapToGrid/>
        <w:spacing w:line="560" w:lineRule="exact"/>
        <w:ind w:firstLine="263" w:firstLineChars="82"/>
        <w:textAlignment w:val="auto"/>
        <w:outlineLvl w:val="9"/>
        <w:rPr>
          <w:rFonts w:hint="eastAsia" w:ascii="仿宋_GB2312" w:hAnsi="仿宋_GB2312" w:eastAsia="仿宋_GB2312" w:cs="仿宋_GB2312"/>
          <w:color w:val="auto"/>
          <w:sz w:val="32"/>
          <w:szCs w:val="32"/>
          <w:u w:val="single"/>
        </w:rPr>
      </w:pPr>
      <w:bookmarkStart w:id="363" w:name="_Toc6307_WPSOffice_Level2"/>
      <w:bookmarkStart w:id="364" w:name="_Toc16084_WPSOffice_Level2"/>
      <w:bookmarkStart w:id="365" w:name="_Toc25306_WPSOffice_Level2"/>
      <w:r>
        <w:rPr>
          <w:rFonts w:hint="eastAsia" w:ascii="仿宋_GB2312" w:hAnsi="仿宋_GB2312" w:eastAsia="仿宋_GB2312" w:cs="仿宋_GB2312"/>
          <w:b/>
          <w:bCs/>
          <w:color w:val="auto"/>
          <w:sz w:val="32"/>
          <w:szCs w:val="32"/>
        </w:rPr>
        <w:t>致：</w:t>
      </w:r>
      <w:r>
        <w:rPr>
          <w:rFonts w:hint="eastAsia" w:ascii="仿宋_GB2312" w:hAnsi="仿宋_GB2312" w:eastAsia="仿宋_GB2312" w:cs="仿宋_GB2312"/>
          <w:b/>
          <w:bCs/>
          <w:color w:val="auto"/>
          <w:sz w:val="32"/>
          <w:szCs w:val="32"/>
          <w:u w:val="single"/>
          <w:lang w:eastAsia="zh-CN"/>
        </w:rPr>
        <w:t>（代理机构名称）</w:t>
      </w:r>
      <w:bookmarkEnd w:id="363"/>
      <w:bookmarkEnd w:id="364"/>
      <w:bookmarkEnd w:id="365"/>
    </w:p>
    <w:p w14:paraId="20070BB4">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（供应商名称）  </w:t>
      </w:r>
      <w:r>
        <w:rPr>
          <w:rFonts w:hint="eastAsia" w:ascii="仿宋_GB2312" w:hAnsi="仿宋_GB2312" w:eastAsia="仿宋_GB2312" w:cs="仿宋_GB2312"/>
          <w:color w:val="auto"/>
          <w:sz w:val="32"/>
          <w:szCs w:val="32"/>
        </w:rPr>
        <w:t>系中华人民共和国合法企业，法定地址</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1116BBA6">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（法定代表人姓名）   </w:t>
      </w:r>
      <w:r>
        <w:rPr>
          <w:rFonts w:hint="eastAsia" w:ascii="仿宋_GB2312" w:hAnsi="仿宋_GB2312" w:eastAsia="仿宋_GB2312" w:cs="仿宋_GB2312"/>
          <w:color w:val="auto"/>
          <w:sz w:val="32"/>
          <w:szCs w:val="32"/>
        </w:rPr>
        <w:t>特授权</w:t>
      </w:r>
      <w:r>
        <w:rPr>
          <w:rFonts w:hint="eastAsia" w:ascii="仿宋_GB2312" w:hAnsi="仿宋_GB2312" w:eastAsia="仿宋_GB2312" w:cs="仿宋_GB2312"/>
          <w:color w:val="auto"/>
          <w:sz w:val="32"/>
          <w:szCs w:val="32"/>
          <w:u w:val="single"/>
        </w:rPr>
        <w:t xml:space="preserve"> （委托代理人姓名）    </w:t>
      </w:r>
      <w:r>
        <w:rPr>
          <w:rFonts w:hint="eastAsia" w:ascii="仿宋_GB2312" w:hAnsi="仿宋_GB2312" w:eastAsia="仿宋_GB2312" w:cs="仿宋_GB2312"/>
          <w:color w:val="auto"/>
          <w:sz w:val="32"/>
          <w:szCs w:val="32"/>
        </w:rPr>
        <w:t>代表我单位全权办理针对</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项目的</w:t>
      </w:r>
      <w:r>
        <w:rPr>
          <w:rFonts w:hint="eastAsia" w:ascii="仿宋_GB2312" w:hAnsi="仿宋_GB2312" w:eastAsia="仿宋_GB2312" w:cs="仿宋_GB2312"/>
          <w:color w:val="auto"/>
          <w:sz w:val="32"/>
          <w:szCs w:val="32"/>
          <w:lang w:eastAsia="zh-CN"/>
        </w:rPr>
        <w:t>谈判、答疑</w:t>
      </w:r>
      <w:r>
        <w:rPr>
          <w:rFonts w:hint="eastAsia" w:ascii="仿宋_GB2312" w:hAnsi="仿宋_GB2312" w:eastAsia="仿宋_GB2312" w:cs="仿宋_GB2312"/>
          <w:color w:val="auto"/>
          <w:sz w:val="32"/>
          <w:szCs w:val="32"/>
        </w:rPr>
        <w:t>等具体工作，并签署全部有关的文件、资料。</w:t>
      </w:r>
    </w:p>
    <w:p w14:paraId="36818462">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我单位对被授权人的签名负全部责任。</w:t>
      </w:r>
    </w:p>
    <w:p w14:paraId="16E51608">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在撤销授权的书面通知以前，本授权书一直有效，被授权人签署的所有文件（在授权书有效期内签署的）不因授权的撤销而失效。</w:t>
      </w:r>
    </w:p>
    <w:p w14:paraId="626CCA22">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授权期限：自</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日起至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日止。</w:t>
      </w:r>
    </w:p>
    <w:p w14:paraId="526D070F">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被授权人联系电话：</w:t>
      </w:r>
      <w:r>
        <w:rPr>
          <w:rFonts w:hint="eastAsia" w:ascii="仿宋_GB2312" w:hAnsi="仿宋_GB2312" w:eastAsia="仿宋_GB2312" w:cs="仿宋_GB2312"/>
          <w:color w:val="auto"/>
          <w:sz w:val="32"/>
          <w:szCs w:val="32"/>
          <w:u w:val="single"/>
        </w:rPr>
        <w:t xml:space="preserve">          </w:t>
      </w:r>
    </w:p>
    <w:p w14:paraId="55E88F26">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被授权人（委托代理人）签字或盖章：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职务：</w:t>
      </w:r>
      <w:r>
        <w:rPr>
          <w:rFonts w:hint="eastAsia" w:ascii="仿宋_GB2312" w:hAnsi="仿宋_GB2312" w:eastAsia="仿宋_GB2312" w:cs="仿宋_GB2312"/>
          <w:color w:val="auto"/>
          <w:sz w:val="32"/>
          <w:szCs w:val="32"/>
          <w:u w:val="single"/>
        </w:rPr>
        <w:t xml:space="preserve">            </w:t>
      </w:r>
    </w:p>
    <w:p w14:paraId="2C219323">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授权人（法定代表人）签字或盖章：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职务：</w:t>
      </w:r>
      <w:r>
        <w:rPr>
          <w:rFonts w:hint="eastAsia" w:ascii="仿宋_GB2312" w:hAnsi="仿宋_GB2312" w:eastAsia="仿宋_GB2312" w:cs="仿宋_GB2312"/>
          <w:color w:val="auto"/>
          <w:sz w:val="32"/>
          <w:szCs w:val="32"/>
          <w:u w:val="single"/>
        </w:rPr>
        <w:t xml:space="preserve">            </w:t>
      </w:r>
    </w:p>
    <w:p w14:paraId="0A2E8E61">
      <w:pPr>
        <w:widowControl w:val="0"/>
        <w:wordWrap/>
        <w:adjustRightInd/>
        <w:snapToGrid/>
        <w:spacing w:line="560" w:lineRule="exact"/>
        <w:ind w:firstLine="640" w:firstLineChars="200"/>
        <w:textAlignment w:val="auto"/>
        <w:outlineLvl w:val="9"/>
        <w:rPr>
          <w:rFonts w:hint="eastAsia" w:ascii="宋体" w:hAnsi="宋体"/>
          <w:color w:val="auto"/>
          <w:sz w:val="36"/>
          <w:szCs w:val="36"/>
        </w:rPr>
      </w:pPr>
      <w:r>
        <w:rPr>
          <w:rFonts w:hint="eastAsia" w:ascii="仿宋_GB2312" w:hAnsi="仿宋_GB2312" w:eastAsia="仿宋_GB2312" w:cs="仿宋_GB2312"/>
          <w:color w:val="auto"/>
          <w:kern w:val="0"/>
          <w:sz w:val="32"/>
          <w:szCs w:val="32"/>
        </w:rPr>
        <w:t>附被授权人第二代身份证双面扫描（或复印）件</w:t>
      </w:r>
    </w:p>
    <w:p w14:paraId="2659C06A">
      <w:pPr>
        <w:wordWrap/>
        <w:spacing w:before="157" w:beforeLines="50" w:line="560" w:lineRule="exact"/>
        <w:ind w:firstLine="4800" w:firstLineChars="1500"/>
        <w:jc w:val="right"/>
        <w:outlineLvl w:val="9"/>
        <w:rPr>
          <w:rFonts w:hint="eastAsia" w:ascii="仿宋_GB2312" w:hAnsi="仿宋_GB2312" w:eastAsia="仿宋_GB2312" w:cs="仿宋_GB2312"/>
          <w:b w:val="0"/>
          <w:bCs/>
          <w:color w:val="auto"/>
          <w:sz w:val="32"/>
          <w:szCs w:val="32"/>
        </w:rPr>
      </w:pPr>
      <w:bookmarkStart w:id="366" w:name="_Toc13837_WPSOffice_Level3"/>
      <w:r>
        <w:rPr>
          <w:rFonts w:hint="eastAsia" w:ascii="仿宋_GB2312" w:hAnsi="仿宋_GB2312" w:eastAsia="仿宋_GB2312" w:cs="仿宋_GB2312"/>
          <w:b w:val="0"/>
          <w:bCs/>
          <w:color w:val="auto"/>
          <w:sz w:val="32"/>
          <w:szCs w:val="32"/>
        </w:rPr>
        <w:t>单位</w:t>
      </w:r>
      <w:r>
        <w:rPr>
          <w:rFonts w:hint="eastAsia" w:ascii="仿宋_GB2312" w:hAnsi="仿宋_GB2312" w:eastAsia="仿宋_GB2312" w:cs="仿宋_GB2312"/>
          <w:b w:val="0"/>
          <w:bCs/>
          <w:color w:val="auto"/>
          <w:sz w:val="32"/>
          <w:szCs w:val="32"/>
          <w:lang w:eastAsia="zh-CN"/>
        </w:rPr>
        <w:t>名称</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kern w:val="0"/>
          <w:sz w:val="32"/>
          <w:szCs w:val="32"/>
          <w:u w:val="single"/>
        </w:rPr>
        <w:t xml:space="preserve">       </w:t>
      </w:r>
      <w:r>
        <w:rPr>
          <w:rFonts w:hint="eastAsia" w:ascii="仿宋_GB2312" w:hAnsi="仿宋_GB2312" w:eastAsia="仿宋_GB2312" w:cs="仿宋_GB2312"/>
          <w:b w:val="0"/>
          <w:bCs/>
          <w:color w:val="auto"/>
          <w:sz w:val="32"/>
          <w:szCs w:val="32"/>
        </w:rPr>
        <w:t>（公章）</w:t>
      </w:r>
      <w:bookmarkEnd w:id="366"/>
      <w:r>
        <w:rPr>
          <w:rFonts w:hint="eastAsia" w:ascii="仿宋_GB2312" w:hAnsi="仿宋_GB2312" w:eastAsia="仿宋_GB2312" w:cs="仿宋_GB2312"/>
          <w:b w:val="0"/>
          <w:bCs/>
          <w:color w:val="auto"/>
          <w:sz w:val="32"/>
          <w:szCs w:val="32"/>
        </w:rPr>
        <w:t xml:space="preserve">    </w:t>
      </w:r>
    </w:p>
    <w:p w14:paraId="7D018C39">
      <w:pPr>
        <w:widowControl w:val="0"/>
        <w:wordWrap/>
        <w:adjustRightInd/>
        <w:snapToGrid/>
        <w:spacing w:before="157" w:beforeLines="50" w:line="560" w:lineRule="exact"/>
        <w:ind w:firstLine="480" w:firstLineChars="200"/>
        <w:jc w:val="right"/>
        <w:textAlignment w:val="auto"/>
        <w:outlineLvl w:val="9"/>
        <w:rPr>
          <w:rFonts w:hint="eastAsia" w:ascii="仿宋_GB2312" w:hAnsi="仿宋_GB2312" w:eastAsia="仿宋_GB2312" w:cs="仿宋_GB2312"/>
          <w:b w:val="0"/>
          <w:bCs/>
          <w:color w:val="auto"/>
          <w:sz w:val="32"/>
          <w:szCs w:val="32"/>
        </w:rPr>
      </w:pPr>
      <w:r>
        <w:rPr>
          <w:rFonts w:hint="eastAsia" w:ascii="宋体" w:hAnsi="宋体"/>
          <w:color w:val="auto"/>
          <w:sz w:val="24"/>
        </w:rPr>
        <w:t xml:space="preserve">         </w:t>
      </w:r>
      <w:r>
        <w:rPr>
          <w:rFonts w:hint="eastAsia" w:ascii="仿宋_GB2312" w:hAnsi="仿宋_GB2312" w:eastAsia="仿宋_GB2312" w:cs="仿宋_GB2312"/>
          <w:b w:val="0"/>
          <w:bCs/>
          <w:color w:val="auto"/>
          <w:sz w:val="32"/>
          <w:szCs w:val="32"/>
        </w:rPr>
        <w:t xml:space="preserve">   法定代表人：</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（签字</w:t>
      </w:r>
      <w:r>
        <w:rPr>
          <w:rFonts w:hint="eastAsia" w:ascii="仿宋_GB2312" w:hAnsi="仿宋_GB2312" w:eastAsia="仿宋_GB2312" w:cs="仿宋_GB2312"/>
          <w:b w:val="0"/>
          <w:bCs/>
          <w:color w:val="auto"/>
          <w:sz w:val="32"/>
          <w:szCs w:val="32"/>
          <w:lang w:val="en-US" w:eastAsia="zh-CN"/>
        </w:rPr>
        <w:t>并</w:t>
      </w:r>
      <w:r>
        <w:rPr>
          <w:rFonts w:hint="eastAsia" w:ascii="仿宋_GB2312" w:hAnsi="仿宋_GB2312" w:eastAsia="仿宋_GB2312" w:cs="仿宋_GB2312"/>
          <w:b w:val="0"/>
          <w:bCs/>
          <w:color w:val="auto"/>
          <w:sz w:val="32"/>
          <w:szCs w:val="32"/>
        </w:rPr>
        <w:t xml:space="preserve">盖章）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w:t>
      </w:r>
      <w:bookmarkStart w:id="367" w:name="_Toc6591_WPSOffice_Level3"/>
      <w:bookmarkStart w:id="368" w:name="_Toc32599_WPSOffice_Level3"/>
      <w:r>
        <w:rPr>
          <w:rFonts w:hint="eastAsia" w:ascii="仿宋_GB2312" w:hAnsi="仿宋_GB2312" w:eastAsia="仿宋_GB2312" w:cs="仿宋_GB2312"/>
          <w:b w:val="0"/>
          <w:bCs/>
          <w:color w:val="auto"/>
          <w:sz w:val="32"/>
          <w:szCs w:val="32"/>
        </w:rPr>
        <w:t>年   月   日</w:t>
      </w:r>
      <w:bookmarkEnd w:id="367"/>
      <w:bookmarkEnd w:id="368"/>
    </w:p>
    <w:p w14:paraId="31FE29B6">
      <w:pPr>
        <w:wordWrap/>
        <w:spacing w:before="157" w:beforeLines="50" w:line="560" w:lineRule="exact"/>
        <w:outlineLvl w:val="9"/>
        <w:rPr>
          <w:rFonts w:hint="eastAsia" w:ascii="宋体" w:hAnsi="宋体"/>
          <w:b/>
          <w:bCs/>
          <w:color w:val="auto"/>
          <w:sz w:val="24"/>
        </w:rPr>
      </w:pPr>
    </w:p>
    <w:p w14:paraId="0095888D">
      <w:pPr>
        <w:widowControl/>
        <w:wordWrap/>
        <w:snapToGrid w:val="0"/>
        <w:spacing w:before="157" w:beforeLines="50" w:line="560" w:lineRule="exact"/>
        <w:jc w:val="left"/>
        <w:outlineLvl w:val="2"/>
        <w:rPr>
          <w:rFonts w:hint="eastAsia" w:ascii="楷体_GB2312" w:hAnsi="楷体_GB2312" w:eastAsia="楷体_GB2312" w:cs="楷体_GB2312"/>
          <w:b/>
          <w:color w:val="auto"/>
          <w:sz w:val="32"/>
          <w:szCs w:val="32"/>
          <w:lang w:eastAsia="zh-CN"/>
        </w:rPr>
      </w:pPr>
      <w:bookmarkStart w:id="369" w:name="_Toc7737_WPSOffice_Level3"/>
      <w:bookmarkStart w:id="370" w:name="_Toc30919"/>
      <w:bookmarkStart w:id="371" w:name="_Toc26653_WPSOffice_Level3"/>
      <w:bookmarkStart w:id="372" w:name="_Toc16704"/>
      <w:bookmarkStart w:id="373" w:name="_Toc23618"/>
      <w:bookmarkStart w:id="374" w:name="_Toc19298"/>
    </w:p>
    <w:p w14:paraId="2E3C1B99">
      <w:pPr>
        <w:widowControl/>
        <w:wordWrap/>
        <w:snapToGrid w:val="0"/>
        <w:spacing w:before="157" w:beforeLines="50" w:line="560" w:lineRule="exact"/>
        <w:jc w:val="left"/>
        <w:outlineLvl w:val="2"/>
        <w:rPr>
          <w:rFonts w:hint="eastAsia" w:ascii="楷体_GB2312" w:hAnsi="楷体_GB2312" w:eastAsia="楷体_GB2312" w:cs="楷体_GB2312"/>
          <w:b/>
          <w:color w:val="auto"/>
          <w:sz w:val="32"/>
          <w:szCs w:val="32"/>
          <w:lang w:eastAsia="zh-CN"/>
        </w:rPr>
      </w:pPr>
    </w:p>
    <w:p w14:paraId="29E972DD">
      <w:pPr>
        <w:widowControl/>
        <w:wordWrap/>
        <w:snapToGrid w:val="0"/>
        <w:spacing w:before="157" w:beforeLines="50" w:line="560" w:lineRule="exact"/>
        <w:jc w:val="left"/>
        <w:outlineLvl w:val="2"/>
        <w:rPr>
          <w:rFonts w:hint="eastAsia" w:ascii="楷体_GB2312" w:hAnsi="楷体_GB2312" w:eastAsia="楷体_GB2312" w:cs="楷体_GB2312"/>
          <w:b/>
          <w:color w:val="auto"/>
          <w:sz w:val="32"/>
          <w:szCs w:val="32"/>
          <w:lang w:eastAsia="zh-CN"/>
        </w:rPr>
      </w:pPr>
      <w:r>
        <w:rPr>
          <w:rFonts w:hint="eastAsia" w:ascii="楷体_GB2312" w:hAnsi="楷体_GB2312" w:eastAsia="楷体_GB2312" w:cs="楷体_GB2312"/>
          <w:b/>
          <w:color w:val="auto"/>
          <w:sz w:val="32"/>
          <w:szCs w:val="32"/>
          <w:lang w:eastAsia="zh-CN"/>
        </w:rPr>
        <w:t>附件4：供应商承诺函</w:t>
      </w:r>
      <w:bookmarkEnd w:id="369"/>
      <w:bookmarkEnd w:id="370"/>
      <w:bookmarkEnd w:id="371"/>
      <w:bookmarkEnd w:id="372"/>
      <w:bookmarkEnd w:id="373"/>
      <w:bookmarkEnd w:id="374"/>
    </w:p>
    <w:p w14:paraId="027C8DB0">
      <w:pPr>
        <w:widowControl w:val="0"/>
        <w:wordWrap/>
        <w:spacing w:before="157" w:beforeLines="50" w:line="560" w:lineRule="exact"/>
        <w:ind w:firstLine="2891" w:firstLineChars="900"/>
        <w:jc w:val="both"/>
        <w:textAlignment w:val="auto"/>
        <w:outlineLvl w:val="9"/>
        <w:rPr>
          <w:rFonts w:hint="eastAsia" w:ascii="仿宋_GB2312" w:hAnsi="仿宋_GB2312" w:eastAsia="仿宋_GB2312" w:cs="仿宋_GB2312"/>
          <w:b/>
          <w:color w:val="auto"/>
          <w:sz w:val="32"/>
          <w:szCs w:val="32"/>
          <w:lang w:eastAsia="zh-CN"/>
        </w:rPr>
      </w:pPr>
      <w:bookmarkStart w:id="375" w:name="_Toc17639_WPSOffice_Level2"/>
      <w:bookmarkStart w:id="376" w:name="_Toc2453_WPSOffice_Level2"/>
      <w:bookmarkStart w:id="377" w:name="_Toc27597_WPSOffice_Level3"/>
      <w:r>
        <w:rPr>
          <w:rFonts w:hint="eastAsia" w:ascii="仿宋_GB2312" w:hAnsi="仿宋_GB2312" w:eastAsia="仿宋_GB2312" w:cs="仿宋_GB2312"/>
          <w:b/>
          <w:color w:val="auto"/>
          <w:sz w:val="32"/>
          <w:szCs w:val="32"/>
          <w:lang w:eastAsia="zh-CN"/>
        </w:rPr>
        <w:t>供应商承诺函</w:t>
      </w:r>
      <w:bookmarkEnd w:id="375"/>
      <w:bookmarkEnd w:id="376"/>
      <w:bookmarkEnd w:id="377"/>
    </w:p>
    <w:p w14:paraId="3467DEE1">
      <w:pPr>
        <w:widowControl w:val="0"/>
        <w:wordWrap/>
        <w:adjustRightInd/>
        <w:snapToGrid/>
        <w:spacing w:line="560" w:lineRule="exact"/>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致：</w:t>
      </w:r>
      <w:r>
        <w:rPr>
          <w:rFonts w:hint="eastAsia" w:ascii="仿宋_GB2312" w:hAnsi="仿宋_GB2312" w:eastAsia="仿宋_GB2312" w:cs="仿宋_GB2312"/>
          <w:b w:val="0"/>
          <w:bCs w:val="0"/>
          <w:color w:val="auto"/>
          <w:sz w:val="32"/>
          <w:szCs w:val="32"/>
          <w:u w:val="single"/>
          <w:lang w:eastAsia="zh-CN"/>
        </w:rPr>
        <w:t>（代理机构名称）</w:t>
      </w:r>
    </w:p>
    <w:p w14:paraId="3116C2B2">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关于贵方</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rPr>
        <w:t>日</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b w:val="0"/>
          <w:bCs w:val="0"/>
          <w:color w:val="auto"/>
          <w:sz w:val="32"/>
          <w:szCs w:val="32"/>
          <w:lang w:eastAsia="zh-CN"/>
        </w:rPr>
        <w:t>（项目名称及编号）</w:t>
      </w:r>
      <w:r>
        <w:rPr>
          <w:rFonts w:hint="eastAsia" w:ascii="仿宋_GB2312" w:hAnsi="仿宋_GB2312" w:eastAsia="仿宋_GB2312" w:cs="仿宋_GB2312"/>
          <w:b w:val="0"/>
          <w:bCs w:val="0"/>
          <w:color w:val="auto"/>
          <w:sz w:val="32"/>
          <w:szCs w:val="32"/>
        </w:rPr>
        <w:t>采购项目，本签字人愿意参加</w:t>
      </w:r>
      <w:r>
        <w:rPr>
          <w:rFonts w:hint="eastAsia" w:ascii="仿宋_GB2312" w:hAnsi="仿宋_GB2312" w:eastAsia="仿宋_GB2312" w:cs="仿宋_GB2312"/>
          <w:b w:val="0"/>
          <w:bCs w:val="0"/>
          <w:color w:val="auto"/>
          <w:sz w:val="32"/>
          <w:szCs w:val="32"/>
          <w:lang w:eastAsia="zh-CN"/>
        </w:rPr>
        <w:t>谈判</w:t>
      </w:r>
      <w:r>
        <w:rPr>
          <w:rFonts w:hint="eastAsia" w:ascii="仿宋_GB2312" w:hAnsi="仿宋_GB2312" w:eastAsia="仿宋_GB2312" w:cs="仿宋_GB2312"/>
          <w:b w:val="0"/>
          <w:bCs w:val="0"/>
          <w:color w:val="auto"/>
          <w:sz w:val="32"/>
          <w:szCs w:val="32"/>
        </w:rPr>
        <w:t>，提供采购一览表中要求的所有产品，并证实提交的所有资料是准确的和真实的。同时，我代表</w:t>
      </w:r>
      <w:r>
        <w:rPr>
          <w:rFonts w:hint="eastAsia" w:ascii="仿宋_GB2312" w:hAnsi="仿宋_GB2312" w:eastAsia="仿宋_GB2312" w:cs="仿宋_GB2312"/>
          <w:b w:val="0"/>
          <w:bCs w:val="0"/>
          <w:color w:val="auto"/>
          <w:sz w:val="32"/>
          <w:szCs w:val="32"/>
          <w:u w:val="single"/>
        </w:rPr>
        <w:t>（供应商名称）</w:t>
      </w:r>
      <w:r>
        <w:rPr>
          <w:rFonts w:hint="eastAsia" w:ascii="仿宋_GB2312" w:hAnsi="仿宋_GB2312" w:eastAsia="仿宋_GB2312" w:cs="仿宋_GB2312"/>
          <w:b w:val="0"/>
          <w:bCs w:val="0"/>
          <w:color w:val="auto"/>
          <w:sz w:val="32"/>
          <w:szCs w:val="32"/>
        </w:rPr>
        <w:t>，在此作如下承诺：</w:t>
      </w:r>
    </w:p>
    <w:p w14:paraId="57929989">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1、完全理解和接受谈判文件的一切规定和要求；</w:t>
      </w:r>
    </w:p>
    <w:p w14:paraId="254DCAA2">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2、若</w:t>
      </w:r>
      <w:r>
        <w:rPr>
          <w:rFonts w:hint="eastAsia" w:ascii="仿宋_GB2312" w:hAnsi="仿宋_GB2312" w:eastAsia="仿宋_GB2312" w:cs="仿宋_GB2312"/>
          <w:b w:val="0"/>
          <w:bCs w:val="0"/>
          <w:color w:val="auto"/>
          <w:sz w:val="32"/>
          <w:szCs w:val="32"/>
          <w:lang w:eastAsia="zh-CN"/>
        </w:rPr>
        <w:t>成交</w:t>
      </w:r>
      <w:r>
        <w:rPr>
          <w:rFonts w:hint="eastAsia" w:ascii="仿宋_GB2312" w:hAnsi="仿宋_GB2312" w:eastAsia="仿宋_GB2312" w:cs="仿宋_GB2312"/>
          <w:b w:val="0"/>
          <w:bCs w:val="0"/>
          <w:color w:val="auto"/>
          <w:sz w:val="32"/>
          <w:szCs w:val="32"/>
        </w:rPr>
        <w:t>，我方将按照谈判文件的具体规定与采购人签订采购合同，并且严格履行合同义务，按时交货，提供优质的产品和服务。如果在合同执行过程中，发现质量、数量出现问题，我方一定尽快更换或补退货，并承担相应的经济责任；</w:t>
      </w:r>
    </w:p>
    <w:p w14:paraId="11209471">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3、我方保证甲方在使用该产品或其任何一部分时，不受第三方提出的侵犯专利权、著作权、商标权和工业设计权等知识产权的起诉，若有</w:t>
      </w:r>
      <w:r>
        <w:rPr>
          <w:rFonts w:hint="eastAsia" w:ascii="仿宋_GB2312" w:hAnsi="仿宋_GB2312" w:eastAsia="仿宋_GB2312" w:cs="仿宋_GB2312"/>
          <w:b w:val="0"/>
          <w:bCs w:val="0"/>
          <w:color w:val="auto"/>
          <w:sz w:val="32"/>
          <w:szCs w:val="32"/>
          <w:lang w:eastAsia="zh-CN"/>
        </w:rPr>
        <w:t>违反</w:t>
      </w:r>
      <w:r>
        <w:rPr>
          <w:rFonts w:hint="eastAsia" w:ascii="仿宋_GB2312" w:hAnsi="仿宋_GB2312" w:eastAsia="仿宋_GB2312" w:cs="仿宋_GB2312"/>
          <w:b w:val="0"/>
          <w:bCs w:val="0"/>
          <w:color w:val="auto"/>
          <w:sz w:val="32"/>
          <w:szCs w:val="32"/>
        </w:rPr>
        <w:t>，愿承担相应的一切责任。</w:t>
      </w:r>
    </w:p>
    <w:p w14:paraId="6DF43232">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4、我方承诺，除谈判文件中规定的优质产品外，所投的产品均为国产产品，且均符合国家强制性标准。若有不实，愿承担相应的责任。</w:t>
      </w:r>
    </w:p>
    <w:p w14:paraId="0050930F">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5、在整个谈判过程中我方若有违规行为，贵方可按谈判文件之规定给予处罚，我方完全接受。</w:t>
      </w:r>
    </w:p>
    <w:p w14:paraId="1D4C31DD">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6、若成交，本承诺将成为合同不可分割的一部分，与合同具有同等的法律效力。</w:t>
      </w:r>
    </w:p>
    <w:p w14:paraId="0E59BB9E">
      <w:pPr>
        <w:widowControl w:val="0"/>
        <w:wordWrap/>
        <w:adjustRightInd/>
        <w:snapToGrid/>
        <w:spacing w:line="560" w:lineRule="exact"/>
        <w:ind w:firstLine="643" w:firstLineChars="200"/>
        <w:jc w:val="center"/>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b w:val="0"/>
          <w:bCs/>
          <w:color w:val="auto"/>
          <w:sz w:val="32"/>
          <w:szCs w:val="32"/>
        </w:rPr>
        <w:t xml:space="preserve"> </w:t>
      </w:r>
      <w:bookmarkStart w:id="378" w:name="_Toc29941_WPSOffice_Level3"/>
      <w:r>
        <w:rPr>
          <w:rFonts w:hint="eastAsia" w:ascii="仿宋_GB2312" w:hAnsi="仿宋_GB2312" w:eastAsia="仿宋_GB2312" w:cs="仿宋_GB2312"/>
          <w:b w:val="0"/>
          <w:bCs/>
          <w:color w:val="auto"/>
          <w:sz w:val="32"/>
          <w:szCs w:val="32"/>
          <w:lang w:val="en-US" w:eastAsia="zh-CN"/>
        </w:rPr>
        <w:t xml:space="preserve">  </w:t>
      </w:r>
      <w:bookmarkStart w:id="379" w:name="_Toc11979_WPSOffice_Level3"/>
      <w:r>
        <w:rPr>
          <w:rFonts w:hint="eastAsia" w:ascii="仿宋_GB2312" w:hAnsi="仿宋_GB2312" w:eastAsia="仿宋_GB2312" w:cs="仿宋_GB2312"/>
          <w:b w:val="0"/>
          <w:bCs/>
          <w:color w:val="auto"/>
          <w:sz w:val="32"/>
          <w:szCs w:val="32"/>
        </w:rPr>
        <w:t>单位</w:t>
      </w:r>
      <w:r>
        <w:rPr>
          <w:rFonts w:hint="eastAsia" w:ascii="仿宋_GB2312" w:hAnsi="仿宋_GB2312" w:eastAsia="仿宋_GB2312" w:cs="仿宋_GB2312"/>
          <w:b w:val="0"/>
          <w:bCs/>
          <w:color w:val="auto"/>
          <w:sz w:val="32"/>
          <w:szCs w:val="32"/>
          <w:lang w:eastAsia="zh-CN"/>
        </w:rPr>
        <w:t>名称</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（公章）</w:t>
      </w:r>
      <w:bookmarkEnd w:id="378"/>
      <w:bookmarkEnd w:id="379"/>
    </w:p>
    <w:p w14:paraId="39D02618">
      <w:pPr>
        <w:widowControl w:val="0"/>
        <w:wordWrap/>
        <w:adjustRightInd/>
        <w:snapToGrid/>
        <w:spacing w:line="560" w:lineRule="exact"/>
        <w:ind w:firstLine="640" w:firstLineChars="200"/>
        <w:jc w:val="center"/>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w:t>
      </w:r>
      <w:bookmarkStart w:id="380" w:name="_Toc15106_WPSOffice_Level3"/>
      <w:bookmarkStart w:id="381" w:name="_Toc22507_WPSOffice_Level3"/>
      <w:r>
        <w:rPr>
          <w:rFonts w:hint="eastAsia" w:ascii="仿宋_GB2312" w:hAnsi="仿宋_GB2312" w:eastAsia="仿宋_GB2312" w:cs="仿宋_GB2312"/>
          <w:b w:val="0"/>
          <w:bCs/>
          <w:color w:val="auto"/>
          <w:sz w:val="32"/>
          <w:szCs w:val="32"/>
        </w:rPr>
        <w:t>法定代表人或委托代理人：</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（签字或盖章）</w:t>
      </w:r>
      <w:bookmarkEnd w:id="380"/>
      <w:bookmarkEnd w:id="381"/>
    </w:p>
    <w:p w14:paraId="0E3F359D">
      <w:pPr>
        <w:widowControl w:val="0"/>
        <w:wordWrap/>
        <w:adjustRightInd/>
        <w:snapToGrid/>
        <w:spacing w:line="560" w:lineRule="exact"/>
        <w:ind w:firstLine="640" w:firstLineChars="200"/>
        <w:jc w:val="center"/>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w:t>
      </w:r>
      <w:bookmarkStart w:id="382" w:name="_Toc24254_WPSOffice_Level3"/>
      <w:r>
        <w:rPr>
          <w:rFonts w:hint="eastAsia" w:ascii="仿宋_GB2312" w:hAnsi="仿宋_GB2312" w:eastAsia="仿宋_GB2312" w:cs="仿宋_GB2312"/>
          <w:b w:val="0"/>
          <w:bCs/>
          <w:color w:val="auto"/>
          <w:sz w:val="32"/>
          <w:szCs w:val="32"/>
          <w:lang w:val="en-US" w:eastAsia="zh-CN"/>
        </w:rPr>
        <w:t xml:space="preserve">                      </w:t>
      </w:r>
      <w:bookmarkStart w:id="383" w:name="_Toc9343_WPSOffice_Level3"/>
      <w:r>
        <w:rPr>
          <w:rFonts w:hint="eastAsia" w:ascii="仿宋_GB2312" w:hAnsi="仿宋_GB2312" w:eastAsia="仿宋_GB2312" w:cs="仿宋_GB2312"/>
          <w:b w:val="0"/>
          <w:bCs/>
          <w:color w:val="auto"/>
          <w:sz w:val="32"/>
          <w:szCs w:val="32"/>
        </w:rPr>
        <w:t>年   月  日</w:t>
      </w:r>
      <w:bookmarkEnd w:id="382"/>
      <w:bookmarkEnd w:id="383"/>
    </w:p>
    <w:p w14:paraId="334E8813">
      <w:pPr>
        <w:widowControl/>
        <w:wordWrap/>
        <w:snapToGrid w:val="0"/>
        <w:spacing w:before="157" w:beforeLines="50" w:line="560" w:lineRule="exact"/>
        <w:outlineLvl w:val="1"/>
        <w:rPr>
          <w:rFonts w:hint="eastAsia" w:ascii="宋体" w:hAnsi="宋体"/>
          <w:b/>
          <w:color w:val="auto"/>
          <w:sz w:val="36"/>
          <w:szCs w:val="36"/>
        </w:rPr>
      </w:pPr>
      <w:bookmarkStart w:id="384" w:name="_Toc15780"/>
      <w:bookmarkStart w:id="385" w:name="_Toc20884"/>
      <w:bookmarkStart w:id="386" w:name="_Toc653_WPSOffice_Level3"/>
      <w:bookmarkStart w:id="387" w:name="_Toc6416"/>
      <w:bookmarkStart w:id="388" w:name="_Toc26773_WPSOffice_Level3"/>
      <w:bookmarkStart w:id="389" w:name="_Toc25740"/>
      <w:r>
        <w:rPr>
          <w:rFonts w:hint="eastAsia" w:ascii="楷体_GB2312" w:hAnsi="楷体_GB2312" w:eastAsia="楷体_GB2312" w:cs="楷体_GB2312"/>
          <w:b/>
          <w:color w:val="auto"/>
          <w:sz w:val="32"/>
          <w:szCs w:val="32"/>
          <w:lang w:eastAsia="zh-CN"/>
        </w:rPr>
        <w:t>附件5：供应商诚信承诺书</w:t>
      </w:r>
      <w:bookmarkEnd w:id="384"/>
      <w:bookmarkEnd w:id="385"/>
      <w:bookmarkEnd w:id="386"/>
      <w:bookmarkEnd w:id="387"/>
      <w:bookmarkEnd w:id="388"/>
      <w:bookmarkEnd w:id="389"/>
    </w:p>
    <w:p w14:paraId="46A40F7E">
      <w:pPr>
        <w:wordWrap/>
        <w:spacing w:before="157" w:beforeLines="50" w:line="560" w:lineRule="exact"/>
        <w:jc w:val="center"/>
        <w:outlineLvl w:val="9"/>
        <w:rPr>
          <w:rFonts w:hint="eastAsia" w:ascii="宋体" w:hAnsi="宋体"/>
          <w:b/>
          <w:color w:val="auto"/>
          <w:sz w:val="36"/>
          <w:szCs w:val="36"/>
        </w:rPr>
      </w:pPr>
      <w:bookmarkStart w:id="390" w:name="_Toc22537_WPSOffice_Level3"/>
      <w:bookmarkStart w:id="391" w:name="_Toc22989_WPSOffice_Level3"/>
      <w:r>
        <w:rPr>
          <w:rFonts w:hint="eastAsia" w:ascii="仿宋_GB2312" w:hAnsi="仿宋_GB2312" w:eastAsia="仿宋_GB2312" w:cs="仿宋_GB2312"/>
          <w:b/>
          <w:color w:val="auto"/>
          <w:sz w:val="32"/>
          <w:szCs w:val="32"/>
          <w:lang w:eastAsia="zh-CN"/>
        </w:rPr>
        <w:t>供应商诚信承诺书</w:t>
      </w:r>
      <w:bookmarkEnd w:id="390"/>
      <w:bookmarkEnd w:id="391"/>
    </w:p>
    <w:p w14:paraId="1D08D704">
      <w:pPr>
        <w:widowControl w:val="0"/>
        <w:wordWrap/>
        <w:adjustRightInd/>
        <w:snapToGrid/>
        <w:spacing w:line="560" w:lineRule="exact"/>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致：</w:t>
      </w:r>
      <w:r>
        <w:rPr>
          <w:rFonts w:hint="eastAsia" w:ascii="仿宋_GB2312" w:hAnsi="仿宋_GB2312" w:eastAsia="仿宋_GB2312" w:cs="仿宋_GB2312"/>
          <w:b w:val="0"/>
          <w:bCs w:val="0"/>
          <w:color w:val="auto"/>
          <w:sz w:val="32"/>
          <w:szCs w:val="32"/>
          <w:u w:val="single"/>
          <w:lang w:eastAsia="zh-CN"/>
        </w:rPr>
        <w:t>（代理机构名称）</w:t>
      </w:r>
    </w:p>
    <w:p w14:paraId="29ED5893">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为了诚实、客观、有序地参与青海省政府采购活动，愿就以下内容作出承诺：</w:t>
      </w:r>
    </w:p>
    <w:p w14:paraId="7FACBBB1">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、自觉遵守各项法律、法规、规章、制度以及社会公德，维护廉洁环境，与同场竞争的供应商平等参加政府采购活动。</w:t>
      </w:r>
    </w:p>
    <w:p w14:paraId="20492F49">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、参加青海省政府采购中心组织的政府采购活动时，严格按照谈判文件的规定和要求提供所需的相关材料，并对所提供的各类资料的真实性负责，不虚假</w:t>
      </w:r>
      <w:r>
        <w:rPr>
          <w:rFonts w:hint="eastAsia" w:ascii="仿宋_GB2312" w:hAnsi="仿宋_GB2312" w:eastAsia="仿宋_GB2312" w:cs="仿宋_GB2312"/>
          <w:b w:val="0"/>
          <w:bCs w:val="0"/>
          <w:color w:val="auto"/>
          <w:sz w:val="32"/>
          <w:szCs w:val="32"/>
          <w:lang w:eastAsia="zh-CN"/>
        </w:rPr>
        <w:t>响应</w:t>
      </w:r>
      <w:r>
        <w:rPr>
          <w:rFonts w:hint="eastAsia" w:ascii="仿宋_GB2312" w:hAnsi="仿宋_GB2312" w:eastAsia="仿宋_GB2312" w:cs="仿宋_GB2312"/>
          <w:b w:val="0"/>
          <w:bCs w:val="0"/>
          <w:color w:val="auto"/>
          <w:sz w:val="32"/>
          <w:szCs w:val="32"/>
        </w:rPr>
        <w:t>，不虚列业绩。</w:t>
      </w:r>
    </w:p>
    <w:p w14:paraId="5C2DF7F6">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、尊重参与政府采购活动各相关方的合法行为，接受政府采购活动依法形成的意见、结果。</w:t>
      </w:r>
    </w:p>
    <w:p w14:paraId="66A7692C">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、依法参加政府采购活动，不围标、串标，维护市场秩序，不提供“三无”产品、以次充好。</w:t>
      </w:r>
    </w:p>
    <w:p w14:paraId="7A8F56CA">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、积极推动政府采购活动健康开展，对采购活动有疑问、异议时，按法律规定的程序实名（加盖单位</w:t>
      </w:r>
      <w:r>
        <w:rPr>
          <w:rFonts w:hint="eastAsia" w:ascii="仿宋_GB2312" w:hAnsi="仿宋_GB2312" w:eastAsia="仿宋_GB2312" w:cs="仿宋_GB2312"/>
          <w:b w:val="0"/>
          <w:bCs w:val="0"/>
          <w:color w:val="auto"/>
          <w:sz w:val="32"/>
          <w:szCs w:val="32"/>
          <w:lang w:eastAsia="zh-CN"/>
        </w:rPr>
        <w:t>公</w:t>
      </w:r>
      <w:r>
        <w:rPr>
          <w:rFonts w:hint="eastAsia" w:ascii="仿宋_GB2312" w:hAnsi="仿宋_GB2312" w:eastAsia="仿宋_GB2312" w:cs="仿宋_GB2312"/>
          <w:b w:val="0"/>
          <w:bCs w:val="0"/>
          <w:color w:val="auto"/>
          <w:sz w:val="32"/>
          <w:szCs w:val="32"/>
        </w:rPr>
        <w:t>章和法定代表人签名）反映情况，不恶意中伤、无事生非，以和谐、平等的心态参加政府采购活动。</w:t>
      </w:r>
    </w:p>
    <w:p w14:paraId="274AACF4">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、认真履行成交供应商应承担的责任和义务，全面执行采购合同规定的各项内容，保质保量地按时提供采购物品。</w:t>
      </w:r>
    </w:p>
    <w:p w14:paraId="1D8471FC">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若本企业（单位）发生有悖于上述承诺的行为，愿意接受《中华人民共和国政府采购法》和《政府采购法实施条例》中对供应商的相关处理。</w:t>
      </w:r>
    </w:p>
    <w:p w14:paraId="0B59D164">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本承诺是采购项目谈判响应文件的组成部分。</w:t>
      </w:r>
    </w:p>
    <w:p w14:paraId="28CE55B1">
      <w:pPr>
        <w:widowControl w:val="0"/>
        <w:wordWrap/>
        <w:adjustRightInd/>
        <w:snapToGrid/>
        <w:spacing w:before="157" w:beforeLines="50" w:line="560" w:lineRule="exact"/>
        <w:ind w:firstLine="643" w:firstLineChars="200"/>
        <w:jc w:val="center"/>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b w:val="0"/>
          <w:bCs/>
          <w:color w:val="auto"/>
          <w:sz w:val="32"/>
          <w:szCs w:val="32"/>
        </w:rPr>
        <w:t xml:space="preserve"> </w:t>
      </w:r>
      <w:bookmarkStart w:id="392" w:name="_Toc23784_WPSOffice_Level3"/>
      <w:bookmarkStart w:id="393" w:name="_Toc2830_WPSOffice_Level3"/>
      <w:r>
        <w:rPr>
          <w:rFonts w:hint="eastAsia" w:ascii="仿宋_GB2312" w:hAnsi="仿宋_GB2312" w:eastAsia="仿宋_GB2312" w:cs="仿宋_GB2312"/>
          <w:b w:val="0"/>
          <w:bCs/>
          <w:color w:val="auto"/>
          <w:sz w:val="32"/>
          <w:szCs w:val="32"/>
        </w:rPr>
        <w:t>单位</w:t>
      </w:r>
      <w:r>
        <w:rPr>
          <w:rFonts w:hint="eastAsia" w:ascii="仿宋_GB2312" w:hAnsi="仿宋_GB2312" w:eastAsia="仿宋_GB2312" w:cs="仿宋_GB2312"/>
          <w:b w:val="0"/>
          <w:bCs/>
          <w:color w:val="auto"/>
          <w:sz w:val="32"/>
          <w:szCs w:val="32"/>
          <w:lang w:eastAsia="zh-CN"/>
        </w:rPr>
        <w:t>名称</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（公章）</w:t>
      </w:r>
      <w:bookmarkEnd w:id="392"/>
      <w:bookmarkEnd w:id="393"/>
    </w:p>
    <w:p w14:paraId="06A4B84B">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w:t>
      </w:r>
      <w:bookmarkStart w:id="394" w:name="_Toc25026_WPSOffice_Level3"/>
      <w:bookmarkStart w:id="395" w:name="_Toc13573_WPSOffice_Level3"/>
      <w:r>
        <w:rPr>
          <w:rFonts w:hint="eastAsia" w:ascii="仿宋_GB2312" w:hAnsi="仿宋_GB2312" w:eastAsia="仿宋_GB2312" w:cs="仿宋_GB2312"/>
          <w:b w:val="0"/>
          <w:bCs/>
          <w:color w:val="auto"/>
          <w:sz w:val="32"/>
          <w:szCs w:val="32"/>
        </w:rPr>
        <w:t>法定代表人或委托代理人：</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（签字或盖章）</w:t>
      </w:r>
      <w:bookmarkEnd w:id="394"/>
      <w:bookmarkEnd w:id="395"/>
    </w:p>
    <w:p w14:paraId="70585854">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w:t>
      </w:r>
      <w:bookmarkStart w:id="396" w:name="_Toc5564_WPSOffice_Level3"/>
      <w:r>
        <w:rPr>
          <w:rFonts w:hint="eastAsia" w:ascii="仿宋_GB2312" w:hAnsi="仿宋_GB2312" w:eastAsia="仿宋_GB2312" w:cs="仿宋_GB2312"/>
          <w:b w:val="0"/>
          <w:bCs/>
          <w:color w:val="auto"/>
          <w:sz w:val="32"/>
          <w:szCs w:val="32"/>
          <w:lang w:val="en-US" w:eastAsia="zh-CN"/>
        </w:rPr>
        <w:t xml:space="preserve">                      </w:t>
      </w:r>
      <w:bookmarkStart w:id="397" w:name="_Toc12645_WPSOffice_Level3"/>
      <w:r>
        <w:rPr>
          <w:rFonts w:hint="eastAsia" w:ascii="仿宋_GB2312" w:hAnsi="仿宋_GB2312" w:eastAsia="仿宋_GB2312" w:cs="仿宋_GB2312"/>
          <w:b w:val="0"/>
          <w:bCs/>
          <w:color w:val="auto"/>
          <w:sz w:val="32"/>
          <w:szCs w:val="32"/>
        </w:rPr>
        <w:t>年   月  日</w:t>
      </w:r>
      <w:bookmarkEnd w:id="396"/>
      <w:bookmarkEnd w:id="397"/>
    </w:p>
    <w:p w14:paraId="06DB50DD">
      <w:pPr>
        <w:wordWrap/>
        <w:spacing w:before="157" w:beforeLines="50" w:line="560" w:lineRule="exact"/>
        <w:rPr>
          <w:rFonts w:hint="eastAsia" w:ascii="宋体" w:hAnsi="宋体"/>
          <w:b/>
          <w:color w:val="auto"/>
          <w:sz w:val="24"/>
        </w:rPr>
      </w:pPr>
    </w:p>
    <w:p w14:paraId="2C130231">
      <w:pPr>
        <w:widowControl/>
        <w:wordWrap/>
        <w:snapToGrid w:val="0"/>
        <w:spacing w:before="157" w:beforeLines="50" w:line="560" w:lineRule="exact"/>
        <w:outlineLvl w:val="1"/>
        <w:rPr>
          <w:rFonts w:hint="eastAsia" w:ascii="宋体"/>
          <w:b/>
          <w:color w:val="auto"/>
          <w:sz w:val="28"/>
          <w:szCs w:val="28"/>
        </w:rPr>
      </w:pPr>
    </w:p>
    <w:p w14:paraId="482D0B35">
      <w:pPr>
        <w:widowControl/>
        <w:wordWrap/>
        <w:snapToGrid w:val="0"/>
        <w:spacing w:before="157" w:beforeLines="50" w:line="560" w:lineRule="exact"/>
        <w:outlineLvl w:val="1"/>
        <w:rPr>
          <w:rFonts w:hint="eastAsia" w:ascii="宋体"/>
          <w:b/>
          <w:color w:val="auto"/>
          <w:sz w:val="28"/>
          <w:szCs w:val="28"/>
        </w:rPr>
      </w:pPr>
    </w:p>
    <w:p w14:paraId="4654EEC9">
      <w:pPr>
        <w:widowControl/>
        <w:wordWrap/>
        <w:snapToGrid w:val="0"/>
        <w:spacing w:before="157" w:beforeLines="50" w:line="560" w:lineRule="exact"/>
        <w:outlineLvl w:val="1"/>
        <w:rPr>
          <w:rFonts w:hint="eastAsia" w:ascii="宋体"/>
          <w:b/>
          <w:color w:val="auto"/>
          <w:sz w:val="28"/>
          <w:szCs w:val="28"/>
        </w:rPr>
      </w:pPr>
    </w:p>
    <w:p w14:paraId="274E743E">
      <w:pPr>
        <w:widowControl/>
        <w:wordWrap/>
        <w:snapToGrid w:val="0"/>
        <w:spacing w:before="157" w:beforeLines="50" w:line="560" w:lineRule="exact"/>
        <w:outlineLvl w:val="1"/>
        <w:rPr>
          <w:rFonts w:hint="eastAsia" w:ascii="宋体"/>
          <w:b/>
          <w:color w:val="auto"/>
          <w:sz w:val="28"/>
          <w:szCs w:val="28"/>
        </w:rPr>
      </w:pPr>
    </w:p>
    <w:p w14:paraId="5E518A22">
      <w:pPr>
        <w:widowControl/>
        <w:wordWrap/>
        <w:snapToGrid w:val="0"/>
        <w:spacing w:before="157" w:beforeLines="50" w:line="560" w:lineRule="exact"/>
        <w:outlineLvl w:val="1"/>
        <w:rPr>
          <w:rFonts w:hint="eastAsia" w:ascii="宋体"/>
          <w:b/>
          <w:color w:val="auto"/>
          <w:sz w:val="28"/>
          <w:szCs w:val="28"/>
        </w:rPr>
      </w:pPr>
    </w:p>
    <w:p w14:paraId="2377CD87">
      <w:pPr>
        <w:widowControl/>
        <w:wordWrap/>
        <w:snapToGrid w:val="0"/>
        <w:spacing w:before="157" w:beforeLines="50" w:line="560" w:lineRule="exact"/>
        <w:outlineLvl w:val="1"/>
        <w:rPr>
          <w:rFonts w:hint="eastAsia" w:ascii="宋体"/>
          <w:b/>
          <w:color w:val="auto"/>
          <w:sz w:val="28"/>
          <w:szCs w:val="28"/>
        </w:rPr>
      </w:pPr>
    </w:p>
    <w:p w14:paraId="6ABA1FED">
      <w:pPr>
        <w:widowControl/>
        <w:wordWrap/>
        <w:snapToGrid w:val="0"/>
        <w:spacing w:before="157" w:beforeLines="50" w:line="560" w:lineRule="exact"/>
        <w:outlineLvl w:val="1"/>
        <w:rPr>
          <w:rFonts w:hint="eastAsia" w:ascii="宋体"/>
          <w:b/>
          <w:color w:val="auto"/>
          <w:sz w:val="28"/>
          <w:szCs w:val="28"/>
        </w:rPr>
      </w:pPr>
    </w:p>
    <w:p w14:paraId="4ECFD02F">
      <w:pPr>
        <w:widowControl/>
        <w:wordWrap/>
        <w:snapToGrid w:val="0"/>
        <w:spacing w:before="157" w:beforeLines="50" w:line="560" w:lineRule="exact"/>
        <w:outlineLvl w:val="1"/>
        <w:rPr>
          <w:rFonts w:hint="eastAsia" w:ascii="宋体"/>
          <w:b/>
          <w:color w:val="auto"/>
          <w:sz w:val="28"/>
          <w:szCs w:val="28"/>
        </w:rPr>
      </w:pPr>
    </w:p>
    <w:p w14:paraId="2E550FEB">
      <w:pPr>
        <w:widowControl/>
        <w:wordWrap/>
        <w:snapToGrid w:val="0"/>
        <w:spacing w:before="157" w:beforeLines="50" w:line="560" w:lineRule="exact"/>
        <w:outlineLvl w:val="1"/>
        <w:rPr>
          <w:rFonts w:hint="eastAsia" w:ascii="宋体"/>
          <w:b/>
          <w:color w:val="auto"/>
          <w:sz w:val="28"/>
          <w:szCs w:val="28"/>
        </w:rPr>
      </w:pPr>
    </w:p>
    <w:p w14:paraId="1C38B5B9">
      <w:pPr>
        <w:widowControl/>
        <w:wordWrap/>
        <w:snapToGrid w:val="0"/>
        <w:spacing w:before="157" w:beforeLines="50" w:line="560" w:lineRule="exact"/>
        <w:outlineLvl w:val="1"/>
        <w:rPr>
          <w:rFonts w:hint="eastAsia" w:ascii="宋体"/>
          <w:b/>
          <w:color w:val="auto"/>
          <w:sz w:val="28"/>
          <w:szCs w:val="28"/>
        </w:rPr>
      </w:pPr>
    </w:p>
    <w:p w14:paraId="7D6F6A2E">
      <w:pPr>
        <w:widowControl/>
        <w:wordWrap/>
        <w:snapToGrid w:val="0"/>
        <w:spacing w:before="157" w:beforeLines="50" w:line="560" w:lineRule="exact"/>
        <w:outlineLvl w:val="1"/>
        <w:rPr>
          <w:rFonts w:hint="eastAsia" w:ascii="宋体"/>
          <w:b/>
          <w:color w:val="auto"/>
          <w:sz w:val="28"/>
          <w:szCs w:val="28"/>
        </w:rPr>
      </w:pPr>
    </w:p>
    <w:p w14:paraId="555CF626">
      <w:pPr>
        <w:widowControl/>
        <w:wordWrap/>
        <w:snapToGrid w:val="0"/>
        <w:spacing w:before="157" w:beforeLines="50" w:line="560" w:lineRule="exact"/>
        <w:outlineLvl w:val="1"/>
        <w:rPr>
          <w:rFonts w:hint="eastAsia" w:ascii="宋体"/>
          <w:b/>
          <w:color w:val="auto"/>
          <w:sz w:val="28"/>
          <w:szCs w:val="28"/>
        </w:rPr>
      </w:pPr>
    </w:p>
    <w:p w14:paraId="250A0E12">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eastAsia="zh-CN"/>
        </w:rPr>
      </w:pPr>
      <w:bookmarkStart w:id="398" w:name="_Toc16847"/>
      <w:bookmarkStart w:id="399" w:name="_Toc19930_WPSOffice_Level3"/>
      <w:bookmarkStart w:id="400" w:name="_Toc6033"/>
      <w:bookmarkStart w:id="401" w:name="_Toc5195"/>
      <w:bookmarkStart w:id="402" w:name="_Toc8368_WPSOffice_Level3"/>
      <w:bookmarkStart w:id="403" w:name="_Toc25242"/>
    </w:p>
    <w:p w14:paraId="35D07A4B">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eastAsia="zh-CN"/>
        </w:rPr>
      </w:pPr>
    </w:p>
    <w:p w14:paraId="79828DED">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eastAsia="zh-CN"/>
        </w:rPr>
      </w:pPr>
    </w:p>
    <w:p w14:paraId="6AB8636E">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eastAsia="zh-CN"/>
        </w:rPr>
      </w:pPr>
    </w:p>
    <w:p w14:paraId="31A4402C">
      <w:pPr>
        <w:widowControl/>
        <w:wordWrap/>
        <w:snapToGrid w:val="0"/>
        <w:spacing w:before="157" w:beforeLines="50" w:line="560" w:lineRule="exact"/>
        <w:outlineLvl w:val="1"/>
        <w:rPr>
          <w:rFonts w:hint="eastAsia" w:ascii="宋体" w:hAnsi="宋体"/>
          <w:b/>
          <w:color w:val="auto"/>
          <w:sz w:val="36"/>
          <w:szCs w:val="36"/>
        </w:rPr>
      </w:pPr>
      <w:r>
        <w:rPr>
          <w:rFonts w:hint="eastAsia" w:ascii="楷体_GB2312" w:hAnsi="楷体_GB2312" w:eastAsia="楷体_GB2312" w:cs="楷体_GB2312"/>
          <w:b/>
          <w:color w:val="auto"/>
          <w:sz w:val="32"/>
          <w:szCs w:val="32"/>
          <w:lang w:eastAsia="zh-CN"/>
        </w:rPr>
        <w:t>附件6：供应商资格证明文件</w:t>
      </w:r>
      <w:bookmarkEnd w:id="398"/>
      <w:bookmarkEnd w:id="399"/>
      <w:bookmarkEnd w:id="400"/>
      <w:bookmarkEnd w:id="401"/>
      <w:bookmarkEnd w:id="402"/>
      <w:bookmarkEnd w:id="403"/>
    </w:p>
    <w:p w14:paraId="607F9C7C">
      <w:pPr>
        <w:wordWrap/>
        <w:spacing w:before="157" w:beforeLines="50" w:line="560" w:lineRule="exact"/>
        <w:jc w:val="center"/>
        <w:outlineLvl w:val="9"/>
        <w:rPr>
          <w:rFonts w:hint="eastAsia" w:ascii="宋体" w:hAnsi="宋体"/>
          <w:color w:val="auto"/>
          <w:sz w:val="21"/>
          <w:szCs w:val="21"/>
        </w:rPr>
      </w:pPr>
      <w:bookmarkStart w:id="404" w:name="_Toc23997_WPSOffice_Level3"/>
      <w:bookmarkStart w:id="405" w:name="_Toc9360_WPSOffice_Level3"/>
      <w:r>
        <w:rPr>
          <w:rFonts w:hint="eastAsia" w:ascii="仿宋_GB2312" w:hAnsi="仿宋_GB2312" w:eastAsia="仿宋_GB2312" w:cs="仿宋_GB2312"/>
          <w:b/>
          <w:color w:val="auto"/>
          <w:sz w:val="32"/>
          <w:szCs w:val="32"/>
          <w:lang w:eastAsia="zh-CN"/>
        </w:rPr>
        <w:t>供应商资格证明文件</w:t>
      </w:r>
      <w:bookmarkEnd w:id="404"/>
      <w:bookmarkEnd w:id="405"/>
    </w:p>
    <w:p w14:paraId="5AB244FB">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资格证明材料包括：提供有效的营业执照、税务登记证、机构代码证或三证（五证）合一统一社会代码证及其他资格证明文件（扫描或复印件）。</w:t>
      </w:r>
    </w:p>
    <w:p w14:paraId="56E7A179">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70413CD8">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2、根据采购项目内容，提供供应商的相关资质证书、许可证等。</w:t>
      </w:r>
    </w:p>
    <w:p w14:paraId="7922CEBF">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p>
    <w:p w14:paraId="7351E9E7">
      <w:pPr>
        <w:widowControl/>
        <w:wordWrap/>
        <w:snapToGrid w:val="0"/>
        <w:spacing w:before="157" w:beforeLines="50" w:line="560" w:lineRule="exact"/>
        <w:outlineLvl w:val="9"/>
        <w:rPr>
          <w:rFonts w:hint="eastAsia" w:ascii="宋体"/>
          <w:b/>
          <w:color w:val="auto"/>
          <w:sz w:val="28"/>
          <w:szCs w:val="28"/>
        </w:rPr>
      </w:pPr>
    </w:p>
    <w:p w14:paraId="07A6E146">
      <w:pPr>
        <w:widowControl/>
        <w:wordWrap/>
        <w:snapToGrid w:val="0"/>
        <w:spacing w:before="157" w:beforeLines="50" w:line="560" w:lineRule="exact"/>
        <w:outlineLvl w:val="9"/>
        <w:rPr>
          <w:rFonts w:hint="eastAsia" w:ascii="宋体"/>
          <w:b/>
          <w:color w:val="auto"/>
          <w:sz w:val="28"/>
          <w:szCs w:val="28"/>
        </w:rPr>
      </w:pPr>
    </w:p>
    <w:p w14:paraId="2B35A78E">
      <w:pPr>
        <w:widowControl/>
        <w:wordWrap/>
        <w:snapToGrid w:val="0"/>
        <w:spacing w:before="157" w:beforeLines="50" w:line="560" w:lineRule="exact"/>
        <w:outlineLvl w:val="9"/>
        <w:rPr>
          <w:rFonts w:hint="eastAsia" w:ascii="宋体"/>
          <w:b/>
          <w:color w:val="auto"/>
          <w:sz w:val="28"/>
          <w:szCs w:val="28"/>
        </w:rPr>
      </w:pPr>
    </w:p>
    <w:p w14:paraId="6D804A49">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eastAsia="zh-CN"/>
        </w:rPr>
      </w:pPr>
      <w:bookmarkStart w:id="406" w:name="_Toc6573"/>
      <w:bookmarkStart w:id="407" w:name="_Toc7499_WPSOffice_Level3"/>
      <w:bookmarkStart w:id="408" w:name="_Toc31744"/>
      <w:bookmarkStart w:id="409" w:name="_Toc29082_WPSOffice_Level3"/>
      <w:bookmarkStart w:id="410" w:name="_Toc12925"/>
      <w:bookmarkStart w:id="411" w:name="_Toc5898"/>
    </w:p>
    <w:p w14:paraId="2BEE871F">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eastAsia="zh-CN"/>
        </w:rPr>
      </w:pPr>
    </w:p>
    <w:p w14:paraId="46B481DC">
      <w:pPr>
        <w:widowControl/>
        <w:wordWrap/>
        <w:snapToGrid w:val="0"/>
        <w:spacing w:before="157" w:beforeLines="50" w:line="560" w:lineRule="exact"/>
        <w:outlineLvl w:val="1"/>
        <w:rPr>
          <w:rFonts w:hint="eastAsia" w:ascii="宋体" w:hAnsi="宋体"/>
          <w:b/>
          <w:color w:val="auto"/>
          <w:sz w:val="36"/>
          <w:szCs w:val="36"/>
        </w:rPr>
      </w:pPr>
      <w:r>
        <w:rPr>
          <w:rFonts w:hint="eastAsia" w:ascii="楷体_GB2312" w:hAnsi="楷体_GB2312" w:eastAsia="楷体_GB2312" w:cs="楷体_GB2312"/>
          <w:b/>
          <w:color w:val="auto"/>
          <w:sz w:val="32"/>
          <w:szCs w:val="32"/>
          <w:lang w:eastAsia="zh-CN"/>
        </w:rPr>
        <w:t>附件7：财务状况、缴纳税收和社会保障资金证明</w:t>
      </w:r>
      <w:bookmarkEnd w:id="406"/>
      <w:bookmarkEnd w:id="407"/>
      <w:bookmarkEnd w:id="408"/>
      <w:bookmarkEnd w:id="409"/>
      <w:bookmarkEnd w:id="410"/>
      <w:bookmarkEnd w:id="411"/>
    </w:p>
    <w:p w14:paraId="4D967688">
      <w:pPr>
        <w:wordWrap/>
        <w:spacing w:before="157" w:beforeLines="50" w:line="560" w:lineRule="exact"/>
        <w:jc w:val="center"/>
        <w:outlineLvl w:val="9"/>
        <w:rPr>
          <w:rFonts w:hint="eastAsia" w:ascii="宋体" w:hAnsi="宋体"/>
          <w:b/>
          <w:color w:val="auto"/>
          <w:sz w:val="36"/>
          <w:szCs w:val="36"/>
        </w:rPr>
      </w:pPr>
      <w:bookmarkStart w:id="412" w:name="_Toc2355_WPSOffice_Level3"/>
      <w:bookmarkStart w:id="413" w:name="_Toc22184_WPSOffice_Level3"/>
      <w:r>
        <w:rPr>
          <w:rFonts w:hint="eastAsia" w:ascii="仿宋_GB2312" w:hAnsi="仿宋_GB2312" w:eastAsia="仿宋_GB2312" w:cs="仿宋_GB2312"/>
          <w:b/>
          <w:color w:val="auto"/>
          <w:sz w:val="32"/>
          <w:szCs w:val="32"/>
          <w:lang w:eastAsia="zh-CN"/>
        </w:rPr>
        <w:t>财务状况、缴纳税收和社会保障资金证明</w:t>
      </w:r>
      <w:bookmarkEnd w:id="412"/>
      <w:bookmarkEnd w:id="413"/>
    </w:p>
    <w:p w14:paraId="2B16583D">
      <w:pPr>
        <w:wordWrap/>
        <w:adjustRightInd/>
        <w:spacing w:line="56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按照《政府采购法》第22条规定提供以下相关材料</w:t>
      </w:r>
      <w:r>
        <w:rPr>
          <w:rFonts w:hint="eastAsia" w:ascii="仿宋_GB2312" w:hAnsi="仿宋_GB2312" w:eastAsia="仿宋_GB2312" w:cs="仿宋_GB2312"/>
          <w:color w:val="auto"/>
          <w:sz w:val="32"/>
          <w:szCs w:val="32"/>
          <w:lang w:eastAsia="zh-CN"/>
        </w:rPr>
        <w:t>：</w:t>
      </w:r>
    </w:p>
    <w:p w14:paraId="31DE708B">
      <w:pPr>
        <w:wordWrap/>
        <w:autoSpaceDE w:val="0"/>
        <w:autoSpaceDN w:val="0"/>
        <w:adjustRightInd/>
        <w:spacing w:line="560" w:lineRule="exact"/>
        <w:ind w:firstLine="480"/>
        <w:textAlignment w:val="auto"/>
        <w:outlineLvl w:val="9"/>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sz w:val="32"/>
          <w:szCs w:val="32"/>
        </w:rPr>
        <w:t>1、供应商是法人的，提供20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val="en-US" w:eastAsia="zh-CN"/>
        </w:rPr>
        <w:t>或2025年度</w:t>
      </w:r>
      <w:r>
        <w:rPr>
          <w:rFonts w:hint="eastAsia" w:ascii="仿宋_GB2312" w:hAnsi="仿宋_GB2312" w:eastAsia="仿宋_GB2312" w:cs="仿宋_GB2312"/>
          <w:color w:val="auto"/>
          <w:sz w:val="32"/>
          <w:szCs w:val="32"/>
        </w:rPr>
        <w:t>经审计的财务状况报告，包括资产负债表、利润表、现金流量表及其附注，</w:t>
      </w:r>
      <w:r>
        <w:rPr>
          <w:rFonts w:hint="eastAsia" w:ascii="仿宋_GB2312" w:hAnsi="仿宋_GB2312" w:eastAsia="仿宋_GB2312" w:cs="仿宋_GB2312"/>
          <w:color w:val="auto"/>
          <w:sz w:val="32"/>
          <w:szCs w:val="32"/>
          <w:lang w:val="zh-CN"/>
        </w:rPr>
        <w:t>并提供第三方机构的营业执照、执业证书</w:t>
      </w:r>
      <w:r>
        <w:rPr>
          <w:rFonts w:hint="eastAsia" w:ascii="仿宋_GB2312" w:hAnsi="仿宋_GB2312" w:eastAsia="仿宋_GB2312" w:cs="仿宋_GB2312"/>
          <w:color w:val="auto"/>
          <w:sz w:val="32"/>
          <w:szCs w:val="32"/>
        </w:rPr>
        <w:t>或其基本开户银行</w:t>
      </w:r>
      <w:r>
        <w:rPr>
          <w:rFonts w:hint="eastAsia" w:ascii="仿宋_GB2312" w:hAnsi="仿宋_GB2312" w:eastAsia="仿宋_GB2312" w:cs="仿宋_GB2312"/>
          <w:color w:val="auto"/>
          <w:sz w:val="32"/>
          <w:szCs w:val="32"/>
          <w:u w:val="single"/>
          <w:lang w:val="en-US" w:eastAsia="zh-CN"/>
        </w:rPr>
        <w:t>近三个月</w:t>
      </w:r>
      <w:r>
        <w:rPr>
          <w:rFonts w:hint="eastAsia" w:ascii="仿宋_GB2312" w:hAnsi="仿宋_GB2312" w:eastAsia="仿宋_GB2312" w:cs="仿宋_GB2312"/>
          <w:color w:val="auto"/>
          <w:sz w:val="32"/>
          <w:szCs w:val="32"/>
        </w:rPr>
        <w:t>出具的资信证明；供应商是其他组织和自然人，没有经审计的财务报告，可以提供基本开户银行出具的资信证明。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注册未满一年的企业需提供</w:t>
      </w:r>
      <w:r>
        <w:rPr>
          <w:rFonts w:hint="eastAsia" w:ascii="仿宋_GB2312" w:hAnsi="仿宋_GB2312" w:eastAsia="仿宋_GB2312" w:cs="仿宋_GB2312"/>
          <w:color w:val="auto"/>
          <w:sz w:val="32"/>
          <w:szCs w:val="32"/>
        </w:rPr>
        <w:t>其基本开户银行</w:t>
      </w:r>
      <w:r>
        <w:rPr>
          <w:rFonts w:hint="eastAsia" w:ascii="仿宋_GB2312" w:hAnsi="仿宋_GB2312" w:eastAsia="仿宋_GB2312" w:cs="仿宋_GB2312"/>
          <w:color w:val="auto"/>
          <w:sz w:val="32"/>
          <w:szCs w:val="32"/>
          <w:u w:val="single"/>
          <w:lang w:val="en-US" w:eastAsia="zh-CN"/>
        </w:rPr>
        <w:t>近三个月</w:t>
      </w:r>
      <w:r>
        <w:rPr>
          <w:rFonts w:hint="eastAsia" w:ascii="仿宋_GB2312" w:hAnsi="仿宋_GB2312" w:eastAsia="仿宋_GB2312" w:cs="仿宋_GB2312"/>
          <w:color w:val="auto"/>
          <w:sz w:val="32"/>
          <w:szCs w:val="32"/>
        </w:rPr>
        <w:t>出具的资信证明</w:t>
      </w:r>
      <w:r>
        <w:rPr>
          <w:rFonts w:hint="eastAsia" w:ascii="仿宋_GB2312" w:hAnsi="仿宋_GB2312" w:eastAsia="仿宋_GB2312" w:cs="仿宋_GB2312"/>
          <w:color w:val="auto"/>
          <w:sz w:val="32"/>
          <w:szCs w:val="32"/>
          <w:lang w:eastAsia="zh-CN"/>
        </w:rPr>
        <w:t>）</w:t>
      </w:r>
    </w:p>
    <w:p w14:paraId="4C8B96BD">
      <w:pPr>
        <w:wordWrap/>
        <w:adjustRightIn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2、近</w:t>
      </w:r>
      <w:r>
        <w:rPr>
          <w:rFonts w:hint="eastAsia" w:ascii="仿宋_GB2312" w:hAnsi="仿宋_GB2312" w:eastAsia="仿宋_GB2312" w:cs="仿宋_GB2312"/>
          <w:color w:val="auto"/>
          <w:sz w:val="32"/>
          <w:szCs w:val="32"/>
          <w:lang w:val="en-US" w:eastAsia="zh-CN"/>
        </w:rPr>
        <w:t>半年内任意三</w:t>
      </w:r>
      <w:r>
        <w:rPr>
          <w:rFonts w:hint="eastAsia" w:ascii="仿宋_GB2312" w:hAnsi="仿宋_GB2312" w:eastAsia="仿宋_GB2312" w:cs="仿宋_GB2312"/>
          <w:color w:val="auto"/>
          <w:sz w:val="32"/>
          <w:szCs w:val="32"/>
        </w:rPr>
        <w:t>个月</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依法缴纳税收和社会保障资金记录的证明材料</w:t>
      </w:r>
      <w:r>
        <w:rPr>
          <w:rFonts w:hint="eastAsia" w:ascii="仿宋_GB2312" w:hAnsi="仿宋_GB2312" w:eastAsia="仿宋_GB2312" w:cs="仿宋_GB2312"/>
          <w:color w:val="auto"/>
          <w:sz w:val="32"/>
          <w:szCs w:val="32"/>
          <w:lang w:eastAsia="zh-CN"/>
        </w:rPr>
        <w:t>，或相关行政机关出具无欠缴应纳税款或社会保障资金的证明材料</w:t>
      </w:r>
      <w:r>
        <w:rPr>
          <w:rFonts w:hint="eastAsia" w:ascii="仿宋_GB2312" w:hAnsi="仿宋_GB2312" w:eastAsia="仿宋_GB2312" w:cs="仿宋_GB2312"/>
          <w:color w:val="auto"/>
          <w:sz w:val="32"/>
          <w:szCs w:val="32"/>
        </w:rPr>
        <w:t>。依法免税或不需要缴纳社会保障资金的供应商，应提供相应文件证明其依法免税或不需要缴纳社会保障资金。</w:t>
      </w:r>
    </w:p>
    <w:p w14:paraId="6FE7E7CC">
      <w:pPr>
        <w:widowControl/>
        <w:wordWrap/>
        <w:adjustRightInd/>
        <w:snapToGrid w:val="0"/>
        <w:spacing w:line="560" w:lineRule="exact"/>
        <w:textAlignment w:val="auto"/>
        <w:outlineLvl w:val="9"/>
        <w:rPr>
          <w:rFonts w:hint="eastAsia" w:ascii="仿宋_GB2312" w:hAnsi="仿宋_GB2312" w:eastAsia="仿宋_GB2312" w:cs="仿宋_GB2312"/>
          <w:color w:val="auto"/>
          <w:sz w:val="32"/>
          <w:szCs w:val="32"/>
        </w:rPr>
      </w:pPr>
    </w:p>
    <w:p w14:paraId="7CD81223">
      <w:pPr>
        <w:widowControl/>
        <w:wordWrap/>
        <w:snapToGrid w:val="0"/>
        <w:spacing w:before="157" w:beforeLines="50" w:line="560" w:lineRule="exact"/>
        <w:outlineLvl w:val="9"/>
        <w:rPr>
          <w:rFonts w:hint="eastAsia" w:ascii="宋体" w:hAnsi="宋体"/>
          <w:color w:val="auto"/>
          <w:sz w:val="21"/>
          <w:szCs w:val="21"/>
        </w:rPr>
      </w:pPr>
    </w:p>
    <w:p w14:paraId="31BD6981">
      <w:pPr>
        <w:tabs>
          <w:tab w:val="left" w:pos="168"/>
        </w:tabs>
        <w:wordWrap/>
        <w:adjustRightInd w:val="0"/>
        <w:spacing w:before="157" w:beforeLines="50" w:line="560" w:lineRule="exact"/>
        <w:ind w:firstLine="480" w:firstLineChars="200"/>
        <w:textAlignment w:val="baseline"/>
        <w:rPr>
          <w:rFonts w:hint="eastAsia" w:ascii="宋体" w:hAnsi="宋体"/>
          <w:color w:val="auto"/>
          <w:sz w:val="24"/>
        </w:rPr>
      </w:pPr>
    </w:p>
    <w:p w14:paraId="629DF68F">
      <w:pPr>
        <w:widowControl/>
        <w:wordWrap/>
        <w:snapToGrid w:val="0"/>
        <w:spacing w:before="157" w:beforeLines="50" w:line="560" w:lineRule="exact"/>
        <w:outlineLvl w:val="1"/>
        <w:rPr>
          <w:rFonts w:hint="eastAsia" w:ascii="宋体" w:hAnsi="宋体"/>
          <w:b/>
          <w:color w:val="auto"/>
          <w:sz w:val="24"/>
        </w:rPr>
      </w:pPr>
    </w:p>
    <w:p w14:paraId="0A6CC97F">
      <w:pPr>
        <w:wordWrap/>
        <w:spacing w:before="157" w:beforeLines="50" w:line="560" w:lineRule="exact"/>
        <w:rPr>
          <w:rFonts w:hint="eastAsia" w:ascii="宋体" w:hAnsi="宋体"/>
          <w:b/>
          <w:bCs/>
          <w:color w:val="auto"/>
          <w:sz w:val="28"/>
          <w:szCs w:val="28"/>
        </w:rPr>
      </w:pPr>
    </w:p>
    <w:p w14:paraId="014EFD16">
      <w:pPr>
        <w:wordWrap/>
        <w:spacing w:before="157" w:beforeLines="50" w:line="560" w:lineRule="exact"/>
        <w:rPr>
          <w:rFonts w:hint="eastAsia" w:ascii="宋体" w:hAnsi="宋体"/>
          <w:b/>
          <w:bCs/>
          <w:color w:val="auto"/>
          <w:sz w:val="28"/>
          <w:szCs w:val="28"/>
        </w:rPr>
      </w:pPr>
    </w:p>
    <w:p w14:paraId="4E3591A7">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eastAsia="zh-CN"/>
        </w:rPr>
      </w:pPr>
      <w:bookmarkStart w:id="414" w:name="_Toc21984"/>
      <w:bookmarkStart w:id="415" w:name="_Toc26128"/>
      <w:bookmarkStart w:id="416" w:name="_Toc16098"/>
      <w:bookmarkStart w:id="417" w:name="_Toc17387_WPSOffice_Level3"/>
      <w:bookmarkStart w:id="418" w:name="_Toc13266"/>
      <w:bookmarkStart w:id="419" w:name="_Toc22959_WPSOffice_Level3"/>
    </w:p>
    <w:p w14:paraId="27217108">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eastAsia="zh-CN"/>
        </w:rPr>
      </w:pPr>
    </w:p>
    <w:p w14:paraId="6824E3EA">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eastAsia="zh-CN"/>
        </w:rPr>
      </w:pPr>
    </w:p>
    <w:p w14:paraId="25A54FCE">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eastAsia="zh-CN"/>
        </w:rPr>
      </w:pPr>
      <w:r>
        <w:rPr>
          <w:rFonts w:hint="eastAsia" w:ascii="楷体_GB2312" w:hAnsi="楷体_GB2312" w:eastAsia="楷体_GB2312" w:cs="楷体_GB2312"/>
          <w:b/>
          <w:color w:val="auto"/>
          <w:sz w:val="32"/>
          <w:szCs w:val="32"/>
          <w:lang w:eastAsia="zh-CN"/>
        </w:rPr>
        <w:t>附件8：</w:t>
      </w:r>
      <w:bookmarkEnd w:id="414"/>
      <w:r>
        <w:rPr>
          <w:rFonts w:hint="eastAsia" w:ascii="楷体_GB2312" w:hAnsi="楷体_GB2312" w:eastAsia="楷体_GB2312" w:cs="楷体_GB2312"/>
          <w:b/>
          <w:color w:val="auto"/>
          <w:sz w:val="32"/>
          <w:szCs w:val="32"/>
          <w:lang w:val="en-US" w:eastAsia="zh-CN"/>
        </w:rPr>
        <w:t>具备履行合同所必须的设备和专业技术能力证明</w:t>
      </w:r>
    </w:p>
    <w:p w14:paraId="21E0FFBD">
      <w:pPr>
        <w:widowControl/>
        <w:wordWrap/>
        <w:snapToGrid w:val="0"/>
        <w:spacing w:before="157" w:beforeLines="50" w:line="560" w:lineRule="exact"/>
        <w:jc w:val="center"/>
        <w:outlineLvl w:val="1"/>
        <w:rPr>
          <w:rFonts w:hint="eastAsia" w:ascii="楷体_GB2312" w:hAnsi="楷体_GB2312" w:eastAsia="楷体_GB2312" w:cs="楷体_GB2312"/>
          <w:b/>
          <w:color w:val="auto"/>
          <w:sz w:val="32"/>
          <w:szCs w:val="32"/>
          <w:lang w:val="en-US" w:eastAsia="zh-CN"/>
        </w:rPr>
      </w:pPr>
    </w:p>
    <w:p w14:paraId="5982947E">
      <w:pPr>
        <w:widowControl/>
        <w:wordWrap/>
        <w:snapToGrid w:val="0"/>
        <w:spacing w:before="157" w:beforeLines="50" w:line="560" w:lineRule="exact"/>
        <w:jc w:val="center"/>
        <w:outlineLvl w:val="1"/>
        <w:rPr>
          <w:rFonts w:hint="eastAsia" w:ascii="楷体_GB2312" w:hAnsi="楷体_GB2312" w:eastAsia="楷体_GB2312" w:cs="楷体_GB2312"/>
          <w:b/>
          <w:color w:val="auto"/>
          <w:sz w:val="32"/>
          <w:szCs w:val="32"/>
          <w:lang w:eastAsia="zh-CN"/>
        </w:rPr>
      </w:pPr>
      <w:r>
        <w:rPr>
          <w:rFonts w:hint="eastAsia" w:ascii="仿宋_GB2312" w:hAnsi="仿宋_GB2312" w:eastAsia="仿宋_GB2312" w:cs="仿宋_GB2312"/>
          <w:b/>
          <w:color w:val="auto"/>
          <w:sz w:val="32"/>
          <w:szCs w:val="32"/>
          <w:lang w:val="en-US" w:eastAsia="zh-CN"/>
        </w:rPr>
        <w:t>具备履行合同所必须的设备和专业技术能力证明</w:t>
      </w:r>
    </w:p>
    <w:p w14:paraId="09467C5C">
      <w:pPr>
        <w:wordWrap/>
        <w:autoSpaceDE w:val="0"/>
        <w:autoSpaceDN w:val="0"/>
        <w:adjustRightInd/>
        <w:spacing w:line="560" w:lineRule="exact"/>
        <w:ind w:firstLine="480"/>
        <w:textAlignment w:val="auto"/>
        <w:outlineLvl w:val="9"/>
        <w:rPr>
          <w:rFonts w:hint="eastAsia" w:ascii="仿宋_GB2312" w:hAnsi="仿宋_GB2312" w:eastAsia="仿宋_GB2312" w:cs="仿宋_GB2312"/>
          <w:color w:val="auto"/>
          <w:sz w:val="32"/>
          <w:szCs w:val="32"/>
          <w:lang w:val="en-US" w:eastAsia="zh-CN"/>
        </w:rPr>
      </w:pPr>
    </w:p>
    <w:p w14:paraId="38839F1F">
      <w:pPr>
        <w:wordWrap/>
        <w:autoSpaceDE w:val="0"/>
        <w:autoSpaceDN w:val="0"/>
        <w:adjustRightInd/>
        <w:spacing w:line="560" w:lineRule="exact"/>
        <w:ind w:firstLine="480"/>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为保证本项目合同的顺利履行，供应商必须具备履行合同的设备和专业技术能力，须提供</w:t>
      </w:r>
      <w:r>
        <w:rPr>
          <w:rFonts w:hint="eastAsia" w:ascii="仿宋_GB2312" w:hAnsi="仿宋_GB2312" w:eastAsia="仿宋_GB2312" w:cs="仿宋_GB2312"/>
          <w:b w:val="0"/>
          <w:bCs/>
          <w:color w:val="auto"/>
          <w:sz w:val="32"/>
          <w:szCs w:val="32"/>
          <w:lang w:val="en-US" w:eastAsia="zh-CN"/>
        </w:rPr>
        <w:t>授权人签字的</w:t>
      </w:r>
      <w:r>
        <w:rPr>
          <w:rFonts w:hint="eastAsia" w:ascii="仿宋_GB2312" w:hAnsi="仿宋_GB2312" w:eastAsia="仿宋_GB2312" w:cs="仿宋_GB2312"/>
          <w:color w:val="auto"/>
          <w:sz w:val="32"/>
          <w:szCs w:val="32"/>
          <w:lang w:val="en-US" w:eastAsia="zh-CN"/>
        </w:rPr>
        <w:t>具备履行合同的设备和专业技术能力的承诺函（格式自拟）。</w:t>
      </w:r>
    </w:p>
    <w:p w14:paraId="1EC6B09E">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eastAsia="zh-CN"/>
        </w:rPr>
      </w:pPr>
    </w:p>
    <w:p w14:paraId="43349F4F">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val="en-US" w:eastAsia="zh-CN"/>
        </w:rPr>
      </w:pPr>
    </w:p>
    <w:p w14:paraId="33D100B3">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val="en-US" w:eastAsia="zh-CN"/>
        </w:rPr>
      </w:pPr>
    </w:p>
    <w:p w14:paraId="57D006EF">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val="en-US" w:eastAsia="zh-CN"/>
        </w:rPr>
      </w:pPr>
    </w:p>
    <w:p w14:paraId="2F05B42E">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val="en-US" w:eastAsia="zh-CN"/>
        </w:rPr>
      </w:pPr>
    </w:p>
    <w:p w14:paraId="3F95261A">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val="en-US" w:eastAsia="zh-CN"/>
        </w:rPr>
      </w:pPr>
    </w:p>
    <w:p w14:paraId="691F9D97">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val="en-US" w:eastAsia="zh-CN"/>
        </w:rPr>
      </w:pPr>
    </w:p>
    <w:p w14:paraId="4A6248CA">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val="en-US" w:eastAsia="zh-CN"/>
        </w:rPr>
      </w:pPr>
    </w:p>
    <w:p w14:paraId="0868EE2F">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val="en-US" w:eastAsia="zh-CN"/>
        </w:rPr>
      </w:pPr>
    </w:p>
    <w:p w14:paraId="664E7D74">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val="en-US" w:eastAsia="zh-CN"/>
        </w:rPr>
      </w:pPr>
    </w:p>
    <w:p w14:paraId="3EB4B336">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val="en-US" w:eastAsia="zh-CN"/>
        </w:rPr>
      </w:pPr>
    </w:p>
    <w:p w14:paraId="508C37E4">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val="en-US" w:eastAsia="zh-CN"/>
        </w:rPr>
      </w:pPr>
    </w:p>
    <w:p w14:paraId="306DB0E1">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val="en-US" w:eastAsia="zh-CN"/>
        </w:rPr>
      </w:pPr>
    </w:p>
    <w:p w14:paraId="787BD2C5">
      <w:pPr>
        <w:widowControl/>
        <w:wordWrap/>
        <w:snapToGrid w:val="0"/>
        <w:spacing w:before="157" w:beforeLines="50" w:line="560" w:lineRule="exact"/>
        <w:outlineLvl w:val="1"/>
        <w:rPr>
          <w:rFonts w:hint="eastAsia" w:ascii="楷体_GB2312" w:hAnsi="楷体_GB2312" w:eastAsia="楷体_GB2312" w:cs="楷体_GB2312"/>
          <w:b/>
          <w:color w:val="auto"/>
          <w:sz w:val="32"/>
          <w:szCs w:val="32"/>
          <w:lang w:eastAsia="zh-CN"/>
        </w:rPr>
      </w:pPr>
      <w:r>
        <w:rPr>
          <w:rFonts w:hint="eastAsia" w:ascii="楷体_GB2312" w:hAnsi="楷体_GB2312" w:eastAsia="楷体_GB2312" w:cs="楷体_GB2312"/>
          <w:b/>
          <w:color w:val="auto"/>
          <w:sz w:val="32"/>
          <w:szCs w:val="32"/>
          <w:lang w:val="en-US" w:eastAsia="zh-CN"/>
        </w:rPr>
        <w:t>附件9：</w:t>
      </w:r>
      <w:r>
        <w:rPr>
          <w:rFonts w:hint="eastAsia" w:ascii="楷体_GB2312" w:hAnsi="楷体_GB2312" w:eastAsia="楷体_GB2312" w:cs="楷体_GB2312"/>
          <w:b/>
          <w:color w:val="auto"/>
          <w:sz w:val="32"/>
          <w:szCs w:val="32"/>
          <w:lang w:eastAsia="zh-CN"/>
        </w:rPr>
        <w:t>无重大违法记录声明</w:t>
      </w:r>
      <w:bookmarkEnd w:id="415"/>
      <w:bookmarkEnd w:id="416"/>
      <w:bookmarkEnd w:id="417"/>
    </w:p>
    <w:p w14:paraId="08A5BB61">
      <w:pPr>
        <w:wordWrap/>
        <w:spacing w:before="157" w:beforeLines="50" w:line="560" w:lineRule="exact"/>
        <w:jc w:val="center"/>
        <w:outlineLvl w:val="9"/>
        <w:rPr>
          <w:rFonts w:hint="eastAsia" w:ascii="宋体" w:hAnsi="宋体" w:cs="宋体"/>
          <w:b/>
          <w:bCs/>
          <w:color w:val="auto"/>
          <w:sz w:val="28"/>
          <w:szCs w:val="28"/>
        </w:rPr>
      </w:pPr>
      <w:bookmarkStart w:id="420" w:name="_Toc25610_WPSOffice_Level3"/>
      <w:r>
        <w:rPr>
          <w:rFonts w:hint="eastAsia" w:ascii="仿宋_GB2312" w:hAnsi="仿宋_GB2312" w:eastAsia="仿宋_GB2312" w:cs="仿宋_GB2312"/>
          <w:b/>
          <w:color w:val="auto"/>
          <w:sz w:val="32"/>
          <w:szCs w:val="32"/>
          <w:lang w:val="zh-CN" w:eastAsia="zh-CN"/>
        </w:rPr>
        <w:t>无重大违法记录声明</w:t>
      </w:r>
      <w:bookmarkEnd w:id="420"/>
    </w:p>
    <w:p w14:paraId="5A2FEA3D">
      <w:pPr>
        <w:widowControl w:val="0"/>
        <w:wordWrap/>
        <w:adjustRightInd/>
        <w:snapToGrid/>
        <w:spacing w:line="560" w:lineRule="exact"/>
        <w:textAlignment w:val="auto"/>
        <w:outlineLvl w:val="9"/>
        <w:rPr>
          <w:rFonts w:hint="eastAsia" w:ascii="仿宋_GB2312" w:hAnsi="仿宋_GB2312" w:eastAsia="仿宋_GB2312" w:cs="仿宋_GB2312"/>
          <w:b/>
          <w:bCs/>
          <w:color w:val="auto"/>
          <w:sz w:val="32"/>
          <w:szCs w:val="32"/>
        </w:rPr>
      </w:pPr>
      <w:r>
        <w:rPr>
          <w:rFonts w:hint="eastAsia" w:ascii="宋体" w:hAnsi="宋体" w:cs="宋体"/>
          <w:b/>
          <w:bCs/>
          <w:color w:val="auto"/>
          <w:kern w:val="0"/>
          <w:lang w:val="en-US" w:eastAsia="zh-CN"/>
        </w:rPr>
        <w:t xml:space="preserve">  </w:t>
      </w:r>
      <w:r>
        <w:rPr>
          <w:rFonts w:hint="eastAsia" w:ascii="仿宋_GB2312" w:hAnsi="仿宋_GB2312" w:eastAsia="仿宋_GB2312" w:cs="仿宋_GB2312"/>
          <w:b w:val="0"/>
          <w:bCs w:val="0"/>
          <w:color w:val="auto"/>
          <w:sz w:val="32"/>
          <w:szCs w:val="32"/>
        </w:rPr>
        <w:t>致：</w:t>
      </w:r>
      <w:r>
        <w:rPr>
          <w:rFonts w:hint="eastAsia" w:ascii="仿宋_GB2312" w:hAnsi="仿宋_GB2312" w:eastAsia="仿宋_GB2312" w:cs="仿宋_GB2312"/>
          <w:b w:val="0"/>
          <w:bCs w:val="0"/>
          <w:color w:val="auto"/>
          <w:sz w:val="32"/>
          <w:szCs w:val="32"/>
          <w:u w:val="single"/>
          <w:lang w:eastAsia="zh-CN"/>
        </w:rPr>
        <w:t>（代理机构名称）</w:t>
      </w:r>
    </w:p>
    <w:p w14:paraId="470ABA3A">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我单位参加本次政府采购项目活动前三年内，在经营活动中无重大违法活动记录，符合《政府采购法》规定的</w:t>
      </w:r>
      <w:r>
        <w:rPr>
          <w:rFonts w:hint="eastAsia" w:ascii="仿宋_GB2312" w:hAnsi="仿宋_GB2312" w:eastAsia="仿宋_GB2312" w:cs="仿宋_GB2312"/>
          <w:color w:val="auto"/>
          <w:sz w:val="32"/>
          <w:szCs w:val="32"/>
          <w:lang w:eastAsia="zh-CN"/>
        </w:rPr>
        <w:t>供应商</w:t>
      </w:r>
      <w:r>
        <w:rPr>
          <w:rFonts w:hint="eastAsia" w:ascii="仿宋_GB2312" w:hAnsi="仿宋_GB2312" w:eastAsia="仿宋_GB2312" w:cs="仿宋_GB2312"/>
          <w:color w:val="auto"/>
          <w:sz w:val="32"/>
          <w:szCs w:val="32"/>
        </w:rPr>
        <w:t>资格条</w:t>
      </w:r>
      <w:r>
        <w:rPr>
          <w:rFonts w:hint="eastAsia" w:ascii="仿宋_GB2312" w:hAnsi="仿宋_GB2312" w:eastAsia="仿宋_GB2312" w:cs="仿宋_GB2312"/>
          <w:color w:val="auto"/>
          <w:sz w:val="32"/>
          <w:szCs w:val="32"/>
          <w:shd w:val="clear" w:color="auto" w:fill="FFFFFF"/>
        </w:rPr>
        <w:t>件。我方对此声明负全部法律责任。</w:t>
      </w:r>
    </w:p>
    <w:p w14:paraId="3A6CB276">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特此声明。</w:t>
      </w:r>
    </w:p>
    <w:p w14:paraId="0067151B">
      <w:pPr>
        <w:widowControl w:val="0"/>
        <w:wordWrap/>
        <w:autoSpaceDE w:val="0"/>
        <w:autoSpaceDN w:val="0"/>
        <w:adjustRightInd/>
        <w:snapToGrid/>
        <w:spacing w:line="560" w:lineRule="exact"/>
        <w:jc w:val="left"/>
        <w:textAlignment w:val="auto"/>
        <w:outlineLvl w:val="9"/>
        <w:rPr>
          <w:rFonts w:hint="eastAsia" w:ascii="仿宋_GB2312" w:hAnsi="仿宋_GB2312" w:eastAsia="仿宋_GB2312" w:cs="仿宋_GB2312"/>
          <w:color w:val="auto"/>
          <w:kern w:val="0"/>
          <w:sz w:val="32"/>
          <w:szCs w:val="32"/>
          <w:lang w:val="zh-CN"/>
        </w:rPr>
      </w:pPr>
    </w:p>
    <w:p w14:paraId="0F4A0A4C">
      <w:pPr>
        <w:widowControl w:val="0"/>
        <w:wordWrap/>
        <w:autoSpaceDE w:val="0"/>
        <w:autoSpaceDN w:val="0"/>
        <w:adjustRightInd/>
        <w:snapToGrid/>
        <w:spacing w:line="560" w:lineRule="exact"/>
        <w:ind w:firstLine="640" w:firstLineChars="200"/>
        <w:jc w:val="left"/>
        <w:textAlignment w:val="auto"/>
        <w:outlineLvl w:val="9"/>
        <w:rPr>
          <w:rFonts w:hint="eastAsia" w:ascii="宋体" w:hAnsi="宋体" w:cs="宋体"/>
          <w:color w:val="auto"/>
          <w:kern w:val="0"/>
        </w:rPr>
      </w:pPr>
      <w:r>
        <w:rPr>
          <w:rFonts w:hint="eastAsia" w:ascii="仿宋_GB2312" w:hAnsi="仿宋_GB2312" w:eastAsia="仿宋_GB2312" w:cs="仿宋_GB2312"/>
          <w:color w:val="auto"/>
          <w:kern w:val="0"/>
          <w:sz w:val="32"/>
          <w:szCs w:val="32"/>
        </w:rPr>
        <w:t>附“信用中国”网站“下载信用信息”栏中的信用信息，时间为</w:t>
      </w:r>
      <w:r>
        <w:rPr>
          <w:rFonts w:hint="eastAsia" w:ascii="仿宋_GB2312" w:hAnsi="仿宋_GB2312" w:eastAsia="仿宋_GB2312" w:cs="仿宋_GB2312"/>
          <w:color w:val="auto"/>
          <w:kern w:val="0"/>
          <w:sz w:val="32"/>
          <w:szCs w:val="32"/>
          <w:lang w:eastAsia="zh-CN"/>
        </w:rPr>
        <w:t>谈判文件响应</w:t>
      </w:r>
      <w:r>
        <w:rPr>
          <w:rFonts w:hint="eastAsia" w:ascii="仿宋_GB2312" w:hAnsi="仿宋_GB2312" w:eastAsia="仿宋_GB2312" w:cs="仿宋_GB2312"/>
          <w:color w:val="auto"/>
          <w:kern w:val="0"/>
          <w:sz w:val="32"/>
          <w:szCs w:val="32"/>
        </w:rPr>
        <w:t>截止时间前</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0天内</w:t>
      </w:r>
      <w:r>
        <w:rPr>
          <w:rFonts w:hint="eastAsia" w:ascii="仿宋_GB2312" w:hAnsi="仿宋_GB2312" w:eastAsia="仿宋_GB2312" w:cs="仿宋_GB2312"/>
          <w:color w:val="auto"/>
          <w:sz w:val="32"/>
          <w:szCs w:val="32"/>
        </w:rPr>
        <w:t>。</w:t>
      </w:r>
    </w:p>
    <w:p w14:paraId="7820B6F0">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 xml:space="preserve">               </w:t>
      </w:r>
    </w:p>
    <w:p w14:paraId="3308FF6C">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auto"/>
          <w:sz w:val="32"/>
          <w:szCs w:val="32"/>
          <w:lang w:val="en-US" w:eastAsia="zh-CN"/>
        </w:rPr>
      </w:pPr>
    </w:p>
    <w:p w14:paraId="5BA016BF">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xml:space="preserve">  </w:t>
      </w:r>
      <w:bookmarkStart w:id="421" w:name="_Toc21607_WPSOffice_Level3"/>
      <w:r>
        <w:rPr>
          <w:rFonts w:hint="eastAsia" w:ascii="仿宋_GB2312" w:hAnsi="仿宋_GB2312" w:eastAsia="仿宋_GB2312" w:cs="仿宋_GB2312"/>
          <w:b w:val="0"/>
          <w:bCs/>
          <w:color w:val="auto"/>
          <w:sz w:val="32"/>
          <w:szCs w:val="32"/>
        </w:rPr>
        <w:t>单位</w:t>
      </w:r>
      <w:r>
        <w:rPr>
          <w:rFonts w:hint="eastAsia" w:ascii="仿宋_GB2312" w:hAnsi="仿宋_GB2312" w:eastAsia="仿宋_GB2312" w:cs="仿宋_GB2312"/>
          <w:b w:val="0"/>
          <w:bCs/>
          <w:color w:val="auto"/>
          <w:sz w:val="32"/>
          <w:szCs w:val="32"/>
          <w:lang w:eastAsia="zh-CN"/>
        </w:rPr>
        <w:t>名称</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（公章）</w:t>
      </w:r>
      <w:bookmarkEnd w:id="421"/>
    </w:p>
    <w:p w14:paraId="2413328A">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w:t>
      </w:r>
      <w:bookmarkStart w:id="422" w:name="_Toc14292_WPSOffice_Level3"/>
      <w:r>
        <w:rPr>
          <w:rFonts w:hint="eastAsia" w:ascii="仿宋_GB2312" w:hAnsi="仿宋_GB2312" w:eastAsia="仿宋_GB2312" w:cs="仿宋_GB2312"/>
          <w:b w:val="0"/>
          <w:bCs/>
          <w:color w:val="auto"/>
          <w:sz w:val="32"/>
          <w:szCs w:val="32"/>
        </w:rPr>
        <w:t>法定代表人或委托代理人：</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（签字或盖章）</w:t>
      </w:r>
      <w:bookmarkEnd w:id="422"/>
    </w:p>
    <w:p w14:paraId="6B8328F0">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w:t>
      </w:r>
      <w:bookmarkStart w:id="423" w:name="_Toc15350_WPSOffice_Level3"/>
      <w:r>
        <w:rPr>
          <w:rFonts w:hint="eastAsia" w:ascii="仿宋_GB2312" w:hAnsi="仿宋_GB2312" w:eastAsia="仿宋_GB2312" w:cs="仿宋_GB2312"/>
          <w:b w:val="0"/>
          <w:bCs/>
          <w:color w:val="auto"/>
          <w:sz w:val="32"/>
          <w:szCs w:val="32"/>
        </w:rPr>
        <w:t>年   月  日</w:t>
      </w:r>
      <w:bookmarkEnd w:id="423"/>
    </w:p>
    <w:p w14:paraId="5F54C3C3">
      <w:pPr>
        <w:pStyle w:val="18"/>
        <w:wordWrap/>
        <w:spacing w:before="157" w:beforeLines="50" w:after="0" w:line="560" w:lineRule="exact"/>
        <w:jc w:val="left"/>
        <w:outlineLvl w:val="9"/>
        <w:rPr>
          <w:rFonts w:hint="eastAsia" w:ascii="宋体" w:hAnsi="宋体" w:cs="宋体"/>
          <w:color w:val="auto"/>
          <w:sz w:val="28"/>
          <w:szCs w:val="28"/>
          <w:lang w:val="zh-CN"/>
        </w:rPr>
      </w:pPr>
      <w:r>
        <w:rPr>
          <w:rFonts w:hint="eastAsia" w:ascii="仿宋_GB2312" w:hAnsi="仿宋_GB2312" w:eastAsia="仿宋_GB2312" w:cs="仿宋_GB2312"/>
          <w:b/>
          <w:color w:val="auto"/>
          <w:sz w:val="30"/>
          <w:szCs w:val="30"/>
          <w:lang w:eastAsia="zh-CN"/>
        </w:rPr>
        <w:br w:type="page"/>
      </w:r>
      <w:bookmarkStart w:id="424" w:name="_Toc22471"/>
      <w:bookmarkStart w:id="425" w:name="_Toc24810"/>
      <w:bookmarkStart w:id="426" w:name="_Toc132_WPSOffice_Level3"/>
      <w:r>
        <w:rPr>
          <w:rFonts w:hint="eastAsia" w:ascii="楷体_GB2312" w:hAnsi="楷体_GB2312" w:eastAsia="楷体_GB2312" w:cs="楷体_GB2312"/>
          <w:b/>
          <w:bCs w:val="0"/>
          <w:color w:val="auto"/>
          <w:kern w:val="2"/>
          <w:sz w:val="32"/>
          <w:szCs w:val="32"/>
          <w:lang w:val="en-US" w:eastAsia="zh-CN" w:bidi="ar-SA"/>
        </w:rPr>
        <w:t>附件10：谈判</w:t>
      </w:r>
      <w:r>
        <w:rPr>
          <w:rFonts w:hint="eastAsia" w:ascii="楷体_GB2312" w:hAnsi="楷体_GB2312" w:eastAsia="楷体_GB2312" w:cs="楷体_GB2312"/>
          <w:b/>
          <w:bCs w:val="0"/>
          <w:color w:val="auto"/>
          <w:kern w:val="2"/>
          <w:sz w:val="32"/>
          <w:szCs w:val="32"/>
          <w:lang w:val="zh-CN" w:eastAsia="zh-CN" w:bidi="ar-SA"/>
        </w:rPr>
        <w:t>保证金证明</w:t>
      </w:r>
      <w:bookmarkEnd w:id="418"/>
      <w:bookmarkEnd w:id="419"/>
      <w:bookmarkEnd w:id="424"/>
      <w:bookmarkEnd w:id="425"/>
      <w:bookmarkEnd w:id="426"/>
    </w:p>
    <w:p w14:paraId="16184357">
      <w:pPr>
        <w:wordWrap/>
        <w:spacing w:before="157" w:beforeLines="50" w:line="560" w:lineRule="exact"/>
        <w:jc w:val="center"/>
        <w:outlineLvl w:val="9"/>
        <w:rPr>
          <w:rFonts w:hint="eastAsia" w:ascii="宋体" w:hAnsi="宋体" w:cs="宋体"/>
          <w:b/>
          <w:bCs/>
          <w:color w:val="auto"/>
          <w:kern w:val="0"/>
          <w:sz w:val="28"/>
          <w:szCs w:val="28"/>
          <w:lang w:val="zh-CN"/>
        </w:rPr>
      </w:pPr>
      <w:bookmarkStart w:id="427" w:name="_Toc27502_WPSOffice_Level3"/>
      <w:r>
        <w:rPr>
          <w:rFonts w:hint="eastAsia" w:ascii="仿宋_GB2312" w:hAnsi="仿宋_GB2312" w:eastAsia="仿宋_GB2312" w:cs="仿宋_GB2312"/>
          <w:b/>
          <w:color w:val="auto"/>
          <w:sz w:val="32"/>
          <w:szCs w:val="32"/>
          <w:lang w:val="zh-CN" w:eastAsia="zh-CN"/>
        </w:rPr>
        <w:t>谈判保证金证明</w:t>
      </w:r>
      <w:bookmarkEnd w:id="427"/>
    </w:p>
    <w:p w14:paraId="6967BB51">
      <w:pPr>
        <w:widowControl w:val="0"/>
        <w:wordWrap/>
        <w:autoSpaceDE w:val="0"/>
        <w:autoSpaceDN w:val="0"/>
        <w:adjustRightInd/>
        <w:snapToGrid/>
        <w:spacing w:line="560" w:lineRule="exact"/>
        <w:textAlignment w:val="auto"/>
        <w:outlineLvl w:val="9"/>
        <w:rPr>
          <w:rFonts w:hint="eastAsia" w:ascii="仿宋_GB2312" w:hAnsi="仿宋_GB2312" w:eastAsia="仿宋_GB2312" w:cs="仿宋_GB2312"/>
          <w:b/>
          <w:bCs/>
          <w:color w:val="auto"/>
          <w:kern w:val="0"/>
          <w:sz w:val="32"/>
          <w:szCs w:val="32"/>
          <w:lang w:val="zh-CN"/>
        </w:rPr>
      </w:pPr>
      <w:bookmarkStart w:id="428" w:name="_Toc1388_WPSOffice_Level2"/>
      <w:bookmarkStart w:id="429" w:name="_Toc12243_WPSOffice_Level2"/>
      <w:bookmarkStart w:id="430" w:name="_Toc21234_WPSOffice_Level2"/>
      <w:r>
        <w:rPr>
          <w:rFonts w:hint="eastAsia" w:ascii="仿宋_GB2312" w:hAnsi="仿宋_GB2312" w:eastAsia="仿宋_GB2312" w:cs="仿宋_GB2312"/>
          <w:b/>
          <w:bCs/>
          <w:color w:val="auto"/>
          <w:kern w:val="0"/>
          <w:sz w:val="32"/>
          <w:szCs w:val="32"/>
          <w:lang w:val="zh-CN"/>
        </w:rPr>
        <w:t>致：</w:t>
      </w:r>
      <w:r>
        <w:rPr>
          <w:rFonts w:hint="eastAsia" w:ascii="仿宋_GB2312" w:hAnsi="仿宋_GB2312" w:eastAsia="仿宋_GB2312" w:cs="仿宋_GB2312"/>
          <w:b/>
          <w:bCs/>
          <w:color w:val="auto"/>
          <w:kern w:val="0"/>
          <w:sz w:val="32"/>
          <w:szCs w:val="32"/>
          <w:u w:val="single"/>
          <w:lang w:val="zh-CN"/>
        </w:rPr>
        <w:t>采购代理机构</w:t>
      </w:r>
      <w:bookmarkEnd w:id="428"/>
      <w:bookmarkEnd w:id="429"/>
      <w:bookmarkEnd w:id="430"/>
    </w:p>
    <w:p w14:paraId="22697F8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我方为</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lang w:val="zh-CN"/>
        </w:rPr>
        <w:t>（采购项目名称）项目（采购项目编号为：</w:t>
      </w:r>
      <w:r>
        <w:rPr>
          <w:rFonts w:hint="eastAsia" w:ascii="仿宋_GB2312" w:hAnsi="仿宋_GB2312" w:eastAsia="仿宋_GB2312" w:cs="仿宋_GB2312"/>
          <w:color w:val="auto"/>
          <w:kern w:val="0"/>
          <w:sz w:val="32"/>
          <w:szCs w:val="32"/>
          <w:u w:val="single"/>
          <w:lang w:val="zh-CN"/>
        </w:rPr>
        <w:t xml:space="preserve">        </w:t>
      </w:r>
      <w:r>
        <w:rPr>
          <w:rFonts w:hint="eastAsia" w:ascii="仿宋_GB2312" w:hAnsi="仿宋_GB2312" w:eastAsia="仿宋_GB2312" w:cs="仿宋_GB2312"/>
          <w:color w:val="auto"/>
          <w:kern w:val="0"/>
          <w:sz w:val="32"/>
          <w:szCs w:val="32"/>
          <w:lang w:val="zh-CN"/>
        </w:rPr>
        <w:t xml:space="preserve">）递交保证金人民币 </w:t>
      </w:r>
      <w:r>
        <w:rPr>
          <w:rFonts w:hint="eastAsia" w:ascii="仿宋_GB2312" w:hAnsi="仿宋_GB2312" w:eastAsia="仿宋_GB2312" w:cs="仿宋_GB2312"/>
          <w:color w:val="auto"/>
          <w:kern w:val="0"/>
          <w:sz w:val="32"/>
          <w:szCs w:val="32"/>
          <w:u w:val="single"/>
          <w:lang w:val="zh-CN"/>
        </w:rPr>
        <w:t xml:space="preserve">      </w:t>
      </w:r>
      <w:r>
        <w:rPr>
          <w:rFonts w:hint="eastAsia" w:ascii="仿宋_GB2312" w:hAnsi="仿宋_GB2312" w:eastAsia="仿宋_GB2312" w:cs="仿宋_GB2312"/>
          <w:color w:val="auto"/>
          <w:kern w:val="0"/>
          <w:sz w:val="32"/>
          <w:szCs w:val="32"/>
          <w:lang w:val="zh-CN"/>
        </w:rPr>
        <w:t>（大写：人民币</w:t>
      </w:r>
      <w:r>
        <w:rPr>
          <w:rFonts w:hint="eastAsia" w:ascii="仿宋_GB2312" w:hAnsi="仿宋_GB2312" w:eastAsia="仿宋_GB2312" w:cs="仿宋_GB2312"/>
          <w:color w:val="auto"/>
          <w:kern w:val="0"/>
          <w:sz w:val="32"/>
          <w:szCs w:val="32"/>
          <w:u w:val="single"/>
          <w:lang w:val="zh-CN"/>
        </w:rPr>
        <w:t xml:space="preserve">        </w:t>
      </w:r>
      <w:r>
        <w:rPr>
          <w:rFonts w:hint="eastAsia" w:ascii="仿宋_GB2312" w:hAnsi="仿宋_GB2312" w:eastAsia="仿宋_GB2312" w:cs="仿宋_GB2312"/>
          <w:color w:val="auto"/>
          <w:kern w:val="0"/>
          <w:sz w:val="32"/>
          <w:szCs w:val="32"/>
          <w:lang w:val="zh-CN"/>
        </w:rPr>
        <w:t>元）已于</w:t>
      </w:r>
      <w:r>
        <w:rPr>
          <w:rFonts w:hint="eastAsia" w:ascii="仿宋_GB2312" w:hAnsi="仿宋_GB2312" w:eastAsia="仿宋_GB2312" w:cs="仿宋_GB2312"/>
          <w:color w:val="auto"/>
          <w:kern w:val="0"/>
          <w:sz w:val="32"/>
          <w:szCs w:val="32"/>
          <w:u w:val="single"/>
          <w:lang w:val="zh-CN"/>
        </w:rPr>
        <w:t xml:space="preserve">     </w:t>
      </w:r>
      <w:r>
        <w:rPr>
          <w:rFonts w:hint="eastAsia" w:ascii="仿宋_GB2312" w:hAnsi="仿宋_GB2312" w:eastAsia="仿宋_GB2312" w:cs="仿宋_GB2312"/>
          <w:color w:val="auto"/>
          <w:kern w:val="0"/>
          <w:sz w:val="32"/>
          <w:szCs w:val="32"/>
          <w:lang w:val="zh-CN"/>
        </w:rPr>
        <w:t>年</w:t>
      </w:r>
      <w:r>
        <w:rPr>
          <w:rFonts w:hint="eastAsia" w:ascii="仿宋_GB2312" w:hAnsi="仿宋_GB2312" w:eastAsia="仿宋_GB2312" w:cs="仿宋_GB2312"/>
          <w:color w:val="auto"/>
          <w:kern w:val="0"/>
          <w:sz w:val="32"/>
          <w:szCs w:val="32"/>
          <w:u w:val="single"/>
          <w:lang w:val="zh-CN"/>
        </w:rPr>
        <w:t xml:space="preserve">    </w:t>
      </w:r>
      <w:r>
        <w:rPr>
          <w:rFonts w:hint="eastAsia" w:ascii="仿宋_GB2312" w:hAnsi="仿宋_GB2312" w:eastAsia="仿宋_GB2312" w:cs="仿宋_GB2312"/>
          <w:color w:val="auto"/>
          <w:kern w:val="0"/>
          <w:sz w:val="32"/>
          <w:szCs w:val="32"/>
          <w:lang w:val="zh-CN"/>
        </w:rPr>
        <w:t>月</w:t>
      </w:r>
      <w:r>
        <w:rPr>
          <w:rFonts w:hint="eastAsia" w:ascii="仿宋_GB2312" w:hAnsi="仿宋_GB2312" w:eastAsia="仿宋_GB2312" w:cs="仿宋_GB2312"/>
          <w:color w:val="auto"/>
          <w:kern w:val="0"/>
          <w:sz w:val="32"/>
          <w:szCs w:val="32"/>
          <w:u w:val="single"/>
          <w:lang w:val="zh-CN"/>
        </w:rPr>
        <w:t xml:space="preserve">    </w:t>
      </w:r>
      <w:r>
        <w:rPr>
          <w:rFonts w:hint="eastAsia" w:ascii="仿宋_GB2312" w:hAnsi="仿宋_GB2312" w:eastAsia="仿宋_GB2312" w:cs="仿宋_GB2312"/>
          <w:color w:val="auto"/>
          <w:kern w:val="0"/>
          <w:sz w:val="32"/>
          <w:szCs w:val="32"/>
          <w:lang w:val="zh-CN"/>
        </w:rPr>
        <w:t>日以转账方式汇入你方账户。</w:t>
      </w:r>
    </w:p>
    <w:p w14:paraId="78DAC1F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附</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val="zh-CN"/>
        </w:rPr>
        <w:t>保证金交款证明复印件（加盖公章）</w:t>
      </w:r>
    </w:p>
    <w:p w14:paraId="29D464F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退还保证金时请按以下内容汇入至我方账户（同递交保证金账户）。若因提供内容不全、错误等原因导致该项目保证金未能及时退还或退还过程中发生错误，我方将承担全部责任和损失。</w:t>
      </w:r>
    </w:p>
    <w:p w14:paraId="1B6C2DC0">
      <w:pPr>
        <w:widowControl w:val="0"/>
        <w:wordWrap/>
        <w:autoSpaceDE w:val="0"/>
        <w:autoSpaceDN w:val="0"/>
        <w:adjustRightInd/>
        <w:snapToGrid/>
        <w:spacing w:line="560" w:lineRule="exact"/>
        <w:ind w:firstLine="360"/>
        <w:textAlignment w:val="auto"/>
        <w:outlineLvl w:val="9"/>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户    名：</w:t>
      </w:r>
    </w:p>
    <w:p w14:paraId="170B584C">
      <w:pPr>
        <w:widowControl w:val="0"/>
        <w:wordWrap/>
        <w:autoSpaceDE w:val="0"/>
        <w:autoSpaceDN w:val="0"/>
        <w:adjustRightInd/>
        <w:snapToGrid/>
        <w:spacing w:line="560" w:lineRule="exact"/>
        <w:ind w:firstLine="360"/>
        <w:textAlignment w:val="auto"/>
        <w:outlineLvl w:val="9"/>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开户银行：</w:t>
      </w:r>
    </w:p>
    <w:p w14:paraId="56142D2C">
      <w:pPr>
        <w:widowControl w:val="0"/>
        <w:wordWrap/>
        <w:autoSpaceDE w:val="0"/>
        <w:autoSpaceDN w:val="0"/>
        <w:adjustRightInd/>
        <w:snapToGrid/>
        <w:spacing w:line="560" w:lineRule="exact"/>
        <w:ind w:firstLine="360"/>
        <w:textAlignment w:val="auto"/>
        <w:outlineLvl w:val="9"/>
        <w:rPr>
          <w:rFonts w:hint="eastAsia" w:ascii="宋体" w:hAnsi="宋体" w:cs="宋体"/>
          <w:color w:val="auto"/>
          <w:kern w:val="0"/>
          <w:lang w:val="zh-CN"/>
        </w:rPr>
      </w:pPr>
      <w:r>
        <w:rPr>
          <w:rFonts w:hint="eastAsia" w:ascii="仿宋_GB2312" w:hAnsi="仿宋_GB2312" w:eastAsia="仿宋_GB2312" w:cs="仿宋_GB2312"/>
          <w:color w:val="auto"/>
          <w:kern w:val="0"/>
          <w:sz w:val="32"/>
          <w:szCs w:val="32"/>
          <w:lang w:val="zh-CN"/>
        </w:rPr>
        <w:t>开户帐号：</w:t>
      </w:r>
    </w:p>
    <w:p w14:paraId="0BA0A10B">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xml:space="preserve">                 </w:t>
      </w:r>
      <w:bookmarkStart w:id="431" w:name="_Toc16036_WPSOffice_Level3"/>
      <w:r>
        <w:rPr>
          <w:rFonts w:hint="eastAsia" w:ascii="仿宋_GB2312" w:hAnsi="仿宋_GB2312" w:eastAsia="仿宋_GB2312" w:cs="仿宋_GB2312"/>
          <w:b w:val="0"/>
          <w:bCs/>
          <w:color w:val="auto"/>
          <w:sz w:val="32"/>
          <w:szCs w:val="32"/>
        </w:rPr>
        <w:t>单位</w:t>
      </w:r>
      <w:r>
        <w:rPr>
          <w:rFonts w:hint="eastAsia" w:ascii="仿宋_GB2312" w:hAnsi="仿宋_GB2312" w:eastAsia="仿宋_GB2312" w:cs="仿宋_GB2312"/>
          <w:b w:val="0"/>
          <w:bCs/>
          <w:color w:val="auto"/>
          <w:sz w:val="32"/>
          <w:szCs w:val="32"/>
          <w:lang w:eastAsia="zh-CN"/>
        </w:rPr>
        <w:t>名称</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（公章）</w:t>
      </w:r>
      <w:bookmarkEnd w:id="431"/>
    </w:p>
    <w:p w14:paraId="66D64D98">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w:t>
      </w:r>
      <w:bookmarkStart w:id="432" w:name="_Toc4114_WPSOffice_Level3"/>
      <w:r>
        <w:rPr>
          <w:rFonts w:hint="eastAsia" w:ascii="仿宋_GB2312" w:hAnsi="仿宋_GB2312" w:eastAsia="仿宋_GB2312" w:cs="仿宋_GB2312"/>
          <w:b w:val="0"/>
          <w:bCs/>
          <w:color w:val="auto"/>
          <w:sz w:val="32"/>
          <w:szCs w:val="32"/>
        </w:rPr>
        <w:t>法定代表人或委托代理人：</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（签字或盖章）</w:t>
      </w:r>
      <w:bookmarkEnd w:id="432"/>
    </w:p>
    <w:p w14:paraId="171F08CD">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w:t>
      </w:r>
      <w:bookmarkStart w:id="433" w:name="_Toc26055_WPSOffice_Level3"/>
      <w:r>
        <w:rPr>
          <w:rFonts w:hint="eastAsia" w:ascii="仿宋_GB2312" w:hAnsi="仿宋_GB2312" w:eastAsia="仿宋_GB2312" w:cs="仿宋_GB2312"/>
          <w:b w:val="0"/>
          <w:bCs/>
          <w:color w:val="auto"/>
          <w:sz w:val="32"/>
          <w:szCs w:val="32"/>
        </w:rPr>
        <w:t>年   月  日</w:t>
      </w:r>
      <w:bookmarkEnd w:id="433"/>
    </w:p>
    <w:p w14:paraId="142DA36A">
      <w:pPr>
        <w:wordWrap/>
        <w:autoSpaceDE w:val="0"/>
        <w:autoSpaceDN w:val="0"/>
        <w:spacing w:before="157" w:beforeLines="50" w:line="560" w:lineRule="exact"/>
        <w:outlineLvl w:val="9"/>
        <w:rPr>
          <w:rFonts w:hint="eastAsia" w:ascii="宋体" w:hAnsi="宋体" w:cs="宋体"/>
          <w:b/>
          <w:bCs/>
          <w:color w:val="auto"/>
          <w:kern w:val="0"/>
          <w:lang w:val="zh-CN"/>
        </w:rPr>
      </w:pPr>
    </w:p>
    <w:p w14:paraId="2DF3B067">
      <w:pPr>
        <w:wordWrap/>
        <w:spacing w:before="157" w:beforeLines="50" w:line="560" w:lineRule="exact"/>
        <w:rPr>
          <w:rFonts w:hint="eastAsia" w:ascii="仿宋_GB2312" w:hAnsi="宋体" w:eastAsia="仿宋_GB2312"/>
          <w:b/>
          <w:color w:val="auto"/>
          <w:sz w:val="52"/>
          <w:szCs w:val="52"/>
        </w:rPr>
      </w:pPr>
      <w:r>
        <w:rPr>
          <w:rFonts w:hint="eastAsia"/>
          <w:color w:val="auto"/>
          <w:kern w:val="0"/>
          <w:lang w:val="zh-CN"/>
        </w:rPr>
        <w:br w:type="page"/>
      </w:r>
    </w:p>
    <w:p w14:paraId="6C860B17">
      <w:pPr>
        <w:keepNext w:val="0"/>
        <w:keepLines w:val="0"/>
        <w:pageBreakBefore w:val="0"/>
        <w:widowControl w:val="0"/>
        <w:kinsoku/>
        <w:wordWrap/>
        <w:overflowPunct/>
        <w:topLinePunct w:val="0"/>
        <w:autoSpaceDE/>
        <w:autoSpaceDN/>
        <w:bidi w:val="0"/>
        <w:adjustRightInd/>
        <w:snapToGrid/>
        <w:spacing w:before="157" w:beforeLines="50" w:line="560" w:lineRule="exact"/>
        <w:ind w:firstLine="0" w:firstLineChars="0"/>
        <w:jc w:val="center"/>
        <w:textAlignment w:val="auto"/>
        <w:outlineLvl w:val="9"/>
        <w:rPr>
          <w:rFonts w:hint="eastAsia" w:ascii="仿宋_GB2312" w:hAnsi="仿宋_GB2312" w:eastAsia="仿宋_GB2312" w:cs="仿宋_GB2312"/>
          <w:b/>
          <w:color w:val="auto"/>
          <w:sz w:val="48"/>
          <w:szCs w:val="48"/>
        </w:rPr>
      </w:pPr>
      <w:bookmarkStart w:id="434" w:name="_Toc20688_WPSOffice_Level2"/>
      <w:bookmarkStart w:id="435" w:name="_Toc24560_WPSOffice_Level2"/>
      <w:r>
        <w:rPr>
          <w:rFonts w:hint="eastAsia" w:ascii="仿宋_GB2312" w:hAnsi="仿宋_GB2312" w:eastAsia="仿宋_GB2312" w:cs="仿宋_GB2312"/>
          <w:b/>
          <w:color w:val="auto"/>
          <w:sz w:val="48"/>
          <w:szCs w:val="48"/>
        </w:rPr>
        <w:t>青海省政府采购项目</w:t>
      </w:r>
      <w:bookmarkEnd w:id="434"/>
      <w:bookmarkEnd w:id="435"/>
    </w:p>
    <w:p w14:paraId="4684AF31">
      <w:pPr>
        <w:keepNext w:val="0"/>
        <w:keepLines w:val="0"/>
        <w:pageBreakBefore w:val="0"/>
        <w:widowControl w:val="0"/>
        <w:kinsoku/>
        <w:wordWrap/>
        <w:overflowPunct/>
        <w:topLinePunct w:val="0"/>
        <w:autoSpaceDE/>
        <w:autoSpaceDN/>
        <w:bidi w:val="0"/>
        <w:adjustRightInd/>
        <w:snapToGrid/>
        <w:spacing w:before="157" w:beforeLines="50" w:line="560" w:lineRule="exact"/>
        <w:ind w:firstLine="0" w:firstLineChars="0"/>
        <w:jc w:val="center"/>
        <w:textAlignment w:val="auto"/>
        <w:outlineLvl w:val="9"/>
        <w:rPr>
          <w:rFonts w:hint="eastAsia" w:ascii="仿宋_GB2312" w:hAnsi="仿宋_GB2312" w:eastAsia="仿宋_GB2312" w:cs="仿宋_GB2312"/>
          <w:b/>
          <w:color w:val="auto"/>
          <w:sz w:val="48"/>
          <w:szCs w:val="48"/>
        </w:rPr>
      </w:pPr>
      <w:bookmarkStart w:id="436" w:name="_Toc30784_WPSOffice_Level2"/>
      <w:bookmarkStart w:id="437" w:name="_Toc1190_WPSOffice_Level2"/>
      <w:r>
        <w:rPr>
          <w:rFonts w:hint="eastAsia" w:ascii="仿宋_GB2312" w:hAnsi="仿宋_GB2312" w:eastAsia="仿宋_GB2312" w:cs="仿宋_GB2312"/>
          <w:b/>
          <w:color w:val="auto"/>
          <w:sz w:val="48"/>
          <w:szCs w:val="48"/>
        </w:rPr>
        <w:t>谈判响应文件</w:t>
      </w:r>
      <w:bookmarkEnd w:id="436"/>
      <w:bookmarkEnd w:id="437"/>
    </w:p>
    <w:p w14:paraId="40ABA6A9">
      <w:pPr>
        <w:wordWrap/>
        <w:adjustRightInd w:val="0"/>
        <w:spacing w:before="157" w:beforeLines="50" w:line="560" w:lineRule="exact"/>
        <w:jc w:val="center"/>
        <w:textAlignment w:val="baseline"/>
        <w:outlineLvl w:val="9"/>
        <w:rPr>
          <w:rFonts w:hint="eastAsia" w:ascii="仿宋_GB2312" w:hAnsi="仿宋_GB2312" w:eastAsia="仿宋_GB2312" w:cs="仿宋_GB2312"/>
          <w:b/>
          <w:bCs/>
          <w:color w:val="auto"/>
          <w:sz w:val="32"/>
          <w:szCs w:val="32"/>
        </w:rPr>
      </w:pPr>
      <w:bookmarkStart w:id="438" w:name="_Toc5068_WPSOffice_Level2"/>
      <w:bookmarkStart w:id="439" w:name="_Toc24224_WPSOffice_Level2"/>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val="0"/>
          <w:bCs w:val="0"/>
          <w:color w:val="auto"/>
          <w:kern w:val="2"/>
          <w:sz w:val="32"/>
          <w:szCs w:val="32"/>
          <w:lang w:val="en-US" w:eastAsia="zh-CN" w:bidi="ar-SA"/>
        </w:rPr>
        <w:t>有效性、完整性、响应程度审查部分</w:t>
      </w:r>
      <w:r>
        <w:rPr>
          <w:rFonts w:hint="eastAsia" w:ascii="仿宋_GB2312" w:hAnsi="仿宋_GB2312" w:eastAsia="仿宋_GB2312" w:cs="仿宋_GB2312"/>
          <w:b/>
          <w:bCs/>
          <w:color w:val="auto"/>
          <w:sz w:val="32"/>
          <w:szCs w:val="32"/>
        </w:rPr>
        <w:t>）</w:t>
      </w:r>
      <w:bookmarkEnd w:id="438"/>
      <w:bookmarkEnd w:id="439"/>
    </w:p>
    <w:p w14:paraId="125042F0">
      <w:pPr>
        <w:wordWrap/>
        <w:adjustRightInd w:val="0"/>
        <w:spacing w:before="157" w:beforeLines="50" w:line="560" w:lineRule="exact"/>
        <w:textAlignment w:val="baseline"/>
        <w:outlineLvl w:val="9"/>
        <w:rPr>
          <w:rFonts w:hint="eastAsia" w:ascii="仿宋_GB2312" w:hAnsi="仿宋_GB2312" w:eastAsia="仿宋_GB2312" w:cs="仿宋_GB2312"/>
          <w:b/>
          <w:bCs/>
          <w:color w:val="auto"/>
          <w:sz w:val="32"/>
          <w:szCs w:val="32"/>
        </w:rPr>
      </w:pPr>
    </w:p>
    <w:p w14:paraId="17796785">
      <w:pPr>
        <w:wordWrap/>
        <w:adjustRightInd w:val="0"/>
        <w:spacing w:before="157" w:beforeLines="50" w:line="560" w:lineRule="exact"/>
        <w:textAlignment w:val="baseline"/>
        <w:outlineLvl w:val="9"/>
        <w:rPr>
          <w:rFonts w:hint="eastAsia" w:ascii="仿宋_GB2312" w:hAnsi="仿宋_GB2312" w:eastAsia="仿宋_GB2312" w:cs="仿宋_GB2312"/>
          <w:b/>
          <w:bCs/>
          <w:color w:val="auto"/>
          <w:sz w:val="32"/>
          <w:szCs w:val="32"/>
        </w:rPr>
      </w:pPr>
    </w:p>
    <w:p w14:paraId="3EDC87FC">
      <w:pPr>
        <w:wordWrap/>
        <w:adjustRightInd w:val="0"/>
        <w:spacing w:before="157" w:beforeLines="50" w:line="560" w:lineRule="exact"/>
        <w:textAlignment w:val="baseline"/>
        <w:outlineLvl w:val="9"/>
        <w:rPr>
          <w:rFonts w:hint="eastAsia" w:ascii="仿宋_GB2312" w:hAnsi="仿宋_GB2312" w:eastAsia="仿宋_GB2312" w:cs="仿宋_GB2312"/>
          <w:b/>
          <w:bCs/>
          <w:color w:val="auto"/>
          <w:sz w:val="32"/>
          <w:szCs w:val="32"/>
        </w:rPr>
      </w:pPr>
    </w:p>
    <w:p w14:paraId="474B6274">
      <w:pPr>
        <w:wordWrap/>
        <w:adjustRightInd w:val="0"/>
        <w:spacing w:before="157" w:beforeLines="50" w:line="560" w:lineRule="exact"/>
        <w:textAlignment w:val="baseline"/>
        <w:outlineLvl w:val="9"/>
        <w:rPr>
          <w:rFonts w:hint="eastAsia" w:ascii="仿宋_GB2312" w:hAnsi="仿宋_GB2312" w:eastAsia="仿宋_GB2312" w:cs="仿宋_GB2312"/>
          <w:b/>
          <w:bCs/>
          <w:color w:val="auto"/>
          <w:sz w:val="32"/>
          <w:szCs w:val="32"/>
          <w:lang w:eastAsia="zh-CN"/>
        </w:rPr>
      </w:pPr>
      <w:bookmarkStart w:id="440" w:name="_Toc16258_WPSOffice_Level2"/>
      <w:bookmarkStart w:id="441" w:name="_Toc14028_WPSOffice_Level2"/>
      <w:r>
        <w:rPr>
          <w:rFonts w:hint="eastAsia" w:ascii="仿宋_GB2312" w:hAnsi="仿宋_GB2312" w:eastAsia="仿宋_GB2312" w:cs="仿宋_GB2312"/>
          <w:b/>
          <w:bCs/>
          <w:color w:val="auto"/>
          <w:sz w:val="32"/>
          <w:szCs w:val="32"/>
        </w:rPr>
        <w:t>采购项目编号:</w:t>
      </w:r>
      <w:bookmarkEnd w:id="440"/>
      <w:bookmarkEnd w:id="441"/>
    </w:p>
    <w:p w14:paraId="50E6E183">
      <w:pPr>
        <w:wordWrap/>
        <w:spacing w:before="157" w:beforeLines="50" w:line="560" w:lineRule="exact"/>
        <w:ind w:left="2530" w:hanging="2249" w:hangingChars="700"/>
        <w:jc w:val="left"/>
        <w:outlineLvl w:val="9"/>
        <w:rPr>
          <w:rFonts w:hint="eastAsia" w:ascii="仿宋_GB2312" w:hAnsi="仿宋_GB2312" w:eastAsia="仿宋_GB2312" w:cs="仿宋_GB2312"/>
          <w:b/>
          <w:bCs/>
          <w:color w:val="auto"/>
          <w:sz w:val="32"/>
          <w:szCs w:val="32"/>
        </w:rPr>
      </w:pPr>
      <w:bookmarkStart w:id="442" w:name="_Toc173_WPSOffice_Level2"/>
      <w:bookmarkStart w:id="443" w:name="_Toc25982_WPSOffice_Level2"/>
      <w:r>
        <w:rPr>
          <w:rFonts w:hint="eastAsia" w:ascii="仿宋_GB2312" w:hAnsi="仿宋_GB2312" w:eastAsia="仿宋_GB2312" w:cs="仿宋_GB2312"/>
          <w:b/>
          <w:bCs/>
          <w:color w:val="auto"/>
          <w:sz w:val="32"/>
          <w:szCs w:val="32"/>
        </w:rPr>
        <w:t>采购项目名称:</w:t>
      </w:r>
      <w:bookmarkEnd w:id="442"/>
      <w:bookmarkEnd w:id="443"/>
      <w:r>
        <w:rPr>
          <w:rFonts w:hint="eastAsia" w:ascii="仿宋_GB2312" w:hAnsi="仿宋_GB2312" w:eastAsia="仿宋_GB2312" w:cs="仿宋_GB2312"/>
          <w:b/>
          <w:bCs/>
          <w:color w:val="auto"/>
          <w:sz w:val="32"/>
          <w:szCs w:val="32"/>
        </w:rPr>
        <w:t xml:space="preserve"> </w:t>
      </w:r>
    </w:p>
    <w:p w14:paraId="7CBC5913">
      <w:pPr>
        <w:wordWrap/>
        <w:spacing w:before="157" w:beforeLines="50" w:line="560" w:lineRule="exact"/>
        <w:ind w:left="2530" w:hanging="2249" w:hangingChars="700"/>
        <w:jc w:val="left"/>
        <w:outlineLvl w:val="9"/>
        <w:rPr>
          <w:rFonts w:hint="eastAsia" w:ascii="仿宋_GB2312" w:hAnsi="仿宋_GB2312" w:eastAsia="仿宋_GB2312" w:cs="仿宋_GB2312"/>
          <w:b/>
          <w:bCs/>
          <w:color w:val="auto"/>
          <w:sz w:val="32"/>
          <w:szCs w:val="32"/>
          <w:lang w:eastAsia="zh-CN"/>
        </w:rPr>
      </w:pPr>
      <w:bookmarkStart w:id="444" w:name="_Toc24014_WPSOffice_Level2"/>
      <w:bookmarkStart w:id="445" w:name="_Toc19360_WPSOffice_Level2"/>
      <w:r>
        <w:rPr>
          <w:rFonts w:hint="eastAsia" w:ascii="仿宋_GB2312" w:hAnsi="仿宋_GB2312" w:eastAsia="仿宋_GB2312" w:cs="仿宋_GB2312"/>
          <w:b/>
          <w:bCs/>
          <w:color w:val="auto"/>
          <w:sz w:val="32"/>
          <w:szCs w:val="32"/>
          <w:lang w:eastAsia="zh-CN"/>
        </w:rPr>
        <w:t>供应商名称：</w:t>
      </w:r>
      <w:bookmarkEnd w:id="444"/>
      <w:bookmarkEnd w:id="445"/>
    </w:p>
    <w:p w14:paraId="2D635F92">
      <w:pPr>
        <w:wordWrap/>
        <w:spacing w:before="157" w:beforeLines="50" w:line="560" w:lineRule="exact"/>
        <w:jc w:val="center"/>
        <w:outlineLvl w:val="9"/>
        <w:rPr>
          <w:rFonts w:hint="eastAsia" w:ascii="仿宋_GB2312" w:hAnsi="仿宋_GB2312" w:eastAsia="仿宋_GB2312" w:cs="仿宋_GB2312"/>
          <w:b/>
          <w:bCs/>
          <w:color w:val="auto"/>
          <w:sz w:val="32"/>
          <w:szCs w:val="32"/>
        </w:rPr>
      </w:pPr>
    </w:p>
    <w:p w14:paraId="785BB787">
      <w:pPr>
        <w:wordWrap/>
        <w:spacing w:before="157" w:beforeLines="50" w:line="560" w:lineRule="exact"/>
        <w:jc w:val="center"/>
        <w:outlineLvl w:val="9"/>
        <w:rPr>
          <w:rFonts w:hint="eastAsia" w:ascii="仿宋_GB2312" w:hAnsi="仿宋_GB2312" w:eastAsia="仿宋_GB2312" w:cs="仿宋_GB2312"/>
          <w:b/>
          <w:color w:val="auto"/>
          <w:sz w:val="32"/>
          <w:szCs w:val="32"/>
        </w:rPr>
      </w:pPr>
      <w:bookmarkStart w:id="446" w:name="_Toc17697_WPSOffice_Level3"/>
      <w:r>
        <w:rPr>
          <w:rFonts w:hint="eastAsia" w:ascii="仿宋_GB2312" w:hAnsi="仿宋_GB2312" w:eastAsia="仿宋_GB2312" w:cs="仿宋_GB2312"/>
          <w:b/>
          <w:color w:val="auto"/>
          <w:sz w:val="32"/>
          <w:szCs w:val="32"/>
        </w:rPr>
        <w:t>年  月  日</w:t>
      </w:r>
      <w:bookmarkEnd w:id="446"/>
    </w:p>
    <w:p w14:paraId="1DC9149E">
      <w:pPr>
        <w:widowControl/>
        <w:wordWrap/>
        <w:snapToGrid w:val="0"/>
        <w:spacing w:before="157" w:beforeLines="50" w:line="560" w:lineRule="exact"/>
        <w:outlineLvl w:val="9"/>
        <w:rPr>
          <w:rFonts w:hint="eastAsia" w:ascii="宋体"/>
          <w:b/>
          <w:color w:val="auto"/>
          <w:sz w:val="28"/>
          <w:szCs w:val="28"/>
        </w:rPr>
      </w:pPr>
    </w:p>
    <w:p w14:paraId="788155F2">
      <w:pPr>
        <w:widowControl/>
        <w:wordWrap/>
        <w:snapToGrid w:val="0"/>
        <w:spacing w:before="157" w:beforeLines="50" w:line="560" w:lineRule="exact"/>
        <w:outlineLvl w:val="1"/>
        <w:rPr>
          <w:rFonts w:hint="eastAsia" w:ascii="宋体"/>
          <w:b/>
          <w:color w:val="auto"/>
          <w:sz w:val="36"/>
          <w:szCs w:val="36"/>
        </w:rPr>
      </w:pPr>
      <w:r>
        <w:rPr>
          <w:rFonts w:ascii="宋体"/>
          <w:b/>
          <w:color w:val="auto"/>
          <w:sz w:val="28"/>
          <w:szCs w:val="28"/>
        </w:rPr>
        <w:br w:type="page"/>
      </w:r>
      <w:bookmarkStart w:id="447" w:name="_Toc13416_WPSOffice_Level3"/>
      <w:bookmarkStart w:id="448" w:name="_Toc28116"/>
      <w:bookmarkStart w:id="449" w:name="_Toc18715"/>
      <w:bookmarkStart w:id="450" w:name="_Toc30881"/>
      <w:bookmarkStart w:id="451" w:name="_Toc3360"/>
      <w:bookmarkStart w:id="452" w:name="_Toc2646_WPSOffice_Level3"/>
      <w:r>
        <w:rPr>
          <w:rFonts w:hint="eastAsia" w:ascii="楷体_GB2312" w:hAnsi="楷体_GB2312" w:eastAsia="楷体_GB2312" w:cs="楷体_GB2312"/>
          <w:b/>
          <w:bCs w:val="0"/>
          <w:color w:val="auto"/>
          <w:kern w:val="2"/>
          <w:sz w:val="32"/>
          <w:szCs w:val="32"/>
          <w:lang w:val="en-US" w:eastAsia="zh-CN" w:bidi="ar-SA"/>
        </w:rPr>
        <w:t>附件11：谈判首次报价表</w:t>
      </w:r>
      <w:bookmarkEnd w:id="447"/>
      <w:bookmarkEnd w:id="448"/>
      <w:bookmarkEnd w:id="449"/>
      <w:bookmarkEnd w:id="450"/>
      <w:bookmarkEnd w:id="451"/>
      <w:bookmarkEnd w:id="452"/>
    </w:p>
    <w:p w14:paraId="37F9FE05">
      <w:pPr>
        <w:wordWrap/>
        <w:spacing w:before="157" w:beforeLines="50" w:line="560" w:lineRule="exact"/>
        <w:jc w:val="center"/>
        <w:outlineLvl w:val="9"/>
        <w:rPr>
          <w:rFonts w:hint="eastAsia" w:ascii="宋体" w:hAnsi="宋体"/>
          <w:b/>
          <w:color w:val="auto"/>
          <w:sz w:val="36"/>
          <w:szCs w:val="36"/>
        </w:rPr>
      </w:pPr>
      <w:bookmarkStart w:id="453" w:name="_Toc8724_WPSOffice_Level1"/>
      <w:bookmarkStart w:id="454" w:name="_Toc17115_WPSOffice_Level3"/>
      <w:bookmarkStart w:id="455" w:name="_Toc17322_WPSOffice_Level1"/>
      <w:r>
        <w:rPr>
          <w:rFonts w:hint="eastAsia" w:ascii="仿宋_GB2312" w:hAnsi="仿宋_GB2312" w:eastAsia="仿宋_GB2312" w:cs="仿宋_GB2312"/>
          <w:b/>
          <w:color w:val="auto"/>
          <w:sz w:val="32"/>
          <w:szCs w:val="32"/>
          <w:lang w:val="zh-CN" w:eastAsia="zh-CN"/>
        </w:rPr>
        <w:t>谈判首次报价表</w:t>
      </w:r>
      <w:bookmarkEnd w:id="453"/>
      <w:bookmarkEnd w:id="454"/>
      <w:bookmarkEnd w:id="455"/>
    </w:p>
    <w:p w14:paraId="187D3311">
      <w:pPr>
        <w:widowControl w:val="0"/>
        <w:wordWrap/>
        <w:snapToGrid/>
        <w:spacing w:line="560" w:lineRule="exact"/>
        <w:outlineLvl w:val="9"/>
        <w:rPr>
          <w:rFonts w:hint="eastAsia" w:ascii="仿宋_GB2312" w:hAnsi="仿宋_GB2312" w:eastAsia="仿宋_GB2312" w:cs="仿宋_GB2312"/>
          <w:b w:val="0"/>
          <w:bCs/>
          <w:color w:val="auto"/>
          <w:sz w:val="32"/>
          <w:szCs w:val="32"/>
        </w:rPr>
      </w:pPr>
      <w:bookmarkStart w:id="456" w:name="_Toc14507_WPSOffice_Level2"/>
      <w:r>
        <w:rPr>
          <w:rFonts w:hint="eastAsia" w:ascii="仿宋_GB2312" w:hAnsi="仿宋_GB2312" w:eastAsia="仿宋_GB2312" w:cs="仿宋_GB2312"/>
          <w:b w:val="0"/>
          <w:bCs/>
          <w:color w:val="auto"/>
          <w:sz w:val="32"/>
          <w:szCs w:val="32"/>
        </w:rPr>
        <w:t>供应商名称：</w:t>
      </w:r>
      <w:bookmarkEnd w:id="456"/>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单位：人民币(元)</w:t>
      </w:r>
    </w:p>
    <w:tbl>
      <w:tblPr>
        <w:tblStyle w:val="20"/>
        <w:tblpPr w:leftFromText="180" w:rightFromText="180" w:vertAnchor="text" w:horzAnchor="margin" w:tblpXSpec="left" w:tblpY="14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2717"/>
        <w:gridCol w:w="2670"/>
        <w:gridCol w:w="1560"/>
      </w:tblGrid>
      <w:tr w14:paraId="7BF5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092" w:type="dxa"/>
            <w:vAlign w:val="center"/>
          </w:tcPr>
          <w:p w14:paraId="42FA004D">
            <w:pPr>
              <w:widowControl w:val="0"/>
              <w:wordWrap/>
              <w:adjustRightInd w:val="0"/>
              <w:snapToGrid/>
              <w:spacing w:line="560" w:lineRule="exact"/>
              <w:textAlignment w:val="baseline"/>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项目名称</w:t>
            </w:r>
          </w:p>
        </w:tc>
        <w:tc>
          <w:tcPr>
            <w:tcW w:w="2717" w:type="dxa"/>
            <w:vAlign w:val="center"/>
          </w:tcPr>
          <w:p w14:paraId="019122AE">
            <w:pPr>
              <w:widowControl w:val="0"/>
              <w:wordWrap/>
              <w:adjustRightInd w:val="0"/>
              <w:snapToGrid/>
              <w:spacing w:line="560" w:lineRule="exact"/>
              <w:jc w:val="center"/>
              <w:textAlignment w:val="baseline"/>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首次</w:t>
            </w:r>
            <w:r>
              <w:rPr>
                <w:rFonts w:hint="eastAsia" w:ascii="仿宋_GB2312" w:hAnsi="仿宋_GB2312" w:eastAsia="仿宋_GB2312" w:cs="仿宋_GB2312"/>
                <w:b w:val="0"/>
                <w:bCs/>
                <w:color w:val="auto"/>
                <w:sz w:val="32"/>
                <w:szCs w:val="32"/>
              </w:rPr>
              <w:t>报价</w:t>
            </w:r>
          </w:p>
        </w:tc>
        <w:tc>
          <w:tcPr>
            <w:tcW w:w="2670" w:type="dxa"/>
            <w:vAlign w:val="center"/>
          </w:tcPr>
          <w:p w14:paraId="108B0329">
            <w:pPr>
              <w:widowControl w:val="0"/>
              <w:wordWrap/>
              <w:adjustRightInd w:val="0"/>
              <w:snapToGrid/>
              <w:spacing w:line="560" w:lineRule="exact"/>
              <w:jc w:val="center"/>
              <w:textAlignment w:val="baseline"/>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交货期</w:t>
            </w:r>
          </w:p>
        </w:tc>
        <w:tc>
          <w:tcPr>
            <w:tcW w:w="1560" w:type="dxa"/>
            <w:vAlign w:val="center"/>
          </w:tcPr>
          <w:p w14:paraId="55791B49">
            <w:pPr>
              <w:widowControl w:val="0"/>
              <w:wordWrap/>
              <w:adjustRightInd w:val="0"/>
              <w:snapToGrid/>
              <w:spacing w:line="560" w:lineRule="exact"/>
              <w:ind w:left="354" w:leftChars="16" w:hanging="320" w:hangingChars="100"/>
              <w:jc w:val="center"/>
              <w:textAlignment w:val="baseline"/>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备注</w:t>
            </w:r>
          </w:p>
        </w:tc>
      </w:tr>
      <w:tr w14:paraId="510E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092" w:type="dxa"/>
            <w:vMerge w:val="restart"/>
            <w:vAlign w:val="center"/>
          </w:tcPr>
          <w:p w14:paraId="0E564866">
            <w:pPr>
              <w:widowControl w:val="0"/>
              <w:wordWrap/>
              <w:adjustRightInd w:val="0"/>
              <w:snapToGrid/>
              <w:spacing w:line="560" w:lineRule="exact"/>
              <w:ind w:firstLine="640" w:firstLineChars="200"/>
              <w:textAlignment w:val="baseline"/>
              <w:outlineLvl w:val="9"/>
              <w:rPr>
                <w:rFonts w:hint="eastAsia" w:ascii="仿宋_GB2312" w:hAnsi="仿宋_GB2312" w:eastAsia="仿宋_GB2312" w:cs="仿宋_GB2312"/>
                <w:b w:val="0"/>
                <w:bCs/>
                <w:color w:val="auto"/>
                <w:sz w:val="32"/>
                <w:szCs w:val="32"/>
              </w:rPr>
            </w:pPr>
          </w:p>
        </w:tc>
        <w:tc>
          <w:tcPr>
            <w:tcW w:w="2717" w:type="dxa"/>
            <w:vAlign w:val="top"/>
          </w:tcPr>
          <w:p w14:paraId="6BDF3E5A">
            <w:pPr>
              <w:widowControl w:val="0"/>
              <w:wordWrap/>
              <w:adjustRightInd w:val="0"/>
              <w:snapToGrid/>
              <w:spacing w:line="560" w:lineRule="exact"/>
              <w:textAlignment w:val="baseline"/>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大写：</w:t>
            </w:r>
          </w:p>
        </w:tc>
        <w:tc>
          <w:tcPr>
            <w:tcW w:w="2670" w:type="dxa"/>
            <w:vMerge w:val="restart"/>
            <w:vAlign w:val="top"/>
          </w:tcPr>
          <w:p w14:paraId="704F3E00">
            <w:pPr>
              <w:widowControl w:val="0"/>
              <w:wordWrap/>
              <w:adjustRightInd w:val="0"/>
              <w:snapToGrid/>
              <w:spacing w:line="560" w:lineRule="exact"/>
              <w:ind w:firstLine="262" w:firstLineChars="82"/>
              <w:textAlignment w:val="baseline"/>
              <w:outlineLvl w:val="9"/>
              <w:rPr>
                <w:rFonts w:hint="eastAsia" w:ascii="仿宋_GB2312" w:hAnsi="仿宋_GB2312" w:eastAsia="仿宋_GB2312" w:cs="仿宋_GB2312"/>
                <w:b w:val="0"/>
                <w:bCs/>
                <w:color w:val="auto"/>
                <w:sz w:val="32"/>
                <w:szCs w:val="32"/>
              </w:rPr>
            </w:pPr>
          </w:p>
        </w:tc>
        <w:tc>
          <w:tcPr>
            <w:tcW w:w="1560" w:type="dxa"/>
            <w:vMerge w:val="restart"/>
            <w:vAlign w:val="top"/>
          </w:tcPr>
          <w:p w14:paraId="13BD6A79">
            <w:pPr>
              <w:widowControl w:val="0"/>
              <w:wordWrap/>
              <w:adjustRightInd w:val="0"/>
              <w:snapToGrid/>
              <w:spacing w:line="560" w:lineRule="exact"/>
              <w:textAlignment w:val="baseline"/>
              <w:outlineLvl w:val="9"/>
              <w:rPr>
                <w:rFonts w:hint="eastAsia" w:ascii="仿宋_GB2312" w:hAnsi="仿宋_GB2312" w:eastAsia="仿宋_GB2312" w:cs="仿宋_GB2312"/>
                <w:b w:val="0"/>
                <w:bCs/>
                <w:color w:val="auto"/>
                <w:sz w:val="32"/>
                <w:szCs w:val="32"/>
              </w:rPr>
            </w:pPr>
          </w:p>
        </w:tc>
      </w:tr>
      <w:tr w14:paraId="6980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92" w:type="dxa"/>
            <w:vMerge w:val="continue"/>
            <w:vAlign w:val="center"/>
          </w:tcPr>
          <w:p w14:paraId="670DDD1C">
            <w:pPr>
              <w:widowControl w:val="0"/>
              <w:wordWrap/>
              <w:adjustRightInd w:val="0"/>
              <w:snapToGrid/>
              <w:spacing w:line="560" w:lineRule="exact"/>
              <w:ind w:firstLine="640" w:firstLineChars="200"/>
              <w:textAlignment w:val="baseline"/>
              <w:outlineLvl w:val="9"/>
              <w:rPr>
                <w:rFonts w:hint="eastAsia" w:ascii="仿宋_GB2312" w:hAnsi="仿宋_GB2312" w:eastAsia="仿宋_GB2312" w:cs="仿宋_GB2312"/>
                <w:b w:val="0"/>
                <w:bCs/>
                <w:color w:val="auto"/>
                <w:sz w:val="32"/>
                <w:szCs w:val="32"/>
              </w:rPr>
            </w:pPr>
          </w:p>
        </w:tc>
        <w:tc>
          <w:tcPr>
            <w:tcW w:w="2717" w:type="dxa"/>
            <w:vAlign w:val="top"/>
          </w:tcPr>
          <w:p w14:paraId="24CDF025">
            <w:pPr>
              <w:widowControl w:val="0"/>
              <w:wordWrap/>
              <w:adjustRightInd w:val="0"/>
              <w:snapToGrid/>
              <w:spacing w:line="560" w:lineRule="exact"/>
              <w:textAlignment w:val="baseline"/>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小写：</w:t>
            </w:r>
          </w:p>
        </w:tc>
        <w:tc>
          <w:tcPr>
            <w:tcW w:w="2670" w:type="dxa"/>
            <w:vMerge w:val="continue"/>
            <w:vAlign w:val="top"/>
          </w:tcPr>
          <w:p w14:paraId="312A8A19">
            <w:pPr>
              <w:widowControl w:val="0"/>
              <w:wordWrap/>
              <w:adjustRightInd w:val="0"/>
              <w:snapToGrid/>
              <w:spacing w:line="560" w:lineRule="exact"/>
              <w:ind w:firstLine="640" w:firstLineChars="200"/>
              <w:textAlignment w:val="baseline"/>
              <w:outlineLvl w:val="9"/>
              <w:rPr>
                <w:rFonts w:hint="eastAsia" w:ascii="仿宋_GB2312" w:hAnsi="仿宋_GB2312" w:eastAsia="仿宋_GB2312" w:cs="仿宋_GB2312"/>
                <w:b w:val="0"/>
                <w:bCs/>
                <w:color w:val="auto"/>
                <w:sz w:val="32"/>
                <w:szCs w:val="32"/>
              </w:rPr>
            </w:pPr>
          </w:p>
        </w:tc>
        <w:tc>
          <w:tcPr>
            <w:tcW w:w="1560" w:type="dxa"/>
            <w:vMerge w:val="continue"/>
            <w:vAlign w:val="top"/>
          </w:tcPr>
          <w:p w14:paraId="23F79F60">
            <w:pPr>
              <w:widowControl w:val="0"/>
              <w:wordWrap/>
              <w:adjustRightInd w:val="0"/>
              <w:snapToGrid/>
              <w:spacing w:line="560" w:lineRule="exact"/>
              <w:textAlignment w:val="baseline"/>
              <w:outlineLvl w:val="9"/>
              <w:rPr>
                <w:rFonts w:hint="eastAsia" w:ascii="仿宋_GB2312" w:hAnsi="仿宋_GB2312" w:eastAsia="仿宋_GB2312" w:cs="仿宋_GB2312"/>
                <w:b w:val="0"/>
                <w:bCs/>
                <w:color w:val="auto"/>
                <w:sz w:val="32"/>
                <w:szCs w:val="32"/>
              </w:rPr>
            </w:pPr>
          </w:p>
        </w:tc>
      </w:tr>
      <w:tr w14:paraId="362E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9039" w:type="dxa"/>
            <w:gridSpan w:val="4"/>
            <w:vAlign w:val="center"/>
          </w:tcPr>
          <w:p w14:paraId="406F3A10">
            <w:pPr>
              <w:widowControl w:val="0"/>
              <w:wordWrap/>
              <w:adjustRightInd w:val="0"/>
              <w:snapToGrid/>
              <w:spacing w:line="560" w:lineRule="exact"/>
              <w:textAlignment w:val="baseline"/>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其他承诺及需要说明的事项：</w:t>
            </w:r>
          </w:p>
        </w:tc>
      </w:tr>
    </w:tbl>
    <w:p w14:paraId="5C98E3BA">
      <w:pPr>
        <w:widowControl w:val="0"/>
        <w:wordWrap/>
        <w:snapToGrid/>
        <w:spacing w:line="560" w:lineRule="exac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注：1、填写此表时不得改变表格形式。</w:t>
      </w:r>
    </w:p>
    <w:p w14:paraId="379ADE14">
      <w:pPr>
        <w:widowControl w:val="0"/>
        <w:wordWrap/>
        <w:snapToGrid/>
        <w:spacing w:line="560" w:lineRule="exact"/>
        <w:ind w:firstLine="640"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、响应文件</w:t>
      </w:r>
      <w:r>
        <w:rPr>
          <w:rFonts w:hint="eastAsia" w:ascii="仿宋_GB2312" w:hAnsi="仿宋_GB2312" w:eastAsia="仿宋_GB2312" w:cs="仿宋_GB2312"/>
          <w:color w:val="auto"/>
          <w:sz w:val="32"/>
          <w:szCs w:val="32"/>
        </w:rPr>
        <w:t>报价为总价。包括产品费、检验费、</w:t>
      </w:r>
      <w:r>
        <w:rPr>
          <w:rFonts w:hint="eastAsia" w:ascii="仿宋_GB2312" w:hAnsi="仿宋_GB2312" w:eastAsia="仿宋_GB2312" w:cs="仿宋_GB2312"/>
          <w:color w:val="auto"/>
          <w:sz w:val="32"/>
          <w:szCs w:val="32"/>
          <w:lang w:val="en-US" w:eastAsia="zh-CN"/>
        </w:rPr>
        <w:t>手续费、包装费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运输费、代理费、</w:t>
      </w:r>
      <w:r>
        <w:rPr>
          <w:rFonts w:hint="eastAsia" w:ascii="仿宋_GB2312" w:hAnsi="仿宋_GB2312" w:eastAsia="仿宋_GB2312" w:cs="仿宋_GB2312"/>
          <w:color w:val="auto"/>
          <w:sz w:val="32"/>
          <w:szCs w:val="32"/>
        </w:rPr>
        <w:t>售后服务费、税金及其他不可预见费等全部费用</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kern w:val="2"/>
          <w:sz w:val="32"/>
          <w:szCs w:val="32"/>
          <w:lang w:val="en-US" w:eastAsia="zh-CN" w:bidi="ar-SA"/>
        </w:rPr>
        <w:t>。</w:t>
      </w:r>
    </w:p>
    <w:p w14:paraId="53FF8DB4">
      <w:pPr>
        <w:wordWrap/>
        <w:spacing w:before="157" w:beforeLines="50" w:line="560" w:lineRule="exact"/>
        <w:ind w:firstLine="482" w:firstLineChars="200"/>
        <w:jc w:val="center"/>
        <w:outlineLvl w:val="9"/>
        <w:rPr>
          <w:rFonts w:hint="eastAsia" w:ascii="宋体" w:hAnsi="宋体"/>
          <w:b/>
          <w:color w:val="auto"/>
          <w:sz w:val="24"/>
        </w:rPr>
      </w:pPr>
    </w:p>
    <w:p w14:paraId="03BA55E3">
      <w:pPr>
        <w:wordWrap/>
        <w:spacing w:before="157" w:beforeLines="50" w:line="560" w:lineRule="exact"/>
        <w:ind w:firstLine="482" w:firstLineChars="200"/>
        <w:jc w:val="center"/>
        <w:outlineLvl w:val="9"/>
        <w:rPr>
          <w:rFonts w:hint="eastAsia" w:ascii="仿宋_GB2312" w:hAnsi="仿宋_GB2312" w:eastAsia="仿宋_GB2312" w:cs="仿宋_GB2312"/>
          <w:b w:val="0"/>
          <w:bCs/>
          <w:color w:val="auto"/>
          <w:sz w:val="32"/>
          <w:szCs w:val="32"/>
        </w:rPr>
      </w:pPr>
      <w:r>
        <w:rPr>
          <w:rFonts w:hint="eastAsia" w:ascii="宋体" w:hAnsi="宋体"/>
          <w:b/>
          <w:color w:val="auto"/>
          <w:sz w:val="24"/>
        </w:rPr>
        <w:t xml:space="preserve">              </w:t>
      </w:r>
      <w:r>
        <w:rPr>
          <w:rFonts w:hint="eastAsia" w:ascii="宋体" w:hAnsi="宋体"/>
          <w:b/>
          <w:color w:val="auto"/>
          <w:sz w:val="24"/>
          <w:lang w:val="en-US" w:eastAsia="zh-CN"/>
        </w:rPr>
        <w:t xml:space="preserve">       </w:t>
      </w:r>
      <w:r>
        <w:rPr>
          <w:rFonts w:hint="eastAsia" w:ascii="宋体" w:hAnsi="宋体"/>
          <w:b/>
          <w:color w:val="auto"/>
          <w:sz w:val="24"/>
        </w:rPr>
        <w:t xml:space="preserve"> </w:t>
      </w:r>
      <w:bookmarkStart w:id="457" w:name="_Toc27526_WPSOffice_Level3"/>
      <w:r>
        <w:rPr>
          <w:rFonts w:hint="eastAsia" w:ascii="宋体" w:hAnsi="宋体"/>
          <w:b/>
          <w:color w:val="auto"/>
          <w:sz w:val="24"/>
          <w:lang w:val="en-US" w:eastAsia="zh-CN"/>
        </w:rPr>
        <w:t xml:space="preserve"> </w:t>
      </w:r>
      <w:bookmarkStart w:id="458" w:name="_Toc11022_WPSOffice_Level3"/>
      <w:r>
        <w:rPr>
          <w:rFonts w:hint="eastAsia" w:ascii="仿宋_GB2312" w:hAnsi="仿宋_GB2312" w:eastAsia="仿宋_GB2312" w:cs="仿宋_GB2312"/>
          <w:b w:val="0"/>
          <w:bCs/>
          <w:color w:val="auto"/>
          <w:sz w:val="32"/>
          <w:szCs w:val="32"/>
          <w:lang w:eastAsia="zh-CN"/>
        </w:rPr>
        <w:t>单位名称</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（公章）</w:t>
      </w:r>
      <w:bookmarkEnd w:id="457"/>
      <w:bookmarkEnd w:id="458"/>
    </w:p>
    <w:p w14:paraId="36C59083">
      <w:pPr>
        <w:wordWrap/>
        <w:spacing w:before="157" w:beforeLines="50" w:line="560" w:lineRule="exact"/>
        <w:ind w:firstLine="640" w:firstLineChars="200"/>
        <w:jc w:val="center"/>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w:t>
      </w:r>
      <w:bookmarkStart w:id="459" w:name="_Toc23931_WPSOffice_Level3"/>
      <w:bookmarkStart w:id="460" w:name="_Toc32417_WPSOffice_Level3"/>
      <w:r>
        <w:rPr>
          <w:rFonts w:hint="eastAsia" w:ascii="仿宋_GB2312" w:hAnsi="仿宋_GB2312" w:eastAsia="仿宋_GB2312" w:cs="仿宋_GB2312"/>
          <w:b w:val="0"/>
          <w:bCs/>
          <w:color w:val="auto"/>
          <w:sz w:val="32"/>
          <w:szCs w:val="32"/>
        </w:rPr>
        <w:t>法定代表人或委托代理人：</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（签字或盖章）</w:t>
      </w:r>
      <w:bookmarkEnd w:id="459"/>
      <w:bookmarkEnd w:id="460"/>
    </w:p>
    <w:p w14:paraId="7D668319">
      <w:pPr>
        <w:wordWrap/>
        <w:spacing w:before="157" w:beforeLines="50" w:line="560" w:lineRule="exact"/>
        <w:ind w:firstLine="640" w:firstLineChars="200"/>
        <w:jc w:val="center"/>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 xml:space="preserve"> </w:t>
      </w:r>
      <w:bookmarkStart w:id="461" w:name="_Toc23319_WPSOffice_Level3"/>
      <w:bookmarkStart w:id="462" w:name="_Toc19388_WPSOffice_Level3"/>
      <w:r>
        <w:rPr>
          <w:rFonts w:hint="eastAsia" w:ascii="仿宋_GB2312" w:hAnsi="仿宋_GB2312" w:eastAsia="仿宋_GB2312" w:cs="仿宋_GB2312"/>
          <w:b w:val="0"/>
          <w:bCs/>
          <w:color w:val="auto"/>
          <w:sz w:val="32"/>
          <w:szCs w:val="32"/>
        </w:rPr>
        <w:t>年   月  日</w:t>
      </w:r>
      <w:bookmarkEnd w:id="461"/>
      <w:bookmarkEnd w:id="462"/>
    </w:p>
    <w:p w14:paraId="76284C44">
      <w:pPr>
        <w:widowControl/>
        <w:wordWrap/>
        <w:snapToGrid w:val="0"/>
        <w:spacing w:before="157" w:beforeLines="50" w:line="560" w:lineRule="exact"/>
        <w:outlineLvl w:val="1"/>
        <w:rPr>
          <w:rFonts w:hint="eastAsia" w:ascii="宋体"/>
          <w:b/>
          <w:color w:val="auto"/>
          <w:sz w:val="36"/>
          <w:szCs w:val="36"/>
        </w:rPr>
      </w:pPr>
      <w:r>
        <w:rPr>
          <w:rFonts w:ascii="宋体"/>
          <w:b/>
          <w:color w:val="auto"/>
          <w:sz w:val="28"/>
          <w:szCs w:val="28"/>
        </w:rPr>
        <w:br w:type="page"/>
      </w:r>
      <w:bookmarkStart w:id="463" w:name="_Toc7532"/>
      <w:bookmarkStart w:id="464" w:name="_Toc18824_WPSOffice_Level3"/>
      <w:bookmarkStart w:id="465" w:name="_Toc31202"/>
      <w:bookmarkStart w:id="466" w:name="_Toc3352_WPSOffice_Level3"/>
      <w:bookmarkStart w:id="467" w:name="_Toc13192"/>
      <w:bookmarkStart w:id="468" w:name="_Toc25351"/>
      <w:r>
        <w:rPr>
          <w:rFonts w:hint="eastAsia" w:ascii="楷体_GB2312" w:hAnsi="楷体_GB2312" w:eastAsia="楷体_GB2312" w:cs="楷体_GB2312"/>
          <w:b/>
          <w:bCs w:val="0"/>
          <w:color w:val="auto"/>
          <w:kern w:val="2"/>
          <w:sz w:val="32"/>
          <w:szCs w:val="32"/>
          <w:lang w:val="en-US" w:eastAsia="zh-CN" w:bidi="ar-SA"/>
        </w:rPr>
        <w:t>附件12：分项报价表</w:t>
      </w:r>
      <w:bookmarkEnd w:id="463"/>
      <w:bookmarkEnd w:id="464"/>
      <w:bookmarkEnd w:id="465"/>
      <w:bookmarkEnd w:id="466"/>
      <w:bookmarkEnd w:id="467"/>
      <w:bookmarkEnd w:id="468"/>
    </w:p>
    <w:p w14:paraId="532E1880">
      <w:pPr>
        <w:wordWrap/>
        <w:spacing w:before="157" w:beforeLines="50" w:line="560" w:lineRule="exact"/>
        <w:jc w:val="center"/>
        <w:outlineLvl w:val="9"/>
        <w:rPr>
          <w:rFonts w:hint="eastAsia" w:ascii="宋体" w:hAnsi="宋体"/>
          <w:b/>
          <w:color w:val="auto"/>
          <w:sz w:val="36"/>
          <w:szCs w:val="36"/>
        </w:rPr>
      </w:pPr>
      <w:bookmarkStart w:id="469" w:name="_Toc31256_WPSOffice_Level3"/>
      <w:bookmarkStart w:id="470" w:name="_Toc12587_WPSOffice_Level1"/>
      <w:bookmarkStart w:id="471" w:name="_Toc19937_WPSOffice_Level1"/>
      <w:r>
        <w:rPr>
          <w:rFonts w:hint="eastAsia" w:ascii="仿宋_GB2312" w:hAnsi="仿宋_GB2312" w:eastAsia="仿宋_GB2312" w:cs="仿宋_GB2312"/>
          <w:b/>
          <w:color w:val="auto"/>
          <w:sz w:val="32"/>
          <w:szCs w:val="32"/>
          <w:lang w:val="zh-CN" w:eastAsia="zh-CN"/>
        </w:rPr>
        <w:t>分项报价表</w:t>
      </w:r>
      <w:bookmarkEnd w:id="469"/>
      <w:bookmarkEnd w:id="470"/>
      <w:bookmarkEnd w:id="471"/>
    </w:p>
    <w:p w14:paraId="145C5C0F">
      <w:pPr>
        <w:widowControl w:val="0"/>
        <w:wordWrap/>
        <w:adjustRightInd/>
        <w:snapToGrid/>
        <w:spacing w:line="560" w:lineRule="exact"/>
        <w:jc w:val="both"/>
        <w:textAlignment w:val="auto"/>
        <w:outlineLvl w:val="9"/>
        <w:rPr>
          <w:rFonts w:hint="eastAsia" w:ascii="仿宋_GB2312" w:hAnsi="仿宋_GB2312" w:eastAsia="仿宋_GB2312" w:cs="仿宋_GB2312"/>
          <w:b w:val="0"/>
          <w:bCs/>
          <w:color w:val="auto"/>
          <w:sz w:val="32"/>
          <w:szCs w:val="32"/>
          <w:lang w:val="en-US" w:eastAsia="zh-CN"/>
        </w:rPr>
      </w:pPr>
      <w:bookmarkStart w:id="472" w:name="_Toc30633_WPSOffice_Level2"/>
      <w:r>
        <w:rPr>
          <w:rFonts w:hint="eastAsia" w:ascii="仿宋_GB2312" w:hAnsi="仿宋_GB2312" w:eastAsia="仿宋_GB2312" w:cs="仿宋_GB2312"/>
          <w:b w:val="0"/>
          <w:bCs/>
          <w:color w:val="auto"/>
          <w:sz w:val="32"/>
          <w:szCs w:val="32"/>
        </w:rPr>
        <w:t>供应商名称:</w:t>
      </w:r>
      <w:bookmarkEnd w:id="472"/>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单位：人民币(元)</w:t>
      </w:r>
      <w:r>
        <w:rPr>
          <w:rFonts w:hint="eastAsia" w:ascii="仿宋_GB2312" w:hAnsi="仿宋_GB2312" w:eastAsia="仿宋_GB2312" w:cs="仿宋_GB2312"/>
          <w:b w:val="0"/>
          <w:bCs/>
          <w:color w:val="auto"/>
          <w:sz w:val="32"/>
          <w:szCs w:val="32"/>
          <w:lang w:val="en-US" w:eastAsia="zh-CN"/>
        </w:rPr>
        <w:t xml:space="preserve">                                          </w:t>
      </w:r>
    </w:p>
    <w:tbl>
      <w:tblPr>
        <w:tblStyle w:val="20"/>
        <w:tblW w:w="9808" w:type="dxa"/>
        <w:jc w:val="center"/>
        <w:tblLayout w:type="fixed"/>
        <w:tblCellMar>
          <w:top w:w="0" w:type="dxa"/>
          <w:left w:w="28" w:type="dxa"/>
          <w:bottom w:w="0" w:type="dxa"/>
          <w:right w:w="28" w:type="dxa"/>
        </w:tblCellMar>
      </w:tblPr>
      <w:tblGrid>
        <w:gridCol w:w="713"/>
        <w:gridCol w:w="1666"/>
        <w:gridCol w:w="1030"/>
        <w:gridCol w:w="1157"/>
        <w:gridCol w:w="1338"/>
        <w:gridCol w:w="1208"/>
        <w:gridCol w:w="960"/>
        <w:gridCol w:w="900"/>
        <w:gridCol w:w="836"/>
      </w:tblGrid>
      <w:tr w14:paraId="47FE1C29">
        <w:tblPrEx>
          <w:tblCellMar>
            <w:top w:w="0" w:type="dxa"/>
            <w:left w:w="28" w:type="dxa"/>
            <w:bottom w:w="0" w:type="dxa"/>
            <w:right w:w="28" w:type="dxa"/>
          </w:tblCellMar>
        </w:tblPrEx>
        <w:trPr>
          <w:trHeight w:val="620" w:hRule="atLeast"/>
          <w:jc w:val="center"/>
        </w:trPr>
        <w:tc>
          <w:tcPr>
            <w:tcW w:w="713" w:type="dxa"/>
            <w:tcBorders>
              <w:top w:val="single" w:color="000000" w:sz="8" w:space="0"/>
              <w:left w:val="single" w:color="000000" w:sz="8" w:space="0"/>
              <w:bottom w:val="single" w:color="000000" w:sz="6" w:space="0"/>
              <w:right w:val="single" w:color="000000" w:sz="6" w:space="0"/>
            </w:tcBorders>
            <w:shd w:val="clear" w:color="000000" w:fill="FFFFFF"/>
            <w:vAlign w:val="center"/>
          </w:tcPr>
          <w:p w14:paraId="7A352B34">
            <w:pPr>
              <w:jc w:val="center"/>
              <w:rPr>
                <w:rFonts w:hint="eastAsia" w:ascii="仿宋" w:hAnsi="仿宋" w:eastAsia="仿宋" w:cs="仿宋"/>
                <w:sz w:val="28"/>
                <w:szCs w:val="28"/>
                <w:lang w:val="zh-CN"/>
              </w:rPr>
            </w:pPr>
            <w:bookmarkStart w:id="473" w:name="_Toc698"/>
            <w:r>
              <w:rPr>
                <w:rFonts w:hint="eastAsia" w:ascii="仿宋" w:hAnsi="仿宋" w:eastAsia="仿宋" w:cs="仿宋"/>
                <w:sz w:val="28"/>
                <w:szCs w:val="28"/>
                <w:lang w:val="zh-CN"/>
              </w:rPr>
              <w:t>序号</w:t>
            </w:r>
          </w:p>
        </w:tc>
        <w:tc>
          <w:tcPr>
            <w:tcW w:w="1666"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0EE747BB">
            <w:pPr>
              <w:jc w:val="center"/>
              <w:rPr>
                <w:rFonts w:hint="eastAsia" w:ascii="仿宋" w:hAnsi="仿宋" w:eastAsia="仿宋" w:cs="仿宋"/>
                <w:sz w:val="28"/>
                <w:szCs w:val="28"/>
                <w:lang w:val="zh-CN"/>
              </w:rPr>
            </w:pPr>
            <w:r>
              <w:rPr>
                <w:rFonts w:hint="eastAsia" w:ascii="仿宋" w:hAnsi="仿宋" w:eastAsia="仿宋" w:cs="仿宋"/>
                <w:sz w:val="28"/>
                <w:szCs w:val="28"/>
                <w:lang w:val="zh-CN"/>
              </w:rPr>
              <w:t>产品名称</w:t>
            </w:r>
          </w:p>
        </w:tc>
        <w:tc>
          <w:tcPr>
            <w:tcW w:w="1030"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3E1BC0A7">
            <w:pPr>
              <w:jc w:val="center"/>
              <w:rPr>
                <w:rFonts w:hint="eastAsia" w:ascii="仿宋" w:hAnsi="仿宋" w:eastAsia="仿宋" w:cs="仿宋"/>
                <w:sz w:val="28"/>
                <w:szCs w:val="28"/>
                <w:lang w:val="zh-CN"/>
              </w:rPr>
            </w:pPr>
            <w:r>
              <w:rPr>
                <w:rFonts w:hint="eastAsia" w:ascii="仿宋" w:hAnsi="仿宋" w:eastAsia="仿宋" w:cs="仿宋"/>
                <w:sz w:val="28"/>
                <w:szCs w:val="28"/>
                <w:lang w:val="zh-CN"/>
              </w:rPr>
              <w:t>品牌</w:t>
            </w:r>
          </w:p>
        </w:tc>
        <w:tc>
          <w:tcPr>
            <w:tcW w:w="1157"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7031C631">
            <w:pPr>
              <w:jc w:val="center"/>
              <w:rPr>
                <w:rFonts w:hint="eastAsia" w:ascii="仿宋" w:hAnsi="仿宋" w:eastAsia="仿宋" w:cs="仿宋"/>
                <w:sz w:val="28"/>
                <w:szCs w:val="28"/>
                <w:lang w:val="zh-CN"/>
              </w:rPr>
            </w:pPr>
            <w:r>
              <w:rPr>
                <w:rFonts w:hint="eastAsia" w:ascii="仿宋" w:hAnsi="仿宋" w:eastAsia="仿宋" w:cs="仿宋"/>
                <w:sz w:val="28"/>
                <w:szCs w:val="28"/>
                <w:lang w:val="zh-CN"/>
              </w:rPr>
              <w:t>规格</w:t>
            </w:r>
          </w:p>
          <w:p w14:paraId="115123D9">
            <w:pPr>
              <w:jc w:val="center"/>
              <w:rPr>
                <w:rFonts w:hint="eastAsia" w:ascii="仿宋" w:hAnsi="仿宋" w:eastAsia="仿宋" w:cs="仿宋"/>
                <w:sz w:val="28"/>
                <w:szCs w:val="28"/>
                <w:lang w:val="zh-CN"/>
              </w:rPr>
            </w:pPr>
            <w:r>
              <w:rPr>
                <w:rFonts w:hint="eastAsia" w:ascii="仿宋" w:hAnsi="仿宋" w:eastAsia="仿宋" w:cs="仿宋"/>
                <w:sz w:val="28"/>
                <w:szCs w:val="28"/>
                <w:lang w:val="zh-CN"/>
              </w:rPr>
              <w:t>型号</w:t>
            </w:r>
          </w:p>
        </w:tc>
        <w:tc>
          <w:tcPr>
            <w:tcW w:w="1338"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2ACA8D06">
            <w:pPr>
              <w:jc w:val="center"/>
              <w:rPr>
                <w:rFonts w:hint="eastAsia" w:ascii="仿宋" w:hAnsi="仿宋" w:eastAsia="仿宋" w:cs="仿宋"/>
                <w:sz w:val="28"/>
                <w:szCs w:val="28"/>
                <w:lang w:val="zh-CN"/>
              </w:rPr>
            </w:pPr>
            <w:r>
              <w:rPr>
                <w:rFonts w:hint="eastAsia" w:ascii="仿宋" w:hAnsi="仿宋" w:eastAsia="仿宋" w:cs="仿宋"/>
                <w:sz w:val="28"/>
                <w:szCs w:val="28"/>
                <w:lang w:val="zh-CN"/>
              </w:rPr>
              <w:t>生产厂家</w:t>
            </w:r>
          </w:p>
        </w:tc>
        <w:tc>
          <w:tcPr>
            <w:tcW w:w="1208"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62B34A4A">
            <w:pPr>
              <w:jc w:val="center"/>
              <w:rPr>
                <w:rFonts w:hint="eastAsia" w:ascii="仿宋" w:hAnsi="仿宋" w:eastAsia="仿宋" w:cs="仿宋"/>
                <w:sz w:val="28"/>
                <w:szCs w:val="28"/>
                <w:lang w:val="en-US" w:eastAsia="zh-CN"/>
              </w:rPr>
            </w:pPr>
            <w:r>
              <w:rPr>
                <w:rFonts w:hint="eastAsia" w:ascii="仿宋" w:hAnsi="仿宋" w:eastAsia="仿宋" w:cs="仿宋"/>
                <w:sz w:val="28"/>
                <w:szCs w:val="28"/>
                <w:lang w:val="zh-CN"/>
              </w:rPr>
              <w:t>数量</w:t>
            </w:r>
          </w:p>
        </w:tc>
        <w:tc>
          <w:tcPr>
            <w:tcW w:w="960"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083D2136">
            <w:pPr>
              <w:jc w:val="center"/>
              <w:rPr>
                <w:rFonts w:hint="eastAsia" w:ascii="仿宋" w:hAnsi="仿宋" w:eastAsia="仿宋" w:cs="仿宋"/>
                <w:sz w:val="28"/>
                <w:szCs w:val="28"/>
                <w:lang w:val="zh-CN"/>
              </w:rPr>
            </w:pPr>
            <w:r>
              <w:rPr>
                <w:rFonts w:hint="eastAsia" w:ascii="仿宋" w:hAnsi="仿宋" w:eastAsia="仿宋" w:cs="仿宋"/>
                <w:sz w:val="28"/>
                <w:szCs w:val="28"/>
                <w:lang w:val="zh-CN"/>
              </w:rPr>
              <w:t>单价</w:t>
            </w:r>
          </w:p>
        </w:tc>
        <w:tc>
          <w:tcPr>
            <w:tcW w:w="900"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1B12E4B3">
            <w:pPr>
              <w:jc w:val="center"/>
              <w:rPr>
                <w:rFonts w:hint="eastAsia" w:ascii="仿宋" w:hAnsi="仿宋" w:eastAsia="仿宋" w:cs="仿宋"/>
                <w:sz w:val="28"/>
                <w:szCs w:val="28"/>
                <w:lang w:val="zh-CN"/>
              </w:rPr>
            </w:pPr>
            <w:r>
              <w:rPr>
                <w:rFonts w:hint="eastAsia" w:ascii="仿宋" w:hAnsi="仿宋" w:eastAsia="仿宋" w:cs="仿宋"/>
                <w:sz w:val="28"/>
                <w:szCs w:val="28"/>
                <w:lang w:val="zh-CN"/>
              </w:rPr>
              <w:t>合计</w:t>
            </w:r>
          </w:p>
        </w:tc>
        <w:tc>
          <w:tcPr>
            <w:tcW w:w="836" w:type="dxa"/>
            <w:tcBorders>
              <w:top w:val="single" w:color="000000" w:sz="8" w:space="0"/>
              <w:left w:val="single" w:color="000000" w:sz="6" w:space="0"/>
              <w:bottom w:val="single" w:color="000000" w:sz="6" w:space="0"/>
              <w:right w:val="single" w:color="000000" w:sz="8" w:space="0"/>
            </w:tcBorders>
            <w:shd w:val="clear" w:color="000000" w:fill="FFFFFF"/>
            <w:vAlign w:val="center"/>
          </w:tcPr>
          <w:p w14:paraId="54802E8C">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w:t>
            </w:r>
          </w:p>
        </w:tc>
      </w:tr>
      <w:tr w14:paraId="40AD0032">
        <w:tblPrEx>
          <w:tblCellMar>
            <w:top w:w="0" w:type="dxa"/>
            <w:left w:w="28" w:type="dxa"/>
            <w:bottom w:w="0" w:type="dxa"/>
            <w:right w:w="28" w:type="dxa"/>
          </w:tblCellMar>
        </w:tblPrEx>
        <w:trPr>
          <w:trHeight w:val="529" w:hRule="atLeast"/>
          <w:jc w:val="center"/>
        </w:trPr>
        <w:tc>
          <w:tcPr>
            <w:tcW w:w="713"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2103CCE0">
            <w:pPr>
              <w:jc w:val="center"/>
              <w:rPr>
                <w:rFonts w:hint="eastAsia" w:ascii="仿宋" w:hAnsi="仿宋" w:eastAsia="仿宋" w:cs="仿宋"/>
                <w:sz w:val="28"/>
                <w:szCs w:val="28"/>
                <w:lang w:val="zh-CN"/>
              </w:rPr>
            </w:pPr>
            <w:r>
              <w:rPr>
                <w:rFonts w:hint="eastAsia" w:ascii="仿宋" w:hAnsi="仿宋" w:eastAsia="仿宋" w:cs="仿宋"/>
                <w:sz w:val="28"/>
                <w:szCs w:val="28"/>
                <w:lang w:val="zh-CN"/>
              </w:rPr>
              <w:t>1</w:t>
            </w:r>
          </w:p>
        </w:tc>
        <w:tc>
          <w:tcPr>
            <w:tcW w:w="16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6681D0D">
            <w:pPr>
              <w:jc w:val="center"/>
              <w:rPr>
                <w:rFonts w:hint="eastAsia" w:ascii="仿宋" w:hAnsi="仿宋" w:eastAsia="仿宋" w:cs="仿宋"/>
                <w:sz w:val="28"/>
                <w:szCs w:val="28"/>
                <w:lang w:val="zh-CN"/>
              </w:rPr>
            </w:pPr>
          </w:p>
        </w:tc>
        <w:tc>
          <w:tcPr>
            <w:tcW w:w="10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472BD3D">
            <w:pPr>
              <w:jc w:val="center"/>
              <w:rPr>
                <w:rFonts w:hint="eastAsia" w:ascii="仿宋" w:hAnsi="仿宋" w:eastAsia="仿宋" w:cs="仿宋"/>
                <w:sz w:val="28"/>
                <w:szCs w:val="28"/>
                <w:lang w:val="zh-CN"/>
              </w:rPr>
            </w:pPr>
          </w:p>
        </w:tc>
        <w:tc>
          <w:tcPr>
            <w:tcW w:w="115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F416911">
            <w:pPr>
              <w:jc w:val="center"/>
              <w:rPr>
                <w:rFonts w:hint="eastAsia" w:ascii="仿宋" w:hAnsi="仿宋" w:eastAsia="仿宋" w:cs="仿宋"/>
                <w:sz w:val="28"/>
                <w:szCs w:val="28"/>
                <w:lang w:val="zh-CN"/>
              </w:rPr>
            </w:pPr>
          </w:p>
        </w:tc>
        <w:tc>
          <w:tcPr>
            <w:tcW w:w="13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DDDE7C1">
            <w:pPr>
              <w:jc w:val="center"/>
              <w:rPr>
                <w:rFonts w:hint="eastAsia" w:ascii="仿宋" w:hAnsi="仿宋" w:eastAsia="仿宋" w:cs="仿宋"/>
                <w:sz w:val="28"/>
                <w:szCs w:val="28"/>
                <w:lang w:val="zh-CN"/>
              </w:rPr>
            </w:pPr>
          </w:p>
        </w:tc>
        <w:tc>
          <w:tcPr>
            <w:tcW w:w="12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10B8FC7">
            <w:pPr>
              <w:jc w:val="center"/>
              <w:rPr>
                <w:rFonts w:hint="eastAsia" w:ascii="仿宋" w:hAnsi="仿宋" w:eastAsia="仿宋" w:cs="仿宋"/>
                <w:sz w:val="28"/>
                <w:szCs w:val="28"/>
                <w:lang w:val="zh-CN"/>
              </w:rPr>
            </w:pPr>
          </w:p>
        </w:tc>
        <w:tc>
          <w:tcPr>
            <w:tcW w:w="96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6C44BC8">
            <w:pPr>
              <w:jc w:val="center"/>
              <w:rPr>
                <w:rFonts w:hint="eastAsia" w:ascii="仿宋" w:hAnsi="仿宋" w:eastAsia="仿宋" w:cs="仿宋"/>
                <w:sz w:val="28"/>
                <w:szCs w:val="28"/>
                <w:lang w:val="zh-CN"/>
              </w:rPr>
            </w:pPr>
          </w:p>
        </w:tc>
        <w:tc>
          <w:tcPr>
            <w:tcW w:w="9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9A336B4">
            <w:pPr>
              <w:jc w:val="center"/>
              <w:rPr>
                <w:rFonts w:hint="eastAsia" w:ascii="仿宋" w:hAnsi="仿宋" w:eastAsia="仿宋" w:cs="仿宋"/>
                <w:sz w:val="28"/>
                <w:szCs w:val="28"/>
                <w:lang w:val="zh-CN"/>
              </w:rPr>
            </w:pPr>
          </w:p>
        </w:tc>
        <w:tc>
          <w:tcPr>
            <w:tcW w:w="836"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4C5C53B8">
            <w:pPr>
              <w:jc w:val="center"/>
              <w:rPr>
                <w:rFonts w:hint="eastAsia" w:ascii="仿宋" w:hAnsi="仿宋" w:eastAsia="仿宋" w:cs="仿宋"/>
                <w:sz w:val="28"/>
                <w:szCs w:val="28"/>
                <w:lang w:val="zh-CN"/>
              </w:rPr>
            </w:pPr>
          </w:p>
        </w:tc>
      </w:tr>
      <w:tr w14:paraId="7F16B1EA">
        <w:tblPrEx>
          <w:tblCellMar>
            <w:top w:w="0" w:type="dxa"/>
            <w:left w:w="28" w:type="dxa"/>
            <w:bottom w:w="0" w:type="dxa"/>
            <w:right w:w="28" w:type="dxa"/>
          </w:tblCellMar>
        </w:tblPrEx>
        <w:trPr>
          <w:trHeight w:val="529" w:hRule="atLeast"/>
          <w:jc w:val="center"/>
        </w:trPr>
        <w:tc>
          <w:tcPr>
            <w:tcW w:w="713"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3CE708F7">
            <w:pPr>
              <w:jc w:val="center"/>
              <w:rPr>
                <w:rFonts w:hint="eastAsia" w:ascii="仿宋" w:hAnsi="仿宋" w:eastAsia="仿宋" w:cs="仿宋"/>
                <w:sz w:val="28"/>
                <w:szCs w:val="28"/>
                <w:lang w:val="zh-CN"/>
              </w:rPr>
            </w:pPr>
            <w:r>
              <w:rPr>
                <w:rFonts w:hint="eastAsia" w:ascii="仿宋" w:hAnsi="仿宋" w:eastAsia="仿宋" w:cs="仿宋"/>
                <w:sz w:val="28"/>
                <w:szCs w:val="28"/>
                <w:lang w:val="zh-CN"/>
              </w:rPr>
              <w:t>2</w:t>
            </w:r>
          </w:p>
        </w:tc>
        <w:tc>
          <w:tcPr>
            <w:tcW w:w="16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72F2DFB">
            <w:pPr>
              <w:jc w:val="center"/>
              <w:rPr>
                <w:rFonts w:hint="eastAsia" w:ascii="仿宋" w:hAnsi="仿宋" w:eastAsia="仿宋" w:cs="仿宋"/>
                <w:sz w:val="28"/>
                <w:szCs w:val="28"/>
                <w:lang w:val="zh-CN"/>
              </w:rPr>
            </w:pPr>
          </w:p>
        </w:tc>
        <w:tc>
          <w:tcPr>
            <w:tcW w:w="10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C75E364">
            <w:pPr>
              <w:jc w:val="center"/>
              <w:rPr>
                <w:rFonts w:hint="eastAsia" w:ascii="仿宋" w:hAnsi="仿宋" w:eastAsia="仿宋" w:cs="仿宋"/>
                <w:sz w:val="28"/>
                <w:szCs w:val="28"/>
                <w:lang w:val="zh-CN"/>
              </w:rPr>
            </w:pPr>
          </w:p>
        </w:tc>
        <w:tc>
          <w:tcPr>
            <w:tcW w:w="115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33F1496">
            <w:pPr>
              <w:jc w:val="center"/>
              <w:rPr>
                <w:rFonts w:hint="eastAsia" w:ascii="仿宋" w:hAnsi="仿宋" w:eastAsia="仿宋" w:cs="仿宋"/>
                <w:sz w:val="28"/>
                <w:szCs w:val="28"/>
                <w:lang w:val="zh-CN"/>
              </w:rPr>
            </w:pPr>
          </w:p>
        </w:tc>
        <w:tc>
          <w:tcPr>
            <w:tcW w:w="13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D6A81D5">
            <w:pPr>
              <w:jc w:val="center"/>
              <w:rPr>
                <w:rFonts w:hint="eastAsia" w:ascii="仿宋" w:hAnsi="仿宋" w:eastAsia="仿宋" w:cs="仿宋"/>
                <w:sz w:val="28"/>
                <w:szCs w:val="28"/>
                <w:lang w:val="zh-CN"/>
              </w:rPr>
            </w:pPr>
          </w:p>
        </w:tc>
        <w:tc>
          <w:tcPr>
            <w:tcW w:w="12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9A8D924">
            <w:pPr>
              <w:jc w:val="center"/>
              <w:rPr>
                <w:rFonts w:hint="eastAsia" w:ascii="仿宋" w:hAnsi="仿宋" w:eastAsia="仿宋" w:cs="仿宋"/>
                <w:sz w:val="28"/>
                <w:szCs w:val="28"/>
                <w:lang w:val="zh-CN"/>
              </w:rPr>
            </w:pPr>
          </w:p>
        </w:tc>
        <w:tc>
          <w:tcPr>
            <w:tcW w:w="96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CB1E122">
            <w:pPr>
              <w:jc w:val="center"/>
              <w:rPr>
                <w:rFonts w:hint="eastAsia" w:ascii="仿宋" w:hAnsi="仿宋" w:eastAsia="仿宋" w:cs="仿宋"/>
                <w:sz w:val="28"/>
                <w:szCs w:val="28"/>
                <w:lang w:val="zh-CN"/>
              </w:rPr>
            </w:pPr>
          </w:p>
        </w:tc>
        <w:tc>
          <w:tcPr>
            <w:tcW w:w="9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A1159A6">
            <w:pPr>
              <w:jc w:val="center"/>
              <w:rPr>
                <w:rFonts w:hint="eastAsia" w:ascii="仿宋" w:hAnsi="仿宋" w:eastAsia="仿宋" w:cs="仿宋"/>
                <w:sz w:val="28"/>
                <w:szCs w:val="28"/>
                <w:lang w:val="zh-CN"/>
              </w:rPr>
            </w:pPr>
          </w:p>
        </w:tc>
        <w:tc>
          <w:tcPr>
            <w:tcW w:w="836"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424AAE53">
            <w:pPr>
              <w:jc w:val="center"/>
              <w:rPr>
                <w:rFonts w:hint="eastAsia" w:ascii="仿宋" w:hAnsi="仿宋" w:eastAsia="仿宋" w:cs="仿宋"/>
                <w:sz w:val="28"/>
                <w:szCs w:val="28"/>
                <w:lang w:val="zh-CN"/>
              </w:rPr>
            </w:pPr>
          </w:p>
        </w:tc>
      </w:tr>
      <w:tr w14:paraId="7853122B">
        <w:tblPrEx>
          <w:tblCellMar>
            <w:top w:w="0" w:type="dxa"/>
            <w:left w:w="28" w:type="dxa"/>
            <w:bottom w:w="0" w:type="dxa"/>
            <w:right w:w="28" w:type="dxa"/>
          </w:tblCellMar>
        </w:tblPrEx>
        <w:trPr>
          <w:trHeight w:val="529" w:hRule="atLeast"/>
          <w:jc w:val="center"/>
        </w:trPr>
        <w:tc>
          <w:tcPr>
            <w:tcW w:w="713"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321B558E">
            <w:pPr>
              <w:jc w:val="center"/>
              <w:rPr>
                <w:rFonts w:hint="eastAsia" w:ascii="仿宋" w:hAnsi="仿宋" w:eastAsia="仿宋" w:cs="仿宋"/>
                <w:sz w:val="28"/>
                <w:szCs w:val="28"/>
                <w:lang w:val="zh-CN"/>
              </w:rPr>
            </w:pPr>
            <w:r>
              <w:rPr>
                <w:rFonts w:hint="eastAsia" w:ascii="仿宋" w:hAnsi="仿宋" w:eastAsia="仿宋" w:cs="仿宋"/>
                <w:sz w:val="28"/>
                <w:szCs w:val="28"/>
                <w:lang w:val="zh-CN"/>
              </w:rPr>
              <w:t>3</w:t>
            </w:r>
          </w:p>
        </w:tc>
        <w:tc>
          <w:tcPr>
            <w:tcW w:w="16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7D7B345">
            <w:pPr>
              <w:jc w:val="center"/>
              <w:rPr>
                <w:rFonts w:hint="eastAsia" w:ascii="仿宋" w:hAnsi="仿宋" w:eastAsia="仿宋" w:cs="仿宋"/>
                <w:sz w:val="28"/>
                <w:szCs w:val="28"/>
                <w:lang w:val="zh-CN"/>
              </w:rPr>
            </w:pPr>
          </w:p>
        </w:tc>
        <w:tc>
          <w:tcPr>
            <w:tcW w:w="10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069112A">
            <w:pPr>
              <w:jc w:val="center"/>
              <w:rPr>
                <w:rFonts w:hint="eastAsia" w:ascii="仿宋" w:hAnsi="仿宋" w:eastAsia="仿宋" w:cs="仿宋"/>
                <w:sz w:val="28"/>
                <w:szCs w:val="28"/>
                <w:lang w:val="zh-CN"/>
              </w:rPr>
            </w:pPr>
          </w:p>
        </w:tc>
        <w:tc>
          <w:tcPr>
            <w:tcW w:w="115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753A979">
            <w:pPr>
              <w:jc w:val="center"/>
              <w:rPr>
                <w:rFonts w:hint="eastAsia" w:ascii="仿宋" w:hAnsi="仿宋" w:eastAsia="仿宋" w:cs="仿宋"/>
                <w:sz w:val="28"/>
                <w:szCs w:val="28"/>
                <w:lang w:val="zh-CN"/>
              </w:rPr>
            </w:pPr>
          </w:p>
        </w:tc>
        <w:tc>
          <w:tcPr>
            <w:tcW w:w="13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EF79E73">
            <w:pPr>
              <w:jc w:val="center"/>
              <w:rPr>
                <w:rFonts w:hint="eastAsia" w:ascii="仿宋" w:hAnsi="仿宋" w:eastAsia="仿宋" w:cs="仿宋"/>
                <w:sz w:val="28"/>
                <w:szCs w:val="28"/>
                <w:lang w:val="zh-CN"/>
              </w:rPr>
            </w:pPr>
          </w:p>
        </w:tc>
        <w:tc>
          <w:tcPr>
            <w:tcW w:w="12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F02B3FB">
            <w:pPr>
              <w:jc w:val="center"/>
              <w:rPr>
                <w:rFonts w:hint="eastAsia" w:ascii="仿宋" w:hAnsi="仿宋" w:eastAsia="仿宋" w:cs="仿宋"/>
                <w:sz w:val="28"/>
                <w:szCs w:val="28"/>
                <w:lang w:val="zh-CN"/>
              </w:rPr>
            </w:pPr>
          </w:p>
        </w:tc>
        <w:tc>
          <w:tcPr>
            <w:tcW w:w="96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BF04FD7">
            <w:pPr>
              <w:jc w:val="center"/>
              <w:rPr>
                <w:rFonts w:hint="eastAsia" w:ascii="仿宋" w:hAnsi="仿宋" w:eastAsia="仿宋" w:cs="仿宋"/>
                <w:sz w:val="28"/>
                <w:szCs w:val="28"/>
                <w:lang w:val="zh-CN"/>
              </w:rPr>
            </w:pPr>
          </w:p>
        </w:tc>
        <w:tc>
          <w:tcPr>
            <w:tcW w:w="9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60BAA1A">
            <w:pPr>
              <w:jc w:val="center"/>
              <w:rPr>
                <w:rFonts w:hint="eastAsia" w:ascii="仿宋" w:hAnsi="仿宋" w:eastAsia="仿宋" w:cs="仿宋"/>
                <w:sz w:val="28"/>
                <w:szCs w:val="28"/>
                <w:lang w:val="zh-CN"/>
              </w:rPr>
            </w:pPr>
          </w:p>
        </w:tc>
        <w:tc>
          <w:tcPr>
            <w:tcW w:w="836"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44C52408">
            <w:pPr>
              <w:jc w:val="center"/>
              <w:rPr>
                <w:rFonts w:hint="eastAsia" w:ascii="仿宋" w:hAnsi="仿宋" w:eastAsia="仿宋" w:cs="仿宋"/>
                <w:sz w:val="28"/>
                <w:szCs w:val="28"/>
                <w:lang w:val="zh-CN"/>
              </w:rPr>
            </w:pPr>
          </w:p>
        </w:tc>
      </w:tr>
      <w:tr w14:paraId="2113515E">
        <w:tblPrEx>
          <w:tblCellMar>
            <w:top w:w="0" w:type="dxa"/>
            <w:left w:w="28" w:type="dxa"/>
            <w:bottom w:w="0" w:type="dxa"/>
            <w:right w:w="28" w:type="dxa"/>
          </w:tblCellMar>
        </w:tblPrEx>
        <w:trPr>
          <w:trHeight w:val="529" w:hRule="atLeast"/>
          <w:jc w:val="center"/>
        </w:trPr>
        <w:tc>
          <w:tcPr>
            <w:tcW w:w="713"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4CCF8A37">
            <w:pPr>
              <w:jc w:val="center"/>
              <w:rPr>
                <w:rFonts w:hint="eastAsia" w:ascii="仿宋" w:hAnsi="仿宋" w:eastAsia="仿宋" w:cs="仿宋"/>
                <w:sz w:val="28"/>
                <w:szCs w:val="28"/>
                <w:lang w:val="zh-CN"/>
              </w:rPr>
            </w:pPr>
            <w:r>
              <w:rPr>
                <w:rFonts w:hint="eastAsia" w:ascii="仿宋" w:hAnsi="仿宋" w:eastAsia="仿宋" w:cs="仿宋"/>
                <w:sz w:val="28"/>
                <w:szCs w:val="28"/>
                <w:lang w:val="zh-CN"/>
              </w:rPr>
              <w:t>4</w:t>
            </w:r>
          </w:p>
        </w:tc>
        <w:tc>
          <w:tcPr>
            <w:tcW w:w="16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9DFD8CF">
            <w:pPr>
              <w:jc w:val="center"/>
              <w:rPr>
                <w:rFonts w:hint="eastAsia" w:ascii="仿宋" w:hAnsi="仿宋" w:eastAsia="仿宋" w:cs="仿宋"/>
                <w:sz w:val="28"/>
                <w:szCs w:val="28"/>
                <w:lang w:val="zh-CN"/>
              </w:rPr>
            </w:pPr>
          </w:p>
        </w:tc>
        <w:tc>
          <w:tcPr>
            <w:tcW w:w="10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9FC44CA">
            <w:pPr>
              <w:jc w:val="center"/>
              <w:rPr>
                <w:rFonts w:hint="eastAsia" w:ascii="仿宋" w:hAnsi="仿宋" w:eastAsia="仿宋" w:cs="仿宋"/>
                <w:sz w:val="28"/>
                <w:szCs w:val="28"/>
                <w:lang w:val="zh-CN"/>
              </w:rPr>
            </w:pPr>
          </w:p>
        </w:tc>
        <w:tc>
          <w:tcPr>
            <w:tcW w:w="115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AD249D9">
            <w:pPr>
              <w:jc w:val="center"/>
              <w:rPr>
                <w:rFonts w:hint="eastAsia" w:ascii="仿宋" w:hAnsi="仿宋" w:eastAsia="仿宋" w:cs="仿宋"/>
                <w:sz w:val="28"/>
                <w:szCs w:val="28"/>
                <w:lang w:val="zh-CN"/>
              </w:rPr>
            </w:pPr>
          </w:p>
        </w:tc>
        <w:tc>
          <w:tcPr>
            <w:tcW w:w="13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7096FAD">
            <w:pPr>
              <w:jc w:val="center"/>
              <w:rPr>
                <w:rFonts w:hint="eastAsia" w:ascii="仿宋" w:hAnsi="仿宋" w:eastAsia="仿宋" w:cs="仿宋"/>
                <w:sz w:val="28"/>
                <w:szCs w:val="28"/>
                <w:lang w:val="zh-CN"/>
              </w:rPr>
            </w:pPr>
          </w:p>
        </w:tc>
        <w:tc>
          <w:tcPr>
            <w:tcW w:w="12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3AE2E31">
            <w:pPr>
              <w:jc w:val="center"/>
              <w:rPr>
                <w:rFonts w:hint="eastAsia" w:ascii="仿宋" w:hAnsi="仿宋" w:eastAsia="仿宋" w:cs="仿宋"/>
                <w:sz w:val="28"/>
                <w:szCs w:val="28"/>
                <w:lang w:val="zh-CN"/>
              </w:rPr>
            </w:pPr>
          </w:p>
        </w:tc>
        <w:tc>
          <w:tcPr>
            <w:tcW w:w="96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9AE07B7">
            <w:pPr>
              <w:jc w:val="center"/>
              <w:rPr>
                <w:rFonts w:hint="eastAsia" w:ascii="仿宋" w:hAnsi="仿宋" w:eastAsia="仿宋" w:cs="仿宋"/>
                <w:sz w:val="28"/>
                <w:szCs w:val="28"/>
                <w:lang w:val="zh-CN"/>
              </w:rPr>
            </w:pPr>
          </w:p>
        </w:tc>
        <w:tc>
          <w:tcPr>
            <w:tcW w:w="9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A064F43">
            <w:pPr>
              <w:jc w:val="center"/>
              <w:rPr>
                <w:rFonts w:hint="eastAsia" w:ascii="仿宋" w:hAnsi="仿宋" w:eastAsia="仿宋" w:cs="仿宋"/>
                <w:sz w:val="28"/>
                <w:szCs w:val="28"/>
                <w:lang w:val="zh-CN"/>
              </w:rPr>
            </w:pPr>
          </w:p>
        </w:tc>
        <w:tc>
          <w:tcPr>
            <w:tcW w:w="836"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179CC5F6">
            <w:pPr>
              <w:jc w:val="center"/>
              <w:rPr>
                <w:rFonts w:hint="eastAsia" w:ascii="仿宋" w:hAnsi="仿宋" w:eastAsia="仿宋" w:cs="仿宋"/>
                <w:sz w:val="28"/>
                <w:szCs w:val="28"/>
                <w:lang w:val="zh-CN"/>
              </w:rPr>
            </w:pPr>
          </w:p>
        </w:tc>
      </w:tr>
      <w:tr w14:paraId="76E5F44E">
        <w:tblPrEx>
          <w:tblCellMar>
            <w:top w:w="0" w:type="dxa"/>
            <w:left w:w="28" w:type="dxa"/>
            <w:bottom w:w="0" w:type="dxa"/>
            <w:right w:w="28" w:type="dxa"/>
          </w:tblCellMar>
        </w:tblPrEx>
        <w:trPr>
          <w:trHeight w:val="529" w:hRule="atLeast"/>
          <w:jc w:val="center"/>
        </w:trPr>
        <w:tc>
          <w:tcPr>
            <w:tcW w:w="713"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4D44C734">
            <w:pPr>
              <w:jc w:val="center"/>
              <w:rPr>
                <w:rFonts w:hint="eastAsia" w:ascii="仿宋" w:hAnsi="仿宋" w:eastAsia="仿宋" w:cs="仿宋"/>
                <w:sz w:val="28"/>
                <w:szCs w:val="28"/>
                <w:lang w:val="zh-CN"/>
              </w:rPr>
            </w:pPr>
            <w:r>
              <w:rPr>
                <w:rFonts w:hint="eastAsia" w:ascii="仿宋" w:hAnsi="仿宋" w:eastAsia="仿宋" w:cs="仿宋"/>
                <w:sz w:val="28"/>
                <w:szCs w:val="28"/>
                <w:lang w:val="zh-CN"/>
              </w:rPr>
              <w:t>…</w:t>
            </w:r>
          </w:p>
        </w:tc>
        <w:tc>
          <w:tcPr>
            <w:tcW w:w="16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0CE89BA">
            <w:pPr>
              <w:jc w:val="center"/>
              <w:rPr>
                <w:rFonts w:hint="eastAsia" w:ascii="仿宋" w:hAnsi="仿宋" w:eastAsia="仿宋" w:cs="仿宋"/>
                <w:sz w:val="28"/>
                <w:szCs w:val="28"/>
                <w:lang w:val="zh-CN"/>
              </w:rPr>
            </w:pPr>
          </w:p>
        </w:tc>
        <w:tc>
          <w:tcPr>
            <w:tcW w:w="10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6ED5501">
            <w:pPr>
              <w:jc w:val="center"/>
              <w:rPr>
                <w:rFonts w:hint="eastAsia" w:ascii="仿宋" w:hAnsi="仿宋" w:eastAsia="仿宋" w:cs="仿宋"/>
                <w:sz w:val="28"/>
                <w:szCs w:val="28"/>
                <w:lang w:val="zh-CN"/>
              </w:rPr>
            </w:pPr>
          </w:p>
        </w:tc>
        <w:tc>
          <w:tcPr>
            <w:tcW w:w="115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C1FC22D">
            <w:pPr>
              <w:jc w:val="center"/>
              <w:rPr>
                <w:rFonts w:hint="eastAsia" w:ascii="仿宋" w:hAnsi="仿宋" w:eastAsia="仿宋" w:cs="仿宋"/>
                <w:sz w:val="28"/>
                <w:szCs w:val="28"/>
                <w:lang w:val="zh-CN"/>
              </w:rPr>
            </w:pPr>
          </w:p>
        </w:tc>
        <w:tc>
          <w:tcPr>
            <w:tcW w:w="13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F18B869">
            <w:pPr>
              <w:jc w:val="center"/>
              <w:rPr>
                <w:rFonts w:hint="eastAsia" w:ascii="仿宋" w:hAnsi="仿宋" w:eastAsia="仿宋" w:cs="仿宋"/>
                <w:sz w:val="28"/>
                <w:szCs w:val="28"/>
                <w:lang w:val="zh-CN"/>
              </w:rPr>
            </w:pPr>
          </w:p>
        </w:tc>
        <w:tc>
          <w:tcPr>
            <w:tcW w:w="12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48F3AB3">
            <w:pPr>
              <w:jc w:val="center"/>
              <w:rPr>
                <w:rFonts w:hint="eastAsia" w:ascii="仿宋" w:hAnsi="仿宋" w:eastAsia="仿宋" w:cs="仿宋"/>
                <w:sz w:val="28"/>
                <w:szCs w:val="28"/>
                <w:lang w:val="zh-CN"/>
              </w:rPr>
            </w:pPr>
          </w:p>
        </w:tc>
        <w:tc>
          <w:tcPr>
            <w:tcW w:w="96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0F15523">
            <w:pPr>
              <w:jc w:val="center"/>
              <w:rPr>
                <w:rFonts w:hint="eastAsia" w:ascii="仿宋" w:hAnsi="仿宋" w:eastAsia="仿宋" w:cs="仿宋"/>
                <w:sz w:val="28"/>
                <w:szCs w:val="28"/>
                <w:lang w:val="zh-CN"/>
              </w:rPr>
            </w:pPr>
          </w:p>
        </w:tc>
        <w:tc>
          <w:tcPr>
            <w:tcW w:w="9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77AF8A2">
            <w:pPr>
              <w:jc w:val="center"/>
              <w:rPr>
                <w:rFonts w:hint="eastAsia" w:ascii="仿宋" w:hAnsi="仿宋" w:eastAsia="仿宋" w:cs="仿宋"/>
                <w:sz w:val="28"/>
                <w:szCs w:val="28"/>
                <w:lang w:val="zh-CN"/>
              </w:rPr>
            </w:pPr>
          </w:p>
        </w:tc>
        <w:tc>
          <w:tcPr>
            <w:tcW w:w="836"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648E7876">
            <w:pPr>
              <w:jc w:val="center"/>
              <w:rPr>
                <w:rFonts w:hint="eastAsia" w:ascii="仿宋" w:hAnsi="仿宋" w:eastAsia="仿宋" w:cs="仿宋"/>
                <w:sz w:val="28"/>
                <w:szCs w:val="28"/>
                <w:lang w:val="zh-CN"/>
              </w:rPr>
            </w:pPr>
          </w:p>
        </w:tc>
      </w:tr>
      <w:tr w14:paraId="6C587985">
        <w:tblPrEx>
          <w:tblCellMar>
            <w:top w:w="0" w:type="dxa"/>
            <w:left w:w="28" w:type="dxa"/>
            <w:bottom w:w="0" w:type="dxa"/>
            <w:right w:w="28" w:type="dxa"/>
          </w:tblCellMar>
        </w:tblPrEx>
        <w:trPr>
          <w:trHeight w:val="1067" w:hRule="atLeast"/>
          <w:jc w:val="center"/>
        </w:trPr>
        <w:tc>
          <w:tcPr>
            <w:tcW w:w="9808" w:type="dxa"/>
            <w:gridSpan w:val="9"/>
            <w:tcBorders>
              <w:top w:val="single" w:color="000000" w:sz="6" w:space="0"/>
              <w:left w:val="single" w:color="000000" w:sz="8" w:space="0"/>
              <w:bottom w:val="single" w:color="000000" w:sz="6" w:space="0"/>
              <w:right w:val="single" w:color="000000" w:sz="8" w:space="0"/>
            </w:tcBorders>
            <w:shd w:val="clear" w:color="000000" w:fill="FFFFFF"/>
            <w:vAlign w:val="center"/>
          </w:tcPr>
          <w:p w14:paraId="1BEBBDB1">
            <w:pPr>
              <w:rPr>
                <w:rFonts w:hint="eastAsia" w:ascii="仿宋" w:hAnsi="仿宋" w:eastAsia="仿宋" w:cs="仿宋"/>
                <w:sz w:val="28"/>
                <w:szCs w:val="28"/>
                <w:lang w:val="zh-CN"/>
              </w:rPr>
            </w:pPr>
            <w:r>
              <w:rPr>
                <w:rFonts w:hint="eastAsia" w:ascii="仿宋" w:hAnsi="仿宋" w:eastAsia="仿宋" w:cs="仿宋"/>
                <w:sz w:val="28"/>
                <w:szCs w:val="28"/>
                <w:lang w:val="zh-CN" w:eastAsia="zh-CN"/>
              </w:rPr>
              <w:t>其他承诺及需要说明的事项：</w:t>
            </w:r>
          </w:p>
        </w:tc>
      </w:tr>
      <w:tr w14:paraId="5A2E6F98">
        <w:tblPrEx>
          <w:tblCellMar>
            <w:top w:w="0" w:type="dxa"/>
            <w:left w:w="28" w:type="dxa"/>
            <w:bottom w:w="0" w:type="dxa"/>
            <w:right w:w="28" w:type="dxa"/>
          </w:tblCellMar>
        </w:tblPrEx>
        <w:trPr>
          <w:trHeight w:val="1038" w:hRule="atLeast"/>
          <w:jc w:val="center"/>
        </w:trPr>
        <w:tc>
          <w:tcPr>
            <w:tcW w:w="2379" w:type="dxa"/>
            <w:gridSpan w:val="2"/>
            <w:tcBorders>
              <w:top w:val="single" w:color="000000" w:sz="6" w:space="0"/>
              <w:left w:val="single" w:color="000000" w:sz="8" w:space="0"/>
              <w:bottom w:val="single" w:color="000000" w:sz="8" w:space="0"/>
              <w:right w:val="single" w:color="000000" w:sz="6" w:space="0"/>
            </w:tcBorders>
            <w:shd w:val="clear" w:color="000000" w:fill="FFFFFF"/>
            <w:vAlign w:val="center"/>
          </w:tcPr>
          <w:p w14:paraId="37D06986">
            <w:pPr>
              <w:jc w:val="center"/>
              <w:rPr>
                <w:rFonts w:hint="eastAsia" w:ascii="仿宋" w:hAnsi="仿宋" w:eastAsia="仿宋" w:cs="仿宋"/>
                <w:sz w:val="28"/>
                <w:szCs w:val="28"/>
                <w:lang w:val="zh-CN"/>
              </w:rPr>
            </w:pPr>
            <w:r>
              <w:rPr>
                <w:rFonts w:hint="eastAsia" w:ascii="仿宋" w:hAnsi="仿宋" w:eastAsia="仿宋" w:cs="仿宋"/>
                <w:sz w:val="28"/>
                <w:szCs w:val="28"/>
                <w:lang w:val="zh-CN"/>
              </w:rPr>
              <w:t>总价</w:t>
            </w:r>
          </w:p>
        </w:tc>
        <w:tc>
          <w:tcPr>
            <w:tcW w:w="7429" w:type="dxa"/>
            <w:gridSpan w:val="7"/>
            <w:tcBorders>
              <w:top w:val="single" w:color="000000" w:sz="6" w:space="0"/>
              <w:left w:val="single" w:color="000000" w:sz="6" w:space="0"/>
              <w:bottom w:val="single" w:color="000000" w:sz="8" w:space="0"/>
              <w:right w:val="single" w:color="000000" w:sz="8" w:space="0"/>
            </w:tcBorders>
            <w:shd w:val="clear" w:color="000000" w:fill="FFFFFF"/>
            <w:vAlign w:val="center"/>
          </w:tcPr>
          <w:p w14:paraId="70CD47A9">
            <w:pPr>
              <w:rPr>
                <w:rFonts w:hint="eastAsia" w:ascii="仿宋" w:hAnsi="仿宋" w:eastAsia="仿宋" w:cs="仿宋"/>
                <w:sz w:val="28"/>
                <w:szCs w:val="28"/>
                <w:lang w:val="zh-CN"/>
              </w:rPr>
            </w:pPr>
            <w:r>
              <w:rPr>
                <w:rFonts w:hint="eastAsia" w:ascii="仿宋" w:hAnsi="仿宋" w:eastAsia="仿宋" w:cs="仿宋"/>
                <w:sz w:val="28"/>
                <w:szCs w:val="28"/>
                <w:lang w:val="zh-CN"/>
              </w:rPr>
              <w:t>小写：</w:t>
            </w:r>
          </w:p>
          <w:p w14:paraId="6A8B9CBC">
            <w:pPr>
              <w:rPr>
                <w:rFonts w:hint="eastAsia" w:ascii="仿宋" w:hAnsi="仿宋" w:eastAsia="仿宋" w:cs="仿宋"/>
                <w:sz w:val="28"/>
                <w:szCs w:val="28"/>
                <w:lang w:val="zh-CN"/>
              </w:rPr>
            </w:pPr>
            <w:r>
              <w:rPr>
                <w:rFonts w:hint="eastAsia" w:ascii="仿宋" w:hAnsi="仿宋" w:eastAsia="仿宋" w:cs="仿宋"/>
                <w:sz w:val="28"/>
                <w:szCs w:val="28"/>
                <w:lang w:val="zh-CN"/>
              </w:rPr>
              <w:t>大写：</w:t>
            </w:r>
          </w:p>
        </w:tc>
      </w:tr>
    </w:tbl>
    <w:p w14:paraId="36527AD4">
      <w:pPr>
        <w:widowControl w:val="0"/>
        <w:wordWrap/>
        <w:adjustRightInd/>
        <w:snapToGrid/>
        <w:spacing w:line="560" w:lineRule="exact"/>
        <w:jc w:val="both"/>
        <w:textAlignment w:val="auto"/>
        <w:outlineLvl w:val="9"/>
        <w:rPr>
          <w:rFonts w:hint="eastAsia" w:ascii="仿宋_GB2312" w:hAnsi="仿宋_GB2312" w:eastAsia="仿宋_GB2312" w:cs="仿宋_GB2312"/>
          <w:b w:val="0"/>
          <w:bCs/>
          <w:color w:val="auto"/>
          <w:sz w:val="32"/>
          <w:szCs w:val="32"/>
        </w:rPr>
      </w:pPr>
      <w:r>
        <w:rPr>
          <w:rFonts w:hint="eastAsia" w:ascii="宋体" w:hAnsi="宋体"/>
          <w:b/>
          <w:color w:val="auto"/>
          <w:sz w:val="24"/>
        </w:rPr>
        <w:t xml:space="preserve">  </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单位</w:t>
      </w:r>
      <w:r>
        <w:rPr>
          <w:rFonts w:hint="eastAsia" w:ascii="仿宋_GB2312" w:hAnsi="仿宋_GB2312" w:eastAsia="仿宋_GB2312" w:cs="仿宋_GB2312"/>
          <w:b w:val="0"/>
          <w:bCs/>
          <w:color w:val="auto"/>
          <w:sz w:val="32"/>
          <w:szCs w:val="32"/>
          <w:lang w:eastAsia="zh-CN"/>
        </w:rPr>
        <w:t>名称</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（公章）</w:t>
      </w:r>
    </w:p>
    <w:p w14:paraId="27E3C8E7">
      <w:pPr>
        <w:widowControl w:val="0"/>
        <w:wordWrap/>
        <w:adjustRightInd/>
        <w:snapToGrid/>
        <w:spacing w:line="560" w:lineRule="exact"/>
        <w:ind w:firstLine="640" w:firstLineChars="200"/>
        <w:jc w:val="center"/>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w:t>
      </w:r>
      <w:bookmarkStart w:id="474" w:name="_Toc24193_WPSOffice_Level3"/>
      <w:r>
        <w:rPr>
          <w:rFonts w:hint="eastAsia" w:ascii="仿宋_GB2312" w:hAnsi="仿宋_GB2312" w:eastAsia="仿宋_GB2312" w:cs="仿宋_GB2312"/>
          <w:b w:val="0"/>
          <w:bCs/>
          <w:color w:val="auto"/>
          <w:sz w:val="32"/>
          <w:szCs w:val="32"/>
        </w:rPr>
        <w:t>法定代表人或委托代理人：</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（签字或盖章）</w:t>
      </w:r>
      <w:bookmarkEnd w:id="474"/>
    </w:p>
    <w:p w14:paraId="3BD07F46">
      <w:pPr>
        <w:widowControl w:val="0"/>
        <w:wordWrap/>
        <w:adjustRightInd/>
        <w:snapToGrid/>
        <w:spacing w:line="560" w:lineRule="exact"/>
        <w:ind w:firstLine="640" w:firstLineChars="200"/>
        <w:jc w:val="center"/>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w:t>
      </w:r>
      <w:bookmarkStart w:id="475" w:name="_Toc20924_WPSOffice_Level3"/>
      <w:r>
        <w:rPr>
          <w:rFonts w:hint="eastAsia" w:ascii="仿宋_GB2312" w:hAnsi="仿宋_GB2312" w:eastAsia="仿宋_GB2312" w:cs="仿宋_GB2312"/>
          <w:b w:val="0"/>
          <w:bCs/>
          <w:color w:val="auto"/>
          <w:sz w:val="32"/>
          <w:szCs w:val="32"/>
        </w:rPr>
        <w:t>年   月  日</w:t>
      </w:r>
      <w:bookmarkEnd w:id="475"/>
    </w:p>
    <w:p w14:paraId="2046224C">
      <w:pPr>
        <w:widowControl/>
        <w:wordWrap/>
        <w:snapToGrid w:val="0"/>
        <w:spacing w:before="157" w:beforeLines="50" w:line="560" w:lineRule="exact"/>
        <w:outlineLvl w:val="1"/>
        <w:rPr>
          <w:rFonts w:hint="eastAsia" w:ascii="宋体" w:hAnsi="宋体"/>
          <w:b/>
          <w:color w:val="auto"/>
          <w:sz w:val="24"/>
        </w:rPr>
      </w:pPr>
    </w:p>
    <w:p w14:paraId="64794AC0">
      <w:pPr>
        <w:widowControl/>
        <w:wordWrap/>
        <w:adjustRightInd w:val="0"/>
        <w:snapToGrid w:val="0"/>
        <w:spacing w:before="157" w:beforeLines="50" w:line="560" w:lineRule="exact"/>
        <w:jc w:val="left"/>
        <w:rPr>
          <w:rFonts w:hint="eastAsia" w:ascii="宋体" w:hAnsi="宋体" w:cs="宋体"/>
          <w:color w:val="auto"/>
          <w:spacing w:val="6"/>
          <w:kern w:val="0"/>
          <w:szCs w:val="21"/>
        </w:rPr>
      </w:pPr>
      <w:bookmarkStart w:id="476" w:name="_Toc13098_WPSOffice_Level3"/>
      <w:bookmarkStart w:id="477" w:name="_Toc20734"/>
      <w:r>
        <w:rPr>
          <w:rFonts w:hint="eastAsia" w:ascii="仿宋_GB2312" w:hAnsi="仿宋_GB2312" w:eastAsia="仿宋_GB2312" w:cs="仿宋_GB2312"/>
          <w:b/>
          <w:color w:val="auto"/>
          <w:sz w:val="30"/>
          <w:szCs w:val="30"/>
          <w:lang w:eastAsia="zh-CN"/>
        </w:rPr>
        <w:br w:type="page"/>
      </w:r>
      <w:bookmarkEnd w:id="473"/>
      <w:bookmarkEnd w:id="476"/>
      <w:bookmarkEnd w:id="477"/>
    </w:p>
    <w:p w14:paraId="3B66F992">
      <w:pPr>
        <w:pStyle w:val="18"/>
        <w:pageBreakBefore/>
        <w:spacing w:line="240" w:lineRule="auto"/>
        <w:jc w:val="both"/>
        <w:outlineLvl w:val="1"/>
        <w:rPr>
          <w:rFonts w:hint="eastAsia" w:ascii="楷体_GB2312" w:hAnsi="楷体_GB2312" w:eastAsia="楷体_GB2312" w:cs="楷体_GB2312"/>
          <w:b/>
          <w:bCs w:val="0"/>
          <w:color w:val="auto"/>
          <w:kern w:val="2"/>
          <w:sz w:val="32"/>
          <w:szCs w:val="32"/>
          <w:lang w:val="en-US" w:eastAsia="zh-CN" w:bidi="ar-SA"/>
        </w:rPr>
      </w:pPr>
      <w:bookmarkStart w:id="478" w:name="_Toc17566"/>
      <w:bookmarkStart w:id="479" w:name="_Toc4925"/>
      <w:bookmarkStart w:id="480" w:name="_Toc10368"/>
      <w:bookmarkStart w:id="481" w:name="_Toc11887"/>
      <w:bookmarkStart w:id="482" w:name="_Toc31301_WPSOffice_Level3"/>
      <w:bookmarkStart w:id="483" w:name="_Toc3146_WPSOffice_Level3"/>
      <w:r>
        <w:rPr>
          <w:rFonts w:hint="eastAsia" w:ascii="楷体_GB2312" w:hAnsi="楷体_GB2312" w:eastAsia="楷体_GB2312" w:cs="楷体_GB2312"/>
          <w:b/>
          <w:bCs w:val="0"/>
          <w:color w:val="auto"/>
          <w:kern w:val="2"/>
          <w:sz w:val="32"/>
          <w:szCs w:val="32"/>
          <w:lang w:val="en-US" w:eastAsia="zh-CN" w:bidi="ar-SA"/>
        </w:rPr>
        <w:t>附件13：</w:t>
      </w:r>
      <w:bookmarkEnd w:id="478"/>
      <w:bookmarkEnd w:id="479"/>
      <w:bookmarkEnd w:id="480"/>
      <w:bookmarkEnd w:id="481"/>
      <w:bookmarkEnd w:id="482"/>
      <w:bookmarkEnd w:id="483"/>
      <w:r>
        <w:rPr>
          <w:rFonts w:hint="eastAsia" w:ascii="楷体_GB2312" w:hAnsi="楷体_GB2312" w:eastAsia="楷体_GB2312" w:cs="楷体_GB2312"/>
          <w:b/>
          <w:bCs w:val="0"/>
          <w:color w:val="auto"/>
          <w:kern w:val="2"/>
          <w:sz w:val="32"/>
          <w:szCs w:val="32"/>
          <w:lang w:val="en-US" w:eastAsia="zh-CN" w:bidi="ar-SA"/>
        </w:rPr>
        <w:t>技术规格响应表</w:t>
      </w:r>
    </w:p>
    <w:p w14:paraId="506B95D4">
      <w:pPr>
        <w:wordWrap/>
        <w:spacing w:before="157" w:beforeLines="50" w:line="560" w:lineRule="exact"/>
        <w:jc w:val="center"/>
        <w:outlineLvl w:val="9"/>
        <w:rPr>
          <w:rFonts w:hint="eastAsia" w:ascii="仿宋_GB2312" w:hAnsi="仿宋_GB2312" w:eastAsia="仿宋_GB2312" w:cs="仿宋_GB2312"/>
          <w:b/>
          <w:color w:val="auto"/>
          <w:sz w:val="32"/>
          <w:szCs w:val="32"/>
          <w:lang w:val="zh-CN" w:eastAsia="zh-CN"/>
        </w:rPr>
      </w:pPr>
      <w:r>
        <w:rPr>
          <w:rFonts w:hint="eastAsia" w:ascii="仿宋_GB2312" w:hAnsi="仿宋_GB2312" w:eastAsia="仿宋_GB2312" w:cs="仿宋_GB2312"/>
          <w:b/>
          <w:color w:val="auto"/>
          <w:sz w:val="32"/>
          <w:szCs w:val="32"/>
          <w:lang w:val="zh-CN" w:eastAsia="zh-CN"/>
        </w:rPr>
        <w:t>技术规格响应表</w:t>
      </w:r>
    </w:p>
    <w:p w14:paraId="143A872E">
      <w:pPr>
        <w:spacing w:line="24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供应商名称:</w:t>
      </w:r>
    </w:p>
    <w:tbl>
      <w:tblPr>
        <w:tblStyle w:val="20"/>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65"/>
        <w:gridCol w:w="1041"/>
        <w:gridCol w:w="2857"/>
        <w:gridCol w:w="1265"/>
        <w:gridCol w:w="2763"/>
        <w:gridCol w:w="799"/>
      </w:tblGrid>
      <w:tr w14:paraId="77E1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65" w:type="dxa"/>
            <w:noWrap w:val="0"/>
            <w:vAlign w:val="top"/>
          </w:tcPr>
          <w:p w14:paraId="5E36BDEB">
            <w:pPr>
              <w:spacing w:before="40" w:after="40" w:line="240" w:lineRule="auto"/>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tc>
        <w:tc>
          <w:tcPr>
            <w:tcW w:w="3898" w:type="dxa"/>
            <w:gridSpan w:val="2"/>
            <w:noWrap w:val="0"/>
            <w:vAlign w:val="top"/>
          </w:tcPr>
          <w:p w14:paraId="5F022752">
            <w:pPr>
              <w:spacing w:before="40" w:after="40" w:line="240" w:lineRule="auto"/>
              <w:ind w:firstLine="140" w:firstLineChars="50"/>
              <w:rPr>
                <w:rFonts w:hint="eastAsia" w:ascii="仿宋" w:hAnsi="仿宋" w:eastAsia="仿宋" w:cs="仿宋"/>
                <w:color w:val="000000"/>
                <w:sz w:val="28"/>
                <w:szCs w:val="28"/>
              </w:rPr>
            </w:pPr>
            <w:r>
              <w:rPr>
                <w:rFonts w:hint="eastAsia" w:ascii="仿宋" w:hAnsi="仿宋" w:eastAsia="仿宋" w:cs="仿宋"/>
                <w:color w:val="000000"/>
                <w:sz w:val="28"/>
                <w:szCs w:val="28"/>
              </w:rPr>
              <w:t>采购需求技术参数、指标</w:t>
            </w:r>
          </w:p>
        </w:tc>
        <w:tc>
          <w:tcPr>
            <w:tcW w:w="4028" w:type="dxa"/>
            <w:gridSpan w:val="2"/>
            <w:noWrap w:val="0"/>
            <w:vAlign w:val="top"/>
          </w:tcPr>
          <w:p w14:paraId="0BB1E244">
            <w:pPr>
              <w:spacing w:before="40" w:after="40"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投标产品技术参数、指标</w:t>
            </w:r>
          </w:p>
        </w:tc>
        <w:tc>
          <w:tcPr>
            <w:tcW w:w="799" w:type="dxa"/>
            <w:noWrap w:val="0"/>
            <w:vAlign w:val="center"/>
          </w:tcPr>
          <w:p w14:paraId="27400F26">
            <w:pPr>
              <w:spacing w:before="40" w:after="40"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偏离</w:t>
            </w:r>
          </w:p>
        </w:tc>
      </w:tr>
      <w:tr w14:paraId="286F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65" w:type="dxa"/>
            <w:noWrap w:val="0"/>
            <w:vAlign w:val="center"/>
          </w:tcPr>
          <w:p w14:paraId="164081E7">
            <w:pPr>
              <w:spacing w:before="40" w:after="40"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1041" w:type="dxa"/>
            <w:noWrap w:val="0"/>
            <w:vAlign w:val="center"/>
          </w:tcPr>
          <w:p w14:paraId="3354A2CA">
            <w:pPr>
              <w:spacing w:before="40" w:after="40"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名称</w:t>
            </w:r>
          </w:p>
        </w:tc>
        <w:tc>
          <w:tcPr>
            <w:tcW w:w="2857" w:type="dxa"/>
            <w:noWrap w:val="0"/>
            <w:vAlign w:val="center"/>
          </w:tcPr>
          <w:p w14:paraId="575135AD">
            <w:pPr>
              <w:spacing w:before="40" w:after="40"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技术参数、指标及配置</w:t>
            </w:r>
          </w:p>
        </w:tc>
        <w:tc>
          <w:tcPr>
            <w:tcW w:w="1265" w:type="dxa"/>
            <w:noWrap w:val="0"/>
            <w:vAlign w:val="center"/>
          </w:tcPr>
          <w:p w14:paraId="7CBCA1F9">
            <w:pPr>
              <w:spacing w:before="40" w:after="40"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名称</w:t>
            </w:r>
          </w:p>
        </w:tc>
        <w:tc>
          <w:tcPr>
            <w:tcW w:w="2763" w:type="dxa"/>
            <w:noWrap w:val="0"/>
            <w:vAlign w:val="center"/>
          </w:tcPr>
          <w:p w14:paraId="2675A425">
            <w:pPr>
              <w:spacing w:before="40" w:after="40"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技术参数、指标及配置</w:t>
            </w:r>
          </w:p>
        </w:tc>
        <w:tc>
          <w:tcPr>
            <w:tcW w:w="799" w:type="dxa"/>
            <w:noWrap w:val="0"/>
            <w:vAlign w:val="top"/>
          </w:tcPr>
          <w:p w14:paraId="34231BB3">
            <w:pPr>
              <w:spacing w:before="40" w:after="40" w:line="240" w:lineRule="auto"/>
              <w:ind w:firstLine="560" w:firstLineChars="200"/>
              <w:jc w:val="center"/>
              <w:rPr>
                <w:rFonts w:hint="eastAsia" w:ascii="仿宋" w:hAnsi="仿宋" w:eastAsia="仿宋" w:cs="仿宋"/>
                <w:color w:val="000000"/>
                <w:sz w:val="28"/>
                <w:szCs w:val="28"/>
              </w:rPr>
            </w:pPr>
          </w:p>
        </w:tc>
      </w:tr>
      <w:tr w14:paraId="00F7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65" w:type="dxa"/>
            <w:noWrap w:val="0"/>
            <w:vAlign w:val="center"/>
          </w:tcPr>
          <w:p w14:paraId="0630B961">
            <w:pPr>
              <w:spacing w:before="40" w:after="40" w:line="240" w:lineRule="auto"/>
              <w:ind w:firstLine="232" w:firstLineChars="83"/>
              <w:jc w:val="both"/>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041" w:type="dxa"/>
            <w:noWrap w:val="0"/>
            <w:vAlign w:val="top"/>
          </w:tcPr>
          <w:p w14:paraId="5A912E27">
            <w:pPr>
              <w:spacing w:before="40" w:after="40" w:line="240" w:lineRule="auto"/>
              <w:ind w:firstLine="560" w:firstLineChars="200"/>
              <w:jc w:val="center"/>
              <w:rPr>
                <w:rFonts w:hint="eastAsia" w:ascii="仿宋" w:hAnsi="仿宋" w:eastAsia="仿宋" w:cs="仿宋"/>
                <w:color w:val="000000"/>
                <w:sz w:val="28"/>
                <w:szCs w:val="28"/>
              </w:rPr>
            </w:pPr>
          </w:p>
        </w:tc>
        <w:tc>
          <w:tcPr>
            <w:tcW w:w="2857" w:type="dxa"/>
            <w:noWrap w:val="0"/>
            <w:vAlign w:val="top"/>
          </w:tcPr>
          <w:p w14:paraId="2808A96F">
            <w:pPr>
              <w:spacing w:before="40" w:after="40" w:line="240" w:lineRule="auto"/>
              <w:ind w:firstLine="560" w:firstLineChars="200"/>
              <w:jc w:val="center"/>
              <w:rPr>
                <w:rFonts w:hint="eastAsia" w:ascii="仿宋" w:hAnsi="仿宋" w:eastAsia="仿宋" w:cs="仿宋"/>
                <w:color w:val="000000"/>
                <w:sz w:val="28"/>
                <w:szCs w:val="28"/>
              </w:rPr>
            </w:pPr>
          </w:p>
        </w:tc>
        <w:tc>
          <w:tcPr>
            <w:tcW w:w="1265" w:type="dxa"/>
            <w:noWrap w:val="0"/>
            <w:vAlign w:val="top"/>
          </w:tcPr>
          <w:p w14:paraId="3EC8AB54">
            <w:pPr>
              <w:spacing w:before="40" w:after="40" w:line="240" w:lineRule="auto"/>
              <w:ind w:firstLine="560" w:firstLineChars="200"/>
              <w:jc w:val="center"/>
              <w:rPr>
                <w:rFonts w:hint="eastAsia" w:ascii="仿宋" w:hAnsi="仿宋" w:eastAsia="仿宋" w:cs="仿宋"/>
                <w:color w:val="000000"/>
                <w:sz w:val="28"/>
                <w:szCs w:val="28"/>
              </w:rPr>
            </w:pPr>
          </w:p>
        </w:tc>
        <w:tc>
          <w:tcPr>
            <w:tcW w:w="2763" w:type="dxa"/>
            <w:noWrap w:val="0"/>
            <w:vAlign w:val="top"/>
          </w:tcPr>
          <w:p w14:paraId="791646D1">
            <w:pPr>
              <w:spacing w:before="40" w:after="40" w:line="240" w:lineRule="auto"/>
              <w:ind w:firstLine="560" w:firstLineChars="200"/>
              <w:jc w:val="center"/>
              <w:rPr>
                <w:rFonts w:hint="eastAsia" w:ascii="仿宋" w:hAnsi="仿宋" w:eastAsia="仿宋" w:cs="仿宋"/>
                <w:color w:val="000000"/>
                <w:sz w:val="28"/>
                <w:szCs w:val="28"/>
              </w:rPr>
            </w:pPr>
          </w:p>
        </w:tc>
        <w:tc>
          <w:tcPr>
            <w:tcW w:w="799" w:type="dxa"/>
            <w:noWrap w:val="0"/>
            <w:vAlign w:val="top"/>
          </w:tcPr>
          <w:p w14:paraId="28F041E9">
            <w:pPr>
              <w:spacing w:before="40" w:after="40" w:line="240" w:lineRule="auto"/>
              <w:ind w:firstLine="560" w:firstLineChars="200"/>
              <w:jc w:val="center"/>
              <w:rPr>
                <w:rFonts w:hint="eastAsia" w:ascii="仿宋" w:hAnsi="仿宋" w:eastAsia="仿宋" w:cs="仿宋"/>
                <w:color w:val="000000"/>
                <w:sz w:val="28"/>
                <w:szCs w:val="28"/>
              </w:rPr>
            </w:pPr>
          </w:p>
        </w:tc>
      </w:tr>
      <w:tr w14:paraId="0FA6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65" w:type="dxa"/>
            <w:noWrap w:val="0"/>
            <w:vAlign w:val="center"/>
          </w:tcPr>
          <w:p w14:paraId="6518F59D">
            <w:pPr>
              <w:spacing w:before="40" w:after="40" w:line="240" w:lineRule="auto"/>
              <w:ind w:firstLine="232" w:firstLineChars="83"/>
              <w:jc w:val="both"/>
              <w:rPr>
                <w:rFonts w:hint="eastAsia" w:ascii="仿宋" w:hAnsi="仿宋" w:eastAsia="仿宋" w:cs="仿宋"/>
                <w:color w:val="000000"/>
                <w:sz w:val="28"/>
                <w:szCs w:val="28"/>
              </w:rPr>
            </w:pPr>
            <w:r>
              <w:rPr>
                <w:rFonts w:hint="eastAsia" w:ascii="仿宋" w:hAnsi="仿宋" w:eastAsia="仿宋" w:cs="仿宋"/>
                <w:color w:val="000000"/>
                <w:sz w:val="28"/>
                <w:szCs w:val="28"/>
              </w:rPr>
              <w:t>2</w:t>
            </w:r>
          </w:p>
        </w:tc>
        <w:tc>
          <w:tcPr>
            <w:tcW w:w="1041" w:type="dxa"/>
            <w:noWrap w:val="0"/>
            <w:vAlign w:val="top"/>
          </w:tcPr>
          <w:p w14:paraId="0F0BC2B7">
            <w:pPr>
              <w:spacing w:before="40" w:after="40" w:line="240" w:lineRule="auto"/>
              <w:ind w:firstLine="560" w:firstLineChars="200"/>
              <w:jc w:val="center"/>
              <w:rPr>
                <w:rFonts w:hint="eastAsia" w:ascii="仿宋" w:hAnsi="仿宋" w:eastAsia="仿宋" w:cs="仿宋"/>
                <w:color w:val="000000"/>
                <w:sz w:val="28"/>
                <w:szCs w:val="28"/>
              </w:rPr>
            </w:pPr>
          </w:p>
        </w:tc>
        <w:tc>
          <w:tcPr>
            <w:tcW w:w="2857" w:type="dxa"/>
            <w:noWrap w:val="0"/>
            <w:vAlign w:val="top"/>
          </w:tcPr>
          <w:p w14:paraId="464C67DD">
            <w:pPr>
              <w:spacing w:before="40" w:after="40" w:line="240" w:lineRule="auto"/>
              <w:ind w:firstLine="560" w:firstLineChars="200"/>
              <w:jc w:val="center"/>
              <w:rPr>
                <w:rFonts w:hint="eastAsia" w:ascii="仿宋" w:hAnsi="仿宋" w:eastAsia="仿宋" w:cs="仿宋"/>
                <w:color w:val="000000"/>
                <w:sz w:val="28"/>
                <w:szCs w:val="28"/>
              </w:rPr>
            </w:pPr>
          </w:p>
        </w:tc>
        <w:tc>
          <w:tcPr>
            <w:tcW w:w="1265" w:type="dxa"/>
            <w:noWrap w:val="0"/>
            <w:vAlign w:val="top"/>
          </w:tcPr>
          <w:p w14:paraId="2C50AAFD">
            <w:pPr>
              <w:spacing w:before="40" w:after="40" w:line="240" w:lineRule="auto"/>
              <w:ind w:firstLine="560" w:firstLineChars="200"/>
              <w:jc w:val="center"/>
              <w:rPr>
                <w:rFonts w:hint="eastAsia" w:ascii="仿宋" w:hAnsi="仿宋" w:eastAsia="仿宋" w:cs="仿宋"/>
                <w:color w:val="000000"/>
                <w:sz w:val="28"/>
                <w:szCs w:val="28"/>
              </w:rPr>
            </w:pPr>
          </w:p>
        </w:tc>
        <w:tc>
          <w:tcPr>
            <w:tcW w:w="2763" w:type="dxa"/>
            <w:noWrap w:val="0"/>
            <w:vAlign w:val="top"/>
          </w:tcPr>
          <w:p w14:paraId="1F589494">
            <w:pPr>
              <w:spacing w:before="40" w:after="40" w:line="240" w:lineRule="auto"/>
              <w:ind w:firstLine="560" w:firstLineChars="200"/>
              <w:jc w:val="center"/>
              <w:rPr>
                <w:rFonts w:hint="eastAsia" w:ascii="仿宋" w:hAnsi="仿宋" w:eastAsia="仿宋" w:cs="仿宋"/>
                <w:color w:val="000000"/>
                <w:sz w:val="28"/>
                <w:szCs w:val="28"/>
              </w:rPr>
            </w:pPr>
          </w:p>
        </w:tc>
        <w:tc>
          <w:tcPr>
            <w:tcW w:w="799" w:type="dxa"/>
            <w:noWrap w:val="0"/>
            <w:vAlign w:val="top"/>
          </w:tcPr>
          <w:p w14:paraId="13D65164">
            <w:pPr>
              <w:spacing w:before="40" w:after="40" w:line="240" w:lineRule="auto"/>
              <w:ind w:firstLine="560" w:firstLineChars="200"/>
              <w:jc w:val="center"/>
              <w:rPr>
                <w:rFonts w:hint="eastAsia" w:ascii="仿宋" w:hAnsi="仿宋" w:eastAsia="仿宋" w:cs="仿宋"/>
                <w:color w:val="000000"/>
                <w:sz w:val="28"/>
                <w:szCs w:val="28"/>
              </w:rPr>
            </w:pPr>
          </w:p>
        </w:tc>
      </w:tr>
      <w:tr w14:paraId="480A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65" w:type="dxa"/>
            <w:noWrap w:val="0"/>
            <w:vAlign w:val="center"/>
          </w:tcPr>
          <w:p w14:paraId="51A17BC1">
            <w:pPr>
              <w:spacing w:before="40" w:after="40" w:line="240" w:lineRule="auto"/>
              <w:ind w:firstLine="232" w:firstLineChars="83"/>
              <w:jc w:val="both"/>
              <w:rPr>
                <w:rFonts w:hint="eastAsia" w:ascii="仿宋" w:hAnsi="仿宋" w:eastAsia="仿宋" w:cs="仿宋"/>
                <w:color w:val="000000"/>
                <w:sz w:val="28"/>
                <w:szCs w:val="28"/>
              </w:rPr>
            </w:pPr>
            <w:r>
              <w:rPr>
                <w:rFonts w:hint="eastAsia" w:ascii="仿宋" w:hAnsi="仿宋" w:eastAsia="仿宋" w:cs="仿宋"/>
                <w:color w:val="000000"/>
                <w:sz w:val="28"/>
                <w:szCs w:val="28"/>
              </w:rPr>
              <w:t>3</w:t>
            </w:r>
          </w:p>
        </w:tc>
        <w:tc>
          <w:tcPr>
            <w:tcW w:w="1041" w:type="dxa"/>
            <w:noWrap w:val="0"/>
            <w:vAlign w:val="top"/>
          </w:tcPr>
          <w:p w14:paraId="4BEC6D3E">
            <w:pPr>
              <w:spacing w:before="40" w:after="40" w:line="240" w:lineRule="auto"/>
              <w:ind w:firstLine="560" w:firstLineChars="200"/>
              <w:jc w:val="center"/>
              <w:rPr>
                <w:rFonts w:hint="eastAsia" w:ascii="仿宋" w:hAnsi="仿宋" w:eastAsia="仿宋" w:cs="仿宋"/>
                <w:color w:val="000000"/>
                <w:sz w:val="28"/>
                <w:szCs w:val="28"/>
              </w:rPr>
            </w:pPr>
          </w:p>
        </w:tc>
        <w:tc>
          <w:tcPr>
            <w:tcW w:w="2857" w:type="dxa"/>
            <w:noWrap w:val="0"/>
            <w:vAlign w:val="top"/>
          </w:tcPr>
          <w:p w14:paraId="385D9EDE">
            <w:pPr>
              <w:spacing w:before="40" w:after="40" w:line="240" w:lineRule="auto"/>
              <w:ind w:firstLine="560" w:firstLineChars="200"/>
              <w:jc w:val="center"/>
              <w:rPr>
                <w:rFonts w:hint="eastAsia" w:ascii="仿宋" w:hAnsi="仿宋" w:eastAsia="仿宋" w:cs="仿宋"/>
                <w:color w:val="000000"/>
                <w:sz w:val="28"/>
                <w:szCs w:val="28"/>
              </w:rPr>
            </w:pPr>
          </w:p>
        </w:tc>
        <w:tc>
          <w:tcPr>
            <w:tcW w:w="1265" w:type="dxa"/>
            <w:noWrap w:val="0"/>
            <w:vAlign w:val="top"/>
          </w:tcPr>
          <w:p w14:paraId="2662030E">
            <w:pPr>
              <w:spacing w:before="40" w:after="40" w:line="240" w:lineRule="auto"/>
              <w:ind w:firstLine="560" w:firstLineChars="200"/>
              <w:jc w:val="center"/>
              <w:rPr>
                <w:rFonts w:hint="eastAsia" w:ascii="仿宋" w:hAnsi="仿宋" w:eastAsia="仿宋" w:cs="仿宋"/>
                <w:color w:val="000000"/>
                <w:sz w:val="28"/>
                <w:szCs w:val="28"/>
              </w:rPr>
            </w:pPr>
          </w:p>
        </w:tc>
        <w:tc>
          <w:tcPr>
            <w:tcW w:w="2763" w:type="dxa"/>
            <w:noWrap w:val="0"/>
            <w:vAlign w:val="top"/>
          </w:tcPr>
          <w:p w14:paraId="05E091B6">
            <w:pPr>
              <w:spacing w:before="40" w:after="40" w:line="240" w:lineRule="auto"/>
              <w:ind w:firstLine="560" w:firstLineChars="200"/>
              <w:jc w:val="center"/>
              <w:rPr>
                <w:rFonts w:hint="eastAsia" w:ascii="仿宋" w:hAnsi="仿宋" w:eastAsia="仿宋" w:cs="仿宋"/>
                <w:color w:val="000000"/>
                <w:sz w:val="28"/>
                <w:szCs w:val="28"/>
              </w:rPr>
            </w:pPr>
          </w:p>
        </w:tc>
        <w:tc>
          <w:tcPr>
            <w:tcW w:w="799" w:type="dxa"/>
            <w:noWrap w:val="0"/>
            <w:vAlign w:val="top"/>
          </w:tcPr>
          <w:p w14:paraId="562588A3">
            <w:pPr>
              <w:spacing w:before="40" w:after="40" w:line="240" w:lineRule="auto"/>
              <w:ind w:firstLine="560" w:firstLineChars="200"/>
              <w:jc w:val="center"/>
              <w:rPr>
                <w:rFonts w:hint="eastAsia" w:ascii="仿宋" w:hAnsi="仿宋" w:eastAsia="仿宋" w:cs="仿宋"/>
                <w:color w:val="000000"/>
                <w:sz w:val="28"/>
                <w:szCs w:val="28"/>
              </w:rPr>
            </w:pPr>
          </w:p>
        </w:tc>
      </w:tr>
      <w:tr w14:paraId="2825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65" w:type="dxa"/>
            <w:noWrap w:val="0"/>
            <w:vAlign w:val="center"/>
          </w:tcPr>
          <w:p w14:paraId="3E9DD4E8">
            <w:pPr>
              <w:spacing w:before="40" w:after="40" w:line="240" w:lineRule="auto"/>
              <w:ind w:firstLine="232" w:firstLineChars="83"/>
              <w:jc w:val="both"/>
              <w:rPr>
                <w:rFonts w:hint="eastAsia" w:ascii="仿宋" w:hAnsi="仿宋" w:eastAsia="仿宋" w:cs="仿宋"/>
                <w:color w:val="000000"/>
                <w:sz w:val="28"/>
                <w:szCs w:val="28"/>
              </w:rPr>
            </w:pPr>
            <w:r>
              <w:rPr>
                <w:rFonts w:hint="eastAsia" w:ascii="仿宋" w:hAnsi="仿宋" w:eastAsia="仿宋" w:cs="仿宋"/>
                <w:color w:val="000000"/>
                <w:sz w:val="28"/>
                <w:szCs w:val="28"/>
              </w:rPr>
              <w:t>4</w:t>
            </w:r>
          </w:p>
        </w:tc>
        <w:tc>
          <w:tcPr>
            <w:tcW w:w="1041" w:type="dxa"/>
            <w:noWrap w:val="0"/>
            <w:vAlign w:val="top"/>
          </w:tcPr>
          <w:p w14:paraId="53CC8692">
            <w:pPr>
              <w:spacing w:before="40" w:after="40" w:line="240" w:lineRule="auto"/>
              <w:ind w:firstLine="560" w:firstLineChars="200"/>
              <w:jc w:val="center"/>
              <w:rPr>
                <w:rFonts w:hint="eastAsia" w:ascii="仿宋" w:hAnsi="仿宋" w:eastAsia="仿宋" w:cs="仿宋"/>
                <w:color w:val="000000"/>
                <w:sz w:val="28"/>
                <w:szCs w:val="28"/>
              </w:rPr>
            </w:pPr>
          </w:p>
        </w:tc>
        <w:tc>
          <w:tcPr>
            <w:tcW w:w="2857" w:type="dxa"/>
            <w:noWrap w:val="0"/>
            <w:vAlign w:val="top"/>
          </w:tcPr>
          <w:p w14:paraId="543EBDA9">
            <w:pPr>
              <w:spacing w:before="40" w:after="40" w:line="240" w:lineRule="auto"/>
              <w:ind w:firstLine="560" w:firstLineChars="200"/>
              <w:jc w:val="center"/>
              <w:rPr>
                <w:rFonts w:hint="eastAsia" w:ascii="仿宋" w:hAnsi="仿宋" w:eastAsia="仿宋" w:cs="仿宋"/>
                <w:color w:val="000000"/>
                <w:sz w:val="28"/>
                <w:szCs w:val="28"/>
              </w:rPr>
            </w:pPr>
          </w:p>
        </w:tc>
        <w:tc>
          <w:tcPr>
            <w:tcW w:w="1265" w:type="dxa"/>
            <w:noWrap w:val="0"/>
            <w:vAlign w:val="top"/>
          </w:tcPr>
          <w:p w14:paraId="5DF18789">
            <w:pPr>
              <w:spacing w:before="40" w:after="40" w:line="240" w:lineRule="auto"/>
              <w:ind w:firstLine="560" w:firstLineChars="200"/>
              <w:jc w:val="center"/>
              <w:rPr>
                <w:rFonts w:hint="eastAsia" w:ascii="仿宋" w:hAnsi="仿宋" w:eastAsia="仿宋" w:cs="仿宋"/>
                <w:color w:val="000000"/>
                <w:sz w:val="28"/>
                <w:szCs w:val="28"/>
              </w:rPr>
            </w:pPr>
          </w:p>
        </w:tc>
        <w:tc>
          <w:tcPr>
            <w:tcW w:w="2763" w:type="dxa"/>
            <w:noWrap w:val="0"/>
            <w:vAlign w:val="top"/>
          </w:tcPr>
          <w:p w14:paraId="0B99222A">
            <w:pPr>
              <w:spacing w:before="40" w:after="40" w:line="240" w:lineRule="auto"/>
              <w:ind w:firstLine="560" w:firstLineChars="200"/>
              <w:jc w:val="center"/>
              <w:rPr>
                <w:rFonts w:hint="eastAsia" w:ascii="仿宋" w:hAnsi="仿宋" w:eastAsia="仿宋" w:cs="仿宋"/>
                <w:color w:val="000000"/>
                <w:sz w:val="28"/>
                <w:szCs w:val="28"/>
              </w:rPr>
            </w:pPr>
          </w:p>
        </w:tc>
        <w:tc>
          <w:tcPr>
            <w:tcW w:w="799" w:type="dxa"/>
            <w:noWrap w:val="0"/>
            <w:vAlign w:val="top"/>
          </w:tcPr>
          <w:p w14:paraId="5127DDF3">
            <w:pPr>
              <w:spacing w:before="40" w:after="40" w:line="240" w:lineRule="auto"/>
              <w:ind w:firstLine="560" w:firstLineChars="200"/>
              <w:jc w:val="center"/>
              <w:rPr>
                <w:rFonts w:hint="eastAsia" w:ascii="仿宋" w:hAnsi="仿宋" w:eastAsia="仿宋" w:cs="仿宋"/>
                <w:color w:val="000000"/>
                <w:sz w:val="28"/>
                <w:szCs w:val="28"/>
              </w:rPr>
            </w:pPr>
          </w:p>
        </w:tc>
      </w:tr>
      <w:tr w14:paraId="7104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65" w:type="dxa"/>
            <w:noWrap w:val="0"/>
            <w:vAlign w:val="center"/>
          </w:tcPr>
          <w:p w14:paraId="4B4A6A40">
            <w:pPr>
              <w:spacing w:before="40" w:after="40" w:line="240" w:lineRule="auto"/>
              <w:ind w:firstLine="232" w:firstLineChars="83"/>
              <w:jc w:val="center"/>
              <w:rPr>
                <w:rFonts w:hint="eastAsia" w:ascii="仿宋" w:hAnsi="仿宋" w:eastAsia="仿宋" w:cs="仿宋"/>
                <w:color w:val="000000"/>
                <w:sz w:val="28"/>
                <w:szCs w:val="28"/>
              </w:rPr>
            </w:pPr>
            <w:r>
              <w:rPr>
                <w:rFonts w:hint="eastAsia" w:ascii="仿宋" w:hAnsi="仿宋" w:eastAsia="仿宋" w:cs="仿宋"/>
                <w:color w:val="000000"/>
                <w:sz w:val="28"/>
                <w:szCs w:val="28"/>
              </w:rPr>
              <w:t>…</w:t>
            </w:r>
          </w:p>
        </w:tc>
        <w:tc>
          <w:tcPr>
            <w:tcW w:w="1041" w:type="dxa"/>
            <w:noWrap w:val="0"/>
            <w:vAlign w:val="top"/>
          </w:tcPr>
          <w:p w14:paraId="480E9CAF">
            <w:pPr>
              <w:spacing w:before="40" w:after="40" w:line="240" w:lineRule="auto"/>
              <w:ind w:firstLine="560" w:firstLineChars="200"/>
              <w:jc w:val="center"/>
              <w:rPr>
                <w:rFonts w:hint="eastAsia" w:ascii="仿宋" w:hAnsi="仿宋" w:eastAsia="仿宋" w:cs="仿宋"/>
                <w:color w:val="000000"/>
                <w:sz w:val="28"/>
                <w:szCs w:val="28"/>
              </w:rPr>
            </w:pPr>
          </w:p>
        </w:tc>
        <w:tc>
          <w:tcPr>
            <w:tcW w:w="2857" w:type="dxa"/>
            <w:noWrap w:val="0"/>
            <w:vAlign w:val="top"/>
          </w:tcPr>
          <w:p w14:paraId="67A49B4A">
            <w:pPr>
              <w:spacing w:before="40" w:after="40" w:line="240" w:lineRule="auto"/>
              <w:ind w:firstLine="560" w:firstLineChars="200"/>
              <w:jc w:val="center"/>
              <w:rPr>
                <w:rFonts w:hint="eastAsia" w:ascii="仿宋" w:hAnsi="仿宋" w:eastAsia="仿宋" w:cs="仿宋"/>
                <w:color w:val="000000"/>
                <w:sz w:val="28"/>
                <w:szCs w:val="28"/>
              </w:rPr>
            </w:pPr>
          </w:p>
        </w:tc>
        <w:tc>
          <w:tcPr>
            <w:tcW w:w="1265" w:type="dxa"/>
            <w:noWrap w:val="0"/>
            <w:vAlign w:val="top"/>
          </w:tcPr>
          <w:p w14:paraId="6977F4F1">
            <w:pPr>
              <w:spacing w:before="40" w:after="40" w:line="240" w:lineRule="auto"/>
              <w:ind w:firstLine="560" w:firstLineChars="200"/>
              <w:jc w:val="center"/>
              <w:rPr>
                <w:rFonts w:hint="eastAsia" w:ascii="仿宋" w:hAnsi="仿宋" w:eastAsia="仿宋" w:cs="仿宋"/>
                <w:color w:val="000000"/>
                <w:sz w:val="28"/>
                <w:szCs w:val="28"/>
              </w:rPr>
            </w:pPr>
          </w:p>
        </w:tc>
        <w:tc>
          <w:tcPr>
            <w:tcW w:w="2763" w:type="dxa"/>
            <w:noWrap w:val="0"/>
            <w:vAlign w:val="top"/>
          </w:tcPr>
          <w:p w14:paraId="7C86FBB4">
            <w:pPr>
              <w:spacing w:before="40" w:after="40" w:line="240" w:lineRule="auto"/>
              <w:ind w:firstLine="560" w:firstLineChars="200"/>
              <w:jc w:val="center"/>
              <w:rPr>
                <w:rFonts w:hint="eastAsia" w:ascii="仿宋" w:hAnsi="仿宋" w:eastAsia="仿宋" w:cs="仿宋"/>
                <w:color w:val="000000"/>
                <w:sz w:val="28"/>
                <w:szCs w:val="28"/>
              </w:rPr>
            </w:pPr>
          </w:p>
        </w:tc>
        <w:tc>
          <w:tcPr>
            <w:tcW w:w="799" w:type="dxa"/>
            <w:noWrap w:val="0"/>
            <w:vAlign w:val="top"/>
          </w:tcPr>
          <w:p w14:paraId="2C5699DF">
            <w:pPr>
              <w:spacing w:before="40" w:after="40" w:line="240" w:lineRule="auto"/>
              <w:ind w:firstLine="560" w:firstLineChars="200"/>
              <w:jc w:val="center"/>
              <w:rPr>
                <w:rFonts w:hint="eastAsia" w:ascii="仿宋" w:hAnsi="仿宋" w:eastAsia="仿宋" w:cs="仿宋"/>
                <w:color w:val="000000"/>
                <w:sz w:val="28"/>
                <w:szCs w:val="28"/>
              </w:rPr>
            </w:pPr>
          </w:p>
        </w:tc>
      </w:tr>
    </w:tbl>
    <w:p w14:paraId="0A2E79DB">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注：1.本表应按照采购分项报价表中“产品名称”及采购一览表中产品序号的指标逐项填写，不得遗漏，否则，按无效投标处理。</w:t>
      </w:r>
    </w:p>
    <w:p w14:paraId="268876A0">
      <w:pPr>
        <w:spacing w:line="240" w:lineRule="auto"/>
        <w:ind w:firstLine="560" w:firstLineChars="200"/>
        <w:rPr>
          <w:rFonts w:hint="eastAsia" w:ascii="仿宋" w:hAnsi="仿宋" w:eastAsia="仿宋" w:cs="仿宋"/>
          <w:color w:val="000000"/>
          <w:sz w:val="28"/>
          <w:szCs w:val="28"/>
          <w:lang w:val="zh-CN"/>
        </w:rPr>
      </w:pPr>
      <w:r>
        <w:rPr>
          <w:rFonts w:hint="eastAsia" w:ascii="仿宋" w:hAnsi="仿宋" w:eastAsia="仿宋" w:cs="仿宋"/>
          <w:color w:val="000000"/>
          <w:sz w:val="28"/>
          <w:szCs w:val="28"/>
        </w:rPr>
        <w:t>2.“投标产品技术参数、指标”必须与投标文件中提供的产品检测报告</w:t>
      </w:r>
      <w:r>
        <w:rPr>
          <w:rFonts w:hint="eastAsia" w:ascii="仿宋" w:hAnsi="仿宋" w:eastAsia="仿宋" w:cs="仿宋"/>
          <w:color w:val="000000"/>
          <w:sz w:val="28"/>
          <w:szCs w:val="28"/>
          <w:lang w:val="en-US" w:eastAsia="zh-CN"/>
        </w:rPr>
        <w:t>或</w:t>
      </w:r>
      <w:r>
        <w:rPr>
          <w:rFonts w:hint="eastAsia" w:ascii="仿宋" w:hAnsi="仿宋" w:eastAsia="仿宋" w:cs="仿宋"/>
          <w:color w:val="000000"/>
          <w:sz w:val="28"/>
          <w:szCs w:val="28"/>
        </w:rPr>
        <w:t>生产厂家出具的产品彩页等证明材料的实质性响应情况相一致。若在评标环节发现该项与投标文件中提供的产品检测报告</w:t>
      </w:r>
      <w:r>
        <w:rPr>
          <w:rFonts w:hint="eastAsia" w:ascii="仿宋" w:hAnsi="仿宋" w:eastAsia="仿宋" w:cs="仿宋"/>
          <w:color w:val="000000"/>
          <w:sz w:val="28"/>
          <w:szCs w:val="28"/>
          <w:lang w:val="en-US" w:eastAsia="zh-CN"/>
        </w:rPr>
        <w:t>或</w:t>
      </w:r>
      <w:r>
        <w:rPr>
          <w:rFonts w:hint="eastAsia" w:ascii="仿宋" w:hAnsi="仿宋" w:eastAsia="仿宋" w:cs="仿宋"/>
          <w:color w:val="000000"/>
          <w:sz w:val="28"/>
          <w:szCs w:val="28"/>
        </w:rPr>
        <w:t>生产厂家出具的产品彩页等证明材料的实质性响应情况不一致或直接复制招标文件“采购需求技术参数、指标”内容的，按无效投标处理。</w:t>
      </w:r>
    </w:p>
    <w:p w14:paraId="7AE62E83">
      <w:pPr>
        <w:widowControl w:val="0"/>
        <w:wordWrap/>
        <w:adjustRightInd/>
        <w:snapToGrid/>
        <w:spacing w:line="560" w:lineRule="exact"/>
        <w:ind w:firstLine="3840" w:firstLineChars="1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单位</w:t>
      </w:r>
      <w:r>
        <w:rPr>
          <w:rFonts w:hint="eastAsia" w:ascii="仿宋_GB2312" w:hAnsi="仿宋_GB2312" w:eastAsia="仿宋_GB2312" w:cs="仿宋_GB2312"/>
          <w:b w:val="0"/>
          <w:bCs/>
          <w:color w:val="auto"/>
          <w:sz w:val="32"/>
          <w:szCs w:val="32"/>
          <w:lang w:eastAsia="zh-CN"/>
        </w:rPr>
        <w:t>名称</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（公章）</w:t>
      </w:r>
    </w:p>
    <w:p w14:paraId="09734959">
      <w:pPr>
        <w:widowControl w:val="0"/>
        <w:wordWrap/>
        <w:adjustRightInd/>
        <w:snapToGrid/>
        <w:spacing w:line="560" w:lineRule="exact"/>
        <w:ind w:firstLine="640" w:firstLineChars="200"/>
        <w:jc w:val="center"/>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法定代表人或委托代理人：</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（签字或盖章）</w:t>
      </w:r>
    </w:p>
    <w:p w14:paraId="37C28B0C">
      <w:pPr>
        <w:rPr>
          <w:rFonts w:hint="default"/>
          <w:lang w:val="en-US" w:eastAsia="zh-CN"/>
        </w:rPr>
      </w:pP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年   月  日</w:t>
      </w:r>
    </w:p>
    <w:p w14:paraId="57D36771">
      <w:pPr>
        <w:pStyle w:val="18"/>
        <w:pageBreakBefore/>
        <w:jc w:val="both"/>
        <w:outlineLvl w:val="1"/>
        <w:rPr>
          <w:color w:val="auto"/>
          <w:spacing w:val="20"/>
          <w:sz w:val="28"/>
          <w:szCs w:val="28"/>
        </w:rPr>
      </w:pPr>
      <w:r>
        <w:rPr>
          <w:rFonts w:hint="eastAsia" w:ascii="楷体_GB2312" w:hAnsi="楷体_GB2312" w:eastAsia="楷体_GB2312" w:cs="楷体_GB2312"/>
          <w:b/>
          <w:bCs w:val="0"/>
          <w:color w:val="auto"/>
          <w:kern w:val="2"/>
          <w:sz w:val="32"/>
          <w:szCs w:val="32"/>
          <w:lang w:val="en-US" w:eastAsia="zh-CN" w:bidi="ar-SA"/>
        </w:rPr>
        <w:t>附件14：所投产品相关资料</w:t>
      </w:r>
    </w:p>
    <w:p w14:paraId="3B6716AC">
      <w:pPr>
        <w:autoSpaceDE w:val="0"/>
        <w:autoSpaceDN w:val="0"/>
        <w:adjustRightInd w:val="0"/>
        <w:ind w:firstLine="480"/>
        <w:rPr>
          <w:rFonts w:ascii="楷体" w:hAnsi="楷体" w:eastAsia="楷体" w:cs="宋体"/>
          <w:color w:val="auto"/>
          <w:lang w:val="zh-CN"/>
        </w:rPr>
      </w:pPr>
      <w:r>
        <w:rPr>
          <w:rFonts w:ascii="楷体" w:hAnsi="楷体" w:eastAsia="楷体" w:cs="宋体"/>
          <w:color w:val="auto"/>
          <w:lang w:val="zh-CN"/>
        </w:rPr>
        <w:t xml:space="preserve"> </w:t>
      </w:r>
    </w:p>
    <w:p w14:paraId="3B6A6631">
      <w:pPr>
        <w:spacing w:line="240" w:lineRule="auto"/>
        <w:ind w:firstLine="562" w:firstLineChars="200"/>
        <w:jc w:val="center"/>
        <w:rPr>
          <w:rFonts w:hint="default" w:ascii="仿宋" w:hAnsi="仿宋" w:eastAsia="仿宋" w:cs="仿宋"/>
          <w:b/>
          <w:bCs/>
          <w:color w:val="000000"/>
          <w:sz w:val="28"/>
          <w:szCs w:val="28"/>
          <w:lang w:val="zh-CN" w:eastAsia="zh-CN"/>
        </w:rPr>
      </w:pPr>
      <w:r>
        <w:rPr>
          <w:rFonts w:hint="eastAsia" w:ascii="仿宋" w:hAnsi="仿宋" w:eastAsia="仿宋" w:cs="仿宋"/>
          <w:b/>
          <w:bCs/>
          <w:color w:val="000000"/>
          <w:sz w:val="28"/>
          <w:szCs w:val="28"/>
          <w:lang w:val="en-US" w:eastAsia="zh-CN"/>
        </w:rPr>
        <w:t>所投产品相关资料</w:t>
      </w:r>
    </w:p>
    <w:p w14:paraId="392B6A65">
      <w:pPr>
        <w:autoSpaceDE w:val="0"/>
        <w:autoSpaceDN w:val="0"/>
        <w:adjustRightInd w:val="0"/>
        <w:ind w:firstLine="480"/>
        <w:rPr>
          <w:rFonts w:ascii="楷体" w:hAnsi="楷体" w:eastAsia="楷体" w:cs="宋体"/>
          <w:color w:val="auto"/>
          <w:lang w:val="zh-CN"/>
        </w:rPr>
      </w:pPr>
    </w:p>
    <w:p w14:paraId="27D18093">
      <w:pPr>
        <w:spacing w:line="240" w:lineRule="auto"/>
        <w:ind w:firstLine="560" w:firstLineChars="200"/>
        <w:rPr>
          <w:rFonts w:hint="default" w:ascii="仿宋" w:hAnsi="仿宋" w:eastAsia="仿宋" w:cs="仿宋"/>
          <w:color w:val="000000"/>
          <w:sz w:val="28"/>
          <w:szCs w:val="28"/>
          <w:highlight w:val="none"/>
          <w:lang w:val="en-US" w:eastAsia="zh-CN"/>
        </w:rPr>
      </w:pPr>
      <w:r>
        <w:rPr>
          <w:rFonts w:hint="default" w:ascii="仿宋" w:hAnsi="仿宋" w:eastAsia="仿宋" w:cs="仿宋"/>
          <w:color w:val="000000"/>
          <w:sz w:val="28"/>
          <w:szCs w:val="28"/>
          <w:lang w:val="en-US" w:eastAsia="zh-CN"/>
        </w:rPr>
        <w:t>根据采购项目内容，</w:t>
      </w:r>
      <w:r>
        <w:rPr>
          <w:rFonts w:hint="default" w:ascii="仿宋" w:hAnsi="仿宋" w:eastAsia="仿宋" w:cs="仿宋"/>
          <w:color w:val="000000"/>
          <w:sz w:val="28"/>
          <w:szCs w:val="28"/>
          <w:highlight w:val="none"/>
          <w:lang w:val="en-US" w:eastAsia="zh-CN"/>
        </w:rPr>
        <w:t>响应文件中须提供公开发布的印刷资料（彩页或产品说明书）</w:t>
      </w:r>
      <w:r>
        <w:rPr>
          <w:rFonts w:hint="eastAsia" w:ascii="仿宋" w:hAnsi="仿宋" w:eastAsia="仿宋" w:cs="仿宋"/>
          <w:color w:val="000000"/>
          <w:sz w:val="28"/>
          <w:szCs w:val="28"/>
          <w:lang w:val="en-US" w:eastAsia="zh-CN"/>
        </w:rPr>
        <w:t>或</w:t>
      </w:r>
      <w:r>
        <w:rPr>
          <w:rFonts w:hint="default" w:ascii="仿宋" w:hAnsi="仿宋" w:eastAsia="仿宋" w:cs="仿宋"/>
          <w:color w:val="000000"/>
          <w:sz w:val="28"/>
          <w:szCs w:val="28"/>
          <w:highlight w:val="none"/>
          <w:lang w:val="en-US" w:eastAsia="zh-CN"/>
        </w:rPr>
        <w:t>国家认可的第三方检测机构出具的检测报告</w:t>
      </w:r>
      <w:r>
        <w:rPr>
          <w:rFonts w:hint="eastAsia" w:ascii="仿宋" w:hAnsi="仿宋" w:eastAsia="仿宋" w:cs="仿宋"/>
          <w:color w:val="000000"/>
          <w:sz w:val="28"/>
          <w:szCs w:val="28"/>
          <w:lang w:val="en-US" w:eastAsia="zh-CN"/>
        </w:rPr>
        <w:t>或</w:t>
      </w:r>
      <w:r>
        <w:rPr>
          <w:rFonts w:hint="default" w:ascii="仿宋" w:hAnsi="仿宋" w:eastAsia="仿宋" w:cs="仿宋"/>
          <w:color w:val="000000"/>
          <w:sz w:val="28"/>
          <w:szCs w:val="28"/>
          <w:highlight w:val="none"/>
          <w:lang w:val="en-US" w:eastAsia="zh-CN"/>
        </w:rPr>
        <w:t>官方网站发布的技术资料截图等相关证明文件并加盖公章。</w:t>
      </w:r>
    </w:p>
    <w:p w14:paraId="76BE78EF">
      <w:pPr>
        <w:rPr>
          <w:rFonts w:hint="default" w:ascii="宋体"/>
          <w:b/>
          <w:color w:val="auto"/>
          <w:sz w:val="28"/>
          <w:szCs w:val="28"/>
          <w:lang w:val="en-US" w:eastAsia="zh-CN"/>
        </w:rPr>
      </w:pPr>
    </w:p>
    <w:p w14:paraId="51E21E9C">
      <w:pPr>
        <w:pStyle w:val="2"/>
        <w:keepNext w:val="0"/>
        <w:spacing w:line="579" w:lineRule="auto"/>
        <w:jc w:val="left"/>
        <w:rPr>
          <w:rFonts w:hint="eastAsia" w:ascii="楷体_GB2312" w:hAnsi="楷体_GB2312" w:eastAsia="楷体_GB2312" w:cs="楷体_GB2312"/>
          <w:b/>
          <w:bCs w:val="0"/>
          <w:color w:val="auto"/>
          <w:kern w:val="2"/>
          <w:sz w:val="32"/>
          <w:szCs w:val="32"/>
          <w:lang w:val="en-US" w:eastAsia="zh-CN" w:bidi="ar-SA"/>
        </w:rPr>
      </w:pPr>
    </w:p>
    <w:p w14:paraId="7069E3DC">
      <w:pPr>
        <w:pStyle w:val="2"/>
        <w:keepNext w:val="0"/>
        <w:spacing w:line="579" w:lineRule="auto"/>
        <w:jc w:val="left"/>
        <w:rPr>
          <w:rFonts w:hint="eastAsia" w:ascii="楷体_GB2312" w:hAnsi="楷体_GB2312" w:eastAsia="楷体_GB2312" w:cs="楷体_GB2312"/>
          <w:b/>
          <w:bCs w:val="0"/>
          <w:color w:val="auto"/>
          <w:kern w:val="2"/>
          <w:sz w:val="32"/>
          <w:szCs w:val="32"/>
          <w:lang w:val="en-US" w:eastAsia="zh-CN" w:bidi="ar-SA"/>
        </w:rPr>
      </w:pPr>
    </w:p>
    <w:p w14:paraId="703B4B81">
      <w:pPr>
        <w:pStyle w:val="2"/>
        <w:keepNext w:val="0"/>
        <w:spacing w:line="579" w:lineRule="auto"/>
        <w:jc w:val="left"/>
        <w:rPr>
          <w:rFonts w:hint="eastAsia" w:ascii="楷体_GB2312" w:hAnsi="楷体_GB2312" w:eastAsia="楷体_GB2312" w:cs="楷体_GB2312"/>
          <w:b/>
          <w:bCs w:val="0"/>
          <w:color w:val="auto"/>
          <w:kern w:val="2"/>
          <w:sz w:val="32"/>
          <w:szCs w:val="32"/>
          <w:lang w:val="en-US" w:eastAsia="zh-CN" w:bidi="ar-SA"/>
        </w:rPr>
      </w:pPr>
    </w:p>
    <w:p w14:paraId="1953893B">
      <w:pPr>
        <w:pStyle w:val="2"/>
        <w:keepNext w:val="0"/>
        <w:spacing w:line="579" w:lineRule="auto"/>
        <w:jc w:val="left"/>
        <w:rPr>
          <w:rFonts w:hint="eastAsia" w:ascii="楷体_GB2312" w:hAnsi="楷体_GB2312" w:eastAsia="楷体_GB2312" w:cs="楷体_GB2312"/>
          <w:b/>
          <w:bCs w:val="0"/>
          <w:color w:val="auto"/>
          <w:kern w:val="2"/>
          <w:sz w:val="32"/>
          <w:szCs w:val="32"/>
          <w:lang w:val="en-US" w:eastAsia="zh-CN" w:bidi="ar-SA"/>
        </w:rPr>
      </w:pPr>
    </w:p>
    <w:p w14:paraId="2E78DD59">
      <w:pPr>
        <w:pStyle w:val="2"/>
        <w:keepNext w:val="0"/>
        <w:spacing w:line="579" w:lineRule="auto"/>
        <w:jc w:val="left"/>
        <w:rPr>
          <w:rFonts w:hint="eastAsia" w:ascii="楷体_GB2312" w:hAnsi="楷体_GB2312" w:eastAsia="楷体_GB2312" w:cs="楷体_GB2312"/>
          <w:b/>
          <w:bCs w:val="0"/>
          <w:color w:val="auto"/>
          <w:kern w:val="2"/>
          <w:sz w:val="32"/>
          <w:szCs w:val="32"/>
          <w:lang w:val="en-US" w:eastAsia="zh-CN" w:bidi="ar-SA"/>
        </w:rPr>
      </w:pPr>
    </w:p>
    <w:p w14:paraId="51F1B634">
      <w:pPr>
        <w:pStyle w:val="2"/>
        <w:keepNext w:val="0"/>
        <w:spacing w:line="579" w:lineRule="auto"/>
        <w:jc w:val="left"/>
        <w:rPr>
          <w:rFonts w:hint="eastAsia" w:ascii="楷体_GB2312" w:hAnsi="楷体_GB2312" w:eastAsia="楷体_GB2312" w:cs="楷体_GB2312"/>
          <w:b/>
          <w:bCs w:val="0"/>
          <w:color w:val="auto"/>
          <w:kern w:val="2"/>
          <w:sz w:val="32"/>
          <w:szCs w:val="32"/>
          <w:lang w:val="en-US" w:eastAsia="zh-CN" w:bidi="ar-SA"/>
        </w:rPr>
      </w:pPr>
    </w:p>
    <w:p w14:paraId="5A3C7E6D">
      <w:pPr>
        <w:pStyle w:val="2"/>
        <w:keepNext w:val="0"/>
        <w:spacing w:line="579" w:lineRule="auto"/>
        <w:jc w:val="left"/>
        <w:rPr>
          <w:rFonts w:hint="eastAsia" w:ascii="楷体_GB2312" w:hAnsi="楷体_GB2312" w:eastAsia="楷体_GB2312" w:cs="楷体_GB2312"/>
          <w:b/>
          <w:bCs w:val="0"/>
          <w:color w:val="auto"/>
          <w:kern w:val="2"/>
          <w:sz w:val="32"/>
          <w:szCs w:val="32"/>
          <w:lang w:val="en-US" w:eastAsia="zh-CN" w:bidi="ar-SA"/>
        </w:rPr>
      </w:pPr>
    </w:p>
    <w:p w14:paraId="6B13A3C6">
      <w:pPr>
        <w:pStyle w:val="2"/>
        <w:jc w:val="left"/>
        <w:rPr>
          <w:rFonts w:hint="eastAsia" w:ascii="楷体_GB2312" w:hAnsi="楷体_GB2312" w:eastAsia="楷体_GB2312" w:cs="楷体_GB2312"/>
          <w:b/>
          <w:bCs w:val="0"/>
          <w:color w:val="auto"/>
          <w:kern w:val="2"/>
          <w:sz w:val="32"/>
          <w:szCs w:val="32"/>
          <w:lang w:val="en-US" w:eastAsia="zh-CN" w:bidi="ar-SA"/>
        </w:rPr>
      </w:pPr>
    </w:p>
    <w:p w14:paraId="3E718316">
      <w:pPr>
        <w:pStyle w:val="2"/>
        <w:jc w:val="left"/>
        <w:rPr>
          <w:rFonts w:hint="eastAsia" w:ascii="楷体_GB2312" w:hAnsi="楷体_GB2312" w:eastAsia="楷体_GB2312" w:cs="楷体_GB2312"/>
          <w:b/>
          <w:bCs w:val="0"/>
          <w:color w:val="auto"/>
          <w:kern w:val="2"/>
          <w:sz w:val="32"/>
          <w:szCs w:val="32"/>
          <w:lang w:val="en-US" w:eastAsia="zh-CN" w:bidi="ar-SA"/>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9F9A07A">
      <w:pPr>
        <w:pStyle w:val="2"/>
        <w:jc w:val="left"/>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附件15：供应商的类似业绩证明</w:t>
      </w:r>
    </w:p>
    <w:p w14:paraId="0637B469">
      <w:pPr>
        <w:pStyle w:val="2"/>
        <w:jc w:val="left"/>
        <w:rPr>
          <w:rFonts w:hint="eastAsia" w:ascii="楷体_GB2312" w:hAnsi="楷体_GB2312" w:eastAsia="楷体_GB2312" w:cs="楷体_GB2312"/>
          <w:b/>
          <w:bCs w:val="0"/>
          <w:color w:val="auto"/>
          <w:kern w:val="2"/>
          <w:sz w:val="32"/>
          <w:szCs w:val="32"/>
          <w:lang w:val="zh-CN" w:eastAsia="zh-CN" w:bidi="ar-SA"/>
        </w:rPr>
      </w:pPr>
    </w:p>
    <w:p w14:paraId="44E20FB9">
      <w:pPr>
        <w:spacing w:line="240" w:lineRule="auto"/>
        <w:ind w:firstLine="562" w:firstLineChars="200"/>
        <w:jc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供应商的类似业绩证明</w:t>
      </w:r>
    </w:p>
    <w:p w14:paraId="00EFE7BC">
      <w:pPr>
        <w:pStyle w:val="2"/>
        <w:ind w:firstLine="560" w:firstLineChars="200"/>
        <w:jc w:val="left"/>
        <w:rPr>
          <w:rFonts w:hint="eastAsia" w:ascii="仿宋" w:hAnsi="仿宋" w:eastAsia="仿宋" w:cs="仿宋"/>
          <w:color w:val="000000"/>
          <w:sz w:val="28"/>
          <w:szCs w:val="28"/>
          <w:lang w:val="en-US" w:eastAsia="zh-CN"/>
        </w:rPr>
      </w:pPr>
      <w:r>
        <w:rPr>
          <w:rFonts w:hint="eastAsia" w:ascii="仿宋" w:hAnsi="仿宋" w:eastAsia="仿宋" w:cs="仿宋"/>
          <w:b w:val="0"/>
          <w:bCs w:val="0"/>
          <w:color w:val="000000"/>
          <w:sz w:val="28"/>
          <w:szCs w:val="28"/>
          <w:lang w:val="en-US" w:eastAsia="zh-CN"/>
        </w:rPr>
        <w:t>提供自2023年01月01日以来供应商的类似业绩证明材料。类似业绩是指与采购项目在产品类型、使用功能、合同规模等方面相同或相近的项目。需提供中标（成交）通知书或合同（包含合同首页、标的及金额所在页、供货合同签字盖章页）的扫描（或复印）件。</w:t>
      </w:r>
    </w:p>
    <w:p w14:paraId="3BA2DC6D">
      <w:pPr>
        <w:pStyle w:val="2"/>
        <w:jc w:val="left"/>
        <w:rPr>
          <w:rFonts w:hint="eastAsia" w:ascii="楷体_GB2312" w:hAnsi="楷体_GB2312" w:eastAsia="楷体_GB2312" w:cs="楷体_GB2312"/>
          <w:b/>
          <w:bCs w:val="0"/>
          <w:color w:val="auto"/>
          <w:kern w:val="2"/>
          <w:sz w:val="32"/>
          <w:szCs w:val="32"/>
          <w:lang w:val="zh-CN" w:eastAsia="zh-CN" w:bidi="ar-SA"/>
        </w:rPr>
      </w:pPr>
    </w:p>
    <w:p w14:paraId="4E51150C">
      <w:pPr>
        <w:pStyle w:val="2"/>
        <w:jc w:val="left"/>
        <w:rPr>
          <w:rFonts w:hint="eastAsia" w:ascii="楷体_GB2312" w:hAnsi="楷体_GB2312" w:eastAsia="楷体_GB2312" w:cs="楷体_GB2312"/>
          <w:b/>
          <w:bCs w:val="0"/>
          <w:color w:val="auto"/>
          <w:kern w:val="2"/>
          <w:sz w:val="32"/>
          <w:szCs w:val="32"/>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B93FB06">
      <w:pPr>
        <w:pStyle w:val="2"/>
        <w:jc w:val="left"/>
        <w:rPr>
          <w:rFonts w:hint="eastAsia" w:ascii="楷体_GB2312" w:hAnsi="楷体_GB2312" w:eastAsia="楷体_GB2312" w:cs="楷体_GB2312"/>
          <w:b/>
          <w:bCs w:val="0"/>
          <w:color w:val="auto"/>
          <w:kern w:val="2"/>
          <w:sz w:val="32"/>
          <w:szCs w:val="32"/>
          <w:lang w:val="zh-CN" w:eastAsia="zh-CN" w:bidi="ar-SA"/>
        </w:rPr>
      </w:pPr>
      <w:r>
        <w:rPr>
          <w:rFonts w:hint="eastAsia" w:ascii="楷体_GB2312" w:hAnsi="楷体_GB2312" w:eastAsia="楷体_GB2312" w:cs="楷体_GB2312"/>
          <w:b/>
          <w:bCs w:val="0"/>
          <w:color w:val="auto"/>
          <w:kern w:val="2"/>
          <w:sz w:val="32"/>
          <w:szCs w:val="32"/>
          <w:lang w:val="en-US" w:eastAsia="zh-CN" w:bidi="ar-SA"/>
        </w:rPr>
        <w:t>附件16：</w:t>
      </w:r>
      <w:r>
        <w:rPr>
          <w:rFonts w:hint="eastAsia" w:ascii="楷体_GB2312" w:hAnsi="楷体_GB2312" w:eastAsia="楷体_GB2312" w:cs="楷体_GB2312"/>
          <w:b/>
          <w:bCs w:val="0"/>
          <w:color w:val="auto"/>
          <w:kern w:val="2"/>
          <w:sz w:val="32"/>
          <w:szCs w:val="32"/>
          <w:lang w:val="zh-CN" w:eastAsia="zh-CN" w:bidi="ar-SA"/>
        </w:rPr>
        <w:t>投标供应商认为在其他方面有必要说明的事项</w:t>
      </w:r>
    </w:p>
    <w:p w14:paraId="7474754D">
      <w:pPr>
        <w:jc w:val="center"/>
        <w:rPr>
          <w:rFonts w:hint="eastAsia" w:ascii="仿宋_GB2312" w:hAnsi="仿宋_GB2312" w:eastAsia="仿宋_GB2312" w:cs="仿宋_GB2312"/>
          <w:b/>
          <w:bCs w:val="0"/>
          <w:color w:val="auto"/>
          <w:sz w:val="32"/>
          <w:szCs w:val="32"/>
          <w:lang w:val="zh-CN" w:eastAsia="zh-CN"/>
        </w:rPr>
      </w:pPr>
    </w:p>
    <w:p w14:paraId="09BB8E51">
      <w:pPr>
        <w:jc w:val="center"/>
        <w:rPr>
          <w:rFonts w:hint="eastAsia" w:ascii="仿宋_GB2312" w:hAnsi="仿宋_GB2312" w:eastAsia="仿宋_GB2312" w:cs="仿宋_GB2312"/>
          <w:b/>
          <w:bCs w:val="0"/>
          <w:color w:val="auto"/>
          <w:sz w:val="32"/>
          <w:szCs w:val="32"/>
          <w:lang w:val="zh-CN" w:eastAsia="zh-CN"/>
        </w:rPr>
      </w:pPr>
      <w:r>
        <w:rPr>
          <w:rFonts w:hint="eastAsia" w:ascii="仿宋_GB2312" w:hAnsi="仿宋_GB2312" w:eastAsia="仿宋_GB2312" w:cs="仿宋_GB2312"/>
          <w:b/>
          <w:bCs w:val="0"/>
          <w:color w:val="auto"/>
          <w:sz w:val="32"/>
          <w:szCs w:val="32"/>
          <w:lang w:val="zh-CN" w:eastAsia="zh-CN"/>
        </w:rPr>
        <w:t>投标供应商认为在其他方面有必要说明的事项</w:t>
      </w:r>
    </w:p>
    <w:p w14:paraId="0B494CE6">
      <w:pPr>
        <w:spacing w:line="360" w:lineRule="auto"/>
        <w:jc w:val="center"/>
        <w:rPr>
          <w:rFonts w:hint="eastAsia" w:ascii="仿宋_GB2312" w:hAnsi="仿宋_GB2312" w:eastAsia="仿宋_GB2312" w:cs="仿宋_GB2312"/>
          <w:b w:val="0"/>
          <w:bCs/>
          <w:color w:val="auto"/>
          <w:sz w:val="32"/>
          <w:szCs w:val="32"/>
          <w:lang w:val="zh-CN"/>
        </w:rPr>
      </w:pPr>
      <w:r>
        <w:rPr>
          <w:rFonts w:hint="eastAsia" w:ascii="仿宋_GB2312" w:hAnsi="仿宋_GB2312" w:eastAsia="仿宋_GB2312" w:cs="仿宋_GB2312"/>
          <w:b w:val="0"/>
          <w:bCs/>
          <w:color w:val="auto"/>
          <w:sz w:val="32"/>
          <w:szCs w:val="32"/>
          <w:lang w:val="zh-CN"/>
        </w:rPr>
        <w:t>（格式自拟）</w:t>
      </w:r>
      <w:r>
        <w:rPr>
          <w:rFonts w:ascii="宋体"/>
          <w:b/>
          <w:color w:val="auto"/>
          <w:sz w:val="36"/>
          <w:szCs w:val="36"/>
        </w:rPr>
        <w:br w:type="page"/>
      </w:r>
    </w:p>
    <w:p w14:paraId="414560CF">
      <w:pPr>
        <w:numPr>
          <w:ilvl w:val="0"/>
          <w:numId w:val="0"/>
        </w:numPr>
        <w:wordWrap/>
        <w:adjustRightInd w:val="0"/>
        <w:snapToGrid w:val="0"/>
        <w:spacing w:before="157" w:beforeLines="50" w:line="560" w:lineRule="exact"/>
        <w:jc w:val="both"/>
        <w:outlineLvl w:val="9"/>
        <w:rPr>
          <w:rFonts w:hint="eastAsia" w:ascii="仿宋_GB2312" w:hAnsi="仿宋_GB2312" w:eastAsia="仿宋_GB2312" w:cs="仿宋_GB2312"/>
          <w:color w:val="auto"/>
          <w:kern w:val="2"/>
          <w:sz w:val="32"/>
          <w:szCs w:val="32"/>
          <w:lang w:val="zh-CN" w:eastAsia="zh-CN" w:bidi="ar-SA"/>
        </w:rPr>
      </w:pPr>
      <w:bookmarkStart w:id="484" w:name="_Toc31539"/>
      <w:bookmarkStart w:id="485" w:name="_Toc22784_WPSOffice_Level3"/>
      <w:bookmarkStart w:id="486" w:name="_Toc6454"/>
      <w:r>
        <w:rPr>
          <w:rFonts w:hint="eastAsia" w:ascii="楷体_GB2312" w:hAnsi="楷体_GB2312" w:eastAsia="楷体_GB2312" w:cs="楷体_GB2312"/>
          <w:b/>
          <w:bCs w:val="0"/>
          <w:color w:val="auto"/>
          <w:kern w:val="2"/>
          <w:sz w:val="32"/>
          <w:szCs w:val="32"/>
          <w:lang w:val="en-US" w:eastAsia="zh-CN" w:bidi="ar-SA"/>
        </w:rPr>
        <w:t>附件17：</w:t>
      </w:r>
      <w:r>
        <w:rPr>
          <w:rFonts w:hint="eastAsia" w:ascii="楷体_GB2312" w:hAnsi="楷体_GB2312" w:eastAsia="楷体_GB2312" w:cs="楷体_GB2312"/>
          <w:b/>
          <w:bCs w:val="0"/>
          <w:color w:val="auto"/>
          <w:kern w:val="2"/>
          <w:sz w:val="32"/>
          <w:szCs w:val="32"/>
          <w:lang w:val="zh-CN" w:eastAsia="zh-CN" w:bidi="ar-SA"/>
        </w:rPr>
        <w:t>享受政府采购政策优惠的证明资料</w:t>
      </w:r>
    </w:p>
    <w:bookmarkEnd w:id="484"/>
    <w:bookmarkEnd w:id="485"/>
    <w:bookmarkEnd w:id="486"/>
    <w:p w14:paraId="4D4138CB">
      <w:pPr>
        <w:numPr>
          <w:ilvl w:val="0"/>
          <w:numId w:val="0"/>
        </w:numPr>
        <w:wordWrap/>
        <w:adjustRightInd w:val="0"/>
        <w:snapToGrid w:val="0"/>
        <w:spacing w:before="157" w:beforeLines="50" w:line="560" w:lineRule="exact"/>
        <w:jc w:val="center"/>
        <w:outlineLvl w:val="9"/>
        <w:rPr>
          <w:rFonts w:hint="eastAsia" w:ascii="楷体_GB2312" w:hAnsi="楷体_GB2312" w:eastAsia="楷体_GB2312" w:cs="楷体_GB2312"/>
          <w:b/>
          <w:bCs w:val="0"/>
          <w:color w:val="auto"/>
          <w:kern w:val="2"/>
          <w:sz w:val="32"/>
          <w:szCs w:val="32"/>
          <w:lang w:val="zh-CN" w:eastAsia="zh-CN" w:bidi="ar-SA"/>
        </w:rPr>
      </w:pPr>
      <w:bookmarkStart w:id="487" w:name="_Toc12160"/>
      <w:bookmarkStart w:id="488" w:name="_Toc14211_WPSOffice_Level3"/>
      <w:bookmarkStart w:id="489" w:name="_Toc11740"/>
      <w:r>
        <w:rPr>
          <w:rFonts w:hint="eastAsia" w:ascii="楷体_GB2312" w:hAnsi="楷体_GB2312" w:eastAsia="楷体_GB2312" w:cs="楷体_GB2312"/>
          <w:b/>
          <w:bCs w:val="0"/>
          <w:color w:val="auto"/>
          <w:kern w:val="2"/>
          <w:sz w:val="32"/>
          <w:szCs w:val="32"/>
          <w:lang w:val="en-US" w:eastAsia="zh-CN" w:bidi="ar-SA"/>
        </w:rPr>
        <w:t>1.中小</w:t>
      </w:r>
      <w:r>
        <w:rPr>
          <w:rFonts w:hint="eastAsia" w:ascii="楷体_GB2312" w:hAnsi="楷体_GB2312" w:eastAsia="楷体_GB2312" w:cs="楷体_GB2312"/>
          <w:b/>
          <w:bCs w:val="0"/>
          <w:color w:val="auto"/>
          <w:kern w:val="2"/>
          <w:sz w:val="32"/>
          <w:szCs w:val="32"/>
          <w:lang w:val="zh-CN" w:eastAsia="zh-CN" w:bidi="ar-SA"/>
        </w:rPr>
        <w:t>企业声明函（</w:t>
      </w:r>
      <w:r>
        <w:rPr>
          <w:rFonts w:hint="eastAsia" w:ascii="楷体_GB2312" w:hAnsi="楷体_GB2312" w:eastAsia="楷体_GB2312" w:cs="楷体_GB2312"/>
          <w:b/>
          <w:bCs w:val="0"/>
          <w:color w:val="auto"/>
          <w:kern w:val="2"/>
          <w:sz w:val="32"/>
          <w:szCs w:val="32"/>
          <w:lang w:val="en-US" w:eastAsia="zh-CN" w:bidi="ar-SA"/>
        </w:rPr>
        <w:t>货物</w:t>
      </w:r>
      <w:r>
        <w:rPr>
          <w:rFonts w:hint="eastAsia" w:ascii="楷体_GB2312" w:hAnsi="楷体_GB2312" w:eastAsia="楷体_GB2312" w:cs="楷体_GB2312"/>
          <w:b/>
          <w:bCs w:val="0"/>
          <w:color w:val="auto"/>
          <w:kern w:val="2"/>
          <w:sz w:val="32"/>
          <w:szCs w:val="32"/>
          <w:lang w:val="zh-CN" w:eastAsia="zh-CN" w:bidi="ar-SA"/>
        </w:rPr>
        <w:t>）</w:t>
      </w:r>
    </w:p>
    <w:p w14:paraId="1047E399">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本公司（联合体）郑重声明，根据《政府采购促进中小企业发展管理办法》（财库﹝2020﹞46 号）的规定，本公司（联合体）参加</w:t>
      </w:r>
      <w:r>
        <w:rPr>
          <w:rFonts w:hint="eastAsia" w:ascii="仿宋" w:hAnsi="仿宋" w:eastAsia="仿宋" w:cs="仿宋"/>
          <w:i w:val="0"/>
          <w:iCs/>
          <w:color w:val="000000"/>
          <w:kern w:val="0"/>
          <w:sz w:val="28"/>
          <w:szCs w:val="28"/>
          <w:u w:val="single"/>
          <w:lang w:val="en-US" w:eastAsia="zh-CN" w:bidi="ar"/>
        </w:rPr>
        <w:t>（单位名称）</w:t>
      </w:r>
      <w:r>
        <w:rPr>
          <w:rFonts w:hint="eastAsia" w:ascii="仿宋" w:hAnsi="仿宋" w:eastAsia="仿宋" w:cs="仿宋"/>
          <w:color w:val="000000"/>
          <w:kern w:val="0"/>
          <w:sz w:val="28"/>
          <w:szCs w:val="28"/>
          <w:lang w:val="en-US" w:eastAsia="zh-CN" w:bidi="ar"/>
        </w:rPr>
        <w:t>的</w:t>
      </w:r>
      <w:r>
        <w:rPr>
          <w:rFonts w:hint="eastAsia" w:ascii="仿宋" w:hAnsi="仿宋" w:eastAsia="仿宋" w:cs="仿宋"/>
          <w:i w:val="0"/>
          <w:iCs/>
          <w:color w:val="000000"/>
          <w:kern w:val="0"/>
          <w:sz w:val="28"/>
          <w:szCs w:val="28"/>
          <w:u w:val="single"/>
          <w:lang w:val="en-US" w:eastAsia="zh-CN" w:bidi="ar"/>
        </w:rPr>
        <w:t>（项目名称）</w:t>
      </w:r>
      <w:r>
        <w:rPr>
          <w:rFonts w:hint="eastAsia" w:ascii="仿宋" w:hAnsi="仿宋" w:eastAsia="仿宋" w:cs="仿宋"/>
          <w:color w:val="000000"/>
          <w:kern w:val="0"/>
          <w:sz w:val="28"/>
          <w:szCs w:val="28"/>
          <w:lang w:val="en-US" w:eastAsia="zh-CN" w:bidi="ar"/>
        </w:rPr>
        <w:t xml:space="preserve">采购活动，提供的货物全部由符合政策要求的中小企业制造。相关企业（含联合体中的中小企业、签订分包意向协议的中小企业）的具体情况如下： </w:t>
      </w:r>
    </w:p>
    <w:p w14:paraId="37623267">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 </w:t>
      </w:r>
      <w:r>
        <w:rPr>
          <w:rFonts w:hint="eastAsia" w:ascii="仿宋" w:hAnsi="仿宋" w:eastAsia="仿宋" w:cs="仿宋"/>
          <w:i w:val="0"/>
          <w:iCs/>
          <w:color w:val="000000"/>
          <w:kern w:val="0"/>
          <w:sz w:val="28"/>
          <w:szCs w:val="28"/>
          <w:u w:val="single"/>
          <w:lang w:val="en-US" w:eastAsia="zh-CN" w:bidi="ar"/>
        </w:rPr>
        <w:t>（标的名称）</w:t>
      </w:r>
      <w:r>
        <w:rPr>
          <w:rFonts w:hint="eastAsia" w:ascii="仿宋" w:hAnsi="仿宋" w:eastAsia="仿宋" w:cs="仿宋"/>
          <w:i/>
          <w:color w:val="000000"/>
          <w:kern w:val="0"/>
          <w:sz w:val="28"/>
          <w:szCs w:val="28"/>
          <w:lang w:val="en-US" w:eastAsia="zh-CN" w:bidi="ar"/>
        </w:rPr>
        <w:t xml:space="preserve"> </w:t>
      </w:r>
      <w:r>
        <w:rPr>
          <w:rFonts w:hint="eastAsia" w:ascii="仿宋" w:hAnsi="仿宋" w:eastAsia="仿宋" w:cs="仿宋"/>
          <w:color w:val="000000"/>
          <w:kern w:val="0"/>
          <w:sz w:val="28"/>
          <w:szCs w:val="28"/>
          <w:lang w:val="en-US" w:eastAsia="zh-CN" w:bidi="ar"/>
        </w:rPr>
        <w:t>，属于</w:t>
      </w:r>
      <w:r>
        <w:rPr>
          <w:rFonts w:hint="eastAsia" w:ascii="仿宋" w:hAnsi="仿宋" w:eastAsia="仿宋" w:cs="仿宋"/>
          <w:i w:val="0"/>
          <w:iCs/>
          <w:color w:val="000000"/>
          <w:kern w:val="0"/>
          <w:sz w:val="28"/>
          <w:szCs w:val="28"/>
          <w:u w:val="single"/>
          <w:lang w:val="en-US" w:eastAsia="zh-CN" w:bidi="ar"/>
        </w:rPr>
        <w:t>（工业）</w:t>
      </w:r>
      <w:r>
        <w:rPr>
          <w:rFonts w:hint="eastAsia" w:ascii="仿宋" w:hAnsi="仿宋" w:eastAsia="仿宋" w:cs="仿宋"/>
          <w:i w:val="0"/>
          <w:iCs/>
          <w:color w:val="000000"/>
          <w:kern w:val="0"/>
          <w:sz w:val="28"/>
          <w:szCs w:val="28"/>
          <w:lang w:val="en-US" w:eastAsia="zh-CN" w:bidi="ar"/>
        </w:rPr>
        <w:t>行业</w:t>
      </w:r>
      <w:r>
        <w:rPr>
          <w:rFonts w:hint="eastAsia" w:ascii="仿宋" w:hAnsi="仿宋" w:eastAsia="仿宋" w:cs="仿宋"/>
          <w:color w:val="000000"/>
          <w:kern w:val="0"/>
          <w:sz w:val="28"/>
          <w:szCs w:val="28"/>
          <w:lang w:val="en-US" w:eastAsia="zh-CN" w:bidi="ar"/>
        </w:rPr>
        <w:t>；制造商为</w:t>
      </w:r>
      <w:r>
        <w:rPr>
          <w:rFonts w:hint="eastAsia" w:ascii="仿宋" w:hAnsi="仿宋" w:eastAsia="仿宋" w:cs="仿宋"/>
          <w:i w:val="0"/>
          <w:iCs/>
          <w:color w:val="000000"/>
          <w:kern w:val="0"/>
          <w:sz w:val="28"/>
          <w:szCs w:val="28"/>
          <w:u w:val="single"/>
          <w:lang w:val="en-US" w:eastAsia="zh-CN" w:bidi="ar"/>
        </w:rPr>
        <w:t>（企业名称）</w:t>
      </w:r>
      <w:r>
        <w:rPr>
          <w:rFonts w:hint="eastAsia" w:ascii="仿宋" w:hAnsi="仿宋" w:eastAsia="仿宋" w:cs="仿宋"/>
          <w:color w:val="000000"/>
          <w:kern w:val="0"/>
          <w:sz w:val="28"/>
          <w:szCs w:val="28"/>
          <w:lang w:val="en-US" w:eastAsia="zh-CN" w:bidi="ar"/>
        </w:rPr>
        <w:t xml:space="preserve">，从业人员 </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人，营业收入为</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万元，资产总额为</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万元，属于</w:t>
      </w:r>
      <w:r>
        <w:rPr>
          <w:rFonts w:hint="eastAsia" w:ascii="仿宋" w:hAnsi="仿宋" w:eastAsia="仿宋" w:cs="仿宋"/>
          <w:i w:val="0"/>
          <w:iCs/>
          <w:color w:val="000000"/>
          <w:kern w:val="0"/>
          <w:sz w:val="28"/>
          <w:szCs w:val="28"/>
          <w:u w:val="single"/>
          <w:lang w:val="en-US" w:eastAsia="zh-CN" w:bidi="ar"/>
        </w:rPr>
        <w:t>（中型企业、小型企业、微型企业）</w:t>
      </w:r>
      <w:r>
        <w:rPr>
          <w:rFonts w:hint="eastAsia" w:ascii="仿宋" w:hAnsi="仿宋" w:eastAsia="仿宋" w:cs="仿宋"/>
          <w:color w:val="000000"/>
          <w:kern w:val="0"/>
          <w:sz w:val="28"/>
          <w:szCs w:val="28"/>
          <w:lang w:val="en-US" w:eastAsia="zh-CN" w:bidi="ar"/>
        </w:rPr>
        <w:t xml:space="preserve">； </w:t>
      </w:r>
    </w:p>
    <w:p w14:paraId="31D34583">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 </w:t>
      </w:r>
      <w:r>
        <w:rPr>
          <w:rFonts w:hint="eastAsia" w:ascii="仿宋" w:hAnsi="仿宋" w:eastAsia="仿宋" w:cs="仿宋"/>
          <w:i w:val="0"/>
          <w:iCs/>
          <w:color w:val="000000"/>
          <w:kern w:val="0"/>
          <w:sz w:val="28"/>
          <w:szCs w:val="28"/>
          <w:u w:val="single"/>
          <w:lang w:val="en-US" w:eastAsia="zh-CN" w:bidi="ar"/>
        </w:rPr>
        <w:t>（标的名称）</w:t>
      </w:r>
      <w:r>
        <w:rPr>
          <w:rFonts w:hint="eastAsia" w:ascii="仿宋" w:hAnsi="仿宋" w:eastAsia="仿宋" w:cs="仿宋"/>
          <w:i/>
          <w:color w:val="000000"/>
          <w:kern w:val="0"/>
          <w:sz w:val="28"/>
          <w:szCs w:val="28"/>
          <w:lang w:val="en-US" w:eastAsia="zh-CN" w:bidi="ar"/>
        </w:rPr>
        <w:t xml:space="preserve"> </w:t>
      </w:r>
      <w:r>
        <w:rPr>
          <w:rFonts w:hint="eastAsia" w:ascii="仿宋" w:hAnsi="仿宋" w:eastAsia="仿宋" w:cs="仿宋"/>
          <w:color w:val="000000"/>
          <w:kern w:val="0"/>
          <w:sz w:val="28"/>
          <w:szCs w:val="28"/>
          <w:lang w:val="en-US" w:eastAsia="zh-CN" w:bidi="ar"/>
        </w:rPr>
        <w:t>，属于</w:t>
      </w:r>
      <w:r>
        <w:rPr>
          <w:rFonts w:hint="eastAsia" w:ascii="仿宋" w:hAnsi="仿宋" w:eastAsia="仿宋" w:cs="仿宋"/>
          <w:i w:val="0"/>
          <w:iCs/>
          <w:color w:val="000000"/>
          <w:kern w:val="0"/>
          <w:sz w:val="28"/>
          <w:szCs w:val="28"/>
          <w:u w:val="single"/>
          <w:lang w:val="en-US" w:eastAsia="zh-CN" w:bidi="ar"/>
        </w:rPr>
        <w:t>（工业）</w:t>
      </w:r>
      <w:r>
        <w:rPr>
          <w:rFonts w:hint="eastAsia" w:ascii="仿宋" w:hAnsi="仿宋" w:eastAsia="仿宋" w:cs="仿宋"/>
          <w:i w:val="0"/>
          <w:iCs/>
          <w:color w:val="000000"/>
          <w:kern w:val="0"/>
          <w:sz w:val="28"/>
          <w:szCs w:val="28"/>
          <w:lang w:val="en-US" w:eastAsia="zh-CN" w:bidi="ar"/>
        </w:rPr>
        <w:t>行业</w:t>
      </w:r>
      <w:r>
        <w:rPr>
          <w:rFonts w:hint="eastAsia" w:ascii="仿宋" w:hAnsi="仿宋" w:eastAsia="仿宋" w:cs="仿宋"/>
          <w:color w:val="000000"/>
          <w:kern w:val="0"/>
          <w:sz w:val="28"/>
          <w:szCs w:val="28"/>
          <w:lang w:val="en-US" w:eastAsia="zh-CN" w:bidi="ar"/>
        </w:rPr>
        <w:t>；制造商为</w:t>
      </w:r>
      <w:r>
        <w:rPr>
          <w:rFonts w:hint="eastAsia" w:ascii="仿宋" w:hAnsi="仿宋" w:eastAsia="仿宋" w:cs="仿宋"/>
          <w:i w:val="0"/>
          <w:iCs/>
          <w:color w:val="000000"/>
          <w:kern w:val="0"/>
          <w:sz w:val="28"/>
          <w:szCs w:val="28"/>
          <w:u w:val="single"/>
          <w:lang w:val="en-US" w:eastAsia="zh-CN" w:bidi="ar"/>
        </w:rPr>
        <w:t>（企业名称）</w:t>
      </w:r>
      <w:r>
        <w:rPr>
          <w:rFonts w:hint="eastAsia" w:ascii="仿宋" w:hAnsi="仿宋" w:eastAsia="仿宋" w:cs="仿宋"/>
          <w:color w:val="000000"/>
          <w:kern w:val="0"/>
          <w:sz w:val="28"/>
          <w:szCs w:val="28"/>
          <w:lang w:val="en-US" w:eastAsia="zh-CN" w:bidi="ar"/>
        </w:rPr>
        <w:t>，从业人员</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人，营业收入为</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万元，资产总额为</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万元，属于</w:t>
      </w:r>
      <w:r>
        <w:rPr>
          <w:rFonts w:hint="eastAsia" w:ascii="仿宋" w:hAnsi="仿宋" w:eastAsia="仿宋" w:cs="仿宋"/>
          <w:i w:val="0"/>
          <w:iCs/>
          <w:color w:val="000000"/>
          <w:kern w:val="0"/>
          <w:sz w:val="28"/>
          <w:szCs w:val="28"/>
          <w:u w:val="single"/>
          <w:lang w:val="en-US" w:eastAsia="zh-CN" w:bidi="ar"/>
        </w:rPr>
        <w:t>（中型企业、小型企业、微型企业）</w:t>
      </w:r>
      <w:r>
        <w:rPr>
          <w:rFonts w:hint="eastAsia" w:ascii="仿宋" w:hAnsi="仿宋" w:eastAsia="仿宋" w:cs="仿宋"/>
          <w:color w:val="000000"/>
          <w:kern w:val="0"/>
          <w:sz w:val="28"/>
          <w:szCs w:val="28"/>
          <w:lang w:val="en-US" w:eastAsia="zh-CN" w:bidi="ar"/>
        </w:rPr>
        <w:t xml:space="preserve">； </w:t>
      </w:r>
    </w:p>
    <w:p w14:paraId="4BA31CA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w:t>
      </w:r>
    </w:p>
    <w:p w14:paraId="52CBF8A7">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以上企业，不属于大企业的分支机构，不存在控股股东为大企业的情形，也不存在与大企业的负责人为同一人的情形。</w:t>
      </w:r>
    </w:p>
    <w:p w14:paraId="77562090">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本企业对上述声明内容的真实性负责。如有虚假，将依法承担相应责任。 </w:t>
      </w:r>
    </w:p>
    <w:p w14:paraId="68B22413">
      <w:pPr>
        <w:keepNext w:val="0"/>
        <w:keepLines w:val="0"/>
        <w:pageBreakBefore w:val="0"/>
        <w:widowControl/>
        <w:suppressLineNumbers w:val="0"/>
        <w:kinsoku/>
        <w:wordWrap/>
        <w:overflowPunct/>
        <w:topLinePunct w:val="0"/>
        <w:autoSpaceDE/>
        <w:autoSpaceDN/>
        <w:bidi w:val="0"/>
        <w:adjustRightInd/>
        <w:snapToGrid/>
        <w:spacing w:line="560" w:lineRule="exact"/>
        <w:ind w:firstLine="3640" w:firstLineChars="1300"/>
        <w:jc w:val="left"/>
        <w:textAlignment w:val="auto"/>
        <w:rPr>
          <w:rFonts w:hint="eastAsia" w:ascii="仿宋" w:hAnsi="仿宋" w:eastAsia="仿宋" w:cs="仿宋"/>
          <w:color w:val="000000"/>
          <w:kern w:val="0"/>
          <w:sz w:val="28"/>
          <w:szCs w:val="28"/>
          <w:lang w:val="en-US" w:eastAsia="zh-CN" w:bidi="ar"/>
        </w:rPr>
      </w:pPr>
    </w:p>
    <w:p w14:paraId="2E8A7894">
      <w:pPr>
        <w:pStyle w:val="18"/>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lang w:val="en-US" w:eastAsia="zh-CN"/>
        </w:rPr>
      </w:pPr>
    </w:p>
    <w:p w14:paraId="5BB61DE0">
      <w:pPr>
        <w:keepNext w:val="0"/>
        <w:keepLines w:val="0"/>
        <w:pageBreakBefore w:val="0"/>
        <w:widowControl/>
        <w:suppressLineNumbers w:val="0"/>
        <w:kinsoku/>
        <w:wordWrap/>
        <w:overflowPunct/>
        <w:topLinePunct w:val="0"/>
        <w:autoSpaceDE/>
        <w:autoSpaceDN/>
        <w:bidi w:val="0"/>
        <w:adjustRightInd/>
        <w:snapToGrid/>
        <w:spacing w:line="560" w:lineRule="exact"/>
        <w:ind w:firstLine="5320" w:firstLineChars="19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企业名称（盖章）： </w:t>
      </w:r>
    </w:p>
    <w:p w14:paraId="04F85C69">
      <w:pPr>
        <w:keepNext w:val="0"/>
        <w:keepLines w:val="0"/>
        <w:pageBreakBefore w:val="0"/>
        <w:widowControl/>
        <w:suppressLineNumbers w:val="0"/>
        <w:kinsoku/>
        <w:wordWrap/>
        <w:overflowPunct/>
        <w:topLinePunct w:val="0"/>
        <w:autoSpaceDE/>
        <w:autoSpaceDN/>
        <w:bidi w:val="0"/>
        <w:adjustRightInd/>
        <w:snapToGrid/>
        <w:spacing w:line="560" w:lineRule="exact"/>
        <w:ind w:firstLine="5320" w:firstLineChars="19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日   期： </w:t>
      </w:r>
    </w:p>
    <w:bookmarkEnd w:id="487"/>
    <w:bookmarkEnd w:id="488"/>
    <w:bookmarkEnd w:id="489"/>
    <w:p w14:paraId="40EF86D8">
      <w:pPr>
        <w:numPr>
          <w:ilvl w:val="0"/>
          <w:numId w:val="0"/>
        </w:numPr>
        <w:wordWrap/>
        <w:adjustRightInd w:val="0"/>
        <w:snapToGrid w:val="0"/>
        <w:spacing w:before="157" w:beforeLines="50" w:line="560" w:lineRule="exact"/>
        <w:jc w:val="center"/>
        <w:outlineLvl w:val="9"/>
        <w:rPr>
          <w:rFonts w:hint="eastAsia" w:ascii="楷体_GB2312" w:hAnsi="楷体_GB2312" w:eastAsia="楷体_GB2312" w:cs="楷体_GB2312"/>
          <w:b/>
          <w:bCs w:val="0"/>
          <w:color w:val="auto"/>
          <w:kern w:val="2"/>
          <w:sz w:val="32"/>
          <w:szCs w:val="32"/>
          <w:lang w:val="en-US" w:eastAsia="zh-CN" w:bidi="ar-SA"/>
        </w:rPr>
      </w:pPr>
      <w:bookmarkStart w:id="490" w:name="_Hlk500164733"/>
    </w:p>
    <w:p w14:paraId="0B7B1150">
      <w:pPr>
        <w:numPr>
          <w:ilvl w:val="0"/>
          <w:numId w:val="0"/>
        </w:numPr>
        <w:wordWrap/>
        <w:adjustRightInd w:val="0"/>
        <w:snapToGrid w:val="0"/>
        <w:spacing w:before="157" w:beforeLines="50" w:line="560" w:lineRule="exact"/>
        <w:jc w:val="center"/>
        <w:outlineLvl w:val="9"/>
        <w:rPr>
          <w:rFonts w:hint="eastAsia" w:ascii="楷体_GB2312" w:hAnsi="楷体_GB2312" w:eastAsia="楷体_GB2312" w:cs="楷体_GB2312"/>
          <w:b/>
          <w:bCs w:val="0"/>
          <w:color w:val="auto"/>
          <w:kern w:val="2"/>
          <w:sz w:val="32"/>
          <w:szCs w:val="32"/>
          <w:lang w:val="en-US" w:eastAsia="zh-CN" w:bidi="ar-SA"/>
        </w:rPr>
      </w:pPr>
    </w:p>
    <w:p w14:paraId="50F66FA2">
      <w:pPr>
        <w:numPr>
          <w:ilvl w:val="0"/>
          <w:numId w:val="0"/>
        </w:numPr>
        <w:wordWrap/>
        <w:adjustRightInd w:val="0"/>
        <w:snapToGrid w:val="0"/>
        <w:spacing w:before="157" w:beforeLines="50" w:line="560" w:lineRule="exact"/>
        <w:jc w:val="center"/>
        <w:outlineLvl w:val="9"/>
        <w:rPr>
          <w:rFonts w:hint="eastAsia" w:ascii="楷体_GB2312" w:hAnsi="楷体_GB2312" w:eastAsia="楷体_GB2312" w:cs="楷体_GB2312"/>
          <w:b/>
          <w:bCs w:val="0"/>
          <w:color w:val="auto"/>
          <w:kern w:val="2"/>
          <w:sz w:val="32"/>
          <w:szCs w:val="32"/>
          <w:lang w:val="en-US" w:eastAsia="zh-CN" w:bidi="ar-SA"/>
        </w:rPr>
      </w:pPr>
    </w:p>
    <w:p w14:paraId="5D160DC6">
      <w:pPr>
        <w:numPr>
          <w:ilvl w:val="0"/>
          <w:numId w:val="0"/>
        </w:numPr>
        <w:wordWrap/>
        <w:adjustRightInd w:val="0"/>
        <w:snapToGrid w:val="0"/>
        <w:spacing w:before="157" w:beforeLines="50" w:line="560" w:lineRule="exact"/>
        <w:jc w:val="center"/>
        <w:outlineLvl w:val="9"/>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2.残疾人福利性单位声明函</w:t>
      </w:r>
      <w:bookmarkEnd w:id="490"/>
    </w:p>
    <w:p w14:paraId="505BA290">
      <w:pPr>
        <w:keepNext w:val="0"/>
        <w:keepLines w:val="0"/>
        <w:widowControl/>
        <w:suppressLineNumbers w:val="0"/>
        <w:jc w:val="center"/>
        <w:rPr>
          <w:rFonts w:ascii="宋体" w:hAnsi="宋体" w:cs="宋体"/>
          <w:bCs/>
        </w:rPr>
      </w:pPr>
      <w:r>
        <w:rPr>
          <w:rFonts w:ascii="仿宋" w:hAnsi="仿宋" w:eastAsia="仿宋" w:cs="仿宋"/>
          <w:b/>
          <w:bCs/>
          <w:color w:val="000000"/>
          <w:kern w:val="0"/>
          <w:sz w:val="28"/>
          <w:szCs w:val="28"/>
          <w:lang w:val="en-US" w:eastAsia="zh-CN" w:bidi="ar"/>
        </w:rPr>
        <w:t>(不属于残疾人福利性单位的无需填写)</w:t>
      </w:r>
    </w:p>
    <w:p w14:paraId="2F3CDD20">
      <w:pPr>
        <w:autoSpaceDE w:val="0"/>
        <w:autoSpaceDN w:val="0"/>
        <w:spacing w:line="360" w:lineRule="auto"/>
        <w:rPr>
          <w:rFonts w:hint="eastAsia" w:ascii="仿宋" w:hAnsi="仿宋" w:eastAsia="仿宋" w:cs="仿宋"/>
          <w:sz w:val="28"/>
          <w:szCs w:val="28"/>
        </w:rPr>
      </w:pPr>
      <w:r>
        <w:rPr>
          <w:rFonts w:hint="eastAsia" w:ascii="仿宋" w:hAnsi="仿宋" w:eastAsia="仿宋" w:cs="仿宋"/>
          <w:b/>
          <w:bCs/>
          <w:kern w:val="0"/>
          <w:sz w:val="28"/>
          <w:szCs w:val="28"/>
          <w:lang w:val="zh-CN"/>
        </w:rPr>
        <w:t>致：青海中澜工程管理咨询有限公司</w:t>
      </w:r>
    </w:p>
    <w:p w14:paraId="32ECB937">
      <w:pPr>
        <w:autoSpaceDE w:val="0"/>
        <w:autoSpaceDN w:val="0"/>
        <w:spacing w:line="360" w:lineRule="auto"/>
        <w:ind w:firstLine="36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本单位郑重声明，根据《财政部、民政部、中国残疾人联合会关于促进残疾人就业政府采购政策的通知》（财库〔2017〕141号）的规定，本单位为符合条件的残疾人福利性单位，本单位在职职工人数为</w:t>
      </w:r>
      <w:r>
        <w:rPr>
          <w:rFonts w:hint="eastAsia" w:ascii="仿宋" w:hAnsi="仿宋" w:eastAsia="仿宋" w:cs="仿宋"/>
          <w:kern w:val="0"/>
          <w:sz w:val="28"/>
          <w:szCs w:val="28"/>
          <w:u w:val="single"/>
          <w:lang w:val="zh-CN"/>
        </w:rPr>
        <w:t xml:space="preserve">       </w:t>
      </w:r>
      <w:r>
        <w:rPr>
          <w:rFonts w:hint="eastAsia" w:ascii="仿宋" w:hAnsi="仿宋" w:eastAsia="仿宋" w:cs="仿宋"/>
          <w:kern w:val="0"/>
          <w:sz w:val="28"/>
          <w:szCs w:val="28"/>
          <w:lang w:val="zh-CN"/>
        </w:rPr>
        <w:t>人，安置的残疾人人数</w:t>
      </w:r>
      <w:r>
        <w:rPr>
          <w:rFonts w:hint="eastAsia" w:ascii="仿宋" w:hAnsi="仿宋" w:eastAsia="仿宋" w:cs="仿宋"/>
          <w:kern w:val="0"/>
          <w:sz w:val="28"/>
          <w:szCs w:val="28"/>
          <w:u w:val="single"/>
          <w:lang w:val="zh-CN"/>
        </w:rPr>
        <w:t xml:space="preserve">      </w:t>
      </w:r>
      <w:r>
        <w:rPr>
          <w:rFonts w:hint="eastAsia" w:ascii="仿宋" w:hAnsi="仿宋" w:eastAsia="仿宋" w:cs="仿宋"/>
          <w:kern w:val="0"/>
          <w:sz w:val="28"/>
          <w:szCs w:val="28"/>
          <w:lang w:val="zh-CN"/>
        </w:rPr>
        <w:t>人。且本单位参加______单位的______项目采购活动提供本单位制造的货物（由本单位承担工程/提供服务），或者提供其他残疾人福利性单位制造的货物（不包括使用非残疾人福利性单位注册商标的货物）。</w:t>
      </w:r>
    </w:p>
    <w:p w14:paraId="50C59D50">
      <w:pPr>
        <w:autoSpaceDE w:val="0"/>
        <w:autoSpaceDN w:val="0"/>
        <w:spacing w:line="360" w:lineRule="auto"/>
        <w:ind w:firstLine="36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本单位对上述声明的真实性负责。如有虚假，将依法承担相应责任。</w:t>
      </w:r>
    </w:p>
    <w:p w14:paraId="6FB60DBD">
      <w:pPr>
        <w:autoSpaceDE w:val="0"/>
        <w:autoSpaceDN w:val="0"/>
        <w:spacing w:line="360" w:lineRule="auto"/>
        <w:ind w:firstLine="36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注：若无此项内容，可不提供此函。</w:t>
      </w:r>
    </w:p>
    <w:p w14:paraId="42E99C0C">
      <w:pPr>
        <w:ind w:firstLine="480"/>
        <w:rPr>
          <w:rFonts w:hint="eastAsia" w:ascii="仿宋" w:hAnsi="仿宋" w:eastAsia="仿宋" w:cs="仿宋"/>
          <w:sz w:val="28"/>
          <w:szCs w:val="28"/>
        </w:rPr>
      </w:pPr>
    </w:p>
    <w:p w14:paraId="55D85608">
      <w:pPr>
        <w:ind w:firstLine="480"/>
        <w:rPr>
          <w:rFonts w:hint="eastAsia" w:ascii="仿宋" w:hAnsi="仿宋" w:eastAsia="仿宋" w:cs="仿宋"/>
          <w:sz w:val="28"/>
          <w:szCs w:val="28"/>
        </w:rPr>
      </w:pPr>
    </w:p>
    <w:p w14:paraId="0A67E6C9">
      <w:pPr>
        <w:ind w:firstLine="480"/>
        <w:rPr>
          <w:rFonts w:hint="eastAsia" w:ascii="仿宋" w:hAnsi="仿宋" w:eastAsia="仿宋" w:cs="仿宋"/>
          <w:sz w:val="28"/>
          <w:szCs w:val="28"/>
        </w:rPr>
      </w:pPr>
    </w:p>
    <w:p w14:paraId="44A2A5F4">
      <w:pPr>
        <w:autoSpaceDE w:val="0"/>
        <w:autoSpaceDN w:val="0"/>
        <w:spacing w:line="360" w:lineRule="auto"/>
        <w:jc w:val="right"/>
        <w:rPr>
          <w:rFonts w:hint="eastAsia" w:ascii="仿宋" w:hAnsi="仿宋" w:eastAsia="仿宋" w:cs="仿宋"/>
          <w:bCs/>
          <w:sz w:val="28"/>
          <w:szCs w:val="28"/>
        </w:rPr>
      </w:pPr>
      <w:r>
        <w:rPr>
          <w:rFonts w:hint="eastAsia" w:ascii="仿宋" w:hAnsi="仿宋" w:eastAsia="仿宋" w:cs="仿宋"/>
          <w:bCs/>
          <w:sz w:val="28"/>
          <w:szCs w:val="28"/>
        </w:rPr>
        <w:t>企业名称：</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（公章）</w:t>
      </w:r>
    </w:p>
    <w:p w14:paraId="65BD413C">
      <w:pPr>
        <w:autoSpaceDE w:val="0"/>
        <w:autoSpaceDN w:val="0"/>
        <w:spacing w:line="360" w:lineRule="auto"/>
        <w:jc w:val="right"/>
        <w:rPr>
          <w:rFonts w:hint="eastAsia" w:ascii="仿宋" w:hAnsi="仿宋" w:eastAsia="仿宋" w:cs="仿宋"/>
          <w:bCs/>
          <w:sz w:val="28"/>
          <w:szCs w:val="28"/>
        </w:rPr>
      </w:pPr>
      <w:r>
        <w:rPr>
          <w:rFonts w:hint="eastAsia" w:ascii="仿宋" w:hAnsi="仿宋" w:eastAsia="仿宋" w:cs="仿宋"/>
          <w:bCs/>
          <w:sz w:val="28"/>
          <w:szCs w:val="28"/>
        </w:rPr>
        <w:t xml:space="preserve">       企业法定代表人：</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（签字或盖章）</w:t>
      </w:r>
    </w:p>
    <w:p w14:paraId="60A3D1B5">
      <w:pPr>
        <w:autoSpaceDE w:val="0"/>
        <w:autoSpaceDN w:val="0"/>
        <w:spacing w:line="360" w:lineRule="auto"/>
        <w:jc w:val="right"/>
        <w:rPr>
          <w:rFonts w:hint="eastAsia" w:ascii="仿宋" w:hAnsi="仿宋" w:eastAsia="仿宋" w:cs="仿宋"/>
          <w:sz w:val="28"/>
          <w:szCs w:val="28"/>
          <w:lang w:val="zh-CN"/>
        </w:rPr>
      </w:pPr>
      <w:r>
        <w:rPr>
          <w:rFonts w:hint="eastAsia" w:ascii="仿宋" w:hAnsi="仿宋" w:eastAsia="仿宋" w:cs="仿宋"/>
          <w:bCs/>
          <w:sz w:val="28"/>
          <w:szCs w:val="28"/>
        </w:rPr>
        <w:t>日期：    年   月   日</w:t>
      </w:r>
    </w:p>
    <w:p w14:paraId="3311CEE2">
      <w:pPr>
        <w:pStyle w:val="4"/>
        <w:numPr>
          <w:ilvl w:val="0"/>
          <w:numId w:val="0"/>
        </w:numPr>
        <w:tabs>
          <w:tab w:val="left" w:pos="425"/>
        </w:tabs>
        <w:ind w:left="709" w:hanging="709"/>
        <w:rPr>
          <w:lang w:val="zh-CN"/>
        </w:rPr>
      </w:pPr>
      <w:r>
        <w:rPr>
          <w:lang w:val="zh-CN"/>
        </w:rPr>
        <w:br w:type="page"/>
      </w:r>
    </w:p>
    <w:p w14:paraId="3FF04792">
      <w:pPr>
        <w:numPr>
          <w:ilvl w:val="0"/>
          <w:numId w:val="0"/>
        </w:numPr>
        <w:wordWrap/>
        <w:adjustRightInd w:val="0"/>
        <w:snapToGrid w:val="0"/>
        <w:spacing w:before="157" w:beforeLines="50" w:line="560" w:lineRule="exact"/>
        <w:jc w:val="center"/>
        <w:outlineLvl w:val="9"/>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3</w:t>
      </w:r>
      <w:r>
        <w:rPr>
          <w:rFonts w:hint="eastAsia" w:ascii="楷体_GB2312" w:hAnsi="楷体_GB2312" w:eastAsia="楷体_GB2312" w:cs="楷体_GB2312"/>
          <w:b/>
          <w:bCs w:val="0"/>
          <w:color w:val="auto"/>
          <w:kern w:val="2"/>
          <w:sz w:val="32"/>
          <w:szCs w:val="32"/>
          <w:lang w:val="zh-CN" w:eastAsia="zh-CN" w:bidi="ar-SA"/>
        </w:rPr>
        <w:t>.监狱企业证明资料</w:t>
      </w:r>
    </w:p>
    <w:p w14:paraId="18E5FA77">
      <w:pPr>
        <w:adjustRightInd w:val="0"/>
        <w:snapToGrid w:val="0"/>
        <w:spacing w:line="500" w:lineRule="exact"/>
        <w:jc w:val="center"/>
        <w:rPr>
          <w:rFonts w:hint="eastAsia" w:ascii="仿宋" w:hAnsi="仿宋" w:eastAsia="仿宋" w:cs="仿宋"/>
          <w:sz w:val="28"/>
          <w:szCs w:val="28"/>
        </w:rPr>
      </w:pPr>
      <w:bookmarkStart w:id="491" w:name="_Toc28022_WPSOffice_Level3"/>
      <w:bookmarkStart w:id="492" w:name="_Toc25903_WPSOffice_Level3"/>
      <w:r>
        <w:rPr>
          <w:rFonts w:hint="eastAsia" w:ascii="仿宋" w:hAnsi="仿宋" w:eastAsia="仿宋" w:cs="仿宋"/>
          <w:b/>
          <w:spacing w:val="6"/>
          <w:sz w:val="28"/>
          <w:szCs w:val="28"/>
        </w:rPr>
        <w:t>(不属于监狱企业的无需提供)</w:t>
      </w:r>
      <w:bookmarkEnd w:id="491"/>
      <w:bookmarkEnd w:id="492"/>
    </w:p>
    <w:p w14:paraId="28DF62C0">
      <w:pPr>
        <w:adjustRightInd w:val="0"/>
        <w:snapToGrid w:val="0"/>
        <w:spacing w:line="500" w:lineRule="exact"/>
        <w:ind w:firstLine="584" w:firstLineChars="200"/>
        <w:rPr>
          <w:rFonts w:hint="eastAsia" w:ascii="仿宋" w:hAnsi="仿宋" w:eastAsia="仿宋" w:cs="仿宋"/>
          <w:sz w:val="28"/>
          <w:szCs w:val="28"/>
        </w:rPr>
      </w:pPr>
      <w:r>
        <w:rPr>
          <w:rFonts w:hint="eastAsia" w:ascii="仿宋" w:hAnsi="仿宋" w:eastAsia="仿宋" w:cs="仿宋"/>
          <w:bCs/>
          <w:spacing w:val="6"/>
          <w:kern w:val="0"/>
          <w:sz w:val="28"/>
          <w:szCs w:val="28"/>
        </w:rPr>
        <w:t>备注：</w:t>
      </w:r>
      <w:r>
        <w:rPr>
          <w:rFonts w:hint="eastAsia" w:ascii="仿宋" w:hAnsi="仿宋" w:eastAsia="仿宋" w:cs="仿宋"/>
          <w:sz w:val="28"/>
          <w:szCs w:val="28"/>
        </w:rPr>
        <w:t>按</w:t>
      </w:r>
      <w:r>
        <w:rPr>
          <w:rFonts w:hint="eastAsia" w:ascii="仿宋" w:hAnsi="仿宋" w:eastAsia="仿宋" w:cs="仿宋"/>
          <w:spacing w:val="6"/>
          <w:sz w:val="28"/>
          <w:szCs w:val="28"/>
        </w:rPr>
        <w:t>《</w:t>
      </w:r>
      <w:r>
        <w:rPr>
          <w:rFonts w:hint="eastAsia" w:ascii="仿宋" w:hAnsi="仿宋" w:eastAsia="仿宋" w:cs="仿宋"/>
          <w:sz w:val="28"/>
          <w:szCs w:val="28"/>
        </w:rPr>
        <w:t>财政部司法部关于政府采购支持监狱企业发展有关问题的通知</w:t>
      </w:r>
      <w:r>
        <w:rPr>
          <w:rFonts w:hint="eastAsia" w:ascii="仿宋" w:hAnsi="仿宋" w:eastAsia="仿宋" w:cs="仿宋"/>
          <w:spacing w:val="6"/>
          <w:sz w:val="28"/>
          <w:szCs w:val="28"/>
        </w:rPr>
        <w:t>》</w:t>
      </w:r>
      <w:r>
        <w:rPr>
          <w:rFonts w:hint="eastAsia" w:ascii="仿宋" w:hAnsi="仿宋" w:eastAsia="仿宋" w:cs="仿宋"/>
          <w:sz w:val="28"/>
          <w:szCs w:val="28"/>
        </w:rPr>
        <w:t>(财库〔2014〕68号)文件规定提供证明文件（复印件）。</w:t>
      </w:r>
    </w:p>
    <w:p w14:paraId="236015D8">
      <w:pPr>
        <w:spacing w:line="500" w:lineRule="exact"/>
        <w:ind w:firstLine="560" w:firstLineChars="200"/>
        <w:jc w:val="center"/>
        <w:rPr>
          <w:rFonts w:hint="eastAsia" w:ascii="仿宋" w:hAnsi="仿宋" w:eastAsia="仿宋" w:cs="仿宋"/>
          <w:bCs/>
          <w:sz w:val="28"/>
          <w:szCs w:val="28"/>
        </w:rPr>
      </w:pPr>
      <w:bookmarkStart w:id="493" w:name="_Toc22071_WPSOffice_Level3"/>
    </w:p>
    <w:p w14:paraId="4DF99B2C">
      <w:pPr>
        <w:spacing w:line="500" w:lineRule="exact"/>
        <w:ind w:firstLine="560" w:firstLineChars="200"/>
        <w:jc w:val="center"/>
        <w:rPr>
          <w:rFonts w:hint="eastAsia" w:ascii="仿宋" w:hAnsi="仿宋" w:eastAsia="仿宋" w:cs="仿宋"/>
          <w:bCs/>
          <w:sz w:val="28"/>
          <w:szCs w:val="28"/>
        </w:rPr>
      </w:pPr>
      <w:r>
        <w:rPr>
          <w:rFonts w:hint="eastAsia" w:ascii="仿宋" w:hAnsi="仿宋" w:eastAsia="仿宋" w:cs="仿宋"/>
          <w:bCs/>
          <w:sz w:val="28"/>
          <w:szCs w:val="28"/>
        </w:rPr>
        <w:t xml:space="preserve">               </w:t>
      </w:r>
    </w:p>
    <w:p w14:paraId="464EBCE1">
      <w:pPr>
        <w:spacing w:line="500" w:lineRule="exact"/>
        <w:ind w:firstLine="560" w:firstLineChars="200"/>
        <w:jc w:val="center"/>
        <w:rPr>
          <w:rFonts w:hint="eastAsia" w:ascii="仿宋" w:hAnsi="仿宋" w:eastAsia="仿宋" w:cs="仿宋"/>
          <w:bCs/>
          <w:sz w:val="28"/>
          <w:szCs w:val="28"/>
        </w:rPr>
      </w:pPr>
    </w:p>
    <w:p w14:paraId="407AD042">
      <w:pPr>
        <w:spacing w:line="500" w:lineRule="exact"/>
        <w:ind w:firstLine="560" w:firstLineChars="200"/>
        <w:jc w:val="center"/>
        <w:rPr>
          <w:rFonts w:hint="eastAsia" w:ascii="仿宋" w:hAnsi="仿宋" w:eastAsia="仿宋" w:cs="仿宋"/>
          <w:bCs/>
          <w:sz w:val="28"/>
          <w:szCs w:val="28"/>
        </w:rPr>
      </w:pPr>
    </w:p>
    <w:p w14:paraId="1A3186EC">
      <w:pPr>
        <w:spacing w:line="500" w:lineRule="exact"/>
        <w:ind w:firstLine="560" w:firstLineChars="200"/>
        <w:jc w:val="center"/>
        <w:rPr>
          <w:rFonts w:hint="eastAsia" w:ascii="仿宋" w:hAnsi="仿宋" w:eastAsia="仿宋" w:cs="仿宋"/>
          <w:bCs/>
          <w:sz w:val="28"/>
          <w:szCs w:val="28"/>
        </w:rPr>
      </w:pPr>
    </w:p>
    <w:bookmarkEnd w:id="493"/>
    <w:p w14:paraId="2443A9A7">
      <w:pPr>
        <w:autoSpaceDE w:val="0"/>
        <w:autoSpaceDN w:val="0"/>
        <w:spacing w:line="360" w:lineRule="auto"/>
        <w:jc w:val="right"/>
        <w:rPr>
          <w:rFonts w:hint="eastAsia" w:ascii="仿宋" w:hAnsi="仿宋" w:eastAsia="仿宋" w:cs="仿宋"/>
          <w:bCs/>
          <w:sz w:val="28"/>
          <w:szCs w:val="28"/>
        </w:rPr>
      </w:pPr>
      <w:r>
        <w:rPr>
          <w:rFonts w:hint="eastAsia" w:ascii="仿宋" w:hAnsi="仿宋" w:eastAsia="仿宋" w:cs="仿宋"/>
          <w:bCs/>
          <w:sz w:val="28"/>
          <w:szCs w:val="28"/>
        </w:rPr>
        <w:t>企业名称：</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（公章）</w:t>
      </w:r>
    </w:p>
    <w:p w14:paraId="670A7481">
      <w:pPr>
        <w:autoSpaceDE w:val="0"/>
        <w:autoSpaceDN w:val="0"/>
        <w:spacing w:line="360" w:lineRule="auto"/>
        <w:jc w:val="right"/>
        <w:rPr>
          <w:rFonts w:hint="eastAsia" w:ascii="仿宋" w:hAnsi="仿宋" w:eastAsia="仿宋" w:cs="仿宋"/>
          <w:bCs/>
          <w:sz w:val="28"/>
          <w:szCs w:val="28"/>
        </w:rPr>
      </w:pPr>
      <w:r>
        <w:rPr>
          <w:rFonts w:hint="eastAsia" w:ascii="仿宋" w:hAnsi="仿宋" w:eastAsia="仿宋" w:cs="仿宋"/>
          <w:bCs/>
          <w:sz w:val="28"/>
          <w:szCs w:val="28"/>
        </w:rPr>
        <w:t xml:space="preserve">       企业法定代表人：</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（签字或盖章）</w:t>
      </w:r>
    </w:p>
    <w:p w14:paraId="27720731">
      <w:pPr>
        <w:autoSpaceDE w:val="0"/>
        <w:autoSpaceDN w:val="0"/>
        <w:spacing w:line="360" w:lineRule="auto"/>
        <w:jc w:val="right"/>
        <w:rPr>
          <w:rFonts w:hint="eastAsia" w:ascii="仿宋" w:hAnsi="仿宋" w:eastAsia="仿宋" w:cs="仿宋"/>
          <w:sz w:val="28"/>
          <w:szCs w:val="28"/>
          <w:lang w:val="zh-CN"/>
        </w:rPr>
      </w:pPr>
      <w:r>
        <w:rPr>
          <w:rFonts w:hint="eastAsia" w:ascii="仿宋" w:hAnsi="仿宋" w:eastAsia="仿宋" w:cs="仿宋"/>
          <w:bCs/>
          <w:sz w:val="28"/>
          <w:szCs w:val="28"/>
        </w:rPr>
        <w:t>日期：    年   月   日</w:t>
      </w:r>
    </w:p>
    <w:p w14:paraId="56DA2C3E">
      <w:pPr>
        <w:widowControl w:val="0"/>
        <w:wordWrap/>
        <w:adjustRightInd w:val="0"/>
        <w:snapToGrid w:val="0"/>
        <w:spacing w:line="560" w:lineRule="exact"/>
        <w:ind w:firstLine="664" w:firstLineChars="200"/>
        <w:textAlignment w:val="auto"/>
        <w:outlineLvl w:val="9"/>
        <w:rPr>
          <w:rFonts w:hint="eastAsia" w:ascii="仿宋_GB2312" w:hAnsi="仿宋_GB2312" w:eastAsia="仿宋_GB2312" w:cs="仿宋_GB2312"/>
          <w:color w:val="auto"/>
          <w:spacing w:val="6"/>
          <w:sz w:val="32"/>
          <w:szCs w:val="32"/>
        </w:rPr>
      </w:pPr>
    </w:p>
    <w:p w14:paraId="5F83E77C">
      <w:pPr>
        <w:widowControl w:val="0"/>
        <w:wordWrap/>
        <w:adjustRightInd w:val="0"/>
        <w:snapToGrid w:val="0"/>
        <w:spacing w:line="560" w:lineRule="exact"/>
        <w:ind w:firstLine="664" w:firstLineChars="200"/>
        <w:textAlignment w:val="auto"/>
        <w:outlineLvl w:val="9"/>
        <w:rPr>
          <w:rFonts w:hint="eastAsia" w:ascii="仿宋_GB2312" w:hAnsi="仿宋_GB2312" w:eastAsia="仿宋_GB2312" w:cs="仿宋_GB2312"/>
          <w:color w:val="auto"/>
          <w:spacing w:val="6"/>
          <w:sz w:val="32"/>
          <w:szCs w:val="32"/>
        </w:rPr>
      </w:pPr>
    </w:p>
    <w:p w14:paraId="29F2CD82">
      <w:pPr>
        <w:wordWrap/>
        <w:adjustRightInd w:val="0"/>
        <w:snapToGrid w:val="0"/>
        <w:spacing w:before="157" w:beforeLines="50" w:line="560" w:lineRule="exact"/>
        <w:ind w:firstLine="444" w:firstLineChars="200"/>
        <w:outlineLvl w:val="9"/>
        <w:rPr>
          <w:rFonts w:ascii="宋体" w:hAnsi="宋体"/>
          <w:color w:val="auto"/>
          <w:spacing w:val="6"/>
          <w:szCs w:val="21"/>
        </w:rPr>
      </w:pPr>
    </w:p>
    <w:p w14:paraId="561AFF6C">
      <w:pPr>
        <w:widowControl/>
        <w:wordWrap/>
        <w:snapToGrid w:val="0"/>
        <w:spacing w:before="157" w:beforeLines="50" w:line="560" w:lineRule="exact"/>
        <w:outlineLvl w:val="1"/>
        <w:rPr>
          <w:rFonts w:hint="eastAsia" w:ascii="楷体_GB2312" w:hAnsi="楷体_GB2312" w:eastAsia="楷体_GB2312" w:cs="楷体_GB2312"/>
          <w:b/>
          <w:bCs w:val="0"/>
          <w:color w:val="auto"/>
          <w:kern w:val="2"/>
          <w:sz w:val="32"/>
          <w:szCs w:val="32"/>
          <w:lang w:val="en-US" w:eastAsia="zh-CN" w:bidi="ar-SA"/>
        </w:rPr>
      </w:pPr>
      <w:bookmarkStart w:id="494" w:name="_Toc21346"/>
      <w:bookmarkStart w:id="495" w:name="_Toc12068_WPSOffice_Level3"/>
      <w:bookmarkStart w:id="496" w:name="_Toc21988"/>
      <w:bookmarkStart w:id="497" w:name="_Toc23033_WPSOffice_Level3"/>
    </w:p>
    <w:p w14:paraId="30BAF79C">
      <w:pPr>
        <w:widowControl/>
        <w:wordWrap/>
        <w:snapToGrid w:val="0"/>
        <w:spacing w:before="157" w:beforeLines="50" w:line="560" w:lineRule="exact"/>
        <w:outlineLvl w:val="1"/>
        <w:rPr>
          <w:rFonts w:hint="eastAsia" w:ascii="楷体_GB2312" w:hAnsi="楷体_GB2312" w:eastAsia="楷体_GB2312" w:cs="楷体_GB2312"/>
          <w:b/>
          <w:bCs w:val="0"/>
          <w:color w:val="auto"/>
          <w:kern w:val="2"/>
          <w:sz w:val="32"/>
          <w:szCs w:val="32"/>
          <w:lang w:val="en-US" w:eastAsia="zh-CN" w:bidi="ar-SA"/>
        </w:rPr>
      </w:pPr>
    </w:p>
    <w:p w14:paraId="21997112">
      <w:pPr>
        <w:widowControl/>
        <w:wordWrap/>
        <w:snapToGrid w:val="0"/>
        <w:spacing w:before="157" w:beforeLines="50" w:line="560" w:lineRule="exact"/>
        <w:outlineLvl w:val="1"/>
        <w:rPr>
          <w:rFonts w:hint="eastAsia" w:ascii="楷体_GB2312" w:hAnsi="楷体_GB2312" w:eastAsia="楷体_GB2312" w:cs="楷体_GB2312"/>
          <w:b/>
          <w:bCs w:val="0"/>
          <w:color w:val="auto"/>
          <w:kern w:val="2"/>
          <w:sz w:val="32"/>
          <w:szCs w:val="32"/>
          <w:lang w:val="en-US" w:eastAsia="zh-CN" w:bidi="ar-SA"/>
        </w:rPr>
      </w:pPr>
    </w:p>
    <w:p w14:paraId="5AD4CFBE">
      <w:pPr>
        <w:widowControl/>
        <w:wordWrap/>
        <w:snapToGrid w:val="0"/>
        <w:spacing w:before="157" w:beforeLines="50" w:line="560" w:lineRule="exact"/>
        <w:outlineLvl w:val="1"/>
        <w:rPr>
          <w:rFonts w:hint="eastAsia" w:ascii="楷体_GB2312" w:hAnsi="楷体_GB2312" w:eastAsia="楷体_GB2312" w:cs="楷体_GB2312"/>
          <w:b/>
          <w:bCs w:val="0"/>
          <w:color w:val="auto"/>
          <w:kern w:val="2"/>
          <w:sz w:val="32"/>
          <w:szCs w:val="32"/>
          <w:lang w:val="en-US" w:eastAsia="zh-CN" w:bidi="ar-SA"/>
        </w:rPr>
      </w:pPr>
    </w:p>
    <w:p w14:paraId="0E7F9675">
      <w:pPr>
        <w:widowControl/>
        <w:wordWrap/>
        <w:snapToGrid w:val="0"/>
        <w:spacing w:before="157" w:beforeLines="50" w:line="560" w:lineRule="exact"/>
        <w:outlineLvl w:val="1"/>
        <w:rPr>
          <w:rFonts w:hint="eastAsia" w:ascii="楷体_GB2312" w:hAnsi="楷体_GB2312" w:eastAsia="楷体_GB2312" w:cs="楷体_GB2312"/>
          <w:b/>
          <w:bCs w:val="0"/>
          <w:color w:val="auto"/>
          <w:kern w:val="2"/>
          <w:sz w:val="32"/>
          <w:szCs w:val="32"/>
          <w:lang w:val="en-US" w:eastAsia="zh-CN" w:bidi="ar-SA"/>
        </w:rPr>
      </w:pPr>
    </w:p>
    <w:p w14:paraId="0D18FDC7">
      <w:pPr>
        <w:widowControl/>
        <w:wordWrap/>
        <w:snapToGrid w:val="0"/>
        <w:spacing w:before="157" w:beforeLines="50" w:line="560" w:lineRule="exact"/>
        <w:outlineLvl w:val="1"/>
        <w:rPr>
          <w:rFonts w:hint="eastAsia" w:ascii="楷体_GB2312" w:hAnsi="楷体_GB2312" w:eastAsia="楷体_GB2312" w:cs="楷体_GB2312"/>
          <w:b/>
          <w:bCs w:val="0"/>
          <w:color w:val="auto"/>
          <w:kern w:val="2"/>
          <w:sz w:val="32"/>
          <w:szCs w:val="32"/>
          <w:lang w:val="en-US" w:eastAsia="zh-CN" w:bidi="ar-SA"/>
        </w:rPr>
      </w:pPr>
    </w:p>
    <w:p w14:paraId="31AC7A1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0"/>
        <w:jc w:val="center"/>
        <w:rPr>
          <w:rFonts w:hint="eastAsia" w:ascii="楷体_GB2312" w:hAnsi="楷体_GB2312" w:eastAsia="楷体_GB2312" w:cs="楷体_GB2312"/>
          <w:b/>
          <w:bCs w:val="0"/>
          <w:color w:val="auto"/>
          <w:kern w:val="2"/>
          <w:sz w:val="32"/>
          <w:szCs w:val="32"/>
          <w:lang w:val="en-US" w:eastAsia="zh-CN" w:bidi="ar-SA"/>
        </w:rPr>
      </w:pPr>
    </w:p>
    <w:p w14:paraId="309702C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0"/>
        <w:jc w:val="center"/>
        <w:rPr>
          <w:rFonts w:hint="eastAsia" w:ascii="楷体_GB2312" w:hAnsi="楷体_GB2312" w:eastAsia="楷体_GB2312" w:cs="楷体_GB2312"/>
          <w:b/>
          <w:bCs w:val="0"/>
          <w:color w:val="auto"/>
          <w:kern w:val="2"/>
          <w:sz w:val="32"/>
          <w:szCs w:val="32"/>
          <w:lang w:val="en-US" w:eastAsia="zh-CN" w:bidi="ar-SA"/>
        </w:rPr>
      </w:pPr>
    </w:p>
    <w:p w14:paraId="44B7B97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0"/>
        <w:jc w:val="center"/>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4.</w:t>
      </w:r>
      <w:r>
        <w:rPr>
          <w:rFonts w:hint="default" w:ascii="楷体_GB2312" w:hAnsi="楷体_GB2312" w:eastAsia="楷体_GB2312" w:cs="楷体_GB2312"/>
          <w:b/>
          <w:bCs w:val="0"/>
          <w:color w:val="auto"/>
          <w:kern w:val="2"/>
          <w:sz w:val="32"/>
          <w:szCs w:val="32"/>
          <w:lang w:val="en-US" w:eastAsia="zh-CN" w:bidi="ar-SA"/>
        </w:rPr>
        <w:t>关于符合本国产品标准的声明函</w:t>
      </w:r>
    </w:p>
    <w:p w14:paraId="0315332D">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p>
    <w:p w14:paraId="5AE5499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 w:beforeAutospacing="0" w:after="30" w:afterAutospacing="0" w:line="500" w:lineRule="exact"/>
        <w:ind w:right="0" w:firstLine="480" w:firstLineChars="2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C1FF8C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1.（产品名称1）</w:t>
      </w:r>
      <w:r>
        <w:rPr>
          <w:rFonts w:hint="eastAsia" w:ascii="仿宋" w:hAnsi="仿宋" w:eastAsia="仿宋" w:cs="仿宋"/>
          <w:i w:val="0"/>
          <w:iCs w:val="0"/>
          <w:caps w:val="0"/>
          <w:color w:val="auto"/>
          <w:spacing w:val="0"/>
          <w:sz w:val="24"/>
          <w:szCs w:val="24"/>
          <w:highlight w:val="none"/>
          <w:shd w:val="clear" w:color="auto" w:fill="FFFFFF"/>
          <w:vertAlign w:val="superscript"/>
        </w:rPr>
        <w:t>1</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，生产厂为（厂名）</w:t>
      </w:r>
      <w:r>
        <w:rPr>
          <w:rFonts w:hint="eastAsia" w:ascii="仿宋" w:hAnsi="仿宋" w:eastAsia="仿宋" w:cs="仿宋"/>
          <w:i w:val="0"/>
          <w:iCs w:val="0"/>
          <w:caps w:val="0"/>
          <w:color w:val="auto"/>
          <w:spacing w:val="0"/>
          <w:sz w:val="24"/>
          <w:szCs w:val="24"/>
          <w:highlight w:val="none"/>
          <w:shd w:val="clear" w:color="auto" w:fill="FFFFFF"/>
          <w:vertAlign w:val="superscript"/>
        </w:rPr>
        <w:t>2</w:t>
      </w:r>
      <w:r>
        <w:rPr>
          <w:rFonts w:hint="eastAsia" w:ascii="仿宋" w:hAnsi="仿宋" w:eastAsia="仿宋" w:cs="仿宋"/>
          <w:i w:val="0"/>
          <w:iCs w:val="0"/>
          <w:caps w:val="0"/>
          <w:color w:val="auto"/>
          <w:spacing w:val="0"/>
          <w:sz w:val="24"/>
          <w:szCs w:val="24"/>
          <w:highlight w:val="none"/>
          <w:shd w:val="clear" w:color="auto" w:fill="FFFFFF"/>
          <w:vertAlign w:val="superscript"/>
          <w:lang w:val="en-US" w:eastAsia="zh-CN"/>
        </w:rPr>
        <w:t xml:space="preserve"> </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，厂址为（生产厂址）</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。（产品名称1）</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（规定比例）</w:t>
      </w:r>
      <w:r>
        <w:rPr>
          <w:rFonts w:hint="eastAsia" w:ascii="仿宋" w:hAnsi="仿宋" w:eastAsia="仿宋" w:cs="仿宋"/>
          <w:i w:val="0"/>
          <w:iCs w:val="0"/>
          <w:caps w:val="0"/>
          <w:color w:val="auto"/>
          <w:spacing w:val="0"/>
          <w:sz w:val="24"/>
          <w:szCs w:val="24"/>
          <w:highlight w:val="none"/>
          <w:shd w:val="clear" w:color="auto" w:fill="FFFFFF"/>
          <w:vertAlign w:val="superscript"/>
        </w:rPr>
        <w:t>3</w:t>
      </w:r>
      <w:r>
        <w:rPr>
          <w:rFonts w:hint="eastAsia" w:ascii="仿宋" w:hAnsi="仿宋" w:eastAsia="仿宋" w:cs="仿宋"/>
          <w:i w:val="0"/>
          <w:iCs w:val="0"/>
          <w:caps w:val="0"/>
          <w:color w:val="auto"/>
          <w:spacing w:val="0"/>
          <w:sz w:val="24"/>
          <w:szCs w:val="24"/>
          <w:highlight w:val="none"/>
          <w:shd w:val="clear" w:color="auto" w:fill="FFFFFF"/>
          <w:vertAlign w:val="superscript"/>
          <w:lang w:val="en-US" w:eastAsia="zh-CN"/>
        </w:rPr>
        <w:t xml:space="preserve"> </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。（产品名称1）</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的（关键组件）</w:t>
      </w:r>
      <w:r>
        <w:rPr>
          <w:rFonts w:hint="eastAsia" w:ascii="仿宋" w:hAnsi="仿宋" w:eastAsia="仿宋" w:cs="仿宋"/>
          <w:i w:val="0"/>
          <w:iCs w:val="0"/>
          <w:caps w:val="0"/>
          <w:color w:val="auto"/>
          <w:spacing w:val="0"/>
          <w:sz w:val="24"/>
          <w:szCs w:val="24"/>
          <w:highlight w:val="none"/>
          <w:shd w:val="clear" w:color="auto" w:fill="FFFFFF"/>
          <w:vertAlign w:val="superscript"/>
        </w:rPr>
        <w:t>4</w:t>
      </w:r>
      <w:r>
        <w:rPr>
          <w:rFonts w:hint="eastAsia" w:ascii="仿宋" w:hAnsi="仿宋" w:eastAsia="仿宋" w:cs="仿宋"/>
          <w:i w:val="0"/>
          <w:iCs w:val="0"/>
          <w:caps w:val="0"/>
          <w:color w:val="auto"/>
          <w:spacing w:val="0"/>
          <w:sz w:val="24"/>
          <w:szCs w:val="24"/>
          <w:highlight w:val="none"/>
          <w:shd w:val="clear" w:color="auto" w:fill="FFFFFF"/>
          <w:vertAlign w:val="superscript"/>
          <w:lang w:val="en-US" w:eastAsia="zh-CN"/>
        </w:rPr>
        <w:t xml:space="preserve"> </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在中国境内生产。（产品名称1）</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的（关键工序）</w:t>
      </w:r>
      <w:r>
        <w:rPr>
          <w:rFonts w:hint="eastAsia" w:ascii="仿宋" w:hAnsi="仿宋" w:eastAsia="仿宋" w:cs="仿宋"/>
          <w:i w:val="0"/>
          <w:iCs w:val="0"/>
          <w:caps w:val="0"/>
          <w:color w:val="auto"/>
          <w:spacing w:val="0"/>
          <w:sz w:val="24"/>
          <w:szCs w:val="24"/>
          <w:highlight w:val="none"/>
          <w:shd w:val="clear" w:color="auto" w:fill="FFFFFF"/>
          <w:vertAlign w:val="superscript"/>
        </w:rPr>
        <w:t>5</w:t>
      </w:r>
      <w:r>
        <w:rPr>
          <w:rFonts w:hint="eastAsia" w:ascii="仿宋" w:hAnsi="仿宋" w:eastAsia="仿宋" w:cs="仿宋"/>
          <w:i w:val="0"/>
          <w:iCs w:val="0"/>
          <w:caps w:val="0"/>
          <w:color w:val="auto"/>
          <w:spacing w:val="0"/>
          <w:sz w:val="24"/>
          <w:szCs w:val="24"/>
          <w:highlight w:val="none"/>
          <w:shd w:val="clear" w:color="auto" w:fill="FFFFFF"/>
          <w:vertAlign w:val="superscript"/>
          <w:lang w:val="en-US" w:eastAsia="zh-CN"/>
        </w:rPr>
        <w:t xml:space="preserve"> </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3E402B5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2.（产品名称2）</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，生产厂为（厂名）</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，厂址为（生产厂址）</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。（产品名称2）</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（规定比例）。（产品名称2）</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的（关键组件）</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在中国境内生产。（产品名称2）</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的（关键工序）</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70A1C15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w:t>
      </w:r>
    </w:p>
    <w:p w14:paraId="22F9529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本公司（单位）对上述声明内容的真实性负责。如有虚假，愿承担相应法律责任。</w:t>
      </w:r>
    </w:p>
    <w:p w14:paraId="215CA4F9">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0"/>
        <w:rPr>
          <w:rFonts w:hint="eastAsia" w:ascii="仿宋" w:hAnsi="仿宋" w:eastAsia="仿宋" w:cs="仿宋"/>
          <w:i w:val="0"/>
          <w:iCs w:val="0"/>
          <w:caps w:val="0"/>
          <w:color w:val="auto"/>
          <w:spacing w:val="0"/>
          <w:sz w:val="24"/>
          <w:szCs w:val="24"/>
          <w:highlight w:val="none"/>
        </w:rPr>
      </w:pPr>
    </w:p>
    <w:p w14:paraId="5EE604D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公司（单位）名称（盖章）：　        </w:t>
      </w:r>
    </w:p>
    <w:p w14:paraId="3685B07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0"/>
        <w:jc w:val="right"/>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4"/>
          <w:szCs w:val="24"/>
          <w:highlight w:val="none"/>
          <w:shd w:val="clear" w:color="auto" w:fill="FFFFFF"/>
        </w:rPr>
        <w:t> </w:t>
      </w: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日期：　     年　  月　  日</w:t>
      </w:r>
      <w:r>
        <w:rPr>
          <w:rFonts w:hint="eastAsia" w:ascii="仿宋" w:hAnsi="仿宋" w:eastAsia="仿宋" w:cs="仿宋"/>
          <w:i w:val="0"/>
          <w:iCs w:val="0"/>
          <w:caps w:val="0"/>
          <w:color w:val="auto"/>
          <w:spacing w:val="0"/>
          <w:sz w:val="28"/>
          <w:szCs w:val="28"/>
          <w:highlight w:val="none"/>
          <w:shd w:val="clear" w:color="auto" w:fill="FFFFFF"/>
        </w:rPr>
        <w:t>    </w:t>
      </w:r>
      <w:r>
        <w:rPr>
          <w:rFonts w:hint="eastAsia" w:ascii="仿宋" w:hAnsi="仿宋" w:eastAsia="仿宋" w:cs="仿宋"/>
          <w:i w:val="0"/>
          <w:iCs w:val="0"/>
          <w:caps w:val="0"/>
          <w:color w:val="auto"/>
          <w:spacing w:val="0"/>
          <w:sz w:val="30"/>
          <w:szCs w:val="30"/>
          <w:highlight w:val="none"/>
          <w:shd w:val="clear" w:color="auto" w:fill="FFFFFF"/>
        </w:rPr>
        <w:t>     </w:t>
      </w:r>
    </w:p>
    <w:p w14:paraId="3905A27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0"/>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30"/>
          <w:szCs w:val="30"/>
          <w:highlight w:val="none"/>
          <w:shd w:val="clear" w:color="auto" w:fill="FFFFFF"/>
        </w:rPr>
        <w:t>__________________</w:t>
      </w:r>
    </w:p>
    <w:p w14:paraId="4E8933F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420"/>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shd w:val="clear" w:color="auto" w:fill="FFFFFF"/>
        </w:rPr>
        <w:t>1.产品如有型号，请在“产品名称”栏一并填写。</w:t>
      </w:r>
    </w:p>
    <w:p w14:paraId="0B42B02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420"/>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shd w:val="clear" w:color="auto" w:fill="FFFFFF"/>
        </w:rPr>
        <w:t>2.生产厂名与厂址应与生产厂营业执照载明的相关信息保持一致。</w:t>
      </w:r>
    </w:p>
    <w:p w14:paraId="466ECF9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420"/>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shd w:val="clear" w:color="auto" w:fill="FFFFFF"/>
        </w:rPr>
        <w:t>3.该产品的中国境内生产的组件成本占比相关要求实施前，“规定比例”栏可不填，下同。</w:t>
      </w:r>
    </w:p>
    <w:p w14:paraId="5942D80D">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420"/>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4.该产品的关键组件要求实施前，“关键组件”栏可不填，下同。</w:t>
      </w:r>
    </w:p>
    <w:p w14:paraId="4948AED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420"/>
        <w:rPr>
          <w:rFonts w:hint="eastAsia" w:ascii="宋体" w:hAnsi="宋体" w:eastAsia="宋体" w:cs="宋体"/>
          <w:i w:val="0"/>
          <w:iCs w:val="0"/>
          <w:caps w:val="0"/>
          <w:color w:val="auto"/>
          <w:spacing w:val="0"/>
          <w:sz w:val="21"/>
          <w:szCs w:val="21"/>
          <w:highlight w:val="none"/>
          <w:shd w:val="clear" w:color="auto" w:fill="FFFFFF"/>
          <w:lang w:val="zh-CN"/>
        </w:rPr>
      </w:pPr>
      <w:r>
        <w:rPr>
          <w:rFonts w:hint="eastAsia" w:ascii="仿宋" w:hAnsi="仿宋" w:eastAsia="仿宋" w:cs="仿宋"/>
          <w:i w:val="0"/>
          <w:iCs w:val="0"/>
          <w:caps w:val="0"/>
          <w:color w:val="auto"/>
          <w:spacing w:val="0"/>
          <w:sz w:val="21"/>
          <w:szCs w:val="21"/>
          <w:highlight w:val="none"/>
          <w:shd w:val="clear" w:color="auto" w:fill="FFFFFF"/>
        </w:rPr>
        <w:t>5.该产品的关键工序要求实施前，“关键工序”栏可不填，下同。</w:t>
      </w:r>
    </w:p>
    <w:p w14:paraId="1949B3D5">
      <w:pPr>
        <w:widowControl/>
        <w:wordWrap/>
        <w:snapToGrid w:val="0"/>
        <w:spacing w:before="157" w:beforeLines="50" w:line="560" w:lineRule="exact"/>
        <w:outlineLvl w:val="1"/>
        <w:rPr>
          <w:rFonts w:hint="eastAsia" w:ascii="楷体_GB2312" w:hAnsi="楷体_GB2312" w:eastAsia="楷体_GB2312" w:cs="楷体_GB2312"/>
          <w:b/>
          <w:bCs w:val="0"/>
          <w:color w:val="auto"/>
          <w:kern w:val="2"/>
          <w:sz w:val="32"/>
          <w:szCs w:val="32"/>
          <w:lang w:val="en-US" w:eastAsia="zh-CN" w:bidi="ar-SA"/>
        </w:rPr>
      </w:pPr>
    </w:p>
    <w:p w14:paraId="23EEE934">
      <w:pPr>
        <w:widowControl/>
        <w:wordWrap/>
        <w:snapToGrid w:val="0"/>
        <w:spacing w:before="157" w:beforeLines="50" w:line="560" w:lineRule="exact"/>
        <w:outlineLvl w:val="1"/>
        <w:rPr>
          <w:rFonts w:hint="eastAsia" w:ascii="楷体_GB2312" w:hAnsi="楷体_GB2312" w:eastAsia="楷体_GB2312" w:cs="楷体_GB2312"/>
          <w:b/>
          <w:bCs w:val="0"/>
          <w:color w:val="auto"/>
          <w:kern w:val="2"/>
          <w:sz w:val="32"/>
          <w:szCs w:val="32"/>
          <w:lang w:val="en-US" w:eastAsia="zh-CN" w:bidi="ar-SA"/>
        </w:rPr>
      </w:pPr>
    </w:p>
    <w:p w14:paraId="3FCDF4D1">
      <w:pPr>
        <w:widowControl/>
        <w:wordWrap/>
        <w:snapToGrid w:val="0"/>
        <w:spacing w:before="157" w:beforeLines="50" w:line="560" w:lineRule="exact"/>
        <w:outlineLvl w:val="1"/>
        <w:rPr>
          <w:rFonts w:hint="eastAsia" w:ascii="楷体_GB2312" w:hAnsi="楷体_GB2312" w:eastAsia="楷体_GB2312" w:cs="楷体_GB2312"/>
          <w:b/>
          <w:bCs w:val="0"/>
          <w:color w:val="auto"/>
          <w:kern w:val="2"/>
          <w:sz w:val="32"/>
          <w:szCs w:val="32"/>
          <w:lang w:val="en-US" w:eastAsia="zh-CN" w:bidi="ar-SA"/>
        </w:rPr>
      </w:pPr>
    </w:p>
    <w:p w14:paraId="1622FF47">
      <w:pPr>
        <w:widowControl/>
        <w:wordWrap/>
        <w:snapToGrid w:val="0"/>
        <w:spacing w:before="157" w:beforeLines="50" w:line="560" w:lineRule="exact"/>
        <w:outlineLvl w:val="1"/>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附件18：谈判最后报价表</w:t>
      </w:r>
      <w:bookmarkEnd w:id="494"/>
      <w:bookmarkEnd w:id="495"/>
      <w:bookmarkEnd w:id="496"/>
      <w:bookmarkEnd w:id="497"/>
    </w:p>
    <w:p w14:paraId="0DBA92B6">
      <w:pPr>
        <w:widowControl w:val="0"/>
        <w:wordWrap/>
        <w:autoSpaceDE w:val="0"/>
        <w:autoSpaceDN w:val="0"/>
        <w:adjustRightInd w:val="0"/>
        <w:snapToGrid/>
        <w:spacing w:line="560" w:lineRule="exact"/>
        <w:ind w:left="283" w:leftChars="135"/>
        <w:jc w:val="center"/>
        <w:outlineLvl w:val="9"/>
        <w:rPr>
          <w:rFonts w:hint="eastAsia" w:ascii="楷体_GB2312" w:hAnsi="楷体_GB2312" w:eastAsia="楷体_GB2312" w:cs="楷体_GB2312"/>
          <w:b/>
          <w:bCs w:val="0"/>
          <w:color w:val="auto"/>
          <w:sz w:val="32"/>
          <w:szCs w:val="32"/>
          <w:lang w:val="en-US" w:eastAsia="zh-CN"/>
        </w:rPr>
      </w:pPr>
      <w:bookmarkStart w:id="498" w:name="_Toc27800_WPSOffice_Level2"/>
      <w:bookmarkStart w:id="499" w:name="_Toc27699_WPSOffice_Level2"/>
    </w:p>
    <w:p w14:paraId="3A23D2DC">
      <w:pPr>
        <w:widowControl w:val="0"/>
        <w:wordWrap/>
        <w:autoSpaceDE w:val="0"/>
        <w:autoSpaceDN w:val="0"/>
        <w:adjustRightInd w:val="0"/>
        <w:snapToGrid/>
        <w:spacing w:line="560" w:lineRule="exact"/>
        <w:ind w:left="283" w:leftChars="135"/>
        <w:jc w:val="center"/>
        <w:outlineLvl w:val="9"/>
        <w:rPr>
          <w:rFonts w:hint="eastAsia" w:ascii="楷体_GB2312" w:hAnsi="楷体_GB2312" w:eastAsia="楷体_GB2312" w:cs="楷体_GB2312"/>
          <w:b/>
          <w:bCs w:val="0"/>
          <w:color w:val="auto"/>
          <w:sz w:val="32"/>
          <w:szCs w:val="32"/>
          <w:lang w:val="zh-CN"/>
        </w:rPr>
      </w:pPr>
      <w:r>
        <w:rPr>
          <w:rFonts w:hint="eastAsia" w:ascii="楷体_GB2312" w:hAnsi="楷体_GB2312" w:eastAsia="楷体_GB2312" w:cs="楷体_GB2312"/>
          <w:b/>
          <w:bCs w:val="0"/>
          <w:color w:val="auto"/>
          <w:sz w:val="32"/>
          <w:szCs w:val="32"/>
          <w:lang w:val="en-US" w:eastAsia="zh-CN"/>
        </w:rPr>
        <w:t>1.</w:t>
      </w:r>
      <w:bookmarkEnd w:id="498"/>
      <w:bookmarkEnd w:id="499"/>
      <w:r>
        <w:rPr>
          <w:rFonts w:hint="eastAsia" w:ascii="楷体_GB2312" w:hAnsi="楷体_GB2312" w:eastAsia="楷体_GB2312" w:cs="楷体_GB2312"/>
          <w:b/>
          <w:bCs w:val="0"/>
          <w:color w:val="auto"/>
          <w:sz w:val="32"/>
          <w:szCs w:val="32"/>
          <w:lang w:val="en-US" w:eastAsia="zh-CN"/>
        </w:rPr>
        <w:t>谈判</w:t>
      </w:r>
      <w:r>
        <w:rPr>
          <w:rFonts w:hint="eastAsia" w:ascii="楷体_GB2312" w:hAnsi="楷体_GB2312" w:eastAsia="楷体_GB2312" w:cs="楷体_GB2312"/>
          <w:b/>
          <w:bCs w:val="0"/>
          <w:color w:val="auto"/>
          <w:kern w:val="2"/>
          <w:sz w:val="32"/>
          <w:szCs w:val="32"/>
          <w:lang w:val="en-US" w:eastAsia="zh-CN" w:bidi="ar-SA"/>
        </w:rPr>
        <w:t>最后报价表</w:t>
      </w:r>
    </w:p>
    <w:p w14:paraId="62CF3AB0">
      <w:pPr>
        <w:widowControl w:val="0"/>
        <w:wordWrap/>
        <w:snapToGrid/>
        <w:spacing w:line="560" w:lineRule="exact"/>
        <w:ind w:left="283" w:leftChars="135"/>
        <w:outlineLvl w:val="9"/>
        <w:rPr>
          <w:rFonts w:hint="eastAsia" w:ascii="仿宋_GB2312" w:hAnsi="仿宋_GB2312" w:eastAsia="仿宋_GB2312" w:cs="仿宋_GB2312"/>
          <w:b/>
          <w:bCs w:val="0"/>
          <w:color w:val="auto"/>
          <w:sz w:val="32"/>
          <w:szCs w:val="32"/>
        </w:rPr>
      </w:pPr>
      <w:bookmarkStart w:id="500" w:name="_Toc31451_WPSOffice_Level2"/>
      <w:bookmarkStart w:id="501" w:name="_Toc26632_WPSOffice_Level2"/>
      <w:r>
        <w:rPr>
          <w:rFonts w:hint="eastAsia" w:ascii="仿宋_GB2312" w:hAnsi="仿宋_GB2312" w:eastAsia="仿宋_GB2312" w:cs="仿宋_GB2312"/>
          <w:b/>
          <w:bCs w:val="0"/>
          <w:color w:val="auto"/>
          <w:sz w:val="32"/>
          <w:szCs w:val="32"/>
        </w:rPr>
        <w:t>项目名称：</w:t>
      </w:r>
      <w:bookmarkEnd w:id="500"/>
      <w:bookmarkEnd w:id="501"/>
      <w:r>
        <w:rPr>
          <w:rFonts w:hint="eastAsia" w:ascii="仿宋_GB2312" w:hAnsi="仿宋_GB2312" w:eastAsia="仿宋_GB2312" w:cs="仿宋_GB2312"/>
          <w:b/>
          <w:bCs w:val="0"/>
          <w:color w:val="auto"/>
          <w:sz w:val="32"/>
          <w:szCs w:val="32"/>
        </w:rPr>
        <w:t xml:space="preserve">                                           </w:t>
      </w:r>
    </w:p>
    <w:p w14:paraId="32B65366">
      <w:pPr>
        <w:wordWrap/>
        <w:spacing w:before="157" w:beforeLines="50" w:line="560" w:lineRule="exact"/>
        <w:ind w:firstLine="321" w:firstLineChars="100"/>
        <w:outlineLvl w:val="9"/>
        <w:rPr>
          <w:rFonts w:hint="eastAsia" w:ascii="仿宋_GB2312" w:hAnsi="仿宋_GB2312" w:eastAsia="仿宋_GB2312" w:cs="仿宋_GB2312"/>
          <w:bCs/>
          <w:color w:val="auto"/>
          <w:sz w:val="32"/>
          <w:szCs w:val="32"/>
        </w:rPr>
      </w:pPr>
      <w:bookmarkStart w:id="502" w:name="_Toc16830_WPSOffice_Level2"/>
      <w:bookmarkStart w:id="503" w:name="_Toc18301_WPSOffice_Level2"/>
      <w:r>
        <w:rPr>
          <w:rFonts w:hint="eastAsia" w:ascii="仿宋_GB2312" w:hAnsi="仿宋_GB2312" w:eastAsia="仿宋_GB2312" w:cs="仿宋_GB2312"/>
          <w:b/>
          <w:bCs w:val="0"/>
          <w:color w:val="auto"/>
          <w:sz w:val="32"/>
          <w:szCs w:val="32"/>
        </w:rPr>
        <w:t>项目编号：</w:t>
      </w:r>
      <w:r>
        <w:rPr>
          <w:rFonts w:hint="eastAsia" w:ascii="仿宋_GB2312" w:hAnsi="仿宋_GB2312" w:eastAsia="仿宋_GB2312" w:cs="仿宋_GB2312"/>
          <w:b/>
          <w:bCs w:val="0"/>
          <w:color w:val="auto"/>
          <w:sz w:val="32"/>
          <w:szCs w:val="32"/>
          <w:lang w:val="en-US" w:eastAsia="zh-CN"/>
        </w:rPr>
        <w:t xml:space="preserve">                            </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bCs/>
          <w:color w:val="auto"/>
          <w:sz w:val="32"/>
          <w:szCs w:val="32"/>
        </w:rPr>
        <w:t>人民币(元)</w:t>
      </w:r>
      <w:bookmarkEnd w:id="502"/>
      <w:bookmarkEnd w:id="503"/>
    </w:p>
    <w:tbl>
      <w:tblPr>
        <w:tblStyle w:val="20"/>
        <w:tblpPr w:leftFromText="180" w:rightFromText="180" w:vertAnchor="text" w:horzAnchor="page" w:tblpX="1972" w:tblpY="1319"/>
        <w:tblOverlap w:val="never"/>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4"/>
        <w:gridCol w:w="3108"/>
        <w:gridCol w:w="1858"/>
      </w:tblGrid>
      <w:tr w14:paraId="3473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3534" w:type="dxa"/>
            <w:vAlign w:val="center"/>
          </w:tcPr>
          <w:p w14:paraId="7FA214C2">
            <w:pPr>
              <w:widowControl w:val="0"/>
              <w:wordWrap/>
              <w:snapToGrid/>
              <w:spacing w:line="560" w:lineRule="exact"/>
              <w:ind w:left="283" w:leftChars="135"/>
              <w:jc w:val="center"/>
              <w:outlineLvl w:val="9"/>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最初报价</w:t>
            </w:r>
          </w:p>
        </w:tc>
        <w:tc>
          <w:tcPr>
            <w:tcW w:w="3108" w:type="dxa"/>
            <w:vAlign w:val="center"/>
          </w:tcPr>
          <w:p w14:paraId="1D919EC1">
            <w:pPr>
              <w:widowControl w:val="0"/>
              <w:wordWrap/>
              <w:snapToGrid/>
              <w:spacing w:line="560" w:lineRule="exact"/>
              <w:ind w:left="283" w:leftChars="135"/>
              <w:jc w:val="center"/>
              <w:outlineLvl w:val="9"/>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eastAsia="zh-CN"/>
              </w:rPr>
              <w:t>最后报价</w:t>
            </w:r>
          </w:p>
        </w:tc>
        <w:tc>
          <w:tcPr>
            <w:tcW w:w="1858" w:type="dxa"/>
            <w:vAlign w:val="center"/>
          </w:tcPr>
          <w:p w14:paraId="7517207D">
            <w:pPr>
              <w:widowControl w:val="0"/>
              <w:wordWrap/>
              <w:snapToGrid/>
              <w:spacing w:line="560" w:lineRule="exact"/>
              <w:jc w:val="center"/>
              <w:outlineLvl w:val="9"/>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交货期</w:t>
            </w:r>
          </w:p>
        </w:tc>
      </w:tr>
      <w:tr w14:paraId="7E0D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534" w:type="dxa"/>
            <w:tcBorders>
              <w:left w:val="single" w:color="auto" w:sz="4" w:space="0"/>
            </w:tcBorders>
            <w:vAlign w:val="center"/>
          </w:tcPr>
          <w:p w14:paraId="544E1833">
            <w:pPr>
              <w:widowControl w:val="0"/>
              <w:wordWrap/>
              <w:adjustRightInd w:val="0"/>
              <w:snapToGrid/>
              <w:spacing w:line="560" w:lineRule="exact"/>
              <w:textAlignment w:val="baseline"/>
              <w:outlineLvl w:val="9"/>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大写：</w:t>
            </w:r>
          </w:p>
        </w:tc>
        <w:tc>
          <w:tcPr>
            <w:tcW w:w="3108" w:type="dxa"/>
            <w:vAlign w:val="top"/>
          </w:tcPr>
          <w:p w14:paraId="4472E06F">
            <w:pPr>
              <w:widowControl w:val="0"/>
              <w:wordWrap/>
              <w:adjustRightInd w:val="0"/>
              <w:snapToGrid/>
              <w:spacing w:line="560" w:lineRule="exact"/>
              <w:textAlignment w:val="baseline"/>
              <w:outlineLvl w:val="9"/>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大写：</w:t>
            </w:r>
          </w:p>
        </w:tc>
        <w:tc>
          <w:tcPr>
            <w:tcW w:w="1858" w:type="dxa"/>
            <w:vMerge w:val="restart"/>
            <w:vAlign w:val="center"/>
          </w:tcPr>
          <w:p w14:paraId="43AA6E8F">
            <w:pPr>
              <w:widowControl w:val="0"/>
              <w:wordWrap/>
              <w:snapToGrid/>
              <w:spacing w:line="560" w:lineRule="exact"/>
              <w:ind w:left="283" w:leftChars="135"/>
              <w:jc w:val="center"/>
              <w:outlineLvl w:val="9"/>
              <w:rPr>
                <w:rFonts w:hint="eastAsia" w:ascii="仿宋_GB2312" w:hAnsi="仿宋_GB2312" w:eastAsia="仿宋_GB2312" w:cs="仿宋_GB2312"/>
                <w:b/>
                <w:bCs w:val="0"/>
                <w:color w:val="auto"/>
                <w:sz w:val="32"/>
                <w:szCs w:val="32"/>
              </w:rPr>
            </w:pPr>
          </w:p>
        </w:tc>
      </w:tr>
      <w:tr w14:paraId="1563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3534" w:type="dxa"/>
            <w:tcBorders>
              <w:left w:val="single" w:color="auto" w:sz="4" w:space="0"/>
            </w:tcBorders>
            <w:vAlign w:val="center"/>
          </w:tcPr>
          <w:p w14:paraId="3497C7D6">
            <w:pPr>
              <w:widowControl w:val="0"/>
              <w:wordWrap/>
              <w:adjustRightInd w:val="0"/>
              <w:snapToGrid/>
              <w:spacing w:line="560" w:lineRule="exact"/>
              <w:textAlignment w:val="baseline"/>
              <w:outlineLvl w:val="9"/>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小写：</w:t>
            </w:r>
          </w:p>
        </w:tc>
        <w:tc>
          <w:tcPr>
            <w:tcW w:w="3108" w:type="dxa"/>
            <w:vAlign w:val="top"/>
          </w:tcPr>
          <w:p w14:paraId="72EBD1BA">
            <w:pPr>
              <w:widowControl w:val="0"/>
              <w:wordWrap/>
              <w:adjustRightInd w:val="0"/>
              <w:snapToGrid/>
              <w:spacing w:line="560" w:lineRule="exact"/>
              <w:textAlignment w:val="baseline"/>
              <w:outlineLvl w:val="9"/>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小写：</w:t>
            </w:r>
          </w:p>
        </w:tc>
        <w:tc>
          <w:tcPr>
            <w:tcW w:w="1858" w:type="dxa"/>
            <w:vMerge w:val="continue"/>
            <w:vAlign w:val="center"/>
          </w:tcPr>
          <w:p w14:paraId="0DD8B892">
            <w:pPr>
              <w:widowControl w:val="0"/>
              <w:wordWrap/>
              <w:snapToGrid/>
              <w:spacing w:line="560" w:lineRule="exact"/>
              <w:ind w:left="283" w:leftChars="135"/>
              <w:jc w:val="center"/>
              <w:outlineLvl w:val="9"/>
              <w:rPr>
                <w:rFonts w:hint="eastAsia" w:ascii="仿宋_GB2312" w:hAnsi="仿宋_GB2312" w:eastAsia="仿宋_GB2312" w:cs="仿宋_GB2312"/>
                <w:b/>
                <w:bCs w:val="0"/>
                <w:color w:val="auto"/>
                <w:sz w:val="32"/>
                <w:szCs w:val="32"/>
              </w:rPr>
            </w:pPr>
          </w:p>
        </w:tc>
      </w:tr>
      <w:tr w14:paraId="1229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 w:hRule="atLeast"/>
        </w:trPr>
        <w:tc>
          <w:tcPr>
            <w:tcW w:w="8500" w:type="dxa"/>
            <w:gridSpan w:val="3"/>
            <w:tcBorders>
              <w:bottom w:val="single" w:color="auto" w:sz="4" w:space="0"/>
            </w:tcBorders>
            <w:vAlign w:val="center"/>
          </w:tcPr>
          <w:p w14:paraId="7D5C2566">
            <w:pPr>
              <w:widowControl w:val="0"/>
              <w:wordWrap/>
              <w:snapToGrid/>
              <w:spacing w:line="560" w:lineRule="exact"/>
              <w:ind w:left="283" w:leftChars="135"/>
              <w:jc w:val="left"/>
              <w:outlineLvl w:val="9"/>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rPr>
              <w:t>最终确定的质量保证及服务承诺</w:t>
            </w:r>
            <w:r>
              <w:rPr>
                <w:rFonts w:hint="eastAsia" w:ascii="仿宋_GB2312" w:hAnsi="仿宋_GB2312" w:eastAsia="仿宋_GB2312" w:cs="仿宋_GB2312"/>
                <w:b/>
                <w:bCs w:val="0"/>
                <w:color w:val="auto"/>
                <w:sz w:val="32"/>
                <w:szCs w:val="32"/>
                <w:lang w:eastAsia="zh-CN"/>
              </w:rPr>
              <w:t>：</w:t>
            </w:r>
          </w:p>
        </w:tc>
      </w:tr>
    </w:tbl>
    <w:p w14:paraId="75CB202D">
      <w:pPr>
        <w:wordWrap/>
        <w:spacing w:before="157" w:beforeLines="50" w:line="560" w:lineRule="exact"/>
        <w:jc w:val="both"/>
        <w:outlineLvl w:val="9"/>
        <w:rPr>
          <w:rFonts w:hint="eastAsia" w:ascii="仿宋_GB2312" w:hAnsi="仿宋_GB2312" w:eastAsia="仿宋_GB2312" w:cs="仿宋_GB2312"/>
          <w:b/>
          <w:color w:val="auto"/>
          <w:sz w:val="32"/>
          <w:szCs w:val="32"/>
          <w:u w:val="single"/>
          <w:lang w:val="en-US" w:eastAsia="zh-CN"/>
        </w:rPr>
      </w:pPr>
    </w:p>
    <w:p w14:paraId="3F8F7259">
      <w:pPr>
        <w:wordWrap/>
        <w:spacing w:before="157" w:beforeLines="50" w:line="560" w:lineRule="exact"/>
        <w:jc w:val="both"/>
        <w:outlineLvl w:val="9"/>
        <w:rPr>
          <w:rFonts w:hint="eastAsia" w:ascii="仿宋_GB2312" w:hAnsi="仿宋_GB2312" w:eastAsia="仿宋_GB2312" w:cs="仿宋_GB2312"/>
          <w:b w:val="0"/>
          <w:bCs/>
          <w:color w:val="auto"/>
          <w:sz w:val="28"/>
          <w:szCs w:val="28"/>
          <w:u w:val="none"/>
          <w:lang w:val="en-US" w:eastAsia="zh-CN"/>
        </w:rPr>
      </w:pPr>
    </w:p>
    <w:p w14:paraId="5FE47B23">
      <w:pPr>
        <w:wordWrap/>
        <w:spacing w:before="157" w:beforeLines="50" w:line="560" w:lineRule="exact"/>
        <w:jc w:val="both"/>
        <w:outlineLvl w:val="9"/>
        <w:rPr>
          <w:rFonts w:hint="eastAsia" w:ascii="仿宋_GB2312" w:hAnsi="仿宋_GB2312" w:eastAsia="仿宋_GB2312" w:cs="仿宋_GB2312"/>
          <w:b w:val="0"/>
          <w:bCs/>
          <w:color w:val="auto"/>
          <w:sz w:val="28"/>
          <w:szCs w:val="28"/>
          <w:u w:val="none"/>
          <w:lang w:val="en-US" w:eastAsia="zh-CN"/>
        </w:rPr>
      </w:pPr>
    </w:p>
    <w:p w14:paraId="02356CB1">
      <w:pPr>
        <w:wordWrap/>
        <w:spacing w:before="157" w:beforeLines="50" w:line="560" w:lineRule="exact"/>
        <w:jc w:val="both"/>
        <w:outlineLvl w:val="9"/>
        <w:rPr>
          <w:rFonts w:hint="eastAsia" w:ascii="仿宋_GB2312" w:hAnsi="仿宋_GB2312" w:eastAsia="仿宋_GB2312" w:cs="仿宋_GB2312"/>
          <w:b w:val="0"/>
          <w:bCs/>
          <w:color w:val="auto"/>
          <w:sz w:val="28"/>
          <w:szCs w:val="28"/>
          <w:u w:val="none"/>
          <w:lang w:val="en-US" w:eastAsia="zh-CN"/>
        </w:rPr>
      </w:pPr>
    </w:p>
    <w:p w14:paraId="3FFAC4BB">
      <w:pPr>
        <w:wordWrap/>
        <w:spacing w:before="157" w:beforeLines="50" w:line="560" w:lineRule="exact"/>
        <w:jc w:val="both"/>
        <w:outlineLvl w:val="9"/>
        <w:rPr>
          <w:rFonts w:hint="eastAsia" w:ascii="仿宋_GB2312" w:hAnsi="仿宋_GB2312" w:eastAsia="仿宋_GB2312" w:cs="仿宋_GB2312"/>
          <w:b w:val="0"/>
          <w:bCs/>
          <w:color w:val="auto"/>
          <w:sz w:val="28"/>
          <w:szCs w:val="28"/>
          <w:u w:val="none"/>
          <w:lang w:val="en-US" w:eastAsia="zh-CN"/>
        </w:rPr>
      </w:pPr>
    </w:p>
    <w:p w14:paraId="13C7BB20">
      <w:pPr>
        <w:wordWrap/>
        <w:spacing w:before="157" w:beforeLines="50" w:line="560" w:lineRule="exact"/>
        <w:jc w:val="both"/>
        <w:outlineLvl w:val="9"/>
        <w:rPr>
          <w:rFonts w:hint="eastAsia" w:ascii="仿宋_GB2312" w:hAnsi="仿宋_GB2312" w:eastAsia="仿宋_GB2312" w:cs="仿宋_GB2312"/>
          <w:b w:val="0"/>
          <w:bCs/>
          <w:color w:val="auto"/>
          <w:sz w:val="28"/>
          <w:szCs w:val="28"/>
          <w:u w:val="none"/>
          <w:lang w:val="en-US" w:eastAsia="zh-CN"/>
        </w:rPr>
      </w:pPr>
    </w:p>
    <w:p w14:paraId="7FF74F38">
      <w:pPr>
        <w:wordWrap/>
        <w:spacing w:before="157" w:beforeLines="50" w:line="560" w:lineRule="exact"/>
        <w:jc w:val="both"/>
        <w:outlineLvl w:val="9"/>
        <w:rPr>
          <w:rFonts w:hint="eastAsia" w:ascii="仿宋_GB2312" w:hAnsi="仿宋_GB2312" w:eastAsia="仿宋_GB2312" w:cs="仿宋_GB2312"/>
          <w:b w:val="0"/>
          <w:bCs/>
          <w:color w:val="auto"/>
          <w:sz w:val="28"/>
          <w:szCs w:val="28"/>
          <w:u w:val="none"/>
          <w:lang w:val="en-US" w:eastAsia="zh-CN"/>
        </w:rPr>
      </w:pPr>
    </w:p>
    <w:p w14:paraId="19BA7DF5">
      <w:pPr>
        <w:wordWrap/>
        <w:spacing w:before="157" w:beforeLines="50" w:line="560" w:lineRule="exact"/>
        <w:jc w:val="both"/>
        <w:outlineLvl w:val="9"/>
        <w:rPr>
          <w:rFonts w:hint="eastAsia" w:ascii="仿宋_GB2312" w:hAnsi="仿宋_GB2312" w:eastAsia="仿宋_GB2312" w:cs="仿宋_GB2312"/>
          <w:b w:val="0"/>
          <w:bCs/>
          <w:color w:val="auto"/>
          <w:sz w:val="28"/>
          <w:szCs w:val="28"/>
          <w:u w:val="none"/>
          <w:lang w:val="en-US" w:eastAsia="zh-CN"/>
        </w:rPr>
      </w:pPr>
    </w:p>
    <w:p w14:paraId="49495162">
      <w:pPr>
        <w:wordWrap/>
        <w:spacing w:before="157" w:beforeLines="50" w:line="560" w:lineRule="exact"/>
        <w:jc w:val="both"/>
        <w:outlineLvl w:val="9"/>
        <w:rPr>
          <w:rFonts w:hint="eastAsia" w:ascii="仿宋_GB2312" w:hAnsi="仿宋_GB2312" w:eastAsia="仿宋_GB2312" w:cs="仿宋_GB2312"/>
          <w:b w:val="0"/>
          <w:bCs/>
          <w:color w:val="auto"/>
          <w:sz w:val="28"/>
          <w:szCs w:val="28"/>
          <w:u w:val="none"/>
          <w:lang w:val="en-US" w:eastAsia="zh-CN"/>
        </w:rPr>
      </w:pPr>
    </w:p>
    <w:p w14:paraId="46B7B94F">
      <w:pPr>
        <w:wordWrap/>
        <w:spacing w:before="157" w:beforeLines="50" w:line="560" w:lineRule="exact"/>
        <w:jc w:val="both"/>
        <w:outlineLvl w:val="9"/>
        <w:rPr>
          <w:rFonts w:hint="eastAsia" w:ascii="仿宋_GB2312" w:hAnsi="仿宋_GB2312" w:eastAsia="仿宋_GB2312" w:cs="仿宋_GB2312"/>
          <w:b/>
          <w:color w:val="auto"/>
          <w:sz w:val="28"/>
          <w:szCs w:val="28"/>
          <w:u w:val="none"/>
          <w:lang w:val="en-US" w:eastAsia="zh-CN"/>
        </w:rPr>
      </w:pPr>
      <w:r>
        <w:rPr>
          <w:rFonts w:hint="eastAsia" w:ascii="仿宋_GB2312" w:hAnsi="仿宋_GB2312" w:eastAsia="仿宋_GB2312" w:cs="仿宋_GB2312"/>
          <w:b w:val="0"/>
          <w:bCs/>
          <w:color w:val="auto"/>
          <w:sz w:val="28"/>
          <w:szCs w:val="28"/>
          <w:u w:val="none"/>
          <w:lang w:val="en-US" w:eastAsia="zh-CN"/>
        </w:rPr>
        <w:t>注：此表不需填写在谈判响应文件中。在谈判期间，由谈判小组确定合格谈判供应商线上提交，谈判供应商须规定的时间内完成谈判最终报价。</w:t>
      </w:r>
    </w:p>
    <w:p w14:paraId="3C021B98">
      <w:pPr>
        <w:wordWrap/>
        <w:spacing w:before="157" w:beforeLines="50" w:line="560" w:lineRule="exact"/>
        <w:jc w:val="center"/>
        <w:outlineLvl w:val="9"/>
        <w:rPr>
          <w:rFonts w:hint="eastAsia" w:ascii="仿宋_GB2312" w:hAnsi="仿宋_GB2312" w:eastAsia="仿宋_GB2312" w:cs="仿宋_GB2312"/>
          <w:b/>
          <w:color w:val="auto"/>
          <w:sz w:val="32"/>
          <w:szCs w:val="32"/>
          <w:u w:val="none"/>
          <w:lang w:val="en-US" w:eastAsia="zh-CN"/>
        </w:rPr>
      </w:pPr>
    </w:p>
    <w:p w14:paraId="349DB7BF">
      <w:pPr>
        <w:wordWrap/>
        <w:spacing w:before="157" w:beforeLines="50" w:line="560" w:lineRule="exact"/>
        <w:jc w:val="center"/>
        <w:outlineLvl w:val="9"/>
        <w:rPr>
          <w:rFonts w:hint="eastAsia" w:ascii="仿宋_GB2312" w:hAnsi="仿宋_GB2312" w:eastAsia="仿宋_GB2312" w:cs="仿宋_GB2312"/>
          <w:b/>
          <w:color w:val="auto"/>
          <w:sz w:val="32"/>
          <w:szCs w:val="32"/>
          <w:u w:val="none"/>
          <w:lang w:val="en-US" w:eastAsia="zh-CN"/>
        </w:rPr>
      </w:pPr>
    </w:p>
    <w:p w14:paraId="3DC57C92">
      <w:pPr>
        <w:wordWrap/>
        <w:spacing w:before="157" w:beforeLines="50" w:line="560" w:lineRule="exact"/>
        <w:jc w:val="center"/>
        <w:outlineLvl w:val="9"/>
        <w:rPr>
          <w:rFonts w:hint="eastAsia" w:ascii="仿宋_GB2312" w:hAnsi="仿宋_GB2312" w:eastAsia="仿宋_GB2312" w:cs="仿宋_GB2312"/>
          <w:b/>
          <w:color w:val="auto"/>
          <w:sz w:val="32"/>
          <w:szCs w:val="32"/>
          <w:u w:val="none"/>
          <w:lang w:val="en-US" w:eastAsia="zh-CN"/>
        </w:rPr>
      </w:pPr>
    </w:p>
    <w:p w14:paraId="684419E0">
      <w:pPr>
        <w:wordWrap/>
        <w:spacing w:before="157" w:beforeLines="50" w:line="560" w:lineRule="exact"/>
        <w:jc w:val="center"/>
        <w:outlineLvl w:val="9"/>
        <w:rPr>
          <w:rFonts w:hint="eastAsia" w:ascii="仿宋_GB2312" w:hAnsi="仿宋_GB2312" w:eastAsia="仿宋_GB2312" w:cs="仿宋_GB2312"/>
          <w:b/>
          <w:color w:val="auto"/>
          <w:sz w:val="32"/>
          <w:szCs w:val="32"/>
          <w:u w:val="none"/>
          <w:lang w:val="en-US" w:eastAsia="zh-CN"/>
        </w:rPr>
      </w:pPr>
    </w:p>
    <w:p w14:paraId="7A13C2F9">
      <w:pPr>
        <w:wordWrap/>
        <w:spacing w:before="157" w:beforeLines="50" w:line="560" w:lineRule="exact"/>
        <w:jc w:val="center"/>
        <w:outlineLvl w:val="9"/>
        <w:rPr>
          <w:rFonts w:hint="eastAsia" w:ascii="宋体" w:hAnsi="宋体"/>
          <w:b/>
          <w:color w:val="auto"/>
          <w:sz w:val="36"/>
          <w:szCs w:val="36"/>
          <w:u w:val="none"/>
        </w:rPr>
      </w:pPr>
      <w:r>
        <w:rPr>
          <w:rFonts w:hint="eastAsia" w:ascii="仿宋_GB2312" w:hAnsi="仿宋_GB2312" w:eastAsia="仿宋_GB2312" w:cs="仿宋_GB2312"/>
          <w:b/>
          <w:color w:val="auto"/>
          <w:sz w:val="32"/>
          <w:szCs w:val="32"/>
          <w:u w:val="none"/>
          <w:lang w:val="en-US" w:eastAsia="zh-CN"/>
        </w:rPr>
        <w:t>2.最终</w:t>
      </w:r>
      <w:r>
        <w:rPr>
          <w:rFonts w:hint="eastAsia" w:ascii="仿宋_GB2312" w:hAnsi="仿宋_GB2312" w:eastAsia="仿宋_GB2312" w:cs="仿宋_GB2312"/>
          <w:b/>
          <w:color w:val="auto"/>
          <w:sz w:val="32"/>
          <w:szCs w:val="32"/>
          <w:u w:val="none"/>
          <w:lang w:val="zh-CN" w:eastAsia="zh-CN"/>
        </w:rPr>
        <w:t>分项报价表</w:t>
      </w:r>
    </w:p>
    <w:p w14:paraId="347CE30E">
      <w:pPr>
        <w:widowControl w:val="0"/>
        <w:wordWrap/>
        <w:adjustRightInd/>
        <w:snapToGrid/>
        <w:spacing w:line="560" w:lineRule="exact"/>
        <w:textAlignment w:val="auto"/>
        <w:outlineLvl w:val="9"/>
        <w:rPr>
          <w:rFonts w:hint="eastAsia" w:ascii="仿宋_GB2312" w:hAnsi="仿宋_GB2312" w:eastAsia="仿宋_GB2312" w:cs="仿宋_GB2312"/>
          <w:b w:val="0"/>
          <w:bCs/>
          <w:color w:val="auto"/>
          <w:sz w:val="32"/>
          <w:szCs w:val="32"/>
        </w:rPr>
      </w:pPr>
    </w:p>
    <w:p w14:paraId="0C4FAF71">
      <w:pPr>
        <w:widowControl w:val="0"/>
        <w:wordWrap/>
        <w:adjustRightInd/>
        <w:snapToGrid/>
        <w:spacing w:line="560" w:lineRule="exac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供应商名称:</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单位：人民币(元)</w:t>
      </w:r>
      <w:r>
        <w:rPr>
          <w:rFonts w:hint="eastAsia" w:ascii="仿宋_GB2312" w:hAnsi="仿宋_GB2312" w:eastAsia="仿宋_GB2312" w:cs="仿宋_GB2312"/>
          <w:b w:val="0"/>
          <w:bCs/>
          <w:color w:val="auto"/>
          <w:sz w:val="32"/>
          <w:szCs w:val="32"/>
          <w:lang w:val="en-US" w:eastAsia="zh-CN"/>
        </w:rPr>
        <w:t xml:space="preserve">                                       </w:t>
      </w:r>
    </w:p>
    <w:tbl>
      <w:tblPr>
        <w:tblStyle w:val="20"/>
        <w:tblW w:w="9808" w:type="dxa"/>
        <w:jc w:val="center"/>
        <w:tblLayout w:type="fixed"/>
        <w:tblCellMar>
          <w:top w:w="0" w:type="dxa"/>
          <w:left w:w="28" w:type="dxa"/>
          <w:bottom w:w="0" w:type="dxa"/>
          <w:right w:w="28" w:type="dxa"/>
        </w:tblCellMar>
      </w:tblPr>
      <w:tblGrid>
        <w:gridCol w:w="713"/>
        <w:gridCol w:w="1666"/>
        <w:gridCol w:w="1030"/>
        <w:gridCol w:w="1157"/>
        <w:gridCol w:w="1338"/>
        <w:gridCol w:w="1208"/>
        <w:gridCol w:w="960"/>
        <w:gridCol w:w="900"/>
        <w:gridCol w:w="836"/>
      </w:tblGrid>
      <w:tr w14:paraId="4F4CEA75">
        <w:tblPrEx>
          <w:tblCellMar>
            <w:top w:w="0" w:type="dxa"/>
            <w:left w:w="28" w:type="dxa"/>
            <w:bottom w:w="0" w:type="dxa"/>
            <w:right w:w="28" w:type="dxa"/>
          </w:tblCellMar>
        </w:tblPrEx>
        <w:trPr>
          <w:trHeight w:val="620" w:hRule="atLeast"/>
          <w:jc w:val="center"/>
        </w:trPr>
        <w:tc>
          <w:tcPr>
            <w:tcW w:w="713" w:type="dxa"/>
            <w:tcBorders>
              <w:top w:val="single" w:color="000000" w:sz="8" w:space="0"/>
              <w:left w:val="single" w:color="000000" w:sz="8" w:space="0"/>
              <w:bottom w:val="single" w:color="000000" w:sz="6" w:space="0"/>
              <w:right w:val="single" w:color="000000" w:sz="6" w:space="0"/>
            </w:tcBorders>
            <w:shd w:val="clear" w:color="000000" w:fill="FFFFFF"/>
            <w:vAlign w:val="center"/>
          </w:tcPr>
          <w:p w14:paraId="4FF9527A">
            <w:pPr>
              <w:jc w:val="center"/>
              <w:rPr>
                <w:rFonts w:hint="eastAsia" w:ascii="仿宋" w:hAnsi="仿宋" w:eastAsia="仿宋" w:cs="仿宋"/>
                <w:sz w:val="28"/>
                <w:szCs w:val="28"/>
                <w:lang w:val="zh-CN"/>
              </w:rPr>
            </w:pPr>
            <w:r>
              <w:rPr>
                <w:rFonts w:hint="eastAsia" w:ascii="仿宋" w:hAnsi="仿宋" w:eastAsia="仿宋" w:cs="仿宋"/>
                <w:sz w:val="28"/>
                <w:szCs w:val="28"/>
                <w:lang w:val="zh-CN"/>
              </w:rPr>
              <w:t>序号</w:t>
            </w:r>
          </w:p>
        </w:tc>
        <w:tc>
          <w:tcPr>
            <w:tcW w:w="1666"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5743B1B5">
            <w:pPr>
              <w:jc w:val="center"/>
              <w:rPr>
                <w:rFonts w:hint="eastAsia" w:ascii="仿宋" w:hAnsi="仿宋" w:eastAsia="仿宋" w:cs="仿宋"/>
                <w:sz w:val="28"/>
                <w:szCs w:val="28"/>
                <w:lang w:val="zh-CN"/>
              </w:rPr>
            </w:pPr>
            <w:r>
              <w:rPr>
                <w:rFonts w:hint="eastAsia" w:ascii="仿宋" w:hAnsi="仿宋" w:eastAsia="仿宋" w:cs="仿宋"/>
                <w:sz w:val="28"/>
                <w:szCs w:val="28"/>
                <w:lang w:val="zh-CN"/>
              </w:rPr>
              <w:t>产品名称</w:t>
            </w:r>
          </w:p>
        </w:tc>
        <w:tc>
          <w:tcPr>
            <w:tcW w:w="1030"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7A0B0BCF">
            <w:pPr>
              <w:jc w:val="center"/>
              <w:rPr>
                <w:rFonts w:hint="eastAsia" w:ascii="仿宋" w:hAnsi="仿宋" w:eastAsia="仿宋" w:cs="仿宋"/>
                <w:sz w:val="28"/>
                <w:szCs w:val="28"/>
                <w:lang w:val="zh-CN"/>
              </w:rPr>
            </w:pPr>
            <w:r>
              <w:rPr>
                <w:rFonts w:hint="eastAsia" w:ascii="仿宋" w:hAnsi="仿宋" w:eastAsia="仿宋" w:cs="仿宋"/>
                <w:sz w:val="28"/>
                <w:szCs w:val="28"/>
                <w:lang w:val="zh-CN"/>
              </w:rPr>
              <w:t>品牌</w:t>
            </w:r>
          </w:p>
        </w:tc>
        <w:tc>
          <w:tcPr>
            <w:tcW w:w="1157"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55308BDE">
            <w:pPr>
              <w:jc w:val="center"/>
              <w:rPr>
                <w:rFonts w:hint="eastAsia" w:ascii="仿宋" w:hAnsi="仿宋" w:eastAsia="仿宋" w:cs="仿宋"/>
                <w:sz w:val="28"/>
                <w:szCs w:val="28"/>
                <w:lang w:val="zh-CN"/>
              </w:rPr>
            </w:pPr>
            <w:r>
              <w:rPr>
                <w:rFonts w:hint="eastAsia" w:ascii="仿宋" w:hAnsi="仿宋" w:eastAsia="仿宋" w:cs="仿宋"/>
                <w:sz w:val="28"/>
                <w:szCs w:val="28"/>
                <w:lang w:val="zh-CN"/>
              </w:rPr>
              <w:t>规格</w:t>
            </w:r>
          </w:p>
          <w:p w14:paraId="7BD10FDC">
            <w:pPr>
              <w:jc w:val="center"/>
              <w:rPr>
                <w:rFonts w:hint="eastAsia" w:ascii="仿宋" w:hAnsi="仿宋" w:eastAsia="仿宋" w:cs="仿宋"/>
                <w:sz w:val="28"/>
                <w:szCs w:val="28"/>
                <w:lang w:val="zh-CN"/>
              </w:rPr>
            </w:pPr>
            <w:r>
              <w:rPr>
                <w:rFonts w:hint="eastAsia" w:ascii="仿宋" w:hAnsi="仿宋" w:eastAsia="仿宋" w:cs="仿宋"/>
                <w:sz w:val="28"/>
                <w:szCs w:val="28"/>
                <w:lang w:val="zh-CN"/>
              </w:rPr>
              <w:t>型号</w:t>
            </w:r>
          </w:p>
        </w:tc>
        <w:tc>
          <w:tcPr>
            <w:tcW w:w="1338"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37B569E9">
            <w:pPr>
              <w:jc w:val="center"/>
              <w:rPr>
                <w:rFonts w:hint="eastAsia" w:ascii="仿宋" w:hAnsi="仿宋" w:eastAsia="仿宋" w:cs="仿宋"/>
                <w:sz w:val="28"/>
                <w:szCs w:val="28"/>
                <w:lang w:val="zh-CN"/>
              </w:rPr>
            </w:pPr>
            <w:r>
              <w:rPr>
                <w:rFonts w:hint="eastAsia" w:ascii="仿宋" w:hAnsi="仿宋" w:eastAsia="仿宋" w:cs="仿宋"/>
                <w:sz w:val="28"/>
                <w:szCs w:val="28"/>
                <w:lang w:val="zh-CN"/>
              </w:rPr>
              <w:t>生产厂家</w:t>
            </w:r>
          </w:p>
        </w:tc>
        <w:tc>
          <w:tcPr>
            <w:tcW w:w="1208"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4404153E">
            <w:pPr>
              <w:jc w:val="center"/>
              <w:rPr>
                <w:rFonts w:hint="eastAsia" w:ascii="仿宋" w:hAnsi="仿宋" w:eastAsia="仿宋" w:cs="仿宋"/>
                <w:sz w:val="28"/>
                <w:szCs w:val="28"/>
                <w:lang w:val="en-US" w:eastAsia="zh-CN"/>
              </w:rPr>
            </w:pPr>
            <w:r>
              <w:rPr>
                <w:rFonts w:hint="eastAsia" w:ascii="仿宋" w:hAnsi="仿宋" w:eastAsia="仿宋" w:cs="仿宋"/>
                <w:sz w:val="28"/>
                <w:szCs w:val="28"/>
                <w:lang w:val="zh-CN"/>
              </w:rPr>
              <w:t>数量</w:t>
            </w:r>
            <w:r>
              <w:rPr>
                <w:rFonts w:hint="eastAsia" w:ascii="仿宋" w:hAnsi="仿宋" w:eastAsia="仿宋" w:cs="仿宋"/>
                <w:sz w:val="28"/>
                <w:szCs w:val="28"/>
                <w:lang w:val="en-US" w:eastAsia="zh-CN"/>
              </w:rPr>
              <w:t>及单位</w:t>
            </w:r>
          </w:p>
        </w:tc>
        <w:tc>
          <w:tcPr>
            <w:tcW w:w="960"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080BA3C5">
            <w:pPr>
              <w:jc w:val="center"/>
              <w:rPr>
                <w:rFonts w:hint="eastAsia" w:ascii="仿宋" w:hAnsi="仿宋" w:eastAsia="仿宋" w:cs="仿宋"/>
                <w:sz w:val="28"/>
                <w:szCs w:val="28"/>
                <w:lang w:val="zh-CN"/>
              </w:rPr>
            </w:pPr>
            <w:r>
              <w:rPr>
                <w:rFonts w:hint="eastAsia" w:ascii="仿宋" w:hAnsi="仿宋" w:eastAsia="仿宋" w:cs="仿宋"/>
                <w:sz w:val="28"/>
                <w:szCs w:val="28"/>
                <w:lang w:val="zh-CN"/>
              </w:rPr>
              <w:t>单价</w:t>
            </w:r>
          </w:p>
        </w:tc>
        <w:tc>
          <w:tcPr>
            <w:tcW w:w="900"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4E601497">
            <w:pPr>
              <w:jc w:val="center"/>
              <w:rPr>
                <w:rFonts w:hint="eastAsia" w:ascii="仿宋" w:hAnsi="仿宋" w:eastAsia="仿宋" w:cs="仿宋"/>
                <w:sz w:val="28"/>
                <w:szCs w:val="28"/>
                <w:lang w:val="zh-CN"/>
              </w:rPr>
            </w:pPr>
            <w:r>
              <w:rPr>
                <w:rFonts w:hint="eastAsia" w:ascii="仿宋" w:hAnsi="仿宋" w:eastAsia="仿宋" w:cs="仿宋"/>
                <w:sz w:val="28"/>
                <w:szCs w:val="28"/>
                <w:lang w:val="zh-CN"/>
              </w:rPr>
              <w:t>合计</w:t>
            </w:r>
          </w:p>
        </w:tc>
        <w:tc>
          <w:tcPr>
            <w:tcW w:w="836" w:type="dxa"/>
            <w:tcBorders>
              <w:top w:val="single" w:color="000000" w:sz="8" w:space="0"/>
              <w:left w:val="single" w:color="000000" w:sz="6" w:space="0"/>
              <w:bottom w:val="single" w:color="000000" w:sz="6" w:space="0"/>
              <w:right w:val="single" w:color="000000" w:sz="8" w:space="0"/>
            </w:tcBorders>
            <w:shd w:val="clear" w:color="000000" w:fill="FFFFFF"/>
            <w:vAlign w:val="center"/>
          </w:tcPr>
          <w:p w14:paraId="6EFBF95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w:t>
            </w:r>
          </w:p>
        </w:tc>
      </w:tr>
      <w:tr w14:paraId="0C39AE2C">
        <w:tblPrEx>
          <w:tblCellMar>
            <w:top w:w="0" w:type="dxa"/>
            <w:left w:w="28" w:type="dxa"/>
            <w:bottom w:w="0" w:type="dxa"/>
            <w:right w:w="28" w:type="dxa"/>
          </w:tblCellMar>
        </w:tblPrEx>
        <w:trPr>
          <w:trHeight w:val="529" w:hRule="atLeast"/>
          <w:jc w:val="center"/>
        </w:trPr>
        <w:tc>
          <w:tcPr>
            <w:tcW w:w="713"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439794A5">
            <w:pPr>
              <w:jc w:val="center"/>
              <w:rPr>
                <w:rFonts w:hint="eastAsia" w:ascii="仿宋" w:hAnsi="仿宋" w:eastAsia="仿宋" w:cs="仿宋"/>
                <w:sz w:val="28"/>
                <w:szCs w:val="28"/>
                <w:lang w:val="zh-CN"/>
              </w:rPr>
            </w:pPr>
            <w:r>
              <w:rPr>
                <w:rFonts w:hint="eastAsia" w:ascii="仿宋" w:hAnsi="仿宋" w:eastAsia="仿宋" w:cs="仿宋"/>
                <w:sz w:val="28"/>
                <w:szCs w:val="28"/>
                <w:lang w:val="zh-CN"/>
              </w:rPr>
              <w:t>1</w:t>
            </w:r>
          </w:p>
        </w:tc>
        <w:tc>
          <w:tcPr>
            <w:tcW w:w="16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3083273">
            <w:pPr>
              <w:jc w:val="center"/>
              <w:rPr>
                <w:rFonts w:hint="eastAsia" w:ascii="仿宋" w:hAnsi="仿宋" w:eastAsia="仿宋" w:cs="仿宋"/>
                <w:sz w:val="28"/>
                <w:szCs w:val="28"/>
                <w:lang w:val="zh-CN"/>
              </w:rPr>
            </w:pPr>
          </w:p>
        </w:tc>
        <w:tc>
          <w:tcPr>
            <w:tcW w:w="10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C690E3B">
            <w:pPr>
              <w:jc w:val="center"/>
              <w:rPr>
                <w:rFonts w:hint="eastAsia" w:ascii="仿宋" w:hAnsi="仿宋" w:eastAsia="仿宋" w:cs="仿宋"/>
                <w:sz w:val="28"/>
                <w:szCs w:val="28"/>
                <w:lang w:val="zh-CN"/>
              </w:rPr>
            </w:pPr>
          </w:p>
        </w:tc>
        <w:tc>
          <w:tcPr>
            <w:tcW w:w="115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5D80CE1">
            <w:pPr>
              <w:jc w:val="center"/>
              <w:rPr>
                <w:rFonts w:hint="eastAsia" w:ascii="仿宋" w:hAnsi="仿宋" w:eastAsia="仿宋" w:cs="仿宋"/>
                <w:sz w:val="28"/>
                <w:szCs w:val="28"/>
                <w:lang w:val="zh-CN"/>
              </w:rPr>
            </w:pPr>
          </w:p>
        </w:tc>
        <w:tc>
          <w:tcPr>
            <w:tcW w:w="13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BC028B4">
            <w:pPr>
              <w:jc w:val="center"/>
              <w:rPr>
                <w:rFonts w:hint="eastAsia" w:ascii="仿宋" w:hAnsi="仿宋" w:eastAsia="仿宋" w:cs="仿宋"/>
                <w:sz w:val="28"/>
                <w:szCs w:val="28"/>
                <w:lang w:val="zh-CN"/>
              </w:rPr>
            </w:pPr>
          </w:p>
        </w:tc>
        <w:tc>
          <w:tcPr>
            <w:tcW w:w="12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7B87534">
            <w:pPr>
              <w:jc w:val="center"/>
              <w:rPr>
                <w:rFonts w:hint="eastAsia" w:ascii="仿宋" w:hAnsi="仿宋" w:eastAsia="仿宋" w:cs="仿宋"/>
                <w:sz w:val="28"/>
                <w:szCs w:val="28"/>
                <w:lang w:val="zh-CN"/>
              </w:rPr>
            </w:pPr>
          </w:p>
        </w:tc>
        <w:tc>
          <w:tcPr>
            <w:tcW w:w="96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02753D6">
            <w:pPr>
              <w:jc w:val="center"/>
              <w:rPr>
                <w:rFonts w:hint="eastAsia" w:ascii="仿宋" w:hAnsi="仿宋" w:eastAsia="仿宋" w:cs="仿宋"/>
                <w:sz w:val="28"/>
                <w:szCs w:val="28"/>
                <w:lang w:val="zh-CN"/>
              </w:rPr>
            </w:pPr>
          </w:p>
        </w:tc>
        <w:tc>
          <w:tcPr>
            <w:tcW w:w="9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EFF3A2B">
            <w:pPr>
              <w:jc w:val="center"/>
              <w:rPr>
                <w:rFonts w:hint="eastAsia" w:ascii="仿宋" w:hAnsi="仿宋" w:eastAsia="仿宋" w:cs="仿宋"/>
                <w:sz w:val="28"/>
                <w:szCs w:val="28"/>
                <w:lang w:val="zh-CN"/>
              </w:rPr>
            </w:pPr>
          </w:p>
        </w:tc>
        <w:tc>
          <w:tcPr>
            <w:tcW w:w="836"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6581201D">
            <w:pPr>
              <w:jc w:val="center"/>
              <w:rPr>
                <w:rFonts w:hint="eastAsia" w:ascii="仿宋" w:hAnsi="仿宋" w:eastAsia="仿宋" w:cs="仿宋"/>
                <w:sz w:val="28"/>
                <w:szCs w:val="28"/>
                <w:lang w:val="zh-CN"/>
              </w:rPr>
            </w:pPr>
          </w:p>
        </w:tc>
      </w:tr>
      <w:tr w14:paraId="3E9FBE14">
        <w:tblPrEx>
          <w:tblCellMar>
            <w:top w:w="0" w:type="dxa"/>
            <w:left w:w="28" w:type="dxa"/>
            <w:bottom w:w="0" w:type="dxa"/>
            <w:right w:w="28" w:type="dxa"/>
          </w:tblCellMar>
        </w:tblPrEx>
        <w:trPr>
          <w:trHeight w:val="529" w:hRule="atLeast"/>
          <w:jc w:val="center"/>
        </w:trPr>
        <w:tc>
          <w:tcPr>
            <w:tcW w:w="713"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006FE5FA">
            <w:pPr>
              <w:jc w:val="center"/>
              <w:rPr>
                <w:rFonts w:hint="eastAsia" w:ascii="仿宋" w:hAnsi="仿宋" w:eastAsia="仿宋" w:cs="仿宋"/>
                <w:sz w:val="28"/>
                <w:szCs w:val="28"/>
                <w:lang w:val="zh-CN"/>
              </w:rPr>
            </w:pPr>
            <w:r>
              <w:rPr>
                <w:rFonts w:hint="eastAsia" w:ascii="仿宋" w:hAnsi="仿宋" w:eastAsia="仿宋" w:cs="仿宋"/>
                <w:sz w:val="28"/>
                <w:szCs w:val="28"/>
                <w:lang w:val="zh-CN"/>
              </w:rPr>
              <w:t>2</w:t>
            </w:r>
          </w:p>
        </w:tc>
        <w:tc>
          <w:tcPr>
            <w:tcW w:w="16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7300063">
            <w:pPr>
              <w:jc w:val="center"/>
              <w:rPr>
                <w:rFonts w:hint="eastAsia" w:ascii="仿宋" w:hAnsi="仿宋" w:eastAsia="仿宋" w:cs="仿宋"/>
                <w:sz w:val="28"/>
                <w:szCs w:val="28"/>
                <w:lang w:val="zh-CN"/>
              </w:rPr>
            </w:pPr>
          </w:p>
        </w:tc>
        <w:tc>
          <w:tcPr>
            <w:tcW w:w="10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BBD1A21">
            <w:pPr>
              <w:jc w:val="center"/>
              <w:rPr>
                <w:rFonts w:hint="eastAsia" w:ascii="仿宋" w:hAnsi="仿宋" w:eastAsia="仿宋" w:cs="仿宋"/>
                <w:sz w:val="28"/>
                <w:szCs w:val="28"/>
                <w:lang w:val="zh-CN"/>
              </w:rPr>
            </w:pPr>
          </w:p>
        </w:tc>
        <w:tc>
          <w:tcPr>
            <w:tcW w:w="115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E096571">
            <w:pPr>
              <w:jc w:val="center"/>
              <w:rPr>
                <w:rFonts w:hint="eastAsia" w:ascii="仿宋" w:hAnsi="仿宋" w:eastAsia="仿宋" w:cs="仿宋"/>
                <w:sz w:val="28"/>
                <w:szCs w:val="28"/>
                <w:lang w:val="zh-CN"/>
              </w:rPr>
            </w:pPr>
          </w:p>
        </w:tc>
        <w:tc>
          <w:tcPr>
            <w:tcW w:w="13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E973CFF">
            <w:pPr>
              <w:jc w:val="center"/>
              <w:rPr>
                <w:rFonts w:hint="eastAsia" w:ascii="仿宋" w:hAnsi="仿宋" w:eastAsia="仿宋" w:cs="仿宋"/>
                <w:sz w:val="28"/>
                <w:szCs w:val="28"/>
                <w:lang w:val="zh-CN"/>
              </w:rPr>
            </w:pPr>
          </w:p>
        </w:tc>
        <w:tc>
          <w:tcPr>
            <w:tcW w:w="12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7A24128">
            <w:pPr>
              <w:jc w:val="center"/>
              <w:rPr>
                <w:rFonts w:hint="eastAsia" w:ascii="仿宋" w:hAnsi="仿宋" w:eastAsia="仿宋" w:cs="仿宋"/>
                <w:sz w:val="28"/>
                <w:szCs w:val="28"/>
                <w:lang w:val="zh-CN"/>
              </w:rPr>
            </w:pPr>
          </w:p>
        </w:tc>
        <w:tc>
          <w:tcPr>
            <w:tcW w:w="96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48E343C">
            <w:pPr>
              <w:jc w:val="center"/>
              <w:rPr>
                <w:rFonts w:hint="eastAsia" w:ascii="仿宋" w:hAnsi="仿宋" w:eastAsia="仿宋" w:cs="仿宋"/>
                <w:sz w:val="28"/>
                <w:szCs w:val="28"/>
                <w:lang w:val="zh-CN"/>
              </w:rPr>
            </w:pPr>
          </w:p>
        </w:tc>
        <w:tc>
          <w:tcPr>
            <w:tcW w:w="9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1C15165">
            <w:pPr>
              <w:jc w:val="center"/>
              <w:rPr>
                <w:rFonts w:hint="eastAsia" w:ascii="仿宋" w:hAnsi="仿宋" w:eastAsia="仿宋" w:cs="仿宋"/>
                <w:sz w:val="28"/>
                <w:szCs w:val="28"/>
                <w:lang w:val="zh-CN"/>
              </w:rPr>
            </w:pPr>
          </w:p>
        </w:tc>
        <w:tc>
          <w:tcPr>
            <w:tcW w:w="836"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072380F3">
            <w:pPr>
              <w:jc w:val="center"/>
              <w:rPr>
                <w:rFonts w:hint="eastAsia" w:ascii="仿宋" w:hAnsi="仿宋" w:eastAsia="仿宋" w:cs="仿宋"/>
                <w:sz w:val="28"/>
                <w:szCs w:val="28"/>
                <w:lang w:val="zh-CN"/>
              </w:rPr>
            </w:pPr>
          </w:p>
        </w:tc>
      </w:tr>
      <w:tr w14:paraId="25AB064B">
        <w:tblPrEx>
          <w:tblCellMar>
            <w:top w:w="0" w:type="dxa"/>
            <w:left w:w="28" w:type="dxa"/>
            <w:bottom w:w="0" w:type="dxa"/>
            <w:right w:w="28" w:type="dxa"/>
          </w:tblCellMar>
        </w:tblPrEx>
        <w:trPr>
          <w:trHeight w:val="529" w:hRule="atLeast"/>
          <w:jc w:val="center"/>
        </w:trPr>
        <w:tc>
          <w:tcPr>
            <w:tcW w:w="713"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59215C1F">
            <w:pPr>
              <w:jc w:val="center"/>
              <w:rPr>
                <w:rFonts w:hint="eastAsia" w:ascii="仿宋" w:hAnsi="仿宋" w:eastAsia="仿宋" w:cs="仿宋"/>
                <w:sz w:val="28"/>
                <w:szCs w:val="28"/>
                <w:lang w:val="zh-CN"/>
              </w:rPr>
            </w:pPr>
            <w:r>
              <w:rPr>
                <w:rFonts w:hint="eastAsia" w:ascii="仿宋" w:hAnsi="仿宋" w:eastAsia="仿宋" w:cs="仿宋"/>
                <w:sz w:val="28"/>
                <w:szCs w:val="28"/>
                <w:lang w:val="zh-CN"/>
              </w:rPr>
              <w:t>3</w:t>
            </w:r>
          </w:p>
        </w:tc>
        <w:tc>
          <w:tcPr>
            <w:tcW w:w="16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F604EEF">
            <w:pPr>
              <w:jc w:val="center"/>
              <w:rPr>
                <w:rFonts w:hint="eastAsia" w:ascii="仿宋" w:hAnsi="仿宋" w:eastAsia="仿宋" w:cs="仿宋"/>
                <w:sz w:val="28"/>
                <w:szCs w:val="28"/>
                <w:lang w:val="zh-CN"/>
              </w:rPr>
            </w:pPr>
          </w:p>
        </w:tc>
        <w:tc>
          <w:tcPr>
            <w:tcW w:w="10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5993020">
            <w:pPr>
              <w:jc w:val="center"/>
              <w:rPr>
                <w:rFonts w:hint="eastAsia" w:ascii="仿宋" w:hAnsi="仿宋" w:eastAsia="仿宋" w:cs="仿宋"/>
                <w:sz w:val="28"/>
                <w:szCs w:val="28"/>
                <w:lang w:val="zh-CN"/>
              </w:rPr>
            </w:pPr>
          </w:p>
        </w:tc>
        <w:tc>
          <w:tcPr>
            <w:tcW w:w="115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13B811B">
            <w:pPr>
              <w:jc w:val="center"/>
              <w:rPr>
                <w:rFonts w:hint="eastAsia" w:ascii="仿宋" w:hAnsi="仿宋" w:eastAsia="仿宋" w:cs="仿宋"/>
                <w:sz w:val="28"/>
                <w:szCs w:val="28"/>
                <w:lang w:val="zh-CN"/>
              </w:rPr>
            </w:pPr>
          </w:p>
        </w:tc>
        <w:tc>
          <w:tcPr>
            <w:tcW w:w="13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10FB940">
            <w:pPr>
              <w:jc w:val="center"/>
              <w:rPr>
                <w:rFonts w:hint="eastAsia" w:ascii="仿宋" w:hAnsi="仿宋" w:eastAsia="仿宋" w:cs="仿宋"/>
                <w:sz w:val="28"/>
                <w:szCs w:val="28"/>
                <w:lang w:val="zh-CN"/>
              </w:rPr>
            </w:pPr>
          </w:p>
        </w:tc>
        <w:tc>
          <w:tcPr>
            <w:tcW w:w="12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C4CF898">
            <w:pPr>
              <w:jc w:val="center"/>
              <w:rPr>
                <w:rFonts w:hint="eastAsia" w:ascii="仿宋" w:hAnsi="仿宋" w:eastAsia="仿宋" w:cs="仿宋"/>
                <w:sz w:val="28"/>
                <w:szCs w:val="28"/>
                <w:lang w:val="zh-CN"/>
              </w:rPr>
            </w:pPr>
          </w:p>
        </w:tc>
        <w:tc>
          <w:tcPr>
            <w:tcW w:w="96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A3EBCF4">
            <w:pPr>
              <w:jc w:val="center"/>
              <w:rPr>
                <w:rFonts w:hint="eastAsia" w:ascii="仿宋" w:hAnsi="仿宋" w:eastAsia="仿宋" w:cs="仿宋"/>
                <w:sz w:val="28"/>
                <w:szCs w:val="28"/>
                <w:lang w:val="zh-CN"/>
              </w:rPr>
            </w:pPr>
          </w:p>
        </w:tc>
        <w:tc>
          <w:tcPr>
            <w:tcW w:w="9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B10A86D">
            <w:pPr>
              <w:jc w:val="center"/>
              <w:rPr>
                <w:rFonts w:hint="eastAsia" w:ascii="仿宋" w:hAnsi="仿宋" w:eastAsia="仿宋" w:cs="仿宋"/>
                <w:sz w:val="28"/>
                <w:szCs w:val="28"/>
                <w:lang w:val="zh-CN"/>
              </w:rPr>
            </w:pPr>
          </w:p>
        </w:tc>
        <w:tc>
          <w:tcPr>
            <w:tcW w:w="836"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359E7F90">
            <w:pPr>
              <w:jc w:val="center"/>
              <w:rPr>
                <w:rFonts w:hint="eastAsia" w:ascii="仿宋" w:hAnsi="仿宋" w:eastAsia="仿宋" w:cs="仿宋"/>
                <w:sz w:val="28"/>
                <w:szCs w:val="28"/>
                <w:lang w:val="zh-CN"/>
              </w:rPr>
            </w:pPr>
          </w:p>
        </w:tc>
      </w:tr>
      <w:tr w14:paraId="1241E71B">
        <w:tblPrEx>
          <w:tblCellMar>
            <w:top w:w="0" w:type="dxa"/>
            <w:left w:w="28" w:type="dxa"/>
            <w:bottom w:w="0" w:type="dxa"/>
            <w:right w:w="28" w:type="dxa"/>
          </w:tblCellMar>
        </w:tblPrEx>
        <w:trPr>
          <w:trHeight w:val="529" w:hRule="atLeast"/>
          <w:jc w:val="center"/>
        </w:trPr>
        <w:tc>
          <w:tcPr>
            <w:tcW w:w="713"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6EC1A106">
            <w:pPr>
              <w:jc w:val="center"/>
              <w:rPr>
                <w:rFonts w:hint="eastAsia" w:ascii="仿宋" w:hAnsi="仿宋" w:eastAsia="仿宋" w:cs="仿宋"/>
                <w:sz w:val="28"/>
                <w:szCs w:val="28"/>
                <w:lang w:val="zh-CN"/>
              </w:rPr>
            </w:pPr>
            <w:r>
              <w:rPr>
                <w:rFonts w:hint="eastAsia" w:ascii="仿宋" w:hAnsi="仿宋" w:eastAsia="仿宋" w:cs="仿宋"/>
                <w:sz w:val="28"/>
                <w:szCs w:val="28"/>
                <w:lang w:val="zh-CN"/>
              </w:rPr>
              <w:t>4</w:t>
            </w:r>
          </w:p>
        </w:tc>
        <w:tc>
          <w:tcPr>
            <w:tcW w:w="16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5E7A664">
            <w:pPr>
              <w:jc w:val="center"/>
              <w:rPr>
                <w:rFonts w:hint="eastAsia" w:ascii="仿宋" w:hAnsi="仿宋" w:eastAsia="仿宋" w:cs="仿宋"/>
                <w:sz w:val="28"/>
                <w:szCs w:val="28"/>
                <w:lang w:val="zh-CN"/>
              </w:rPr>
            </w:pPr>
          </w:p>
        </w:tc>
        <w:tc>
          <w:tcPr>
            <w:tcW w:w="10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6FCE178">
            <w:pPr>
              <w:jc w:val="center"/>
              <w:rPr>
                <w:rFonts w:hint="eastAsia" w:ascii="仿宋" w:hAnsi="仿宋" w:eastAsia="仿宋" w:cs="仿宋"/>
                <w:sz w:val="28"/>
                <w:szCs w:val="28"/>
                <w:lang w:val="zh-CN"/>
              </w:rPr>
            </w:pPr>
          </w:p>
        </w:tc>
        <w:tc>
          <w:tcPr>
            <w:tcW w:w="115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9772DBD">
            <w:pPr>
              <w:jc w:val="center"/>
              <w:rPr>
                <w:rFonts w:hint="eastAsia" w:ascii="仿宋" w:hAnsi="仿宋" w:eastAsia="仿宋" w:cs="仿宋"/>
                <w:sz w:val="28"/>
                <w:szCs w:val="28"/>
                <w:lang w:val="zh-CN"/>
              </w:rPr>
            </w:pPr>
          </w:p>
        </w:tc>
        <w:tc>
          <w:tcPr>
            <w:tcW w:w="13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8BE9BCF">
            <w:pPr>
              <w:jc w:val="center"/>
              <w:rPr>
                <w:rFonts w:hint="eastAsia" w:ascii="仿宋" w:hAnsi="仿宋" w:eastAsia="仿宋" w:cs="仿宋"/>
                <w:sz w:val="28"/>
                <w:szCs w:val="28"/>
                <w:lang w:val="zh-CN"/>
              </w:rPr>
            </w:pPr>
          </w:p>
        </w:tc>
        <w:tc>
          <w:tcPr>
            <w:tcW w:w="12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8548C23">
            <w:pPr>
              <w:jc w:val="center"/>
              <w:rPr>
                <w:rFonts w:hint="eastAsia" w:ascii="仿宋" w:hAnsi="仿宋" w:eastAsia="仿宋" w:cs="仿宋"/>
                <w:sz w:val="28"/>
                <w:szCs w:val="28"/>
                <w:lang w:val="zh-CN"/>
              </w:rPr>
            </w:pPr>
          </w:p>
        </w:tc>
        <w:tc>
          <w:tcPr>
            <w:tcW w:w="96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C175D63">
            <w:pPr>
              <w:jc w:val="center"/>
              <w:rPr>
                <w:rFonts w:hint="eastAsia" w:ascii="仿宋" w:hAnsi="仿宋" w:eastAsia="仿宋" w:cs="仿宋"/>
                <w:sz w:val="28"/>
                <w:szCs w:val="28"/>
                <w:lang w:val="zh-CN"/>
              </w:rPr>
            </w:pPr>
          </w:p>
        </w:tc>
        <w:tc>
          <w:tcPr>
            <w:tcW w:w="9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9303C9D">
            <w:pPr>
              <w:jc w:val="center"/>
              <w:rPr>
                <w:rFonts w:hint="eastAsia" w:ascii="仿宋" w:hAnsi="仿宋" w:eastAsia="仿宋" w:cs="仿宋"/>
                <w:sz w:val="28"/>
                <w:szCs w:val="28"/>
                <w:lang w:val="zh-CN"/>
              </w:rPr>
            </w:pPr>
          </w:p>
        </w:tc>
        <w:tc>
          <w:tcPr>
            <w:tcW w:w="836"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15910B45">
            <w:pPr>
              <w:jc w:val="center"/>
              <w:rPr>
                <w:rFonts w:hint="eastAsia" w:ascii="仿宋" w:hAnsi="仿宋" w:eastAsia="仿宋" w:cs="仿宋"/>
                <w:sz w:val="28"/>
                <w:szCs w:val="28"/>
                <w:lang w:val="zh-CN"/>
              </w:rPr>
            </w:pPr>
          </w:p>
        </w:tc>
      </w:tr>
      <w:tr w14:paraId="49756CDF">
        <w:tblPrEx>
          <w:tblCellMar>
            <w:top w:w="0" w:type="dxa"/>
            <w:left w:w="28" w:type="dxa"/>
            <w:bottom w:w="0" w:type="dxa"/>
            <w:right w:w="28" w:type="dxa"/>
          </w:tblCellMar>
        </w:tblPrEx>
        <w:trPr>
          <w:trHeight w:val="529" w:hRule="atLeast"/>
          <w:jc w:val="center"/>
        </w:trPr>
        <w:tc>
          <w:tcPr>
            <w:tcW w:w="713"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7C7EEF40">
            <w:pPr>
              <w:jc w:val="center"/>
              <w:rPr>
                <w:rFonts w:hint="eastAsia" w:ascii="仿宋" w:hAnsi="仿宋" w:eastAsia="仿宋" w:cs="仿宋"/>
                <w:sz w:val="28"/>
                <w:szCs w:val="28"/>
                <w:lang w:val="zh-CN"/>
              </w:rPr>
            </w:pPr>
            <w:r>
              <w:rPr>
                <w:rFonts w:hint="eastAsia" w:ascii="仿宋" w:hAnsi="仿宋" w:eastAsia="仿宋" w:cs="仿宋"/>
                <w:sz w:val="28"/>
                <w:szCs w:val="28"/>
                <w:lang w:val="zh-CN"/>
              </w:rPr>
              <w:t>…</w:t>
            </w:r>
          </w:p>
        </w:tc>
        <w:tc>
          <w:tcPr>
            <w:tcW w:w="16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8CF2AF2">
            <w:pPr>
              <w:jc w:val="center"/>
              <w:rPr>
                <w:rFonts w:hint="eastAsia" w:ascii="仿宋" w:hAnsi="仿宋" w:eastAsia="仿宋" w:cs="仿宋"/>
                <w:sz w:val="28"/>
                <w:szCs w:val="28"/>
                <w:lang w:val="zh-CN"/>
              </w:rPr>
            </w:pPr>
          </w:p>
        </w:tc>
        <w:tc>
          <w:tcPr>
            <w:tcW w:w="10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9712E5A">
            <w:pPr>
              <w:jc w:val="center"/>
              <w:rPr>
                <w:rFonts w:hint="eastAsia" w:ascii="仿宋" w:hAnsi="仿宋" w:eastAsia="仿宋" w:cs="仿宋"/>
                <w:sz w:val="28"/>
                <w:szCs w:val="28"/>
                <w:lang w:val="zh-CN"/>
              </w:rPr>
            </w:pPr>
          </w:p>
        </w:tc>
        <w:tc>
          <w:tcPr>
            <w:tcW w:w="115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DDB2FF5">
            <w:pPr>
              <w:jc w:val="center"/>
              <w:rPr>
                <w:rFonts w:hint="eastAsia" w:ascii="仿宋" w:hAnsi="仿宋" w:eastAsia="仿宋" w:cs="仿宋"/>
                <w:sz w:val="28"/>
                <w:szCs w:val="28"/>
                <w:lang w:val="zh-CN"/>
              </w:rPr>
            </w:pPr>
          </w:p>
        </w:tc>
        <w:tc>
          <w:tcPr>
            <w:tcW w:w="13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C6002D1">
            <w:pPr>
              <w:jc w:val="center"/>
              <w:rPr>
                <w:rFonts w:hint="eastAsia" w:ascii="仿宋" w:hAnsi="仿宋" w:eastAsia="仿宋" w:cs="仿宋"/>
                <w:sz w:val="28"/>
                <w:szCs w:val="28"/>
                <w:lang w:val="zh-CN"/>
              </w:rPr>
            </w:pPr>
          </w:p>
        </w:tc>
        <w:tc>
          <w:tcPr>
            <w:tcW w:w="12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9D355EA">
            <w:pPr>
              <w:jc w:val="center"/>
              <w:rPr>
                <w:rFonts w:hint="eastAsia" w:ascii="仿宋" w:hAnsi="仿宋" w:eastAsia="仿宋" w:cs="仿宋"/>
                <w:sz w:val="28"/>
                <w:szCs w:val="28"/>
                <w:lang w:val="zh-CN"/>
              </w:rPr>
            </w:pPr>
          </w:p>
        </w:tc>
        <w:tc>
          <w:tcPr>
            <w:tcW w:w="96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4375E44">
            <w:pPr>
              <w:jc w:val="center"/>
              <w:rPr>
                <w:rFonts w:hint="eastAsia" w:ascii="仿宋" w:hAnsi="仿宋" w:eastAsia="仿宋" w:cs="仿宋"/>
                <w:sz w:val="28"/>
                <w:szCs w:val="28"/>
                <w:lang w:val="zh-CN"/>
              </w:rPr>
            </w:pPr>
          </w:p>
        </w:tc>
        <w:tc>
          <w:tcPr>
            <w:tcW w:w="9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0D0C353">
            <w:pPr>
              <w:jc w:val="center"/>
              <w:rPr>
                <w:rFonts w:hint="eastAsia" w:ascii="仿宋" w:hAnsi="仿宋" w:eastAsia="仿宋" w:cs="仿宋"/>
                <w:sz w:val="28"/>
                <w:szCs w:val="28"/>
                <w:lang w:val="zh-CN"/>
              </w:rPr>
            </w:pPr>
          </w:p>
        </w:tc>
        <w:tc>
          <w:tcPr>
            <w:tcW w:w="836"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540EE8D5">
            <w:pPr>
              <w:jc w:val="center"/>
              <w:rPr>
                <w:rFonts w:hint="eastAsia" w:ascii="仿宋" w:hAnsi="仿宋" w:eastAsia="仿宋" w:cs="仿宋"/>
                <w:sz w:val="28"/>
                <w:szCs w:val="28"/>
                <w:lang w:val="zh-CN"/>
              </w:rPr>
            </w:pPr>
          </w:p>
        </w:tc>
      </w:tr>
      <w:tr w14:paraId="7EA50F7F">
        <w:tblPrEx>
          <w:tblCellMar>
            <w:top w:w="0" w:type="dxa"/>
            <w:left w:w="28" w:type="dxa"/>
            <w:bottom w:w="0" w:type="dxa"/>
            <w:right w:w="28" w:type="dxa"/>
          </w:tblCellMar>
        </w:tblPrEx>
        <w:trPr>
          <w:trHeight w:val="1067" w:hRule="atLeast"/>
          <w:jc w:val="center"/>
        </w:trPr>
        <w:tc>
          <w:tcPr>
            <w:tcW w:w="9808" w:type="dxa"/>
            <w:gridSpan w:val="9"/>
            <w:tcBorders>
              <w:top w:val="single" w:color="000000" w:sz="6" w:space="0"/>
              <w:left w:val="single" w:color="000000" w:sz="8" w:space="0"/>
              <w:bottom w:val="single" w:color="000000" w:sz="6" w:space="0"/>
              <w:right w:val="single" w:color="000000" w:sz="8" w:space="0"/>
            </w:tcBorders>
            <w:shd w:val="clear" w:color="000000" w:fill="FFFFFF"/>
            <w:vAlign w:val="center"/>
          </w:tcPr>
          <w:p w14:paraId="3EC06215">
            <w:pPr>
              <w:rPr>
                <w:rFonts w:hint="eastAsia" w:ascii="仿宋" w:hAnsi="仿宋" w:eastAsia="仿宋" w:cs="仿宋"/>
                <w:sz w:val="28"/>
                <w:szCs w:val="28"/>
                <w:lang w:val="zh-CN"/>
              </w:rPr>
            </w:pPr>
            <w:r>
              <w:rPr>
                <w:rFonts w:hint="eastAsia" w:ascii="仿宋" w:hAnsi="仿宋" w:eastAsia="仿宋" w:cs="仿宋"/>
                <w:sz w:val="28"/>
                <w:szCs w:val="28"/>
                <w:lang w:val="zh-CN" w:eastAsia="zh-CN"/>
              </w:rPr>
              <w:t>其他承诺及需要说明的事项：</w:t>
            </w:r>
          </w:p>
        </w:tc>
      </w:tr>
      <w:tr w14:paraId="78CAB5CB">
        <w:tblPrEx>
          <w:tblCellMar>
            <w:top w:w="0" w:type="dxa"/>
            <w:left w:w="28" w:type="dxa"/>
            <w:bottom w:w="0" w:type="dxa"/>
            <w:right w:w="28" w:type="dxa"/>
          </w:tblCellMar>
        </w:tblPrEx>
        <w:trPr>
          <w:trHeight w:val="1038" w:hRule="atLeast"/>
          <w:jc w:val="center"/>
        </w:trPr>
        <w:tc>
          <w:tcPr>
            <w:tcW w:w="2379" w:type="dxa"/>
            <w:gridSpan w:val="2"/>
            <w:tcBorders>
              <w:top w:val="single" w:color="000000" w:sz="6" w:space="0"/>
              <w:left w:val="single" w:color="000000" w:sz="8" w:space="0"/>
              <w:bottom w:val="single" w:color="000000" w:sz="8" w:space="0"/>
              <w:right w:val="single" w:color="000000" w:sz="6" w:space="0"/>
            </w:tcBorders>
            <w:shd w:val="clear" w:color="000000" w:fill="FFFFFF"/>
            <w:vAlign w:val="center"/>
          </w:tcPr>
          <w:p w14:paraId="141A4178">
            <w:pPr>
              <w:jc w:val="center"/>
              <w:rPr>
                <w:rFonts w:hint="eastAsia" w:ascii="仿宋" w:hAnsi="仿宋" w:eastAsia="仿宋" w:cs="仿宋"/>
                <w:sz w:val="28"/>
                <w:szCs w:val="28"/>
                <w:lang w:val="zh-CN"/>
              </w:rPr>
            </w:pPr>
            <w:r>
              <w:rPr>
                <w:rFonts w:hint="eastAsia" w:ascii="仿宋" w:hAnsi="仿宋" w:eastAsia="仿宋" w:cs="仿宋"/>
                <w:sz w:val="28"/>
                <w:szCs w:val="28"/>
                <w:lang w:val="zh-CN"/>
              </w:rPr>
              <w:t>总价</w:t>
            </w:r>
          </w:p>
        </w:tc>
        <w:tc>
          <w:tcPr>
            <w:tcW w:w="7429" w:type="dxa"/>
            <w:gridSpan w:val="7"/>
            <w:tcBorders>
              <w:top w:val="single" w:color="000000" w:sz="6" w:space="0"/>
              <w:left w:val="single" w:color="000000" w:sz="6" w:space="0"/>
              <w:bottom w:val="single" w:color="000000" w:sz="8" w:space="0"/>
              <w:right w:val="single" w:color="000000" w:sz="8" w:space="0"/>
            </w:tcBorders>
            <w:shd w:val="clear" w:color="000000" w:fill="FFFFFF"/>
            <w:vAlign w:val="center"/>
          </w:tcPr>
          <w:p w14:paraId="67F13AF4">
            <w:pPr>
              <w:rPr>
                <w:rFonts w:hint="eastAsia" w:ascii="仿宋" w:hAnsi="仿宋" w:eastAsia="仿宋" w:cs="仿宋"/>
                <w:sz w:val="28"/>
                <w:szCs w:val="28"/>
                <w:lang w:val="zh-CN"/>
              </w:rPr>
            </w:pPr>
            <w:r>
              <w:rPr>
                <w:rFonts w:hint="eastAsia" w:ascii="仿宋" w:hAnsi="仿宋" w:eastAsia="仿宋" w:cs="仿宋"/>
                <w:sz w:val="28"/>
                <w:szCs w:val="28"/>
                <w:lang w:val="zh-CN"/>
              </w:rPr>
              <w:t>小写：</w:t>
            </w:r>
          </w:p>
          <w:p w14:paraId="4ECA08B3">
            <w:pPr>
              <w:rPr>
                <w:rFonts w:hint="eastAsia" w:ascii="仿宋" w:hAnsi="仿宋" w:eastAsia="仿宋" w:cs="仿宋"/>
                <w:sz w:val="28"/>
                <w:szCs w:val="28"/>
                <w:lang w:val="zh-CN"/>
              </w:rPr>
            </w:pPr>
            <w:r>
              <w:rPr>
                <w:rFonts w:hint="eastAsia" w:ascii="仿宋" w:hAnsi="仿宋" w:eastAsia="仿宋" w:cs="仿宋"/>
                <w:sz w:val="28"/>
                <w:szCs w:val="28"/>
                <w:lang w:val="zh-CN"/>
              </w:rPr>
              <w:t>大写：</w:t>
            </w:r>
          </w:p>
        </w:tc>
      </w:tr>
    </w:tbl>
    <w:p w14:paraId="7DEAAB68">
      <w:pPr>
        <w:widowControl w:val="0"/>
        <w:wordWrap/>
        <w:adjustRightInd/>
        <w:snapToGrid/>
        <w:spacing w:line="560" w:lineRule="exact"/>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宋体" w:hAnsi="宋体"/>
          <w:b/>
          <w:color w:val="auto"/>
          <w:sz w:val="24"/>
        </w:rPr>
        <w:t xml:space="preserve">  </w:t>
      </w:r>
      <w:r>
        <w:rPr>
          <w:rFonts w:hint="eastAsia" w:ascii="仿宋" w:hAnsi="仿宋" w:eastAsia="仿宋" w:cs="仿宋"/>
          <w:color w:val="000000"/>
          <w:kern w:val="0"/>
          <w:sz w:val="31"/>
          <w:szCs w:val="31"/>
          <w:lang w:val="en-US" w:eastAsia="zh-CN" w:bidi="ar"/>
        </w:rPr>
        <w:t>注：最终报价在政采云平台（https://www.zcygov.cn/）上发起，供应商按规定的时间填写最终报价。成交供应商须在发出成交公告前按最终报价补充提交分项报价表。</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w:t>
      </w:r>
    </w:p>
    <w:p w14:paraId="5F9DCBD0">
      <w:pPr>
        <w:widowControl w:val="0"/>
        <w:wordWrap/>
        <w:adjustRightInd/>
        <w:snapToGrid/>
        <w:spacing w:line="560" w:lineRule="exact"/>
        <w:jc w:val="both"/>
        <w:textAlignment w:val="auto"/>
        <w:outlineLvl w:val="9"/>
        <w:rPr>
          <w:rFonts w:hint="eastAsia" w:ascii="仿宋_GB2312" w:hAnsi="仿宋_GB2312" w:eastAsia="仿宋_GB2312" w:cs="仿宋_GB2312"/>
          <w:b w:val="0"/>
          <w:bCs/>
          <w:color w:val="auto"/>
          <w:sz w:val="32"/>
          <w:szCs w:val="32"/>
        </w:rPr>
      </w:pPr>
    </w:p>
    <w:p w14:paraId="3A968557">
      <w:pPr>
        <w:widowControl w:val="0"/>
        <w:wordWrap/>
        <w:adjustRightInd/>
        <w:snapToGrid/>
        <w:spacing w:line="560" w:lineRule="exact"/>
        <w:ind w:firstLine="4160" w:firstLineChars="13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单位</w:t>
      </w:r>
      <w:r>
        <w:rPr>
          <w:rFonts w:hint="eastAsia" w:ascii="仿宋_GB2312" w:hAnsi="仿宋_GB2312" w:eastAsia="仿宋_GB2312" w:cs="仿宋_GB2312"/>
          <w:b w:val="0"/>
          <w:bCs/>
          <w:color w:val="auto"/>
          <w:sz w:val="32"/>
          <w:szCs w:val="32"/>
          <w:lang w:eastAsia="zh-CN"/>
        </w:rPr>
        <w:t>名称</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（公章）</w:t>
      </w:r>
    </w:p>
    <w:p w14:paraId="24A8B4A2">
      <w:pPr>
        <w:widowControl w:val="0"/>
        <w:wordWrap/>
        <w:adjustRightInd/>
        <w:snapToGrid/>
        <w:spacing w:line="560" w:lineRule="exact"/>
        <w:ind w:firstLine="640" w:firstLineChars="200"/>
        <w:jc w:val="center"/>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法定代表人或委托代理人：</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（签字或盖章）</w:t>
      </w:r>
    </w:p>
    <w:p w14:paraId="3BA90672">
      <w:pPr>
        <w:widowControl w:val="0"/>
        <w:wordWrap/>
        <w:adjustRightInd/>
        <w:snapToGrid/>
        <w:spacing w:line="560" w:lineRule="exact"/>
        <w:ind w:firstLine="640" w:firstLineChars="200"/>
        <w:jc w:val="center"/>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年   月  日</w:t>
      </w:r>
    </w:p>
    <w:p w14:paraId="029F3570">
      <w:pPr>
        <w:rPr>
          <w:rFonts w:hint="eastAsia" w:ascii="宋体" w:hAnsi="宋体"/>
          <w:b/>
          <w:color w:val="auto"/>
          <w:sz w:val="24"/>
        </w:rPr>
      </w:pPr>
      <w:r>
        <w:rPr>
          <w:rFonts w:hint="eastAsia" w:ascii="宋体" w:hAnsi="宋体"/>
          <w:b/>
          <w:color w:val="auto"/>
          <w:sz w:val="24"/>
        </w:rPr>
        <w:br w:type="page"/>
      </w:r>
    </w:p>
    <w:p w14:paraId="3D5CC291">
      <w:pPr>
        <w:pStyle w:val="2"/>
        <w:wordWrap/>
        <w:adjustRightInd w:val="0"/>
        <w:snapToGrid w:val="0"/>
        <w:spacing w:before="157" w:beforeLines="50" w:line="560" w:lineRule="exact"/>
        <w:jc w:val="center"/>
        <w:outlineLvl w:val="0"/>
        <w:rPr>
          <w:rFonts w:hint="eastAsia" w:ascii="仿宋" w:hAnsi="仿宋" w:eastAsia="仿宋" w:cs="仿宋"/>
          <w:b w:val="0"/>
          <w:bCs w:val="0"/>
          <w:color w:val="auto"/>
          <w:sz w:val="44"/>
          <w:szCs w:val="44"/>
        </w:rPr>
      </w:pPr>
      <w:bookmarkStart w:id="504" w:name="_Toc376936766"/>
      <w:bookmarkStart w:id="505" w:name="_Toc7329_WPSOffice_Level1"/>
      <w:bookmarkStart w:id="506" w:name="_Toc24112_WPSOffice_Level1"/>
      <w:bookmarkStart w:id="507" w:name="_Toc5169"/>
      <w:bookmarkStart w:id="508" w:name="_Toc4685"/>
      <w:bookmarkStart w:id="509" w:name="_Toc5233"/>
      <w:bookmarkStart w:id="510" w:name="_Toc27557_WPSOffice_Level1"/>
      <w:bookmarkStart w:id="511" w:name="_Toc416183225"/>
      <w:bookmarkStart w:id="512" w:name="_Toc16082_WPSOffice_Level1"/>
      <w:bookmarkStart w:id="513" w:name="_Toc23740"/>
      <w:bookmarkStart w:id="514" w:name="_Toc16779_WPSOffice_Level1"/>
      <w:bookmarkStart w:id="515" w:name="_Toc12949996"/>
      <w:bookmarkStart w:id="516" w:name="_Toc23722_WPSOffice_Level1"/>
      <w:r>
        <w:rPr>
          <w:rFonts w:hint="eastAsia" w:ascii="仿宋" w:hAnsi="仿宋" w:eastAsia="仿宋" w:cs="仿宋"/>
          <w:b w:val="0"/>
          <w:bCs w:val="0"/>
          <w:color w:val="auto"/>
          <w:sz w:val="44"/>
          <w:szCs w:val="44"/>
          <w:lang w:eastAsia="zh-CN"/>
        </w:rPr>
        <w:t>第五部分</w:t>
      </w:r>
      <w:r>
        <w:rPr>
          <w:rFonts w:hint="eastAsia" w:ascii="仿宋" w:hAnsi="仿宋" w:eastAsia="仿宋" w:cs="仿宋"/>
          <w:b w:val="0"/>
          <w:bCs w:val="0"/>
          <w:color w:val="auto"/>
          <w:sz w:val="44"/>
          <w:szCs w:val="44"/>
        </w:rPr>
        <w:t xml:space="preserve"> </w:t>
      </w:r>
      <w:bookmarkEnd w:id="504"/>
      <w:r>
        <w:rPr>
          <w:rFonts w:hint="eastAsia" w:ascii="仿宋" w:hAnsi="仿宋" w:eastAsia="仿宋" w:cs="仿宋"/>
          <w:b w:val="0"/>
          <w:bCs w:val="0"/>
          <w:color w:val="auto"/>
          <w:sz w:val="44"/>
          <w:szCs w:val="44"/>
        </w:rPr>
        <w:t>青海省政府采购项目合同书范本</w:t>
      </w:r>
      <w:bookmarkEnd w:id="505"/>
      <w:bookmarkEnd w:id="506"/>
      <w:bookmarkEnd w:id="507"/>
      <w:bookmarkEnd w:id="508"/>
    </w:p>
    <w:p w14:paraId="79238A7F">
      <w:pPr>
        <w:pStyle w:val="2"/>
        <w:wordWrap/>
        <w:adjustRightInd w:val="0"/>
        <w:snapToGrid w:val="0"/>
        <w:spacing w:before="157" w:beforeLines="50" w:line="560" w:lineRule="exact"/>
        <w:jc w:val="center"/>
        <w:outlineLvl w:val="0"/>
        <w:rPr>
          <w:rFonts w:hint="eastAsia" w:ascii="仿宋" w:hAnsi="仿宋" w:eastAsia="仿宋" w:cs="仿宋"/>
          <w:b w:val="0"/>
          <w:bCs w:val="0"/>
          <w:color w:val="auto"/>
          <w:sz w:val="44"/>
          <w:szCs w:val="44"/>
        </w:rPr>
      </w:pPr>
      <w:bookmarkStart w:id="517" w:name="_Toc13776"/>
      <w:bookmarkStart w:id="518" w:name="_Toc22776_WPSOffice_Level1"/>
      <w:bookmarkStart w:id="519" w:name="_Toc29785_WPSOffice_Level1"/>
      <w:bookmarkStart w:id="520" w:name="_Toc32639"/>
      <w:r>
        <w:rPr>
          <w:rFonts w:hint="eastAsia" w:ascii="仿宋" w:hAnsi="仿宋" w:eastAsia="仿宋" w:cs="仿宋"/>
          <w:b w:val="0"/>
          <w:bCs w:val="0"/>
          <w:color w:val="auto"/>
          <w:sz w:val="44"/>
          <w:szCs w:val="44"/>
        </w:rPr>
        <w:t>（</w:t>
      </w:r>
      <w:r>
        <w:rPr>
          <w:rFonts w:hint="eastAsia" w:ascii="仿宋" w:hAnsi="仿宋" w:eastAsia="仿宋" w:cs="仿宋"/>
          <w:b w:val="0"/>
          <w:bCs w:val="0"/>
          <w:color w:val="auto"/>
          <w:sz w:val="44"/>
          <w:szCs w:val="44"/>
          <w:lang w:val="en-US" w:eastAsia="zh-CN"/>
        </w:rPr>
        <w:t>货物</w:t>
      </w:r>
      <w:r>
        <w:rPr>
          <w:rFonts w:hint="eastAsia" w:ascii="仿宋" w:hAnsi="仿宋" w:eastAsia="仿宋" w:cs="仿宋"/>
          <w:b w:val="0"/>
          <w:bCs w:val="0"/>
          <w:color w:val="auto"/>
          <w:sz w:val="44"/>
          <w:szCs w:val="44"/>
        </w:rPr>
        <w:t>类）</w:t>
      </w:r>
      <w:bookmarkEnd w:id="509"/>
      <w:bookmarkEnd w:id="510"/>
      <w:bookmarkEnd w:id="511"/>
      <w:bookmarkEnd w:id="512"/>
      <w:bookmarkEnd w:id="513"/>
      <w:bookmarkEnd w:id="514"/>
      <w:bookmarkEnd w:id="515"/>
      <w:bookmarkEnd w:id="516"/>
      <w:bookmarkEnd w:id="517"/>
      <w:bookmarkEnd w:id="518"/>
      <w:bookmarkEnd w:id="519"/>
      <w:bookmarkEnd w:id="520"/>
    </w:p>
    <w:p w14:paraId="59773258">
      <w:pPr>
        <w:wordWrap/>
        <w:adjustRightInd w:val="0"/>
        <w:snapToGrid w:val="0"/>
        <w:spacing w:before="157" w:beforeLines="50" w:line="560" w:lineRule="exact"/>
        <w:outlineLvl w:val="0"/>
        <w:rPr>
          <w:rFonts w:hint="eastAsia" w:ascii="仿宋" w:hAnsi="仿宋" w:eastAsia="仿宋" w:cs="仿宋"/>
          <w:bCs/>
          <w:color w:val="auto"/>
          <w:szCs w:val="21"/>
        </w:rPr>
      </w:pPr>
      <w:bookmarkStart w:id="521" w:name="_Toc373936315"/>
      <w:bookmarkStart w:id="522" w:name="_Toc375576842"/>
      <w:bookmarkStart w:id="523" w:name="_Toc373954603"/>
    </w:p>
    <w:bookmarkEnd w:id="521"/>
    <w:bookmarkEnd w:id="522"/>
    <w:bookmarkEnd w:id="523"/>
    <w:p w14:paraId="085DDDDD">
      <w:pPr>
        <w:keepNext/>
        <w:keepLines/>
        <w:widowControl/>
        <w:wordWrap/>
        <w:snapToGrid w:val="0"/>
        <w:spacing w:before="157" w:beforeLines="50" w:line="560" w:lineRule="exact"/>
        <w:jc w:val="center"/>
        <w:outlineLvl w:val="9"/>
        <w:rPr>
          <w:rFonts w:hint="eastAsia" w:ascii="仿宋" w:hAnsi="仿宋" w:eastAsia="仿宋" w:cs="仿宋"/>
          <w:b w:val="0"/>
          <w:bCs/>
          <w:color w:val="auto"/>
          <w:kern w:val="28"/>
          <w:sz w:val="32"/>
          <w:szCs w:val="32"/>
        </w:rPr>
      </w:pPr>
      <w:bookmarkStart w:id="524" w:name="_Toc10999_WPSOffice_Level1"/>
      <w:bookmarkStart w:id="525" w:name="_Toc12949997"/>
      <w:bookmarkStart w:id="526" w:name="_Toc9152_WPSOffice_Level1"/>
      <w:bookmarkStart w:id="527" w:name="_Toc31604_WPSOffice_Level1"/>
      <w:bookmarkStart w:id="528" w:name="_Toc9715"/>
      <w:bookmarkStart w:id="529" w:name="_Toc416183226"/>
      <w:bookmarkStart w:id="530" w:name="_Toc4308"/>
      <w:bookmarkStart w:id="531" w:name="_Toc3676_WPSOffice_Level1"/>
      <w:bookmarkStart w:id="532" w:name="_Toc8067_WPSOffice_Level1"/>
      <w:r>
        <w:rPr>
          <w:rFonts w:hint="eastAsia" w:ascii="仿宋" w:hAnsi="仿宋" w:eastAsia="仿宋" w:cs="仿宋"/>
          <w:b w:val="0"/>
          <w:bCs/>
          <w:color w:val="auto"/>
          <w:kern w:val="28"/>
          <w:sz w:val="32"/>
          <w:szCs w:val="32"/>
        </w:rPr>
        <w:t>青海省政府采购项目合同书</w:t>
      </w:r>
      <w:bookmarkEnd w:id="524"/>
      <w:bookmarkEnd w:id="525"/>
      <w:bookmarkEnd w:id="526"/>
      <w:bookmarkEnd w:id="527"/>
      <w:bookmarkEnd w:id="528"/>
      <w:bookmarkEnd w:id="529"/>
      <w:bookmarkEnd w:id="530"/>
      <w:bookmarkEnd w:id="531"/>
      <w:bookmarkEnd w:id="532"/>
    </w:p>
    <w:p w14:paraId="242E9ADB">
      <w:pPr>
        <w:wordWrap/>
        <w:spacing w:before="157" w:beforeLines="50" w:line="560" w:lineRule="exact"/>
        <w:jc w:val="center"/>
        <w:outlineLvl w:val="9"/>
        <w:rPr>
          <w:rFonts w:hint="eastAsia" w:ascii="仿宋" w:hAnsi="仿宋" w:eastAsia="仿宋" w:cs="仿宋"/>
          <w:b w:val="0"/>
          <w:bCs/>
          <w:color w:val="auto"/>
          <w:sz w:val="32"/>
          <w:szCs w:val="32"/>
        </w:rPr>
      </w:pPr>
    </w:p>
    <w:p w14:paraId="491221CD">
      <w:pPr>
        <w:wordWrap/>
        <w:spacing w:before="157" w:beforeLines="50" w:line="560" w:lineRule="exact"/>
        <w:ind w:firstLine="640" w:firstLineChars="200"/>
        <w:outlineLvl w:val="9"/>
        <w:rPr>
          <w:rFonts w:hint="eastAsia" w:ascii="仿宋" w:hAnsi="仿宋" w:eastAsia="仿宋" w:cs="仿宋"/>
          <w:b w:val="0"/>
          <w:bCs/>
          <w:color w:val="auto"/>
          <w:sz w:val="32"/>
          <w:szCs w:val="32"/>
        </w:rPr>
      </w:pPr>
    </w:p>
    <w:p w14:paraId="59137819">
      <w:pPr>
        <w:wordWrap/>
        <w:spacing w:before="157" w:beforeLines="50" w:line="560" w:lineRule="exact"/>
        <w:ind w:left="2878" w:leftChars="304" w:hanging="2240" w:hangingChars="700"/>
        <w:outlineLvl w:val="9"/>
        <w:rPr>
          <w:rFonts w:hint="eastAsia" w:ascii="仿宋" w:hAnsi="仿宋" w:eastAsia="仿宋" w:cs="仿宋"/>
          <w:b w:val="0"/>
          <w:bCs/>
          <w:color w:val="auto"/>
          <w:sz w:val="32"/>
          <w:szCs w:val="32"/>
          <w:u w:val="single"/>
        </w:rPr>
      </w:pPr>
      <w:bookmarkStart w:id="533" w:name="_Toc23338_WPSOffice_Level1"/>
      <w:bookmarkStart w:id="534" w:name="_Toc23548_WPSOffice_Level1"/>
      <w:bookmarkStart w:id="535" w:name="_Toc19373_WPSOffice_Level1"/>
      <w:bookmarkStart w:id="536" w:name="_Toc18140_WPSOffice_Level1"/>
      <w:r>
        <w:rPr>
          <w:rFonts w:hint="eastAsia" w:ascii="仿宋" w:hAnsi="仿宋" w:eastAsia="仿宋" w:cs="仿宋"/>
          <w:b w:val="0"/>
          <w:bCs/>
          <w:color w:val="auto"/>
          <w:sz w:val="32"/>
          <w:szCs w:val="32"/>
        </w:rPr>
        <w:t>采购项目名称：</w:t>
      </w:r>
      <w:bookmarkEnd w:id="533"/>
      <w:bookmarkEnd w:id="534"/>
      <w:bookmarkEnd w:id="535"/>
      <w:bookmarkEnd w:id="536"/>
      <w:bookmarkStart w:id="537" w:name="_Toc2770_WPSOffice_Level1"/>
      <w:bookmarkStart w:id="538" w:name="_Toc2957_WPSOffice_Level1"/>
      <w:bookmarkStart w:id="539" w:name="_Toc19950_WPSOffice_Level1"/>
      <w:bookmarkStart w:id="540" w:name="_Toc20437_WPSOffice_Level1"/>
      <w:r>
        <w:rPr>
          <w:rFonts w:hint="eastAsia" w:ascii="仿宋" w:hAnsi="仿宋" w:eastAsia="仿宋" w:cs="仿宋"/>
          <w:b w:val="0"/>
          <w:bCs/>
          <w:color w:val="auto"/>
          <w:sz w:val="32"/>
          <w:szCs w:val="32"/>
          <w:u w:val="single"/>
          <w:lang w:val="en-US" w:eastAsia="zh-CN"/>
        </w:rPr>
        <w:t>2026年医疗服务与能力提升补助资金-医疗卫生机构能力建设(高海拔地区医疗服务能力建设)-耳鼻咽喉科专科</w:t>
      </w:r>
    </w:p>
    <w:p w14:paraId="063AE2F2">
      <w:pPr>
        <w:wordWrap/>
        <w:spacing w:before="157" w:beforeLines="50" w:line="560" w:lineRule="exact"/>
        <w:ind w:firstLine="640" w:firstLineChars="200"/>
        <w:outlineLvl w:val="9"/>
        <w:rPr>
          <w:rFonts w:hint="eastAsia" w:ascii="仿宋" w:hAnsi="仿宋" w:eastAsia="仿宋" w:cs="仿宋"/>
          <w:b w:val="0"/>
          <w:bCs/>
          <w:color w:val="auto"/>
          <w:sz w:val="32"/>
          <w:szCs w:val="32"/>
          <w:u w:val="single"/>
        </w:rPr>
      </w:pPr>
      <w:r>
        <w:rPr>
          <w:rFonts w:hint="eastAsia" w:ascii="仿宋" w:hAnsi="仿宋" w:eastAsia="仿宋" w:cs="仿宋"/>
          <w:b w:val="0"/>
          <w:bCs/>
          <w:color w:val="auto"/>
          <w:sz w:val="32"/>
          <w:szCs w:val="32"/>
        </w:rPr>
        <w:t>采购项目编号：</w:t>
      </w:r>
      <w:bookmarkEnd w:id="537"/>
      <w:bookmarkEnd w:id="538"/>
      <w:bookmarkEnd w:id="539"/>
      <w:bookmarkEnd w:id="540"/>
      <w:r>
        <w:rPr>
          <w:rFonts w:hint="eastAsia" w:ascii="仿宋" w:hAnsi="仿宋" w:eastAsia="仿宋" w:cs="仿宋"/>
          <w:b w:val="0"/>
          <w:bCs/>
          <w:color w:val="auto"/>
          <w:sz w:val="32"/>
          <w:szCs w:val="32"/>
          <w:u w:val="single"/>
          <w:lang w:val="en-US" w:eastAsia="zh-CN"/>
        </w:rPr>
        <w:t>青海中澜竞谈（货物）2026-001</w:t>
      </w:r>
      <w:r>
        <w:rPr>
          <w:rFonts w:hint="eastAsia" w:ascii="仿宋" w:hAnsi="仿宋" w:eastAsia="仿宋" w:cs="仿宋"/>
          <w:b w:val="0"/>
          <w:bCs/>
          <w:color w:val="auto"/>
          <w:sz w:val="32"/>
          <w:szCs w:val="32"/>
        </w:rPr>
        <w:t xml:space="preserve">                                              </w:t>
      </w:r>
    </w:p>
    <w:p w14:paraId="58969D02">
      <w:pPr>
        <w:wordWrap/>
        <w:spacing w:before="157" w:beforeLines="50" w:line="560" w:lineRule="exact"/>
        <w:ind w:firstLine="640" w:firstLineChars="200"/>
        <w:outlineLvl w:val="9"/>
        <w:rPr>
          <w:rFonts w:hint="eastAsia" w:ascii="仿宋" w:hAnsi="仿宋" w:eastAsia="仿宋" w:cs="仿宋"/>
          <w:b w:val="0"/>
          <w:bCs/>
          <w:color w:val="auto"/>
          <w:sz w:val="32"/>
          <w:szCs w:val="32"/>
        </w:rPr>
      </w:pPr>
      <w:bookmarkStart w:id="541" w:name="_Toc19490_WPSOffice_Level1"/>
      <w:bookmarkStart w:id="542" w:name="_Toc1998_WPSOffice_Level1"/>
      <w:bookmarkStart w:id="543" w:name="_Toc31508_WPSOffice_Level1"/>
      <w:bookmarkStart w:id="544" w:name="_Toc3022_WPSOffice_Level1"/>
      <w:r>
        <w:rPr>
          <w:rFonts w:hint="eastAsia" w:ascii="仿宋" w:hAnsi="仿宋" w:eastAsia="仿宋" w:cs="仿宋"/>
          <w:b w:val="0"/>
          <w:bCs/>
          <w:color w:val="auto"/>
          <w:sz w:val="32"/>
          <w:szCs w:val="32"/>
        </w:rPr>
        <w:t>采购合同编号：</w:t>
      </w:r>
      <w:bookmarkEnd w:id="541"/>
      <w:bookmarkEnd w:id="542"/>
      <w:bookmarkEnd w:id="543"/>
      <w:bookmarkEnd w:id="544"/>
      <w:r>
        <w:rPr>
          <w:rFonts w:hint="eastAsia" w:ascii="仿宋" w:hAnsi="仿宋" w:eastAsia="仿宋" w:cs="仿宋"/>
          <w:b w:val="0"/>
          <w:bCs/>
          <w:color w:val="auto"/>
          <w:sz w:val="32"/>
          <w:szCs w:val="32"/>
          <w:u w:val="single"/>
          <w:lang w:val="en-US" w:eastAsia="zh-CN"/>
        </w:rPr>
        <w:t>QHZL-2026-001</w:t>
      </w:r>
      <w:r>
        <w:rPr>
          <w:rFonts w:hint="eastAsia" w:ascii="仿宋" w:hAnsi="仿宋" w:eastAsia="仿宋" w:cs="仿宋"/>
          <w:b w:val="0"/>
          <w:bCs/>
          <w:color w:val="auto"/>
          <w:sz w:val="32"/>
          <w:szCs w:val="32"/>
        </w:rPr>
        <w:t xml:space="preserve">                                               </w:t>
      </w:r>
    </w:p>
    <w:p w14:paraId="10E63E39">
      <w:pPr>
        <w:wordWrap/>
        <w:spacing w:before="157" w:beforeLines="50" w:line="560" w:lineRule="exact"/>
        <w:ind w:firstLine="640" w:firstLineChars="200"/>
        <w:outlineLvl w:val="9"/>
        <w:rPr>
          <w:rFonts w:hint="eastAsia" w:ascii="仿宋" w:hAnsi="仿宋" w:eastAsia="仿宋" w:cs="仿宋"/>
          <w:b w:val="0"/>
          <w:bCs/>
          <w:color w:val="auto"/>
          <w:sz w:val="32"/>
          <w:szCs w:val="32"/>
        </w:rPr>
      </w:pPr>
      <w:bookmarkStart w:id="545" w:name="_Toc2711_WPSOffice_Level1"/>
      <w:bookmarkStart w:id="546" w:name="_Toc5994_WPSOffice_Level1"/>
      <w:bookmarkStart w:id="547" w:name="_Toc24942_WPSOffice_Level1"/>
      <w:bookmarkStart w:id="548" w:name="_Toc8063_WPSOffice_Level1"/>
      <w:r>
        <w:rPr>
          <w:rFonts w:hint="eastAsia" w:ascii="仿宋" w:hAnsi="仿宋" w:eastAsia="仿宋" w:cs="仿宋"/>
          <w:b w:val="0"/>
          <w:bCs/>
          <w:color w:val="auto"/>
          <w:sz w:val="32"/>
          <w:szCs w:val="32"/>
        </w:rPr>
        <w:t>合同金额（人民币）：</w:t>
      </w:r>
      <w:bookmarkEnd w:id="545"/>
      <w:bookmarkEnd w:id="546"/>
      <w:bookmarkEnd w:id="547"/>
      <w:bookmarkEnd w:id="548"/>
      <w:r>
        <w:rPr>
          <w:rFonts w:hint="eastAsia" w:ascii="仿宋" w:hAnsi="仿宋" w:eastAsia="仿宋" w:cs="仿宋"/>
          <w:b w:val="0"/>
          <w:bCs/>
          <w:color w:val="auto"/>
          <w:sz w:val="32"/>
          <w:szCs w:val="32"/>
          <w:u w:val="single"/>
        </w:rPr>
        <w:t xml:space="preserve">                            </w:t>
      </w:r>
      <w:r>
        <w:rPr>
          <w:rFonts w:hint="eastAsia" w:ascii="仿宋" w:hAnsi="仿宋" w:eastAsia="仿宋" w:cs="仿宋"/>
          <w:b w:val="0"/>
          <w:bCs/>
          <w:color w:val="auto"/>
          <w:sz w:val="32"/>
          <w:szCs w:val="32"/>
        </w:rPr>
        <w:t xml:space="preserve">                                   </w:t>
      </w:r>
    </w:p>
    <w:p w14:paraId="1C858A07">
      <w:pPr>
        <w:wordWrap/>
        <w:spacing w:before="157" w:beforeLines="50" w:line="560" w:lineRule="exact"/>
        <w:ind w:firstLine="640" w:firstLineChars="200"/>
        <w:jc w:val="left"/>
        <w:outlineLvl w:val="9"/>
        <w:rPr>
          <w:rFonts w:hint="eastAsia" w:ascii="仿宋" w:hAnsi="仿宋" w:eastAsia="仿宋" w:cs="仿宋"/>
          <w:b w:val="0"/>
          <w:bCs/>
          <w:color w:val="auto"/>
          <w:sz w:val="32"/>
          <w:szCs w:val="32"/>
        </w:rPr>
      </w:pPr>
      <w:bookmarkStart w:id="549" w:name="_Toc10610_WPSOffice_Level1"/>
      <w:bookmarkStart w:id="550" w:name="_Toc31793_WPSOffice_Level1"/>
      <w:bookmarkStart w:id="551" w:name="_Toc3522_WPSOffice_Level1"/>
      <w:bookmarkStart w:id="552" w:name="_Toc6126_WPSOffice_Level1"/>
      <w:r>
        <w:rPr>
          <w:rFonts w:hint="eastAsia" w:ascii="仿宋" w:hAnsi="仿宋" w:eastAsia="仿宋" w:cs="仿宋"/>
          <w:b w:val="0"/>
          <w:bCs/>
          <w:color w:val="auto"/>
          <w:sz w:val="32"/>
          <w:szCs w:val="32"/>
        </w:rPr>
        <w:t>采购单位（甲方）：</w:t>
      </w:r>
      <w:r>
        <w:rPr>
          <w:rFonts w:hint="eastAsia" w:ascii="仿宋" w:hAnsi="仿宋" w:eastAsia="仿宋" w:cs="仿宋"/>
          <w:b w:val="0"/>
          <w:bCs/>
          <w:color w:val="auto"/>
          <w:sz w:val="32"/>
          <w:szCs w:val="32"/>
          <w:u w:val="single"/>
        </w:rPr>
        <w:t xml:space="preserve">                        </w:t>
      </w:r>
      <w:r>
        <w:rPr>
          <w:rFonts w:hint="eastAsia" w:ascii="仿宋" w:hAnsi="仿宋" w:eastAsia="仿宋" w:cs="仿宋"/>
          <w:b w:val="0"/>
          <w:bCs/>
          <w:color w:val="auto"/>
          <w:sz w:val="32"/>
          <w:szCs w:val="32"/>
        </w:rPr>
        <w:t>（盖章）</w:t>
      </w:r>
      <w:bookmarkEnd w:id="549"/>
      <w:bookmarkEnd w:id="550"/>
      <w:bookmarkEnd w:id="551"/>
      <w:bookmarkEnd w:id="552"/>
    </w:p>
    <w:p w14:paraId="6C6650A9">
      <w:pPr>
        <w:wordWrap/>
        <w:spacing w:before="157" w:beforeLines="50" w:line="560" w:lineRule="exact"/>
        <w:ind w:firstLine="640" w:firstLineChars="200"/>
        <w:jc w:val="left"/>
        <w:outlineLvl w:val="9"/>
        <w:rPr>
          <w:rFonts w:hint="eastAsia" w:ascii="仿宋" w:hAnsi="仿宋" w:eastAsia="仿宋" w:cs="仿宋"/>
          <w:b w:val="0"/>
          <w:bCs/>
          <w:color w:val="auto"/>
          <w:sz w:val="32"/>
          <w:szCs w:val="32"/>
          <w:u w:val="single"/>
        </w:rPr>
      </w:pPr>
      <w:bookmarkStart w:id="553" w:name="_Toc14960_WPSOffice_Level1"/>
      <w:bookmarkStart w:id="554" w:name="_Toc7246_WPSOffice_Level1"/>
      <w:bookmarkStart w:id="555" w:name="_Toc382_WPSOffice_Level1"/>
      <w:bookmarkStart w:id="556" w:name="_Toc22516_WPSOffice_Level1"/>
      <w:r>
        <w:rPr>
          <w:rFonts w:hint="eastAsia" w:ascii="仿宋" w:hAnsi="仿宋" w:eastAsia="仿宋" w:cs="仿宋"/>
          <w:b w:val="0"/>
          <w:bCs/>
          <w:color w:val="auto"/>
          <w:sz w:val="32"/>
          <w:szCs w:val="32"/>
        </w:rPr>
        <w:t>成交供应商（乙方）：</w:t>
      </w:r>
      <w:r>
        <w:rPr>
          <w:rFonts w:hint="eastAsia" w:ascii="仿宋" w:hAnsi="仿宋" w:eastAsia="仿宋" w:cs="仿宋"/>
          <w:b w:val="0"/>
          <w:bCs/>
          <w:color w:val="auto"/>
          <w:sz w:val="32"/>
          <w:szCs w:val="32"/>
          <w:u w:val="single"/>
        </w:rPr>
        <w:t xml:space="preserve">                      </w:t>
      </w:r>
      <w:r>
        <w:rPr>
          <w:rFonts w:hint="eastAsia" w:ascii="仿宋" w:hAnsi="仿宋" w:eastAsia="仿宋" w:cs="仿宋"/>
          <w:b w:val="0"/>
          <w:bCs/>
          <w:color w:val="auto"/>
          <w:sz w:val="32"/>
          <w:szCs w:val="32"/>
        </w:rPr>
        <w:t>（盖章）</w:t>
      </w:r>
      <w:bookmarkEnd w:id="553"/>
      <w:bookmarkEnd w:id="554"/>
      <w:bookmarkEnd w:id="555"/>
      <w:bookmarkEnd w:id="556"/>
    </w:p>
    <w:p w14:paraId="439395FD">
      <w:pPr>
        <w:widowControl w:val="0"/>
        <w:wordWrap/>
        <w:adjustRightInd w:val="0"/>
        <w:snapToGrid w:val="0"/>
        <w:spacing w:line="560" w:lineRule="exact"/>
        <w:ind w:firstLine="420" w:firstLineChars="200"/>
        <w:textAlignment w:val="auto"/>
        <w:outlineLvl w:val="9"/>
        <w:rPr>
          <w:rFonts w:hint="eastAsia" w:ascii="仿宋_GB2312" w:hAnsi="仿宋_GB2312" w:eastAsia="仿宋_GB2312" w:cs="仿宋_GB2312"/>
          <w:bCs/>
          <w:color w:val="auto"/>
          <w:sz w:val="32"/>
          <w:szCs w:val="32"/>
        </w:rPr>
      </w:pPr>
      <w:r>
        <w:rPr>
          <w:rFonts w:hint="eastAsia" w:ascii="宋体" w:hAnsi="宋体" w:eastAsia="宋体"/>
          <w:bCs/>
          <w:color w:val="auto"/>
          <w:szCs w:val="21"/>
        </w:rPr>
        <w:br w:type="page"/>
      </w:r>
      <w:r>
        <w:rPr>
          <w:rFonts w:hint="eastAsia" w:ascii="仿宋_GB2312" w:hAnsi="仿宋_GB2312" w:eastAsia="仿宋_GB2312" w:cs="仿宋_GB2312"/>
          <w:bCs/>
          <w:color w:val="auto"/>
          <w:sz w:val="32"/>
          <w:szCs w:val="32"/>
        </w:rPr>
        <w:t>甲、乙双方根据</w:t>
      </w:r>
      <w:r>
        <w:rPr>
          <w:rFonts w:hint="eastAsia" w:ascii="仿宋_GB2312" w:hAnsi="仿宋_GB2312" w:eastAsia="仿宋_GB2312" w:cs="仿宋_GB2312"/>
          <w:bCs/>
          <w:color w:val="auto"/>
          <w:sz w:val="32"/>
          <w:szCs w:val="32"/>
          <w:u w:val="single"/>
        </w:rPr>
        <w:t>20</w:t>
      </w:r>
      <w:r>
        <w:rPr>
          <w:rFonts w:hint="eastAsia" w:ascii="仿宋_GB2312" w:hAnsi="仿宋_GB2312" w:eastAsia="仿宋_GB2312" w:cs="仿宋_GB2312"/>
          <w:bCs/>
          <w:color w:val="auto"/>
          <w:sz w:val="32"/>
          <w:szCs w:val="32"/>
          <w:u w:val="single"/>
          <w:lang w:val="en-US" w:eastAsia="zh-CN"/>
        </w:rPr>
        <w:t>26</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rPr>
        <w:t>日</w:t>
      </w:r>
      <w:r>
        <w:rPr>
          <w:rFonts w:hint="eastAsia" w:ascii="仿宋_GB2312" w:hAnsi="仿宋_GB2312" w:eastAsia="仿宋_GB2312" w:cs="仿宋_GB2312"/>
          <w:bCs/>
          <w:color w:val="auto"/>
          <w:sz w:val="32"/>
          <w:szCs w:val="32"/>
          <w:u w:val="single"/>
          <w:lang w:val="en-US" w:eastAsia="zh-CN"/>
        </w:rPr>
        <w:t>2026年医疗服务与能力提升补助资金-医疗卫生机构能力建设(高海拔地区医疗服务能力建设)-耳鼻咽喉科专科</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采购项目编号：</w:t>
      </w:r>
      <w:r>
        <w:rPr>
          <w:rFonts w:hint="eastAsia" w:ascii="仿宋_GB2312" w:hAnsi="仿宋_GB2312" w:eastAsia="仿宋_GB2312" w:cs="仿宋_GB2312"/>
          <w:bCs/>
          <w:color w:val="auto"/>
          <w:sz w:val="32"/>
          <w:szCs w:val="32"/>
          <w:u w:val="single"/>
          <w:lang w:val="en-US" w:eastAsia="zh-CN"/>
        </w:rPr>
        <w:t>青海中澜竞谈（货物）2026-001</w:t>
      </w:r>
      <w:r>
        <w:rPr>
          <w:rFonts w:hint="eastAsia" w:ascii="仿宋_GB2312" w:hAnsi="仿宋_GB2312" w:eastAsia="仿宋_GB2312" w:cs="仿宋_GB2312"/>
          <w:bCs/>
          <w:color w:val="auto"/>
          <w:sz w:val="32"/>
          <w:szCs w:val="32"/>
          <w:u w:val="single"/>
        </w:rPr>
        <w:t>）</w:t>
      </w:r>
      <w:r>
        <w:rPr>
          <w:rFonts w:hint="eastAsia" w:ascii="仿宋_GB2312" w:hAnsi="仿宋_GB2312" w:eastAsia="仿宋_GB2312" w:cs="仿宋_GB2312"/>
          <w:bCs/>
          <w:color w:val="auto"/>
          <w:sz w:val="32"/>
          <w:szCs w:val="32"/>
        </w:rPr>
        <w:t>的谈判文件要求和采购机构出具的《成交通知书》，并经双方协商一致，</w:t>
      </w:r>
      <w:r>
        <w:rPr>
          <w:rFonts w:hint="eastAsia" w:ascii="仿宋_GB2312" w:hAnsi="仿宋_GB2312" w:eastAsia="仿宋_GB2312" w:cs="仿宋_GB2312"/>
          <w:bCs/>
          <w:color w:val="auto"/>
          <w:sz w:val="32"/>
          <w:szCs w:val="32"/>
          <w:lang w:eastAsia="zh-CN"/>
        </w:rPr>
        <w:t>签订本合同协议书</w:t>
      </w:r>
      <w:r>
        <w:rPr>
          <w:rFonts w:hint="eastAsia" w:ascii="仿宋_GB2312" w:hAnsi="仿宋_GB2312" w:eastAsia="仿宋_GB2312" w:cs="仿宋_GB2312"/>
          <w:bCs/>
          <w:color w:val="auto"/>
          <w:sz w:val="32"/>
          <w:szCs w:val="32"/>
        </w:rPr>
        <w:t>：</w:t>
      </w:r>
    </w:p>
    <w:p w14:paraId="0693CDCB">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lang w:val="zh-CN"/>
        </w:rPr>
      </w:pPr>
      <w:bookmarkStart w:id="557" w:name="_Toc6055_WPSOffice_Level1"/>
      <w:bookmarkStart w:id="558" w:name="_Toc29795_WPSOffice_Level1"/>
      <w:bookmarkStart w:id="559" w:name="_Toc28036_WPSOffice_Level1"/>
      <w:bookmarkStart w:id="560" w:name="_Toc16675_WPSOffice_Level1"/>
      <w:bookmarkStart w:id="561" w:name="_Toc96_WPSOffice_Level1"/>
      <w:bookmarkStart w:id="562" w:name="_Toc6866_WPSOffice_Level1"/>
      <w:r>
        <w:rPr>
          <w:rFonts w:hint="eastAsia" w:ascii="仿宋_GB2312" w:hAnsi="仿宋_GB2312" w:eastAsia="仿宋_GB2312" w:cs="仿宋_GB2312"/>
          <w:bCs/>
          <w:color w:val="auto"/>
          <w:sz w:val="32"/>
          <w:szCs w:val="32"/>
          <w:lang w:val="zh-CN"/>
        </w:rPr>
        <w:t>一、签订本政府采购合同的依据</w:t>
      </w:r>
      <w:bookmarkEnd w:id="557"/>
      <w:bookmarkEnd w:id="558"/>
      <w:bookmarkEnd w:id="559"/>
      <w:bookmarkEnd w:id="560"/>
      <w:bookmarkEnd w:id="561"/>
      <w:bookmarkEnd w:id="562"/>
    </w:p>
    <w:p w14:paraId="0A904423">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val="zh-CN"/>
        </w:rPr>
        <w:t>本政府采购合同所附下列文件是构成本政府采购合同不可分割的部分：</w:t>
      </w:r>
    </w:p>
    <w:p w14:paraId="1BE2D20C">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lang w:val="zh-CN"/>
        </w:rPr>
      </w:pPr>
      <w:bookmarkStart w:id="563" w:name="_Toc32479_WPSOffice_Level2"/>
      <w:bookmarkStart w:id="564" w:name="_Toc7329_WPSOffice_Level2"/>
      <w:bookmarkStart w:id="565" w:name="_Toc29065_WPSOffice_Level2"/>
      <w:r>
        <w:rPr>
          <w:rFonts w:hint="eastAsia" w:ascii="仿宋_GB2312" w:hAnsi="仿宋_GB2312" w:eastAsia="仿宋_GB2312" w:cs="仿宋_GB2312"/>
          <w:bCs/>
          <w:color w:val="auto"/>
          <w:sz w:val="32"/>
          <w:szCs w:val="32"/>
          <w:lang w:val="zh-CN"/>
        </w:rPr>
        <w:t>1.谈判文件；</w:t>
      </w:r>
      <w:bookmarkEnd w:id="563"/>
      <w:bookmarkEnd w:id="564"/>
      <w:bookmarkEnd w:id="565"/>
    </w:p>
    <w:p w14:paraId="227317E6">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lang w:val="zh-CN"/>
        </w:rPr>
      </w:pPr>
      <w:bookmarkStart w:id="566" w:name="_Toc28112_WPSOffice_Level2"/>
      <w:bookmarkStart w:id="567" w:name="_Toc8989_WPSOffice_Level2"/>
      <w:bookmarkStart w:id="568" w:name="_Toc22776_WPSOffice_Level2"/>
      <w:r>
        <w:rPr>
          <w:rFonts w:hint="eastAsia" w:ascii="仿宋_GB2312" w:hAnsi="仿宋_GB2312" w:eastAsia="仿宋_GB2312" w:cs="仿宋_GB2312"/>
          <w:bCs/>
          <w:color w:val="auto"/>
          <w:sz w:val="32"/>
          <w:szCs w:val="32"/>
          <w:lang w:val="zh-CN"/>
        </w:rPr>
        <w:t>2.谈判文件的更正、变更公告；</w:t>
      </w:r>
      <w:bookmarkEnd w:id="566"/>
      <w:bookmarkEnd w:id="567"/>
      <w:bookmarkEnd w:id="568"/>
    </w:p>
    <w:p w14:paraId="363D322B">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lang w:val="zh-CN"/>
        </w:rPr>
      </w:pPr>
      <w:bookmarkStart w:id="569" w:name="_Toc28651_WPSOffice_Level2"/>
      <w:bookmarkStart w:id="570" w:name="_Toc29221_WPSOffice_Level2"/>
      <w:bookmarkStart w:id="571" w:name="_Toc29795_WPSOffice_Level2"/>
      <w:r>
        <w:rPr>
          <w:rFonts w:hint="eastAsia" w:ascii="仿宋_GB2312" w:hAnsi="仿宋_GB2312" w:eastAsia="仿宋_GB2312" w:cs="仿宋_GB2312"/>
          <w:bCs/>
          <w:color w:val="auto"/>
          <w:sz w:val="32"/>
          <w:szCs w:val="32"/>
          <w:lang w:val="zh-CN"/>
        </w:rPr>
        <w:t>3.成交供应商提交的谈判响应文件；</w:t>
      </w:r>
      <w:bookmarkEnd w:id="569"/>
      <w:bookmarkEnd w:id="570"/>
      <w:bookmarkEnd w:id="571"/>
    </w:p>
    <w:p w14:paraId="025CFB04">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lang w:val="zh-CN"/>
        </w:rPr>
      </w:pPr>
      <w:bookmarkStart w:id="572" w:name="_Toc130_WPSOffice_Level2"/>
      <w:bookmarkStart w:id="573" w:name="_Toc10173_WPSOffice_Level2"/>
      <w:bookmarkStart w:id="574" w:name="_Toc13685_WPSOffice_Level2"/>
      <w:r>
        <w:rPr>
          <w:rFonts w:hint="eastAsia" w:ascii="仿宋_GB2312" w:hAnsi="仿宋_GB2312" w:eastAsia="仿宋_GB2312" w:cs="仿宋_GB2312"/>
          <w:bCs/>
          <w:color w:val="auto"/>
          <w:sz w:val="32"/>
          <w:szCs w:val="32"/>
          <w:lang w:val="zh-CN"/>
        </w:rPr>
        <w:t>4.政府采购合同通用条款；</w:t>
      </w:r>
      <w:bookmarkEnd w:id="572"/>
      <w:bookmarkEnd w:id="573"/>
      <w:bookmarkEnd w:id="574"/>
    </w:p>
    <w:p w14:paraId="6A44B242">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lang w:val="zh-CN"/>
        </w:rPr>
      </w:pPr>
      <w:bookmarkStart w:id="575" w:name="_Toc1858_WPSOffice_Level2"/>
      <w:bookmarkStart w:id="576" w:name="_Toc16117_WPSOffice_Level2"/>
      <w:bookmarkStart w:id="577" w:name="_Toc22537_WPSOffice_Level2"/>
      <w:r>
        <w:rPr>
          <w:rFonts w:hint="eastAsia" w:ascii="仿宋_GB2312" w:hAnsi="仿宋_GB2312" w:eastAsia="仿宋_GB2312" w:cs="仿宋_GB2312"/>
          <w:bCs/>
          <w:color w:val="auto"/>
          <w:sz w:val="32"/>
          <w:szCs w:val="32"/>
          <w:lang w:val="zh-CN"/>
        </w:rPr>
        <w:t>5.成交通知书；</w:t>
      </w:r>
      <w:bookmarkEnd w:id="575"/>
      <w:bookmarkEnd w:id="576"/>
      <w:bookmarkEnd w:id="577"/>
    </w:p>
    <w:p w14:paraId="6B4FB489">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lang w:val="zh-CN"/>
        </w:rPr>
      </w:pPr>
      <w:bookmarkStart w:id="578" w:name="_Toc30677_WPSOffice_Level2"/>
      <w:bookmarkStart w:id="579" w:name="_Toc5771_WPSOffice_Level2"/>
      <w:bookmarkStart w:id="580" w:name="_Toc21545_WPSOffice_Level2"/>
      <w:r>
        <w:rPr>
          <w:rFonts w:hint="eastAsia" w:ascii="仿宋_GB2312" w:hAnsi="仿宋_GB2312" w:eastAsia="仿宋_GB2312" w:cs="仿宋_GB2312"/>
          <w:bCs/>
          <w:color w:val="auto"/>
          <w:sz w:val="32"/>
          <w:szCs w:val="32"/>
          <w:lang w:val="zh-CN"/>
        </w:rPr>
        <w:t>6.履约保证金缴费证明；</w:t>
      </w:r>
      <w:bookmarkEnd w:id="578"/>
      <w:bookmarkEnd w:id="579"/>
      <w:bookmarkEnd w:id="580"/>
    </w:p>
    <w:p w14:paraId="01EB8FC9">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581" w:name="_Toc2205_WPSOffice_Level2"/>
      <w:bookmarkStart w:id="582" w:name="_Toc8581_WPSOffice_Level2"/>
      <w:bookmarkStart w:id="583" w:name="_Toc32599_WPSOffice_Level2"/>
      <w:r>
        <w:rPr>
          <w:rFonts w:hint="eastAsia" w:ascii="仿宋_GB2312" w:hAnsi="仿宋_GB2312" w:eastAsia="仿宋_GB2312" w:cs="仿宋_GB2312"/>
          <w:bCs/>
          <w:color w:val="auto"/>
          <w:sz w:val="32"/>
          <w:szCs w:val="32"/>
        </w:rPr>
        <w:t>7.政府采购计划备案表。</w:t>
      </w:r>
      <w:bookmarkEnd w:id="581"/>
      <w:bookmarkEnd w:id="582"/>
      <w:bookmarkEnd w:id="583"/>
    </w:p>
    <w:p w14:paraId="240B3E40">
      <w:pPr>
        <w:widowControl w:val="0"/>
        <w:wordWrap/>
        <w:adjustRightInd w:val="0"/>
        <w:snapToGrid w:val="0"/>
        <w:spacing w:line="560" w:lineRule="exact"/>
        <w:ind w:left="7678" w:leftChars="304" w:hanging="7040" w:hangingChars="2200"/>
        <w:jc w:val="left"/>
        <w:textAlignment w:val="auto"/>
        <w:outlineLvl w:val="9"/>
        <w:rPr>
          <w:rFonts w:hint="eastAsia" w:ascii="仿宋_GB2312" w:hAnsi="仿宋_GB2312" w:eastAsia="仿宋_GB2312" w:cs="仿宋_GB2312"/>
          <w:bCs/>
          <w:color w:val="auto"/>
          <w:sz w:val="32"/>
          <w:szCs w:val="32"/>
          <w:lang w:val="zh-CN"/>
        </w:rPr>
      </w:pPr>
      <w:bookmarkStart w:id="584" w:name="_Toc12658_WPSOffice_Level1"/>
      <w:bookmarkStart w:id="585" w:name="_Toc10173_WPSOffice_Level1"/>
      <w:bookmarkStart w:id="586" w:name="_Toc10843_WPSOffice_Level1"/>
      <w:bookmarkStart w:id="587" w:name="_Toc29813_WPSOffice_Level1"/>
      <w:bookmarkStart w:id="588" w:name="_Toc7426_WPSOffice_Level1"/>
      <w:bookmarkStart w:id="589" w:name="_Toc4921_WPSOffice_Level1"/>
      <w:r>
        <w:rPr>
          <w:rFonts w:hint="eastAsia" w:ascii="仿宋_GB2312" w:hAnsi="仿宋_GB2312" w:eastAsia="仿宋_GB2312" w:cs="仿宋_GB2312"/>
          <w:bCs/>
          <w:color w:val="auto"/>
          <w:sz w:val="32"/>
          <w:szCs w:val="32"/>
          <w:lang w:val="zh-CN"/>
        </w:rPr>
        <w:t>二、合同标的及金额                                       单位：元</w:t>
      </w:r>
      <w:bookmarkEnd w:id="584"/>
      <w:bookmarkEnd w:id="585"/>
      <w:bookmarkEnd w:id="586"/>
      <w:bookmarkEnd w:id="587"/>
      <w:bookmarkEnd w:id="588"/>
      <w:bookmarkEnd w:id="589"/>
    </w:p>
    <w:tbl>
      <w:tblPr>
        <w:tblStyle w:val="20"/>
        <w:tblW w:w="9808" w:type="dxa"/>
        <w:jc w:val="center"/>
        <w:tblLayout w:type="fixed"/>
        <w:tblCellMar>
          <w:top w:w="0" w:type="dxa"/>
          <w:left w:w="28" w:type="dxa"/>
          <w:bottom w:w="0" w:type="dxa"/>
          <w:right w:w="28" w:type="dxa"/>
        </w:tblCellMar>
      </w:tblPr>
      <w:tblGrid>
        <w:gridCol w:w="713"/>
        <w:gridCol w:w="1666"/>
        <w:gridCol w:w="1030"/>
        <w:gridCol w:w="1157"/>
        <w:gridCol w:w="1338"/>
        <w:gridCol w:w="1208"/>
        <w:gridCol w:w="960"/>
        <w:gridCol w:w="900"/>
        <w:gridCol w:w="836"/>
      </w:tblGrid>
      <w:tr w14:paraId="1A639960">
        <w:tblPrEx>
          <w:tblCellMar>
            <w:top w:w="0" w:type="dxa"/>
            <w:left w:w="28" w:type="dxa"/>
            <w:bottom w:w="0" w:type="dxa"/>
            <w:right w:w="28" w:type="dxa"/>
          </w:tblCellMar>
        </w:tblPrEx>
        <w:trPr>
          <w:trHeight w:val="620" w:hRule="atLeast"/>
          <w:jc w:val="center"/>
        </w:trPr>
        <w:tc>
          <w:tcPr>
            <w:tcW w:w="713" w:type="dxa"/>
            <w:tcBorders>
              <w:top w:val="single" w:color="000000" w:sz="8" w:space="0"/>
              <w:left w:val="single" w:color="000000" w:sz="8" w:space="0"/>
              <w:bottom w:val="single" w:color="000000" w:sz="6" w:space="0"/>
              <w:right w:val="single" w:color="000000" w:sz="6" w:space="0"/>
            </w:tcBorders>
            <w:shd w:val="clear" w:color="000000" w:fill="FFFFFF"/>
            <w:vAlign w:val="center"/>
          </w:tcPr>
          <w:p w14:paraId="3ADD296B">
            <w:pPr>
              <w:jc w:val="center"/>
              <w:rPr>
                <w:rFonts w:hint="eastAsia" w:ascii="仿宋" w:hAnsi="仿宋" w:eastAsia="仿宋" w:cs="仿宋"/>
                <w:sz w:val="28"/>
                <w:szCs w:val="28"/>
                <w:lang w:val="zh-CN"/>
              </w:rPr>
            </w:pPr>
            <w:r>
              <w:rPr>
                <w:rFonts w:hint="eastAsia" w:ascii="仿宋" w:hAnsi="仿宋" w:eastAsia="仿宋" w:cs="仿宋"/>
                <w:sz w:val="28"/>
                <w:szCs w:val="28"/>
                <w:lang w:val="zh-CN"/>
              </w:rPr>
              <w:t>序号</w:t>
            </w:r>
          </w:p>
        </w:tc>
        <w:tc>
          <w:tcPr>
            <w:tcW w:w="1666"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7BD2F469">
            <w:pPr>
              <w:jc w:val="center"/>
              <w:rPr>
                <w:rFonts w:hint="eastAsia" w:ascii="仿宋" w:hAnsi="仿宋" w:eastAsia="仿宋" w:cs="仿宋"/>
                <w:sz w:val="28"/>
                <w:szCs w:val="28"/>
                <w:lang w:val="zh-CN"/>
              </w:rPr>
            </w:pPr>
            <w:r>
              <w:rPr>
                <w:rFonts w:hint="eastAsia" w:ascii="仿宋" w:hAnsi="仿宋" w:eastAsia="仿宋" w:cs="仿宋"/>
                <w:sz w:val="28"/>
                <w:szCs w:val="28"/>
                <w:lang w:val="zh-CN"/>
              </w:rPr>
              <w:t>产品名称</w:t>
            </w:r>
          </w:p>
        </w:tc>
        <w:tc>
          <w:tcPr>
            <w:tcW w:w="1030"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2131B9C1">
            <w:pPr>
              <w:jc w:val="center"/>
              <w:rPr>
                <w:rFonts w:hint="eastAsia" w:ascii="仿宋" w:hAnsi="仿宋" w:eastAsia="仿宋" w:cs="仿宋"/>
                <w:sz w:val="28"/>
                <w:szCs w:val="28"/>
                <w:lang w:val="zh-CN"/>
              </w:rPr>
            </w:pPr>
            <w:r>
              <w:rPr>
                <w:rFonts w:hint="eastAsia" w:ascii="仿宋" w:hAnsi="仿宋" w:eastAsia="仿宋" w:cs="仿宋"/>
                <w:sz w:val="28"/>
                <w:szCs w:val="28"/>
                <w:lang w:val="zh-CN"/>
              </w:rPr>
              <w:t>品牌</w:t>
            </w:r>
          </w:p>
        </w:tc>
        <w:tc>
          <w:tcPr>
            <w:tcW w:w="1157"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3C49654D">
            <w:pPr>
              <w:jc w:val="center"/>
              <w:rPr>
                <w:rFonts w:hint="eastAsia" w:ascii="仿宋" w:hAnsi="仿宋" w:eastAsia="仿宋" w:cs="仿宋"/>
                <w:sz w:val="28"/>
                <w:szCs w:val="28"/>
                <w:lang w:val="zh-CN"/>
              </w:rPr>
            </w:pPr>
            <w:r>
              <w:rPr>
                <w:rFonts w:hint="eastAsia" w:ascii="仿宋" w:hAnsi="仿宋" w:eastAsia="仿宋" w:cs="仿宋"/>
                <w:sz w:val="28"/>
                <w:szCs w:val="28"/>
                <w:lang w:val="zh-CN"/>
              </w:rPr>
              <w:t>规格</w:t>
            </w:r>
          </w:p>
          <w:p w14:paraId="3690D473">
            <w:pPr>
              <w:jc w:val="center"/>
              <w:rPr>
                <w:rFonts w:hint="eastAsia" w:ascii="仿宋" w:hAnsi="仿宋" w:eastAsia="仿宋" w:cs="仿宋"/>
                <w:sz w:val="28"/>
                <w:szCs w:val="28"/>
                <w:lang w:val="zh-CN"/>
              </w:rPr>
            </w:pPr>
            <w:r>
              <w:rPr>
                <w:rFonts w:hint="eastAsia" w:ascii="仿宋" w:hAnsi="仿宋" w:eastAsia="仿宋" w:cs="仿宋"/>
                <w:sz w:val="28"/>
                <w:szCs w:val="28"/>
                <w:lang w:val="zh-CN"/>
              </w:rPr>
              <w:t>型号</w:t>
            </w:r>
          </w:p>
        </w:tc>
        <w:tc>
          <w:tcPr>
            <w:tcW w:w="1338"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188E71C4">
            <w:pPr>
              <w:jc w:val="center"/>
              <w:rPr>
                <w:rFonts w:hint="eastAsia" w:ascii="仿宋" w:hAnsi="仿宋" w:eastAsia="仿宋" w:cs="仿宋"/>
                <w:sz w:val="28"/>
                <w:szCs w:val="28"/>
                <w:lang w:val="zh-CN"/>
              </w:rPr>
            </w:pPr>
            <w:r>
              <w:rPr>
                <w:rFonts w:hint="eastAsia" w:ascii="仿宋" w:hAnsi="仿宋" w:eastAsia="仿宋" w:cs="仿宋"/>
                <w:sz w:val="28"/>
                <w:szCs w:val="28"/>
                <w:lang w:val="zh-CN"/>
              </w:rPr>
              <w:t>生产厂家</w:t>
            </w:r>
          </w:p>
        </w:tc>
        <w:tc>
          <w:tcPr>
            <w:tcW w:w="1208"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7142CB32">
            <w:pPr>
              <w:jc w:val="center"/>
              <w:rPr>
                <w:rFonts w:hint="eastAsia" w:ascii="仿宋" w:hAnsi="仿宋" w:eastAsia="仿宋" w:cs="仿宋"/>
                <w:sz w:val="28"/>
                <w:szCs w:val="28"/>
                <w:lang w:val="en-US" w:eastAsia="zh-CN"/>
              </w:rPr>
            </w:pPr>
            <w:r>
              <w:rPr>
                <w:rFonts w:hint="eastAsia" w:ascii="仿宋" w:hAnsi="仿宋" w:eastAsia="仿宋" w:cs="仿宋"/>
                <w:sz w:val="28"/>
                <w:szCs w:val="28"/>
                <w:lang w:val="zh-CN"/>
              </w:rPr>
              <w:t>数量</w:t>
            </w:r>
            <w:r>
              <w:rPr>
                <w:rFonts w:hint="eastAsia" w:ascii="仿宋" w:hAnsi="仿宋" w:eastAsia="仿宋" w:cs="仿宋"/>
                <w:sz w:val="28"/>
                <w:szCs w:val="28"/>
                <w:lang w:val="en-US" w:eastAsia="zh-CN"/>
              </w:rPr>
              <w:t>及单位</w:t>
            </w:r>
          </w:p>
        </w:tc>
        <w:tc>
          <w:tcPr>
            <w:tcW w:w="960"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5340DC2E">
            <w:pPr>
              <w:jc w:val="center"/>
              <w:rPr>
                <w:rFonts w:hint="eastAsia" w:ascii="仿宋" w:hAnsi="仿宋" w:eastAsia="仿宋" w:cs="仿宋"/>
                <w:sz w:val="28"/>
                <w:szCs w:val="28"/>
                <w:lang w:val="zh-CN"/>
              </w:rPr>
            </w:pPr>
            <w:r>
              <w:rPr>
                <w:rFonts w:hint="eastAsia" w:ascii="仿宋" w:hAnsi="仿宋" w:eastAsia="仿宋" w:cs="仿宋"/>
                <w:sz w:val="28"/>
                <w:szCs w:val="28"/>
                <w:lang w:val="zh-CN"/>
              </w:rPr>
              <w:t>单价</w:t>
            </w:r>
          </w:p>
        </w:tc>
        <w:tc>
          <w:tcPr>
            <w:tcW w:w="900"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5B3EC96C">
            <w:pPr>
              <w:jc w:val="center"/>
              <w:rPr>
                <w:rFonts w:hint="eastAsia" w:ascii="仿宋" w:hAnsi="仿宋" w:eastAsia="仿宋" w:cs="仿宋"/>
                <w:sz w:val="28"/>
                <w:szCs w:val="28"/>
                <w:lang w:val="zh-CN"/>
              </w:rPr>
            </w:pPr>
            <w:r>
              <w:rPr>
                <w:rFonts w:hint="eastAsia" w:ascii="仿宋" w:hAnsi="仿宋" w:eastAsia="仿宋" w:cs="仿宋"/>
                <w:sz w:val="28"/>
                <w:szCs w:val="28"/>
                <w:lang w:val="zh-CN"/>
              </w:rPr>
              <w:t>合计</w:t>
            </w:r>
          </w:p>
        </w:tc>
        <w:tc>
          <w:tcPr>
            <w:tcW w:w="836" w:type="dxa"/>
            <w:tcBorders>
              <w:top w:val="single" w:color="000000" w:sz="8" w:space="0"/>
              <w:left w:val="single" w:color="000000" w:sz="6" w:space="0"/>
              <w:bottom w:val="single" w:color="000000" w:sz="6" w:space="0"/>
              <w:right w:val="single" w:color="000000" w:sz="8" w:space="0"/>
            </w:tcBorders>
            <w:shd w:val="clear" w:color="000000" w:fill="FFFFFF"/>
            <w:vAlign w:val="center"/>
          </w:tcPr>
          <w:p w14:paraId="118F0179">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w:t>
            </w:r>
          </w:p>
        </w:tc>
      </w:tr>
      <w:tr w14:paraId="31769504">
        <w:tblPrEx>
          <w:tblCellMar>
            <w:top w:w="0" w:type="dxa"/>
            <w:left w:w="28" w:type="dxa"/>
            <w:bottom w:w="0" w:type="dxa"/>
            <w:right w:w="28" w:type="dxa"/>
          </w:tblCellMar>
        </w:tblPrEx>
        <w:trPr>
          <w:trHeight w:val="529" w:hRule="atLeast"/>
          <w:jc w:val="center"/>
        </w:trPr>
        <w:tc>
          <w:tcPr>
            <w:tcW w:w="713"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44D4C297">
            <w:pPr>
              <w:jc w:val="center"/>
              <w:rPr>
                <w:rFonts w:hint="eastAsia" w:ascii="仿宋" w:hAnsi="仿宋" w:eastAsia="仿宋" w:cs="仿宋"/>
                <w:sz w:val="28"/>
                <w:szCs w:val="28"/>
                <w:lang w:val="zh-CN"/>
              </w:rPr>
            </w:pPr>
            <w:r>
              <w:rPr>
                <w:rFonts w:hint="eastAsia" w:ascii="仿宋" w:hAnsi="仿宋" w:eastAsia="仿宋" w:cs="仿宋"/>
                <w:sz w:val="28"/>
                <w:szCs w:val="28"/>
                <w:lang w:val="zh-CN"/>
              </w:rPr>
              <w:t>1</w:t>
            </w:r>
          </w:p>
        </w:tc>
        <w:tc>
          <w:tcPr>
            <w:tcW w:w="16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A139AD3">
            <w:pPr>
              <w:jc w:val="center"/>
              <w:rPr>
                <w:rFonts w:hint="eastAsia" w:ascii="仿宋" w:hAnsi="仿宋" w:eastAsia="仿宋" w:cs="仿宋"/>
                <w:sz w:val="28"/>
                <w:szCs w:val="28"/>
                <w:lang w:val="zh-CN"/>
              </w:rPr>
            </w:pPr>
          </w:p>
        </w:tc>
        <w:tc>
          <w:tcPr>
            <w:tcW w:w="10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854EFAD">
            <w:pPr>
              <w:jc w:val="center"/>
              <w:rPr>
                <w:rFonts w:hint="eastAsia" w:ascii="仿宋" w:hAnsi="仿宋" w:eastAsia="仿宋" w:cs="仿宋"/>
                <w:sz w:val="28"/>
                <w:szCs w:val="28"/>
                <w:lang w:val="zh-CN"/>
              </w:rPr>
            </w:pPr>
          </w:p>
        </w:tc>
        <w:tc>
          <w:tcPr>
            <w:tcW w:w="115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C1593E9">
            <w:pPr>
              <w:jc w:val="center"/>
              <w:rPr>
                <w:rFonts w:hint="eastAsia" w:ascii="仿宋" w:hAnsi="仿宋" w:eastAsia="仿宋" w:cs="仿宋"/>
                <w:sz w:val="28"/>
                <w:szCs w:val="28"/>
                <w:lang w:val="zh-CN"/>
              </w:rPr>
            </w:pPr>
          </w:p>
        </w:tc>
        <w:tc>
          <w:tcPr>
            <w:tcW w:w="13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DDCD24C">
            <w:pPr>
              <w:jc w:val="center"/>
              <w:rPr>
                <w:rFonts w:hint="eastAsia" w:ascii="仿宋" w:hAnsi="仿宋" w:eastAsia="仿宋" w:cs="仿宋"/>
                <w:sz w:val="28"/>
                <w:szCs w:val="28"/>
                <w:lang w:val="zh-CN"/>
              </w:rPr>
            </w:pPr>
          </w:p>
        </w:tc>
        <w:tc>
          <w:tcPr>
            <w:tcW w:w="12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E259C26">
            <w:pPr>
              <w:jc w:val="center"/>
              <w:rPr>
                <w:rFonts w:hint="eastAsia" w:ascii="仿宋" w:hAnsi="仿宋" w:eastAsia="仿宋" w:cs="仿宋"/>
                <w:sz w:val="28"/>
                <w:szCs w:val="28"/>
                <w:lang w:val="zh-CN"/>
              </w:rPr>
            </w:pPr>
          </w:p>
        </w:tc>
        <w:tc>
          <w:tcPr>
            <w:tcW w:w="96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C2C5A38">
            <w:pPr>
              <w:jc w:val="center"/>
              <w:rPr>
                <w:rFonts w:hint="eastAsia" w:ascii="仿宋" w:hAnsi="仿宋" w:eastAsia="仿宋" w:cs="仿宋"/>
                <w:sz w:val="28"/>
                <w:szCs w:val="28"/>
                <w:lang w:val="zh-CN"/>
              </w:rPr>
            </w:pPr>
          </w:p>
        </w:tc>
        <w:tc>
          <w:tcPr>
            <w:tcW w:w="9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E067618">
            <w:pPr>
              <w:jc w:val="center"/>
              <w:rPr>
                <w:rFonts w:hint="eastAsia" w:ascii="仿宋" w:hAnsi="仿宋" w:eastAsia="仿宋" w:cs="仿宋"/>
                <w:sz w:val="28"/>
                <w:szCs w:val="28"/>
                <w:lang w:val="zh-CN"/>
              </w:rPr>
            </w:pPr>
          </w:p>
        </w:tc>
        <w:tc>
          <w:tcPr>
            <w:tcW w:w="836"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619B62CE">
            <w:pPr>
              <w:jc w:val="center"/>
              <w:rPr>
                <w:rFonts w:hint="eastAsia" w:ascii="仿宋" w:hAnsi="仿宋" w:eastAsia="仿宋" w:cs="仿宋"/>
                <w:sz w:val="28"/>
                <w:szCs w:val="28"/>
                <w:lang w:val="zh-CN"/>
              </w:rPr>
            </w:pPr>
          </w:p>
        </w:tc>
      </w:tr>
      <w:tr w14:paraId="73E4ED58">
        <w:tblPrEx>
          <w:tblCellMar>
            <w:top w:w="0" w:type="dxa"/>
            <w:left w:w="28" w:type="dxa"/>
            <w:bottom w:w="0" w:type="dxa"/>
            <w:right w:w="28" w:type="dxa"/>
          </w:tblCellMar>
        </w:tblPrEx>
        <w:trPr>
          <w:trHeight w:val="529" w:hRule="atLeast"/>
          <w:jc w:val="center"/>
        </w:trPr>
        <w:tc>
          <w:tcPr>
            <w:tcW w:w="713"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61EAFAB8">
            <w:pPr>
              <w:jc w:val="center"/>
              <w:rPr>
                <w:rFonts w:hint="eastAsia" w:ascii="仿宋" w:hAnsi="仿宋" w:eastAsia="仿宋" w:cs="仿宋"/>
                <w:sz w:val="28"/>
                <w:szCs w:val="28"/>
                <w:lang w:val="zh-CN"/>
              </w:rPr>
            </w:pPr>
            <w:r>
              <w:rPr>
                <w:rFonts w:hint="eastAsia" w:ascii="仿宋" w:hAnsi="仿宋" w:eastAsia="仿宋" w:cs="仿宋"/>
                <w:sz w:val="28"/>
                <w:szCs w:val="28"/>
                <w:lang w:val="zh-CN"/>
              </w:rPr>
              <w:t>2</w:t>
            </w:r>
          </w:p>
        </w:tc>
        <w:tc>
          <w:tcPr>
            <w:tcW w:w="16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D6E8937">
            <w:pPr>
              <w:jc w:val="center"/>
              <w:rPr>
                <w:rFonts w:hint="eastAsia" w:ascii="仿宋" w:hAnsi="仿宋" w:eastAsia="仿宋" w:cs="仿宋"/>
                <w:sz w:val="28"/>
                <w:szCs w:val="28"/>
                <w:lang w:val="zh-CN"/>
              </w:rPr>
            </w:pPr>
          </w:p>
        </w:tc>
        <w:tc>
          <w:tcPr>
            <w:tcW w:w="10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F9D22C2">
            <w:pPr>
              <w:jc w:val="center"/>
              <w:rPr>
                <w:rFonts w:hint="eastAsia" w:ascii="仿宋" w:hAnsi="仿宋" w:eastAsia="仿宋" w:cs="仿宋"/>
                <w:sz w:val="28"/>
                <w:szCs w:val="28"/>
                <w:lang w:val="zh-CN"/>
              </w:rPr>
            </w:pPr>
          </w:p>
        </w:tc>
        <w:tc>
          <w:tcPr>
            <w:tcW w:w="115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B3570C4">
            <w:pPr>
              <w:jc w:val="center"/>
              <w:rPr>
                <w:rFonts w:hint="eastAsia" w:ascii="仿宋" w:hAnsi="仿宋" w:eastAsia="仿宋" w:cs="仿宋"/>
                <w:sz w:val="28"/>
                <w:szCs w:val="28"/>
                <w:lang w:val="zh-CN"/>
              </w:rPr>
            </w:pPr>
          </w:p>
        </w:tc>
        <w:tc>
          <w:tcPr>
            <w:tcW w:w="13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CC02A49">
            <w:pPr>
              <w:jc w:val="center"/>
              <w:rPr>
                <w:rFonts w:hint="eastAsia" w:ascii="仿宋" w:hAnsi="仿宋" w:eastAsia="仿宋" w:cs="仿宋"/>
                <w:sz w:val="28"/>
                <w:szCs w:val="28"/>
                <w:lang w:val="zh-CN"/>
              </w:rPr>
            </w:pPr>
          </w:p>
        </w:tc>
        <w:tc>
          <w:tcPr>
            <w:tcW w:w="12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3456EB3">
            <w:pPr>
              <w:jc w:val="center"/>
              <w:rPr>
                <w:rFonts w:hint="eastAsia" w:ascii="仿宋" w:hAnsi="仿宋" w:eastAsia="仿宋" w:cs="仿宋"/>
                <w:sz w:val="28"/>
                <w:szCs w:val="28"/>
                <w:lang w:val="zh-CN"/>
              </w:rPr>
            </w:pPr>
          </w:p>
        </w:tc>
        <w:tc>
          <w:tcPr>
            <w:tcW w:w="96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E05C09B">
            <w:pPr>
              <w:jc w:val="center"/>
              <w:rPr>
                <w:rFonts w:hint="eastAsia" w:ascii="仿宋" w:hAnsi="仿宋" w:eastAsia="仿宋" w:cs="仿宋"/>
                <w:sz w:val="28"/>
                <w:szCs w:val="28"/>
                <w:lang w:val="zh-CN"/>
              </w:rPr>
            </w:pPr>
          </w:p>
        </w:tc>
        <w:tc>
          <w:tcPr>
            <w:tcW w:w="9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BB7C56C">
            <w:pPr>
              <w:jc w:val="center"/>
              <w:rPr>
                <w:rFonts w:hint="eastAsia" w:ascii="仿宋" w:hAnsi="仿宋" w:eastAsia="仿宋" w:cs="仿宋"/>
                <w:sz w:val="28"/>
                <w:szCs w:val="28"/>
                <w:lang w:val="zh-CN"/>
              </w:rPr>
            </w:pPr>
          </w:p>
        </w:tc>
        <w:tc>
          <w:tcPr>
            <w:tcW w:w="836"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6789BF53">
            <w:pPr>
              <w:jc w:val="center"/>
              <w:rPr>
                <w:rFonts w:hint="eastAsia" w:ascii="仿宋" w:hAnsi="仿宋" w:eastAsia="仿宋" w:cs="仿宋"/>
                <w:sz w:val="28"/>
                <w:szCs w:val="28"/>
                <w:lang w:val="zh-CN"/>
              </w:rPr>
            </w:pPr>
          </w:p>
        </w:tc>
      </w:tr>
      <w:tr w14:paraId="61302FE1">
        <w:tblPrEx>
          <w:tblCellMar>
            <w:top w:w="0" w:type="dxa"/>
            <w:left w:w="28" w:type="dxa"/>
            <w:bottom w:w="0" w:type="dxa"/>
            <w:right w:w="28" w:type="dxa"/>
          </w:tblCellMar>
        </w:tblPrEx>
        <w:trPr>
          <w:trHeight w:val="529" w:hRule="atLeast"/>
          <w:jc w:val="center"/>
        </w:trPr>
        <w:tc>
          <w:tcPr>
            <w:tcW w:w="713"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650A736B">
            <w:pPr>
              <w:jc w:val="center"/>
              <w:rPr>
                <w:rFonts w:hint="eastAsia" w:ascii="仿宋" w:hAnsi="仿宋" w:eastAsia="仿宋" w:cs="仿宋"/>
                <w:sz w:val="28"/>
                <w:szCs w:val="28"/>
                <w:lang w:val="zh-CN"/>
              </w:rPr>
            </w:pPr>
            <w:r>
              <w:rPr>
                <w:rFonts w:hint="eastAsia" w:ascii="仿宋" w:hAnsi="仿宋" w:eastAsia="仿宋" w:cs="仿宋"/>
                <w:sz w:val="28"/>
                <w:szCs w:val="28"/>
                <w:lang w:val="zh-CN"/>
              </w:rPr>
              <w:t>3</w:t>
            </w:r>
          </w:p>
        </w:tc>
        <w:tc>
          <w:tcPr>
            <w:tcW w:w="16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A06F868">
            <w:pPr>
              <w:jc w:val="center"/>
              <w:rPr>
                <w:rFonts w:hint="eastAsia" w:ascii="仿宋" w:hAnsi="仿宋" w:eastAsia="仿宋" w:cs="仿宋"/>
                <w:sz w:val="28"/>
                <w:szCs w:val="28"/>
                <w:lang w:val="zh-CN"/>
              </w:rPr>
            </w:pPr>
          </w:p>
        </w:tc>
        <w:tc>
          <w:tcPr>
            <w:tcW w:w="10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F1EEDD2">
            <w:pPr>
              <w:jc w:val="center"/>
              <w:rPr>
                <w:rFonts w:hint="eastAsia" w:ascii="仿宋" w:hAnsi="仿宋" w:eastAsia="仿宋" w:cs="仿宋"/>
                <w:sz w:val="28"/>
                <w:szCs w:val="28"/>
                <w:lang w:val="zh-CN"/>
              </w:rPr>
            </w:pPr>
          </w:p>
        </w:tc>
        <w:tc>
          <w:tcPr>
            <w:tcW w:w="115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AA21C46">
            <w:pPr>
              <w:jc w:val="center"/>
              <w:rPr>
                <w:rFonts w:hint="eastAsia" w:ascii="仿宋" w:hAnsi="仿宋" w:eastAsia="仿宋" w:cs="仿宋"/>
                <w:sz w:val="28"/>
                <w:szCs w:val="28"/>
                <w:lang w:val="zh-CN"/>
              </w:rPr>
            </w:pPr>
          </w:p>
        </w:tc>
        <w:tc>
          <w:tcPr>
            <w:tcW w:w="13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4E8FED6">
            <w:pPr>
              <w:jc w:val="center"/>
              <w:rPr>
                <w:rFonts w:hint="eastAsia" w:ascii="仿宋" w:hAnsi="仿宋" w:eastAsia="仿宋" w:cs="仿宋"/>
                <w:sz w:val="28"/>
                <w:szCs w:val="28"/>
                <w:lang w:val="zh-CN"/>
              </w:rPr>
            </w:pPr>
          </w:p>
        </w:tc>
        <w:tc>
          <w:tcPr>
            <w:tcW w:w="12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B048E8E">
            <w:pPr>
              <w:jc w:val="center"/>
              <w:rPr>
                <w:rFonts w:hint="eastAsia" w:ascii="仿宋" w:hAnsi="仿宋" w:eastAsia="仿宋" w:cs="仿宋"/>
                <w:sz w:val="28"/>
                <w:szCs w:val="28"/>
                <w:lang w:val="zh-CN"/>
              </w:rPr>
            </w:pPr>
          </w:p>
        </w:tc>
        <w:tc>
          <w:tcPr>
            <w:tcW w:w="96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30EA5C2">
            <w:pPr>
              <w:jc w:val="center"/>
              <w:rPr>
                <w:rFonts w:hint="eastAsia" w:ascii="仿宋" w:hAnsi="仿宋" w:eastAsia="仿宋" w:cs="仿宋"/>
                <w:sz w:val="28"/>
                <w:szCs w:val="28"/>
                <w:lang w:val="zh-CN"/>
              </w:rPr>
            </w:pPr>
          </w:p>
        </w:tc>
        <w:tc>
          <w:tcPr>
            <w:tcW w:w="9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BC02272">
            <w:pPr>
              <w:jc w:val="center"/>
              <w:rPr>
                <w:rFonts w:hint="eastAsia" w:ascii="仿宋" w:hAnsi="仿宋" w:eastAsia="仿宋" w:cs="仿宋"/>
                <w:sz w:val="28"/>
                <w:szCs w:val="28"/>
                <w:lang w:val="zh-CN"/>
              </w:rPr>
            </w:pPr>
          </w:p>
        </w:tc>
        <w:tc>
          <w:tcPr>
            <w:tcW w:w="836"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3515445A">
            <w:pPr>
              <w:jc w:val="center"/>
              <w:rPr>
                <w:rFonts w:hint="eastAsia" w:ascii="仿宋" w:hAnsi="仿宋" w:eastAsia="仿宋" w:cs="仿宋"/>
                <w:sz w:val="28"/>
                <w:szCs w:val="28"/>
                <w:lang w:val="zh-CN"/>
              </w:rPr>
            </w:pPr>
          </w:p>
        </w:tc>
      </w:tr>
      <w:tr w14:paraId="248404A1">
        <w:tblPrEx>
          <w:tblCellMar>
            <w:top w:w="0" w:type="dxa"/>
            <w:left w:w="28" w:type="dxa"/>
            <w:bottom w:w="0" w:type="dxa"/>
            <w:right w:w="28" w:type="dxa"/>
          </w:tblCellMar>
        </w:tblPrEx>
        <w:trPr>
          <w:trHeight w:val="529" w:hRule="atLeast"/>
          <w:jc w:val="center"/>
        </w:trPr>
        <w:tc>
          <w:tcPr>
            <w:tcW w:w="713"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2B1A0F69">
            <w:pPr>
              <w:jc w:val="center"/>
              <w:rPr>
                <w:rFonts w:hint="eastAsia" w:ascii="仿宋" w:hAnsi="仿宋" w:eastAsia="仿宋" w:cs="仿宋"/>
                <w:sz w:val="28"/>
                <w:szCs w:val="28"/>
                <w:lang w:val="zh-CN"/>
              </w:rPr>
            </w:pPr>
            <w:r>
              <w:rPr>
                <w:rFonts w:hint="eastAsia" w:ascii="仿宋" w:hAnsi="仿宋" w:eastAsia="仿宋" w:cs="仿宋"/>
                <w:sz w:val="28"/>
                <w:szCs w:val="28"/>
                <w:lang w:val="zh-CN"/>
              </w:rPr>
              <w:t>4</w:t>
            </w:r>
          </w:p>
        </w:tc>
        <w:tc>
          <w:tcPr>
            <w:tcW w:w="16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C35BC29">
            <w:pPr>
              <w:jc w:val="center"/>
              <w:rPr>
                <w:rFonts w:hint="eastAsia" w:ascii="仿宋" w:hAnsi="仿宋" w:eastAsia="仿宋" w:cs="仿宋"/>
                <w:sz w:val="28"/>
                <w:szCs w:val="28"/>
                <w:lang w:val="zh-CN"/>
              </w:rPr>
            </w:pPr>
          </w:p>
        </w:tc>
        <w:tc>
          <w:tcPr>
            <w:tcW w:w="10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BA4A5FC">
            <w:pPr>
              <w:jc w:val="center"/>
              <w:rPr>
                <w:rFonts w:hint="eastAsia" w:ascii="仿宋" w:hAnsi="仿宋" w:eastAsia="仿宋" w:cs="仿宋"/>
                <w:sz w:val="28"/>
                <w:szCs w:val="28"/>
                <w:lang w:val="zh-CN"/>
              </w:rPr>
            </w:pPr>
          </w:p>
        </w:tc>
        <w:tc>
          <w:tcPr>
            <w:tcW w:w="115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54E7073">
            <w:pPr>
              <w:jc w:val="center"/>
              <w:rPr>
                <w:rFonts w:hint="eastAsia" w:ascii="仿宋" w:hAnsi="仿宋" w:eastAsia="仿宋" w:cs="仿宋"/>
                <w:sz w:val="28"/>
                <w:szCs w:val="28"/>
                <w:lang w:val="zh-CN"/>
              </w:rPr>
            </w:pPr>
          </w:p>
        </w:tc>
        <w:tc>
          <w:tcPr>
            <w:tcW w:w="13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5E79B2C">
            <w:pPr>
              <w:jc w:val="center"/>
              <w:rPr>
                <w:rFonts w:hint="eastAsia" w:ascii="仿宋" w:hAnsi="仿宋" w:eastAsia="仿宋" w:cs="仿宋"/>
                <w:sz w:val="28"/>
                <w:szCs w:val="28"/>
                <w:lang w:val="zh-CN"/>
              </w:rPr>
            </w:pPr>
          </w:p>
        </w:tc>
        <w:tc>
          <w:tcPr>
            <w:tcW w:w="12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A8D1592">
            <w:pPr>
              <w:jc w:val="center"/>
              <w:rPr>
                <w:rFonts w:hint="eastAsia" w:ascii="仿宋" w:hAnsi="仿宋" w:eastAsia="仿宋" w:cs="仿宋"/>
                <w:sz w:val="28"/>
                <w:szCs w:val="28"/>
                <w:lang w:val="zh-CN"/>
              </w:rPr>
            </w:pPr>
          </w:p>
        </w:tc>
        <w:tc>
          <w:tcPr>
            <w:tcW w:w="96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0CF4F0E">
            <w:pPr>
              <w:jc w:val="center"/>
              <w:rPr>
                <w:rFonts w:hint="eastAsia" w:ascii="仿宋" w:hAnsi="仿宋" w:eastAsia="仿宋" w:cs="仿宋"/>
                <w:sz w:val="28"/>
                <w:szCs w:val="28"/>
                <w:lang w:val="zh-CN"/>
              </w:rPr>
            </w:pPr>
          </w:p>
        </w:tc>
        <w:tc>
          <w:tcPr>
            <w:tcW w:w="9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DA46CC9">
            <w:pPr>
              <w:jc w:val="center"/>
              <w:rPr>
                <w:rFonts w:hint="eastAsia" w:ascii="仿宋" w:hAnsi="仿宋" w:eastAsia="仿宋" w:cs="仿宋"/>
                <w:sz w:val="28"/>
                <w:szCs w:val="28"/>
                <w:lang w:val="zh-CN"/>
              </w:rPr>
            </w:pPr>
          </w:p>
        </w:tc>
        <w:tc>
          <w:tcPr>
            <w:tcW w:w="836"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21665CB4">
            <w:pPr>
              <w:jc w:val="center"/>
              <w:rPr>
                <w:rFonts w:hint="eastAsia" w:ascii="仿宋" w:hAnsi="仿宋" w:eastAsia="仿宋" w:cs="仿宋"/>
                <w:sz w:val="28"/>
                <w:szCs w:val="28"/>
                <w:lang w:val="zh-CN"/>
              </w:rPr>
            </w:pPr>
          </w:p>
        </w:tc>
      </w:tr>
      <w:tr w14:paraId="0D791320">
        <w:tblPrEx>
          <w:tblCellMar>
            <w:top w:w="0" w:type="dxa"/>
            <w:left w:w="28" w:type="dxa"/>
            <w:bottom w:w="0" w:type="dxa"/>
            <w:right w:w="28" w:type="dxa"/>
          </w:tblCellMar>
        </w:tblPrEx>
        <w:trPr>
          <w:trHeight w:val="529" w:hRule="atLeast"/>
          <w:jc w:val="center"/>
        </w:trPr>
        <w:tc>
          <w:tcPr>
            <w:tcW w:w="713"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5E1A2CAF">
            <w:pPr>
              <w:jc w:val="center"/>
              <w:rPr>
                <w:rFonts w:hint="eastAsia" w:ascii="仿宋" w:hAnsi="仿宋" w:eastAsia="仿宋" w:cs="仿宋"/>
                <w:sz w:val="28"/>
                <w:szCs w:val="28"/>
                <w:lang w:val="zh-CN"/>
              </w:rPr>
            </w:pPr>
            <w:r>
              <w:rPr>
                <w:rFonts w:hint="eastAsia" w:ascii="仿宋" w:hAnsi="仿宋" w:eastAsia="仿宋" w:cs="仿宋"/>
                <w:sz w:val="28"/>
                <w:szCs w:val="28"/>
                <w:lang w:val="zh-CN"/>
              </w:rPr>
              <w:t>…</w:t>
            </w:r>
          </w:p>
        </w:tc>
        <w:tc>
          <w:tcPr>
            <w:tcW w:w="166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781C876">
            <w:pPr>
              <w:jc w:val="center"/>
              <w:rPr>
                <w:rFonts w:hint="eastAsia" w:ascii="仿宋" w:hAnsi="仿宋" w:eastAsia="仿宋" w:cs="仿宋"/>
                <w:sz w:val="28"/>
                <w:szCs w:val="28"/>
                <w:lang w:val="zh-CN"/>
              </w:rPr>
            </w:pPr>
          </w:p>
        </w:tc>
        <w:tc>
          <w:tcPr>
            <w:tcW w:w="10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52BB8BF">
            <w:pPr>
              <w:jc w:val="center"/>
              <w:rPr>
                <w:rFonts w:hint="eastAsia" w:ascii="仿宋" w:hAnsi="仿宋" w:eastAsia="仿宋" w:cs="仿宋"/>
                <w:sz w:val="28"/>
                <w:szCs w:val="28"/>
                <w:lang w:val="zh-CN"/>
              </w:rPr>
            </w:pPr>
          </w:p>
        </w:tc>
        <w:tc>
          <w:tcPr>
            <w:tcW w:w="115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E7EC98E">
            <w:pPr>
              <w:jc w:val="center"/>
              <w:rPr>
                <w:rFonts w:hint="eastAsia" w:ascii="仿宋" w:hAnsi="仿宋" w:eastAsia="仿宋" w:cs="仿宋"/>
                <w:sz w:val="28"/>
                <w:szCs w:val="28"/>
                <w:lang w:val="zh-CN"/>
              </w:rPr>
            </w:pPr>
          </w:p>
        </w:tc>
        <w:tc>
          <w:tcPr>
            <w:tcW w:w="13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CAB2F62">
            <w:pPr>
              <w:jc w:val="center"/>
              <w:rPr>
                <w:rFonts w:hint="eastAsia" w:ascii="仿宋" w:hAnsi="仿宋" w:eastAsia="仿宋" w:cs="仿宋"/>
                <w:sz w:val="28"/>
                <w:szCs w:val="28"/>
                <w:lang w:val="zh-CN"/>
              </w:rPr>
            </w:pPr>
          </w:p>
        </w:tc>
        <w:tc>
          <w:tcPr>
            <w:tcW w:w="12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83C29AD">
            <w:pPr>
              <w:jc w:val="center"/>
              <w:rPr>
                <w:rFonts w:hint="eastAsia" w:ascii="仿宋" w:hAnsi="仿宋" w:eastAsia="仿宋" w:cs="仿宋"/>
                <w:sz w:val="28"/>
                <w:szCs w:val="28"/>
                <w:lang w:val="zh-CN"/>
              </w:rPr>
            </w:pPr>
          </w:p>
        </w:tc>
        <w:tc>
          <w:tcPr>
            <w:tcW w:w="96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6B5EDCD">
            <w:pPr>
              <w:jc w:val="center"/>
              <w:rPr>
                <w:rFonts w:hint="eastAsia" w:ascii="仿宋" w:hAnsi="仿宋" w:eastAsia="仿宋" w:cs="仿宋"/>
                <w:sz w:val="28"/>
                <w:szCs w:val="28"/>
                <w:lang w:val="zh-CN"/>
              </w:rPr>
            </w:pPr>
          </w:p>
        </w:tc>
        <w:tc>
          <w:tcPr>
            <w:tcW w:w="9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0139B71">
            <w:pPr>
              <w:jc w:val="center"/>
              <w:rPr>
                <w:rFonts w:hint="eastAsia" w:ascii="仿宋" w:hAnsi="仿宋" w:eastAsia="仿宋" w:cs="仿宋"/>
                <w:sz w:val="28"/>
                <w:szCs w:val="28"/>
                <w:lang w:val="zh-CN"/>
              </w:rPr>
            </w:pPr>
          </w:p>
        </w:tc>
        <w:tc>
          <w:tcPr>
            <w:tcW w:w="836"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66D0C303">
            <w:pPr>
              <w:jc w:val="center"/>
              <w:rPr>
                <w:rFonts w:hint="eastAsia" w:ascii="仿宋" w:hAnsi="仿宋" w:eastAsia="仿宋" w:cs="仿宋"/>
                <w:sz w:val="28"/>
                <w:szCs w:val="28"/>
                <w:lang w:val="zh-CN"/>
              </w:rPr>
            </w:pPr>
          </w:p>
        </w:tc>
      </w:tr>
    </w:tbl>
    <w:p w14:paraId="06469560">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val="zh-CN"/>
        </w:rPr>
        <w:t>根据上述政府采购合同文件要求，本政府采购合同的总金额为人民币</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lang w:val="zh-CN"/>
        </w:rPr>
        <w:t>（大写）</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u w:val="single"/>
          <w:lang w:val="zh-CN"/>
        </w:rPr>
        <w:t xml:space="preserve">          </w:t>
      </w:r>
      <w:r>
        <w:rPr>
          <w:rFonts w:hint="eastAsia" w:ascii="仿宋_GB2312" w:hAnsi="仿宋_GB2312" w:eastAsia="仿宋_GB2312" w:cs="仿宋_GB2312"/>
          <w:bCs/>
          <w:color w:val="auto"/>
          <w:sz w:val="32"/>
          <w:szCs w:val="32"/>
          <w:lang w:val="zh-CN"/>
        </w:rPr>
        <w:t>元。</w:t>
      </w:r>
    </w:p>
    <w:p w14:paraId="737CF3EC">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val="zh-CN"/>
        </w:rPr>
        <w:t>本合同以人民币进行结算，合同总价包括：</w:t>
      </w:r>
      <w:bookmarkStart w:id="590" w:name="_Toc22537_WPSOffice_Level1"/>
      <w:bookmarkStart w:id="591" w:name="_Toc23899_WPSOffice_Level1"/>
      <w:bookmarkStart w:id="592" w:name="_Toc28888_WPSOffice_Level1"/>
      <w:bookmarkStart w:id="593" w:name="_Toc6168_WPSOffice_Level1"/>
      <w:bookmarkStart w:id="594" w:name="_Toc7098_WPSOffice_Level1"/>
      <w:bookmarkStart w:id="595" w:name="_Toc20423_WPSOffice_Level1"/>
      <w:r>
        <w:rPr>
          <w:rFonts w:hint="eastAsia" w:ascii="仿宋_GB2312" w:hAnsi="仿宋_GB2312" w:eastAsia="仿宋_GB2312" w:cs="仿宋_GB2312"/>
          <w:color w:val="auto"/>
          <w:sz w:val="32"/>
          <w:szCs w:val="32"/>
        </w:rPr>
        <w:t>产品费、检验费、</w:t>
      </w:r>
      <w:r>
        <w:rPr>
          <w:rFonts w:hint="eastAsia" w:ascii="仿宋_GB2312" w:hAnsi="仿宋_GB2312" w:eastAsia="仿宋_GB2312" w:cs="仿宋_GB2312"/>
          <w:color w:val="auto"/>
          <w:sz w:val="32"/>
          <w:szCs w:val="32"/>
          <w:lang w:val="en-US" w:eastAsia="zh-CN"/>
        </w:rPr>
        <w:t>手续费、包装费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运输费、代理费、</w:t>
      </w:r>
      <w:r>
        <w:rPr>
          <w:rFonts w:hint="eastAsia" w:ascii="仿宋_GB2312" w:hAnsi="仿宋_GB2312" w:eastAsia="仿宋_GB2312" w:cs="仿宋_GB2312"/>
          <w:color w:val="auto"/>
          <w:sz w:val="32"/>
          <w:szCs w:val="32"/>
        </w:rPr>
        <w:t>售后服务费、税金及其他不可预见费等全部费用</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kern w:val="2"/>
          <w:sz w:val="32"/>
          <w:szCs w:val="32"/>
          <w:lang w:val="en-US" w:eastAsia="zh-CN" w:bidi="ar-SA"/>
        </w:rPr>
        <w:t>。</w:t>
      </w:r>
    </w:p>
    <w:p w14:paraId="4FFE84EB">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zh-CN"/>
        </w:rPr>
        <w:t>三、交付时间、地点和要求</w:t>
      </w:r>
      <w:bookmarkEnd w:id="590"/>
      <w:bookmarkEnd w:id="591"/>
      <w:bookmarkEnd w:id="592"/>
      <w:bookmarkEnd w:id="593"/>
      <w:bookmarkEnd w:id="594"/>
      <w:bookmarkEnd w:id="595"/>
    </w:p>
    <w:p w14:paraId="46BF3C85">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zh-CN"/>
        </w:rPr>
        <w:t>交货时间：</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lang w:val="zh-CN"/>
        </w:rPr>
        <w:t>；</w:t>
      </w:r>
    </w:p>
    <w:p w14:paraId="6C0A5675">
      <w:pPr>
        <w:widowControl w:val="0"/>
        <w:wordWrap/>
        <w:adjustRightInd w:val="0"/>
        <w:snapToGrid w:val="0"/>
        <w:spacing w:line="560" w:lineRule="exact"/>
        <w:ind w:firstLine="960" w:firstLineChars="3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zh-CN"/>
        </w:rPr>
        <w:t>交货地点：</w:t>
      </w:r>
      <w:r>
        <w:rPr>
          <w:rFonts w:hint="eastAsia" w:ascii="仿宋_GB2312" w:hAnsi="仿宋_GB2312" w:eastAsia="仿宋_GB2312" w:cs="仿宋_GB2312"/>
          <w:bCs/>
          <w:color w:val="auto"/>
          <w:sz w:val="32"/>
          <w:szCs w:val="32"/>
          <w:u w:val="single"/>
          <w:lang w:val="zh-CN"/>
        </w:rPr>
        <w:t xml:space="preserve">                </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lang w:val="zh-CN"/>
        </w:rPr>
        <w:t>。</w:t>
      </w:r>
    </w:p>
    <w:p w14:paraId="02CBA59C">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color w:val="auto"/>
          <w:sz w:val="32"/>
          <w:szCs w:val="32"/>
          <w:lang w:val="zh-CN"/>
        </w:rPr>
        <w:t>乙方提供不符合谈判文件、谈判响应文件和本合同规定的产品，甲方有权拒绝接受。</w:t>
      </w:r>
    </w:p>
    <w:p w14:paraId="6CCFA5FB">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w:t>
      </w:r>
      <w:r>
        <w:rPr>
          <w:rFonts w:hint="eastAsia" w:ascii="仿宋_GB2312" w:hAnsi="仿宋_GB2312" w:eastAsia="仿宋_GB2312" w:cs="仿宋_GB2312"/>
          <w:bCs/>
          <w:color w:val="auto"/>
          <w:sz w:val="32"/>
          <w:szCs w:val="32"/>
          <w:lang w:val="zh-CN"/>
        </w:rPr>
        <w:t>乙方应将提供产品的装箱清单、用户手册、资料、工具和备品、备件等交付给甲方，如有缺失应及时补齐，否则视为逾期交货。</w:t>
      </w:r>
    </w:p>
    <w:p w14:paraId="58ECD434">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4. </w:t>
      </w:r>
      <w:r>
        <w:rPr>
          <w:rFonts w:hint="eastAsia" w:ascii="仿宋_GB2312" w:hAnsi="仿宋_GB2312" w:eastAsia="仿宋_GB2312" w:cs="仿宋_GB2312"/>
          <w:bCs/>
          <w:color w:val="auto"/>
          <w:sz w:val="32"/>
          <w:szCs w:val="32"/>
          <w:lang w:val="zh-CN"/>
        </w:rPr>
        <w:t>甲方应当在到货后</w:t>
      </w:r>
      <w:r>
        <w:rPr>
          <w:rFonts w:hint="eastAsia" w:ascii="仿宋_GB2312" w:hAnsi="仿宋_GB2312" w:eastAsia="仿宋_GB2312" w:cs="仿宋_GB2312"/>
          <w:bCs/>
          <w:color w:val="auto"/>
          <w:sz w:val="32"/>
          <w:szCs w:val="32"/>
          <w:u w:val="single"/>
          <w:lang w:val="zh-CN"/>
        </w:rPr>
        <w:t xml:space="preserve">    </w:t>
      </w:r>
      <w:r>
        <w:rPr>
          <w:rFonts w:hint="eastAsia" w:ascii="仿宋_GB2312" w:hAnsi="仿宋_GB2312" w:eastAsia="仿宋_GB2312" w:cs="仿宋_GB2312"/>
          <w:bCs/>
          <w:color w:val="auto"/>
          <w:sz w:val="32"/>
          <w:szCs w:val="32"/>
          <w:lang w:val="zh-CN"/>
        </w:rPr>
        <w:t>个工作日内进行验收。验收合格后，由甲乙双方签署产品验收单并加盖采购人</w:t>
      </w:r>
      <w:r>
        <w:rPr>
          <w:rFonts w:hint="eastAsia" w:ascii="仿宋_GB2312" w:hAnsi="仿宋_GB2312" w:eastAsia="仿宋_GB2312" w:cs="仿宋_GB2312"/>
          <w:bCs/>
          <w:color w:val="auto"/>
          <w:sz w:val="32"/>
          <w:szCs w:val="32"/>
          <w:highlight w:val="none"/>
          <w:lang w:val="zh-CN"/>
        </w:rPr>
        <w:t>公章</w:t>
      </w:r>
      <w:r>
        <w:rPr>
          <w:rFonts w:hint="eastAsia" w:ascii="仿宋_GB2312" w:hAnsi="仿宋_GB2312" w:eastAsia="仿宋_GB2312" w:cs="仿宋_GB2312"/>
          <w:bCs/>
          <w:color w:val="auto"/>
          <w:sz w:val="32"/>
          <w:szCs w:val="32"/>
          <w:lang w:val="zh-CN"/>
        </w:rPr>
        <w:t>，甲乙双方各执一份。</w:t>
      </w:r>
    </w:p>
    <w:p w14:paraId="32680AB1">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highlight w:val="none"/>
        </w:rPr>
        <w:t>5.</w:t>
      </w:r>
      <w:r>
        <w:rPr>
          <w:rFonts w:hint="eastAsia" w:ascii="仿宋_GB2312" w:hAnsi="仿宋_GB2312" w:eastAsia="仿宋_GB2312" w:cs="仿宋_GB2312"/>
          <w:bCs/>
          <w:color w:val="auto"/>
          <w:sz w:val="32"/>
          <w:szCs w:val="32"/>
          <w:highlight w:val="none"/>
          <w:lang w:val="zh-CN"/>
        </w:rPr>
        <w:t xml:space="preserve"> 甲方应提供该项目验收报告交同级财政监管部门，由财政部门按规定程序抽验后办理资金拨付</w:t>
      </w:r>
      <w:r>
        <w:rPr>
          <w:rFonts w:hint="eastAsia" w:ascii="仿宋_GB2312" w:hAnsi="仿宋_GB2312" w:eastAsia="仿宋_GB2312" w:cs="仿宋_GB2312"/>
          <w:bCs/>
          <w:color w:val="auto"/>
          <w:sz w:val="32"/>
          <w:szCs w:val="32"/>
          <w:lang w:val="zh-CN"/>
        </w:rPr>
        <w:t>。</w:t>
      </w:r>
    </w:p>
    <w:p w14:paraId="363FE8A3">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w:t>
      </w:r>
      <w:r>
        <w:rPr>
          <w:rFonts w:hint="eastAsia" w:ascii="仿宋_GB2312" w:hAnsi="仿宋_GB2312" w:eastAsia="仿宋_GB2312" w:cs="仿宋_GB2312"/>
          <w:bCs/>
          <w:color w:val="auto"/>
          <w:sz w:val="32"/>
          <w:szCs w:val="32"/>
          <w:lang w:val="zh-CN"/>
        </w:rPr>
        <w:t xml:space="preserve"> 甲方在履行合同过程中发现乙方有违约问题，可按谈判文件、谈判响应文件的规定要求乙方及时予以解决。</w:t>
      </w:r>
    </w:p>
    <w:p w14:paraId="5EF3D1E6">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w:t>
      </w:r>
      <w:r>
        <w:rPr>
          <w:rFonts w:hint="eastAsia" w:ascii="仿宋_GB2312" w:hAnsi="仿宋_GB2312" w:eastAsia="仿宋_GB2312" w:cs="仿宋_GB2312"/>
          <w:bCs/>
          <w:color w:val="auto"/>
          <w:sz w:val="32"/>
          <w:szCs w:val="32"/>
          <w:lang w:val="zh-CN"/>
        </w:rPr>
        <w:t>乙方向甲方提供产品相关完税销售发票。</w:t>
      </w:r>
    </w:p>
    <w:p w14:paraId="0283D28C">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596" w:name="_Toc32406_WPSOffice_Level1"/>
      <w:bookmarkStart w:id="597" w:name="_Toc23122_WPSOffice_Level1"/>
      <w:bookmarkStart w:id="598" w:name="_Toc19609_WPSOffice_Level1"/>
      <w:bookmarkStart w:id="599" w:name="_Toc5771_WPSOffice_Level1"/>
      <w:bookmarkStart w:id="600" w:name="_Toc2306_WPSOffice_Level1"/>
      <w:bookmarkStart w:id="601" w:name="_Toc29015_WPSOffice_Level1"/>
      <w:r>
        <w:rPr>
          <w:rFonts w:hint="eastAsia" w:ascii="仿宋_GB2312" w:hAnsi="仿宋_GB2312" w:eastAsia="仿宋_GB2312" w:cs="仿宋_GB2312"/>
          <w:bCs/>
          <w:color w:val="auto"/>
          <w:sz w:val="32"/>
          <w:szCs w:val="32"/>
        </w:rPr>
        <w:t>四、付款方式</w:t>
      </w:r>
      <w:bookmarkEnd w:id="596"/>
      <w:bookmarkEnd w:id="597"/>
      <w:bookmarkEnd w:id="598"/>
      <w:bookmarkEnd w:id="599"/>
      <w:bookmarkEnd w:id="600"/>
      <w:bookmarkEnd w:id="601"/>
    </w:p>
    <w:p w14:paraId="2FBC06DA">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u w:val="none"/>
          <w:lang w:val="zh-CN"/>
        </w:rPr>
      </w:pPr>
      <w:r>
        <w:rPr>
          <w:rFonts w:hint="eastAsia" w:ascii="仿宋_GB2312" w:hAnsi="仿宋_GB2312" w:eastAsia="仿宋_GB2312" w:cs="仿宋_GB2312"/>
          <w:bCs/>
          <w:color w:val="auto"/>
          <w:sz w:val="32"/>
          <w:szCs w:val="32"/>
          <w:u w:val="none"/>
          <w:lang w:val="zh-CN"/>
        </w:rPr>
        <w:t>乙方所交付的产品由甲方验收，验收合格后由甲方报同级财政监管部门，申请资金拨付,按合同金额向乙方支付合同总价款的</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u w:val="none"/>
          <w:lang w:val="zh-CN"/>
        </w:rPr>
        <w:t>%（付款方式及金额由采购人根据项目情况确定），即人民币（大写）：</w:t>
      </w:r>
      <w:r>
        <w:rPr>
          <w:rFonts w:hint="eastAsia" w:ascii="仿宋_GB2312" w:hAnsi="仿宋_GB2312" w:eastAsia="仿宋_GB2312" w:cs="仿宋_GB2312"/>
          <w:bCs/>
          <w:color w:val="auto"/>
          <w:sz w:val="32"/>
          <w:szCs w:val="32"/>
          <w:u w:val="single"/>
          <w:lang w:val="zh-CN"/>
        </w:rPr>
        <w:t xml:space="preserve">       </w:t>
      </w:r>
      <w:r>
        <w:rPr>
          <w:rFonts w:hint="eastAsia" w:ascii="仿宋_GB2312" w:hAnsi="仿宋_GB2312" w:eastAsia="仿宋_GB2312" w:cs="仿宋_GB2312"/>
          <w:bCs/>
          <w:color w:val="auto"/>
          <w:sz w:val="32"/>
          <w:szCs w:val="32"/>
          <w:u w:val="none"/>
          <w:lang w:val="zh-CN"/>
        </w:rPr>
        <w:t>元。</w:t>
      </w:r>
    </w:p>
    <w:p w14:paraId="67F61C18">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02" w:name="_Toc8581_WPSOffice_Level1"/>
      <w:bookmarkStart w:id="603" w:name="_Toc26468_WPSOffice_Level1"/>
      <w:bookmarkStart w:id="604" w:name="_Toc1156_WPSOffice_Level1"/>
      <w:bookmarkStart w:id="605" w:name="_Toc9071_WPSOffice_Level1"/>
      <w:bookmarkStart w:id="606" w:name="_Toc4945_WPSOffice_Level1"/>
      <w:bookmarkStart w:id="607" w:name="_Toc4233_WPSOffice_Level1"/>
      <w:r>
        <w:rPr>
          <w:rFonts w:hint="eastAsia" w:ascii="仿宋_GB2312" w:hAnsi="仿宋_GB2312" w:eastAsia="仿宋_GB2312" w:cs="仿宋_GB2312"/>
          <w:bCs/>
          <w:color w:val="auto"/>
          <w:sz w:val="32"/>
          <w:szCs w:val="32"/>
          <w:lang w:val="zh-CN"/>
        </w:rPr>
        <w:t>五、合同的变更、终止与转让</w:t>
      </w:r>
      <w:bookmarkEnd w:id="602"/>
      <w:bookmarkEnd w:id="603"/>
      <w:bookmarkEnd w:id="604"/>
      <w:bookmarkEnd w:id="605"/>
      <w:bookmarkEnd w:id="606"/>
      <w:bookmarkEnd w:id="607"/>
    </w:p>
    <w:p w14:paraId="14107B5C">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zh-CN"/>
        </w:rPr>
        <w:t>除《中华人民共和国政府采购法》第</w:t>
      </w:r>
      <w:r>
        <w:rPr>
          <w:rFonts w:hint="eastAsia" w:ascii="仿宋_GB2312" w:hAnsi="仿宋_GB2312" w:eastAsia="仿宋_GB2312" w:cs="仿宋_GB2312"/>
          <w:bCs/>
          <w:color w:val="auto"/>
          <w:sz w:val="32"/>
          <w:szCs w:val="32"/>
        </w:rPr>
        <w:t>50</w:t>
      </w:r>
      <w:r>
        <w:rPr>
          <w:rFonts w:hint="eastAsia" w:ascii="仿宋_GB2312" w:hAnsi="仿宋_GB2312" w:eastAsia="仿宋_GB2312" w:cs="仿宋_GB2312"/>
          <w:bCs/>
          <w:color w:val="auto"/>
          <w:sz w:val="32"/>
          <w:szCs w:val="32"/>
          <w:lang w:val="zh-CN"/>
        </w:rPr>
        <w:t>条规定的情形外，本合同一经签订，甲乙双方不得擅自变更、中止或终止。</w:t>
      </w:r>
    </w:p>
    <w:p w14:paraId="72A0546D">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color w:val="auto"/>
          <w:sz w:val="32"/>
          <w:szCs w:val="32"/>
          <w:lang w:val="zh-CN"/>
        </w:rPr>
        <w:t>乙方不得擅自转让其应履行的合同义务。</w:t>
      </w:r>
    </w:p>
    <w:p w14:paraId="35A070C9">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08" w:name="_Toc27090_WPSOffice_Level1"/>
      <w:bookmarkStart w:id="609" w:name="_Toc20231_WPSOffice_Level1"/>
      <w:bookmarkStart w:id="610" w:name="_Toc21200_WPSOffice_Level1"/>
      <w:bookmarkStart w:id="611" w:name="_Toc2669_WPSOffice_Level1"/>
      <w:bookmarkStart w:id="612" w:name="_Toc14930_WPSOffice_Level1"/>
      <w:bookmarkStart w:id="613" w:name="_Toc29941_WPSOffice_Level1"/>
      <w:r>
        <w:rPr>
          <w:rFonts w:hint="eastAsia" w:ascii="仿宋_GB2312" w:hAnsi="仿宋_GB2312" w:eastAsia="仿宋_GB2312" w:cs="仿宋_GB2312"/>
          <w:bCs/>
          <w:color w:val="auto"/>
          <w:sz w:val="32"/>
          <w:szCs w:val="32"/>
          <w:lang w:val="zh-CN"/>
        </w:rPr>
        <w:t>六、违约责任</w:t>
      </w:r>
      <w:bookmarkEnd w:id="608"/>
      <w:bookmarkEnd w:id="609"/>
      <w:bookmarkEnd w:id="610"/>
      <w:bookmarkEnd w:id="611"/>
      <w:bookmarkEnd w:id="612"/>
      <w:bookmarkEnd w:id="613"/>
    </w:p>
    <w:p w14:paraId="6FD8ED42">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zh-CN"/>
        </w:rPr>
        <w:t>乙方所提供的产品规格、技术标准、材料等质量不合格的，应及时更换；更换不及时的，按逾期交货承担违约责任；</w:t>
      </w:r>
      <w:r>
        <w:rPr>
          <w:rFonts w:hint="eastAsia" w:ascii="仿宋_GB2312" w:hAnsi="仿宋_GB2312" w:eastAsia="仿宋_GB2312" w:cs="仿宋_GB2312"/>
          <w:bCs/>
          <w:color w:val="auto"/>
          <w:sz w:val="32"/>
          <w:szCs w:val="32"/>
          <w:highlight w:val="none"/>
          <w:lang w:val="zh-CN"/>
        </w:rPr>
        <w:t>因质量问题甲方不同意接收的，甲方有权扣除质保金（或履约保证金），并由乙方赔偿由此引起的甲方的一切经济损失。</w:t>
      </w:r>
    </w:p>
    <w:p w14:paraId="5BE8B108">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color w:val="auto"/>
          <w:sz w:val="32"/>
          <w:szCs w:val="32"/>
          <w:lang w:val="zh-CN"/>
        </w:rPr>
        <w:t>乙方提供的货物如侵犯了第三方权益而引发纠纷或诉讼的，均由乙方负责交涉并承担全部责任。</w:t>
      </w:r>
    </w:p>
    <w:p w14:paraId="5D80B175">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w:t>
      </w:r>
      <w:r>
        <w:rPr>
          <w:rFonts w:hint="eastAsia" w:ascii="仿宋_GB2312" w:hAnsi="仿宋_GB2312" w:eastAsia="仿宋_GB2312" w:cs="仿宋_GB2312"/>
          <w:bCs/>
          <w:color w:val="auto"/>
          <w:sz w:val="32"/>
          <w:szCs w:val="32"/>
          <w:lang w:val="zh-CN"/>
        </w:rPr>
        <w:t>因包装、运输引起的货物损坏，甲方有权拒收。</w:t>
      </w:r>
    </w:p>
    <w:p w14:paraId="4DDFE208">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w:t>
      </w:r>
      <w:r>
        <w:rPr>
          <w:rFonts w:hint="eastAsia" w:ascii="仿宋_GB2312" w:hAnsi="仿宋_GB2312" w:eastAsia="仿宋_GB2312" w:cs="仿宋_GB2312"/>
          <w:bCs/>
          <w:color w:val="auto"/>
          <w:sz w:val="32"/>
          <w:szCs w:val="32"/>
          <w:lang w:val="zh-CN"/>
        </w:rPr>
        <w:t>甲方无故延期接受货物和乙方逾期交货的，每天应向对方偿付未交货物的货款</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lang w:val="zh-CN"/>
        </w:rPr>
        <w:t>的违约金，但违约金累计不得超过违约货款的</w:t>
      </w:r>
      <w:r>
        <w:rPr>
          <w:rFonts w:hint="eastAsia" w:ascii="仿宋_GB2312" w:hAnsi="仿宋_GB2312" w:eastAsia="仿宋_GB2312" w:cs="仿宋_GB2312"/>
          <w:bCs/>
          <w:color w:val="auto"/>
          <w:sz w:val="32"/>
          <w:szCs w:val="32"/>
        </w:rPr>
        <w:t>5%</w:t>
      </w:r>
      <w:r>
        <w:rPr>
          <w:rFonts w:hint="eastAsia" w:ascii="仿宋_GB2312" w:hAnsi="仿宋_GB2312" w:eastAsia="仿宋_GB2312" w:cs="仿宋_GB2312"/>
          <w:bCs/>
          <w:color w:val="auto"/>
          <w:sz w:val="32"/>
          <w:szCs w:val="32"/>
          <w:lang w:val="zh-CN"/>
        </w:rPr>
        <w:t>，超过</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lang w:val="zh-CN"/>
        </w:rPr>
        <w:t>天对方有权解除合同，违约方承担因此给对方造成的经济损失</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lang w:val="zh-CN"/>
        </w:rPr>
        <w:t>。</w:t>
      </w:r>
    </w:p>
    <w:p w14:paraId="0D6BA151">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w:t>
      </w:r>
      <w:r>
        <w:rPr>
          <w:rFonts w:hint="eastAsia" w:ascii="仿宋_GB2312" w:hAnsi="仿宋_GB2312" w:eastAsia="仿宋_GB2312" w:cs="仿宋_GB2312"/>
          <w:bCs/>
          <w:color w:val="auto"/>
          <w:sz w:val="32"/>
          <w:szCs w:val="32"/>
          <w:lang w:val="zh-CN"/>
        </w:rPr>
        <w:t>乙方未按本合同和响应文件中规定的服务承诺提供售后服务的，乙方应按本合同合计金额的</w:t>
      </w:r>
      <w:r>
        <w:rPr>
          <w:rFonts w:hint="eastAsia" w:ascii="仿宋_GB2312" w:hAnsi="仿宋_GB2312" w:eastAsia="仿宋_GB2312" w:cs="仿宋_GB2312"/>
          <w:bCs/>
          <w:color w:val="auto"/>
          <w:sz w:val="32"/>
          <w:szCs w:val="32"/>
        </w:rPr>
        <w:t>5%</w:t>
      </w:r>
      <w:r>
        <w:rPr>
          <w:rFonts w:hint="eastAsia" w:ascii="仿宋_GB2312" w:hAnsi="仿宋_GB2312" w:eastAsia="仿宋_GB2312" w:cs="仿宋_GB2312"/>
          <w:bCs/>
          <w:color w:val="auto"/>
          <w:sz w:val="32"/>
          <w:szCs w:val="32"/>
          <w:lang w:val="zh-CN"/>
        </w:rPr>
        <w:t>向甲方支付违约金。</w:t>
      </w:r>
    </w:p>
    <w:p w14:paraId="7C4B6E86">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w:t>
      </w:r>
      <w:r>
        <w:rPr>
          <w:rFonts w:hint="eastAsia" w:ascii="仿宋_GB2312" w:hAnsi="仿宋_GB2312" w:eastAsia="仿宋_GB2312" w:cs="仿宋_GB2312"/>
          <w:bCs/>
          <w:color w:val="auto"/>
          <w:sz w:val="32"/>
          <w:szCs w:val="32"/>
          <w:lang w:val="zh-CN"/>
        </w:rPr>
        <w:t>乙方提供的货物在质量保证期内，因设计、工艺或材料的缺陷和其它质量原因造成的问题，由乙方负责，费用从</w:t>
      </w:r>
      <w:r>
        <w:rPr>
          <w:rFonts w:hint="eastAsia" w:ascii="仿宋_GB2312" w:hAnsi="仿宋_GB2312" w:eastAsia="仿宋_GB2312" w:cs="仿宋_GB2312"/>
          <w:bCs/>
          <w:color w:val="auto"/>
          <w:sz w:val="32"/>
          <w:szCs w:val="32"/>
          <w:highlight w:val="none"/>
          <w:lang w:val="zh-CN"/>
        </w:rPr>
        <w:t>质量保证金</w:t>
      </w:r>
      <w:r>
        <w:rPr>
          <w:rFonts w:hint="eastAsia" w:ascii="仿宋_GB2312" w:hAnsi="仿宋_GB2312" w:eastAsia="仿宋_GB2312" w:cs="仿宋_GB2312"/>
          <w:bCs/>
          <w:color w:val="auto"/>
          <w:sz w:val="32"/>
          <w:szCs w:val="32"/>
          <w:lang w:val="zh-CN"/>
        </w:rPr>
        <w:t>中扣除，不足另补。</w:t>
      </w:r>
    </w:p>
    <w:p w14:paraId="414FC51D">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w:t>
      </w:r>
      <w:r>
        <w:rPr>
          <w:rFonts w:hint="eastAsia" w:ascii="仿宋_GB2312" w:hAnsi="仿宋_GB2312" w:eastAsia="仿宋_GB2312" w:cs="仿宋_GB2312"/>
          <w:bCs/>
          <w:color w:val="auto"/>
          <w:sz w:val="32"/>
          <w:szCs w:val="32"/>
          <w:lang w:val="zh-CN"/>
        </w:rPr>
        <w:t>其它违约行为按违约货款额</w:t>
      </w:r>
      <w:r>
        <w:rPr>
          <w:rFonts w:hint="eastAsia" w:ascii="仿宋_GB2312" w:hAnsi="仿宋_GB2312" w:eastAsia="仿宋_GB2312" w:cs="仿宋_GB2312"/>
          <w:bCs/>
          <w:color w:val="auto"/>
          <w:sz w:val="32"/>
          <w:szCs w:val="32"/>
        </w:rPr>
        <w:t>5%</w:t>
      </w:r>
      <w:r>
        <w:rPr>
          <w:rFonts w:hint="eastAsia" w:ascii="仿宋_GB2312" w:hAnsi="仿宋_GB2312" w:eastAsia="仿宋_GB2312" w:cs="仿宋_GB2312"/>
          <w:bCs/>
          <w:color w:val="auto"/>
          <w:sz w:val="32"/>
          <w:szCs w:val="32"/>
          <w:lang w:val="zh-CN"/>
        </w:rPr>
        <w:t>收取违约金并赔偿经济损失。</w:t>
      </w:r>
    </w:p>
    <w:p w14:paraId="36E4CAFB">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14" w:name="_Toc13664_WPSOffice_Level1"/>
      <w:bookmarkStart w:id="615" w:name="_Toc4924_WPSOffice_Level1"/>
      <w:bookmarkStart w:id="616" w:name="_Toc31682_WPSOffice_Level1"/>
      <w:bookmarkStart w:id="617" w:name="_Toc29473_WPSOffice_Level1"/>
      <w:bookmarkStart w:id="618" w:name="_Toc2021_WPSOffice_Level1"/>
      <w:bookmarkStart w:id="619" w:name="_Toc2639_WPSOffice_Level1"/>
      <w:r>
        <w:rPr>
          <w:rFonts w:hint="eastAsia" w:ascii="仿宋_GB2312" w:hAnsi="仿宋_GB2312" w:eastAsia="仿宋_GB2312" w:cs="仿宋_GB2312"/>
          <w:bCs/>
          <w:color w:val="auto"/>
          <w:sz w:val="32"/>
          <w:szCs w:val="32"/>
          <w:lang w:val="zh-CN"/>
        </w:rPr>
        <w:t>七、不可抗力</w:t>
      </w:r>
      <w:bookmarkEnd w:id="614"/>
      <w:bookmarkEnd w:id="615"/>
      <w:bookmarkEnd w:id="616"/>
      <w:bookmarkEnd w:id="617"/>
      <w:bookmarkEnd w:id="618"/>
      <w:bookmarkEnd w:id="619"/>
    </w:p>
    <w:p w14:paraId="72AFB96F">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zh-CN"/>
        </w:rPr>
        <w:t>不可抗力使合同的某些内容有变更必要的，双方应通过协商在</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lang w:val="zh-CN"/>
        </w:rPr>
        <w:t>天内达成进一步履行合同的协议，因不可抗力致使合同不能履行的，合同终止。</w:t>
      </w:r>
    </w:p>
    <w:p w14:paraId="451E2666">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color w:val="auto"/>
          <w:sz w:val="32"/>
          <w:szCs w:val="32"/>
          <w:lang w:val="zh-CN"/>
        </w:rPr>
        <w:t>除法律、法规规定的不可抗力情形外，双方约定出现</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lang w:val="zh-CN"/>
        </w:rPr>
        <w:t>情况亦视为不可抗力。</w:t>
      </w:r>
    </w:p>
    <w:p w14:paraId="2554AB98">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20" w:name="_Toc23622_WPSOffice_Level1"/>
      <w:bookmarkStart w:id="621" w:name="_Toc3848_WPSOffice_Level1"/>
      <w:bookmarkStart w:id="622" w:name="_Toc19414_WPSOffice_Level1"/>
      <w:bookmarkStart w:id="623" w:name="_Toc10383_WPSOffice_Level1"/>
      <w:bookmarkStart w:id="624" w:name="_Toc18318_WPSOffice_Level1"/>
      <w:bookmarkStart w:id="625" w:name="_Toc26412_WPSOffice_Level1"/>
      <w:r>
        <w:rPr>
          <w:rFonts w:hint="eastAsia" w:ascii="仿宋_GB2312" w:hAnsi="仿宋_GB2312" w:eastAsia="仿宋_GB2312" w:cs="仿宋_GB2312"/>
          <w:bCs/>
          <w:color w:val="auto"/>
          <w:sz w:val="32"/>
          <w:szCs w:val="32"/>
          <w:lang w:val="zh-CN"/>
        </w:rPr>
        <w:t>八、知识产权：</w:t>
      </w:r>
      <w:bookmarkEnd w:id="620"/>
      <w:bookmarkEnd w:id="621"/>
      <w:bookmarkEnd w:id="622"/>
      <w:bookmarkEnd w:id="623"/>
      <w:bookmarkEnd w:id="624"/>
      <w:bookmarkEnd w:id="625"/>
    </w:p>
    <w:p w14:paraId="56B5750B">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26" w:name="_Toc19749_WPSOffice_Level1"/>
      <w:bookmarkStart w:id="627" w:name="_Toc2260_WPSOffice_Level1"/>
      <w:bookmarkStart w:id="628" w:name="_Toc20210_WPSOffice_Level1"/>
      <w:bookmarkStart w:id="629" w:name="_Toc19632_WPSOffice_Level1"/>
      <w:bookmarkStart w:id="630" w:name="_Toc13231_WPSOffice_Level1"/>
      <w:bookmarkStart w:id="631" w:name="_Toc10217_WPSOffice_Level1"/>
      <w:r>
        <w:rPr>
          <w:rFonts w:hint="eastAsia" w:ascii="仿宋_GB2312" w:hAnsi="仿宋_GB2312" w:eastAsia="仿宋_GB2312" w:cs="仿宋_GB2312"/>
          <w:bCs/>
          <w:color w:val="auto"/>
          <w:sz w:val="32"/>
          <w:szCs w:val="32"/>
          <w:lang w:val="zh-CN"/>
        </w:rPr>
        <w:t>九、其他约定：</w:t>
      </w:r>
      <w:bookmarkEnd w:id="626"/>
      <w:bookmarkEnd w:id="627"/>
      <w:bookmarkEnd w:id="628"/>
      <w:bookmarkEnd w:id="629"/>
      <w:bookmarkEnd w:id="630"/>
      <w:bookmarkEnd w:id="631"/>
    </w:p>
    <w:p w14:paraId="2E42DE7C">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32" w:name="_Toc20133_WPSOffice_Level1"/>
      <w:bookmarkStart w:id="633" w:name="_Toc19521_WPSOffice_Level1"/>
      <w:bookmarkStart w:id="634" w:name="_Toc23823_WPSOffice_Level1"/>
      <w:bookmarkStart w:id="635" w:name="_Toc2032_WPSOffice_Level1"/>
      <w:bookmarkStart w:id="636" w:name="_Toc18552_WPSOffice_Level1"/>
      <w:bookmarkStart w:id="637" w:name="_Toc6985_WPSOffice_Level1"/>
      <w:r>
        <w:rPr>
          <w:rFonts w:hint="eastAsia" w:ascii="仿宋_GB2312" w:hAnsi="仿宋_GB2312" w:eastAsia="仿宋_GB2312" w:cs="仿宋_GB2312"/>
          <w:bCs/>
          <w:color w:val="auto"/>
          <w:sz w:val="32"/>
          <w:szCs w:val="32"/>
          <w:lang w:val="zh-CN"/>
        </w:rPr>
        <w:t>十、合同争议解决</w:t>
      </w:r>
      <w:bookmarkEnd w:id="632"/>
      <w:bookmarkEnd w:id="633"/>
      <w:bookmarkEnd w:id="634"/>
      <w:bookmarkEnd w:id="635"/>
      <w:bookmarkEnd w:id="636"/>
      <w:bookmarkEnd w:id="637"/>
    </w:p>
    <w:p w14:paraId="69F947CD">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zh-CN"/>
        </w:rPr>
        <w:t>因产品质量问题发生争议的，应邀请国家认可的质量检测机构进行鉴定。产品符合标准的，鉴定费由甲方承担；产品不符合标准的，鉴定费由乙方承担。</w:t>
      </w:r>
    </w:p>
    <w:p w14:paraId="7DBFE1F6">
      <w:pPr>
        <w:wordWrap/>
        <w:topLinePunct w:val="0"/>
        <w:ind w:firstLine="600"/>
        <w:rPr>
          <w:rFonts w:ascii="仿宋_GB2312" w:eastAsia="仿宋_GB2312"/>
          <w:color w:val="auto"/>
          <w:sz w:val="30"/>
          <w:szCs w:val="30"/>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color w:val="auto"/>
          <w:sz w:val="32"/>
          <w:szCs w:val="32"/>
          <w:lang w:val="zh-CN"/>
        </w:rPr>
        <w:t>因履行本合同引起的或与本合同有关的争议，甲乙双方应首先通过友好协商解决，如果协商不能解决，可</w:t>
      </w:r>
      <w:r>
        <w:rPr>
          <w:rFonts w:hint="eastAsia" w:ascii="仿宋_GB2312" w:eastAsia="仿宋_GB2312"/>
          <w:color w:val="auto"/>
          <w:sz w:val="30"/>
          <w:szCs w:val="30"/>
        </w:rPr>
        <w:t>按下列第</w:t>
      </w:r>
      <w:r>
        <w:rPr>
          <w:rFonts w:ascii="仿宋_GB2312" w:eastAsia="仿宋_GB2312"/>
          <w:color w:val="auto"/>
          <w:sz w:val="30"/>
          <w:szCs w:val="30"/>
          <w:u w:val="single"/>
        </w:rPr>
        <w:t xml:space="preserve">    </w:t>
      </w:r>
      <w:r>
        <w:rPr>
          <w:rFonts w:ascii="仿宋_GB2312" w:eastAsia="仿宋_GB2312"/>
          <w:color w:val="auto"/>
          <w:sz w:val="30"/>
          <w:szCs w:val="30"/>
        </w:rPr>
        <w:t>种方式解决：</w:t>
      </w:r>
    </w:p>
    <w:p w14:paraId="22D0E616">
      <w:pPr>
        <w:wordWrap/>
        <w:topLinePunct w:val="0"/>
        <w:ind w:firstLine="600"/>
        <w:rPr>
          <w:rFonts w:ascii="仿宋_GB2312" w:eastAsia="仿宋_GB2312"/>
          <w:color w:val="auto"/>
          <w:sz w:val="30"/>
          <w:szCs w:val="30"/>
        </w:rPr>
      </w:pPr>
      <w:r>
        <w:rPr>
          <w:rFonts w:hint="eastAsia" w:ascii="仿宋_GB2312" w:eastAsia="仿宋_GB2312"/>
          <w:color w:val="auto"/>
          <w:sz w:val="30"/>
          <w:szCs w:val="30"/>
        </w:rPr>
        <w:t>（</w:t>
      </w:r>
      <w:r>
        <w:rPr>
          <w:rFonts w:hint="eastAsia" w:ascii="仿宋_GB2312" w:eastAsia="仿宋_GB2312"/>
          <w:color w:val="auto"/>
          <w:sz w:val="30"/>
          <w:szCs w:val="30"/>
          <w:lang w:val="en-US" w:eastAsia="zh-CN"/>
        </w:rPr>
        <w:t>1</w:t>
      </w:r>
      <w:r>
        <w:rPr>
          <w:rFonts w:ascii="仿宋_GB2312" w:eastAsia="仿宋_GB2312"/>
          <w:color w:val="auto"/>
          <w:sz w:val="30"/>
          <w:szCs w:val="30"/>
        </w:rPr>
        <w:t>）向</w:t>
      </w:r>
      <w:r>
        <w:rPr>
          <w:rFonts w:ascii="仿宋_GB2312" w:eastAsia="仿宋_GB2312"/>
          <w:color w:val="auto"/>
          <w:sz w:val="30"/>
          <w:szCs w:val="30"/>
          <w:u w:val="single"/>
        </w:rPr>
        <w:t xml:space="preserve">                  </w:t>
      </w:r>
      <w:r>
        <w:rPr>
          <w:rFonts w:ascii="仿宋_GB2312" w:eastAsia="仿宋_GB2312"/>
          <w:color w:val="auto"/>
          <w:sz w:val="30"/>
          <w:szCs w:val="30"/>
        </w:rPr>
        <w:t>人民法院起诉。</w:t>
      </w:r>
    </w:p>
    <w:p w14:paraId="0163FC0F">
      <w:pPr>
        <w:wordWrap/>
        <w:topLinePunct w:val="0"/>
        <w:ind w:firstLine="600"/>
        <w:rPr>
          <w:rFonts w:ascii="仿宋_GB2312" w:eastAsia="仿宋_GB2312"/>
          <w:color w:val="auto"/>
          <w:sz w:val="30"/>
          <w:szCs w:val="30"/>
        </w:rPr>
      </w:pPr>
      <w:r>
        <w:rPr>
          <w:rFonts w:hint="eastAsia" w:ascii="仿宋_GB2312" w:eastAsia="仿宋_GB2312"/>
          <w:color w:val="auto"/>
          <w:sz w:val="30"/>
          <w:szCs w:val="30"/>
        </w:rPr>
        <w:t>（</w:t>
      </w:r>
      <w:r>
        <w:rPr>
          <w:rFonts w:hint="eastAsia" w:ascii="仿宋_GB2312" w:eastAsia="仿宋_GB2312"/>
          <w:color w:val="auto"/>
          <w:sz w:val="30"/>
          <w:szCs w:val="30"/>
          <w:lang w:val="en-US" w:eastAsia="zh-CN"/>
        </w:rPr>
        <w:t>2</w:t>
      </w:r>
      <w:r>
        <w:rPr>
          <w:rFonts w:ascii="仿宋_GB2312" w:eastAsia="仿宋_GB2312"/>
          <w:color w:val="auto"/>
          <w:sz w:val="30"/>
          <w:szCs w:val="30"/>
        </w:rPr>
        <w:t>）向</w:t>
      </w:r>
      <w:r>
        <w:rPr>
          <w:rFonts w:ascii="仿宋_GB2312" w:eastAsia="仿宋_GB2312"/>
          <w:color w:val="auto"/>
          <w:sz w:val="30"/>
          <w:szCs w:val="30"/>
          <w:u w:val="single"/>
        </w:rPr>
        <w:t xml:space="preserve">                  </w:t>
      </w:r>
      <w:r>
        <w:rPr>
          <w:rFonts w:ascii="仿宋_GB2312" w:eastAsia="仿宋_GB2312"/>
          <w:color w:val="auto"/>
          <w:sz w:val="30"/>
          <w:szCs w:val="30"/>
        </w:rPr>
        <w:t>仲裁委员会申请仲裁；</w:t>
      </w:r>
    </w:p>
    <w:p w14:paraId="7DCB7031">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w:t>
      </w:r>
      <w:r>
        <w:rPr>
          <w:rFonts w:hint="eastAsia" w:ascii="仿宋_GB2312" w:hAnsi="仿宋_GB2312" w:eastAsia="仿宋_GB2312" w:cs="仿宋_GB2312"/>
          <w:bCs/>
          <w:color w:val="auto"/>
          <w:sz w:val="32"/>
          <w:szCs w:val="32"/>
          <w:lang w:val="zh-CN"/>
        </w:rPr>
        <w:t>诉讼期间，本合同继续履行。</w:t>
      </w:r>
    </w:p>
    <w:p w14:paraId="78940004">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38" w:name="_Toc12915_WPSOffice_Level1"/>
      <w:bookmarkStart w:id="639" w:name="_Toc8439_WPSOffice_Level1"/>
      <w:bookmarkStart w:id="640" w:name="_Toc18713_WPSOffice_Level1"/>
      <w:bookmarkStart w:id="641" w:name="_Toc20057_WPSOffice_Level1"/>
      <w:bookmarkStart w:id="642" w:name="_Toc25759_WPSOffice_Level1"/>
      <w:bookmarkStart w:id="643" w:name="_Toc27544_WPSOffice_Level1"/>
      <w:r>
        <w:rPr>
          <w:rFonts w:hint="eastAsia" w:ascii="仿宋_GB2312" w:hAnsi="仿宋_GB2312" w:eastAsia="仿宋_GB2312" w:cs="仿宋_GB2312"/>
          <w:bCs/>
          <w:color w:val="auto"/>
          <w:sz w:val="32"/>
          <w:szCs w:val="32"/>
          <w:lang w:val="zh-CN"/>
        </w:rPr>
        <w:t>十一、合同生效及其它</w:t>
      </w:r>
      <w:r>
        <w:rPr>
          <w:rFonts w:hint="eastAsia" w:ascii="仿宋_GB2312" w:hAnsi="仿宋_GB2312" w:eastAsia="仿宋_GB2312" w:cs="仿宋_GB2312"/>
          <w:bCs/>
          <w:color w:val="auto"/>
          <w:sz w:val="32"/>
          <w:szCs w:val="32"/>
        </w:rPr>
        <w:t>：</w:t>
      </w:r>
      <w:bookmarkEnd w:id="638"/>
      <w:bookmarkEnd w:id="639"/>
      <w:bookmarkEnd w:id="640"/>
      <w:bookmarkEnd w:id="641"/>
      <w:bookmarkEnd w:id="642"/>
      <w:bookmarkEnd w:id="643"/>
    </w:p>
    <w:p w14:paraId="002AB2CA">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44" w:name="_Toc26653_WPSOffice_Level2"/>
      <w:bookmarkStart w:id="645" w:name="_Toc15526_WPSOffice_Level2"/>
      <w:bookmarkStart w:id="646" w:name="_Toc20231_WPSOffice_Level2"/>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zh-CN"/>
        </w:rPr>
        <w:t>本合同一式六份，经双方签字，并加盖公章即为生效。</w:t>
      </w:r>
      <w:bookmarkEnd w:id="644"/>
      <w:bookmarkEnd w:id="645"/>
      <w:bookmarkEnd w:id="646"/>
    </w:p>
    <w:p w14:paraId="06524118">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47" w:name="_Toc11979_WPSOffice_Level2"/>
      <w:bookmarkStart w:id="648" w:name="_Toc13664_WPSOffice_Level2"/>
      <w:bookmarkStart w:id="649" w:name="_Toc16154_WPSOffice_Level2"/>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color w:val="auto"/>
          <w:sz w:val="32"/>
          <w:szCs w:val="32"/>
          <w:lang w:val="zh-CN"/>
        </w:rPr>
        <w:t>本合同未尽事宜，按《民法典》有关规定处理。</w:t>
      </w:r>
      <w:bookmarkEnd w:id="647"/>
      <w:bookmarkEnd w:id="648"/>
      <w:bookmarkEnd w:id="649"/>
    </w:p>
    <w:p w14:paraId="16C9452A">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p>
    <w:p w14:paraId="55352C76">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甲方（盖章）：                       乙方（盖章）：</w:t>
      </w:r>
    </w:p>
    <w:p w14:paraId="464B968D">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地址：                              地址：</w:t>
      </w:r>
    </w:p>
    <w:p w14:paraId="5C544BF1">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法定代表人或委托代理人：            法定代表人或委托代理人：</w:t>
      </w:r>
    </w:p>
    <w:p w14:paraId="6E07E3D1">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                                    开户银行：</w:t>
      </w:r>
    </w:p>
    <w:p w14:paraId="4D86FF1F">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联系电话：                          账号：</w:t>
      </w:r>
    </w:p>
    <w:p w14:paraId="42AD0F02">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                                    联系电话：</w:t>
      </w:r>
    </w:p>
    <w:p w14:paraId="3009821F">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签约时间：  年  月  日</w:t>
      </w:r>
    </w:p>
    <w:p w14:paraId="75910700">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p>
    <w:p w14:paraId="51A45D56">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p>
    <w:p w14:paraId="6544A072">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合同备案部门：</w:t>
      </w:r>
      <w:r>
        <w:rPr>
          <w:rFonts w:hint="eastAsia" w:ascii="仿宋_GB2312" w:hAnsi="仿宋_GB2312" w:eastAsia="仿宋_GB2312" w:cs="仿宋_GB2312"/>
          <w:bCs/>
          <w:color w:val="auto"/>
          <w:sz w:val="32"/>
          <w:szCs w:val="32"/>
          <w:lang w:val="en-US" w:eastAsia="zh-CN"/>
        </w:rPr>
        <w:t>青海中澜工程管理咨询有限公司</w:t>
      </w:r>
      <w:r>
        <w:rPr>
          <w:rFonts w:hint="eastAsia" w:ascii="仿宋_GB2312" w:hAnsi="仿宋_GB2312" w:eastAsia="仿宋_GB2312" w:cs="仿宋_GB2312"/>
          <w:bCs/>
          <w:color w:val="auto"/>
          <w:sz w:val="32"/>
          <w:szCs w:val="32"/>
        </w:rPr>
        <w:t xml:space="preserve">      </w:t>
      </w:r>
    </w:p>
    <w:p w14:paraId="52C40EF0">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经办人：</w:t>
      </w:r>
    </w:p>
    <w:p w14:paraId="3E8B3F20">
      <w:pPr>
        <w:widowControl w:val="0"/>
        <w:wordWrap/>
        <w:adjustRightInd w:val="0"/>
        <w:snapToGrid w:val="0"/>
        <w:spacing w:line="560" w:lineRule="exact"/>
        <w:ind w:firstLine="640" w:firstLineChars="200"/>
        <w:jc w:val="both"/>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合同备案时间：</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年  月  日</w:t>
      </w:r>
    </w:p>
    <w:p w14:paraId="555DECD3">
      <w:pP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br w:type="page"/>
      </w:r>
    </w:p>
    <w:p w14:paraId="601F1203">
      <w:pPr>
        <w:widowControl w:val="0"/>
        <w:wordWrap/>
        <w:adjustRightInd w:val="0"/>
        <w:snapToGrid w:val="0"/>
        <w:spacing w:line="560" w:lineRule="exact"/>
        <w:jc w:val="center"/>
        <w:textAlignment w:val="auto"/>
        <w:outlineLvl w:val="9"/>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合同通用条款</w:t>
      </w:r>
    </w:p>
    <w:p w14:paraId="1DC08E7D">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根据《民法典》、《中华人民共和国政府采购法》的规定，合同双方经协商达成一致，自愿订立本合同，遵循公平原则明确双方的权利、义务，确保双方诚实守信地履行合同。</w:t>
      </w:r>
    </w:p>
    <w:p w14:paraId="2DECB8F5">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50" w:name="_Toc26412_WPSOffice_Level2"/>
      <w:bookmarkStart w:id="651" w:name="_Toc22507_WPSOffice_Level2"/>
      <w:bookmarkStart w:id="652" w:name="_Toc20198_WPSOffice_Level2"/>
      <w:r>
        <w:rPr>
          <w:rFonts w:hint="eastAsia" w:ascii="仿宋_GB2312" w:hAnsi="仿宋_GB2312" w:eastAsia="仿宋_GB2312" w:cs="仿宋_GB2312"/>
          <w:bCs/>
          <w:color w:val="auto"/>
          <w:sz w:val="32"/>
          <w:szCs w:val="32"/>
        </w:rPr>
        <w:t>1.定义</w:t>
      </w:r>
      <w:bookmarkEnd w:id="650"/>
      <w:bookmarkEnd w:id="651"/>
      <w:bookmarkEnd w:id="652"/>
    </w:p>
    <w:p w14:paraId="3B3476DD">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本合同中的下列术语应解释为：</w:t>
      </w:r>
    </w:p>
    <w:p w14:paraId="7E627EBE">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1.1 “合同”指甲乙双方签署的、载明的甲乙双方权利义务的协议，包括所有的附件、附录和上述文件所提到的构成合同的所有文件。</w:t>
      </w:r>
    </w:p>
    <w:p w14:paraId="7344415E">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1.2 “合同金额”指根据合同规定，乙方在正确地完全履行合同义务后甲方应付给乙方的价款。</w:t>
      </w:r>
    </w:p>
    <w:p w14:paraId="39E9754A">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1.3 “合同条款”指本合同条款。</w:t>
      </w:r>
    </w:p>
    <w:p w14:paraId="0186A246">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1.4 “货物”指乙方根据合同约定须向甲方提供的一切产品、设备、机械、仪表、备件等，包括辅助工具、使用手册等相关资料。</w:t>
      </w:r>
    </w:p>
    <w:p w14:paraId="6D24B8B9">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1.5 “服务”指根据本合同规定乙方承担与供货有关的辅助服务，如运输、保险及安装、调试、提供技术援助、培训和合同中规定乙方应承担的其它义务。</w:t>
      </w:r>
    </w:p>
    <w:p w14:paraId="1BA8A06E">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1.6 “甲方”指购买货物和服务的单位。</w:t>
      </w:r>
    </w:p>
    <w:p w14:paraId="1F6F6E23">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1.7 “乙方”指提供本合同条款下货物和服务的公司或其他实体。</w:t>
      </w:r>
    </w:p>
    <w:p w14:paraId="0FA8348A">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1.8 “现场”指合同规定货物将要运至和安装的地点。</w:t>
      </w:r>
    </w:p>
    <w:p w14:paraId="69EAFE3E">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1.9 “验收”指合同双方依据强制性的国家技术质量规范和合同约定，确认合同条款下的货物符合合同规定的活动。</w:t>
      </w:r>
    </w:p>
    <w:p w14:paraId="76ECD13E">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1.10原厂商：产品制造商或其在中国境内设立的办事或技术服务机构。除另有说明外，本合同文件所述的制造商、产品制造商、制造厂家、产品制造厂家均为原厂商。</w:t>
      </w:r>
    </w:p>
    <w:p w14:paraId="0DEA3BC1">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1.11 原产地：指产品的生产地，或提供服务的来源地。</w:t>
      </w:r>
    </w:p>
    <w:p w14:paraId="2B3D6484">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1.12 “工作日”指国家法定工作日，“天”指日历天数。</w:t>
      </w:r>
    </w:p>
    <w:p w14:paraId="723435D8">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53" w:name="_Toc21237_WPSOffice_Level2"/>
      <w:bookmarkStart w:id="654" w:name="_Toc20210_WPSOffice_Level2"/>
      <w:bookmarkStart w:id="655" w:name="_Toc9343_WPSOffice_Level2"/>
      <w:r>
        <w:rPr>
          <w:rFonts w:hint="eastAsia" w:ascii="仿宋_GB2312" w:hAnsi="仿宋_GB2312" w:eastAsia="仿宋_GB2312" w:cs="仿宋_GB2312"/>
          <w:bCs/>
          <w:color w:val="auto"/>
          <w:sz w:val="32"/>
          <w:szCs w:val="32"/>
        </w:rPr>
        <w:t>2.技术规格要求</w:t>
      </w:r>
      <w:bookmarkEnd w:id="653"/>
      <w:bookmarkEnd w:id="654"/>
      <w:bookmarkEnd w:id="655"/>
    </w:p>
    <w:p w14:paraId="6802915A">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2.1 本合同条款下提交货物的技术规格要求应等于或优于谈判文件、谈判响应文件技术规格要求。若技术规格要求中无相应规定，则应符合相应的国家有关部门最新颁布的相应正式标准。</w:t>
      </w:r>
    </w:p>
    <w:p w14:paraId="1733E137">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2.2 乙方应向甲方提供货物及服务有关的标准的中文文本。</w:t>
      </w:r>
    </w:p>
    <w:p w14:paraId="53ACD723">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2.3 除非技术规范中另有规定，计量单位均采用中华人民共和国法定计量单位。</w:t>
      </w:r>
    </w:p>
    <w:p w14:paraId="57BD20FB">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56" w:name="_Toc415_WPSOffice_Level2"/>
      <w:bookmarkStart w:id="657" w:name="_Toc26773_WPSOffice_Level2"/>
      <w:bookmarkStart w:id="658" w:name="_Toc23823_WPSOffice_Level2"/>
      <w:r>
        <w:rPr>
          <w:rFonts w:hint="eastAsia" w:ascii="仿宋_GB2312" w:hAnsi="仿宋_GB2312" w:eastAsia="仿宋_GB2312" w:cs="仿宋_GB2312"/>
          <w:bCs/>
          <w:color w:val="auto"/>
          <w:sz w:val="32"/>
          <w:szCs w:val="32"/>
        </w:rPr>
        <w:t>3.合同范围</w:t>
      </w:r>
      <w:bookmarkEnd w:id="656"/>
      <w:bookmarkEnd w:id="657"/>
      <w:bookmarkEnd w:id="658"/>
    </w:p>
    <w:p w14:paraId="178AA628">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425C7C73">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3.2 乙方应负责培训甲方的技术人员。</w:t>
      </w:r>
    </w:p>
    <w:p w14:paraId="2606AB29">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1188E0C6">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59" w:name="_Toc1426_WPSOffice_Level2"/>
      <w:bookmarkStart w:id="660" w:name="_Toc27544_WPSOffice_Level2"/>
      <w:bookmarkStart w:id="661" w:name="_Toc22989_WPSOffice_Level2"/>
      <w:r>
        <w:rPr>
          <w:rFonts w:hint="eastAsia" w:ascii="仿宋_GB2312" w:hAnsi="仿宋_GB2312" w:eastAsia="仿宋_GB2312" w:cs="仿宋_GB2312"/>
          <w:bCs/>
          <w:color w:val="auto"/>
          <w:sz w:val="32"/>
          <w:szCs w:val="32"/>
        </w:rPr>
        <w:t>4.合同文件和资料</w:t>
      </w:r>
      <w:bookmarkEnd w:id="659"/>
      <w:bookmarkEnd w:id="660"/>
      <w:bookmarkEnd w:id="661"/>
    </w:p>
    <w:p w14:paraId="38B06147">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4.1乙方在提供仪器设备时应同时提供中文版相关的技术资料，如目录索引、图纸、操作手册、使用指南、维修指南、服务手册等。</w:t>
      </w:r>
    </w:p>
    <w:p w14:paraId="14AAB321">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362D34D5">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62" w:name="_Toc18584_WPSOffice_Level2"/>
      <w:bookmarkStart w:id="663" w:name="_Toc23784_WPSOffice_Level2"/>
      <w:bookmarkStart w:id="664" w:name="_Toc14802_WPSOffice_Level2"/>
      <w:r>
        <w:rPr>
          <w:rFonts w:hint="eastAsia" w:ascii="仿宋_GB2312" w:hAnsi="仿宋_GB2312" w:eastAsia="仿宋_GB2312" w:cs="仿宋_GB2312"/>
          <w:bCs/>
          <w:color w:val="auto"/>
          <w:sz w:val="32"/>
          <w:szCs w:val="32"/>
        </w:rPr>
        <w:t>5.知识产权</w:t>
      </w:r>
      <w:bookmarkEnd w:id="662"/>
      <w:bookmarkEnd w:id="663"/>
      <w:bookmarkEnd w:id="664"/>
    </w:p>
    <w:p w14:paraId="4E14E5B6">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5.1乙方应保证甲方在使用该货物或其任何一部分时不受第三方提出的侵犯专利权、 著作权、商标权和工业设计权等的起诉。</w:t>
      </w:r>
    </w:p>
    <w:p w14:paraId="0B9E7556">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5.2任何第三方提出侵权指控，乙方须与第三方交涉并承担由此产生的一切责任、费用和经济赔偿。</w:t>
      </w:r>
    </w:p>
    <w:p w14:paraId="6BBB568C">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5.3双方应共同遵守国家有关版权、专利、商标等知识产权方面的法律规定，相互尊重对方的知识产权，对本合同内容、对方的技术秘密和商业秘密负有保密责任。如有违反，违约方负相关法律责任。</w:t>
      </w:r>
    </w:p>
    <w:p w14:paraId="31A56E61">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5.4在本合同生效时已经存在并为各方合法拥有或使用的所有技术、资料和信息的知识产权，仍应属于其各自的原权利人所有或享有，另有约定的除外。</w:t>
      </w:r>
    </w:p>
    <w:p w14:paraId="5BF95E2D">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502D6011">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65" w:name="_Toc13395_WPSOffice_Level2"/>
      <w:bookmarkStart w:id="666" w:name="_Toc22229_WPSOffice_Level2"/>
      <w:bookmarkStart w:id="667" w:name="_Toc25026_WPSOffice_Level2"/>
      <w:r>
        <w:rPr>
          <w:rFonts w:hint="eastAsia" w:ascii="仿宋_GB2312" w:hAnsi="仿宋_GB2312" w:eastAsia="仿宋_GB2312" w:cs="仿宋_GB2312"/>
          <w:bCs/>
          <w:color w:val="auto"/>
          <w:sz w:val="32"/>
          <w:szCs w:val="32"/>
        </w:rPr>
        <w:t>6.保密</w:t>
      </w:r>
      <w:bookmarkEnd w:id="665"/>
      <w:bookmarkEnd w:id="666"/>
      <w:bookmarkEnd w:id="667"/>
    </w:p>
    <w:p w14:paraId="3F55B2E6">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5E24A7DD">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6.2保密信息指任何一方因履行本合同所知悉的任何以口头、书面、图表或电子形式存在的对方信息，具体包括：</w:t>
      </w:r>
    </w:p>
    <w:p w14:paraId="0C46E6F8">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6.2.1任何涉及对方过去、现在或将来的商业计划、规章制度、操作规程、处理手段、财务信息；</w:t>
      </w:r>
    </w:p>
    <w:p w14:paraId="4341C940">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6.2.2任何对方的技术措施、技术方案、软件应用及开发，硬件设备的品种、质量、数量、品牌等；</w:t>
      </w:r>
    </w:p>
    <w:p w14:paraId="1224E17E">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6.2.3任何对方的技术秘密或专有知识、文件 、报告、数据、客户软件、流程图、数据库、发明、知识、贸易秘密。</w:t>
      </w:r>
    </w:p>
    <w:p w14:paraId="60706193">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6.3乙方应根据甲方的要求签署相应的保密协议，保密协议与本条款存在不一致的，以保密协议为准。</w:t>
      </w:r>
    </w:p>
    <w:p w14:paraId="3C9B8169">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68" w:name="_Toc12645_WPSOffice_Level2"/>
      <w:bookmarkStart w:id="669" w:name="_Toc23853_WPSOffice_Level2"/>
      <w:bookmarkStart w:id="670" w:name="_Toc6752_WPSOffice_Level2"/>
      <w:r>
        <w:rPr>
          <w:rFonts w:hint="eastAsia" w:ascii="仿宋_GB2312" w:hAnsi="仿宋_GB2312" w:eastAsia="仿宋_GB2312" w:cs="仿宋_GB2312"/>
          <w:bCs/>
          <w:color w:val="auto"/>
          <w:sz w:val="32"/>
          <w:szCs w:val="32"/>
        </w:rPr>
        <w:t>7. 质量保证</w:t>
      </w:r>
      <w:bookmarkEnd w:id="668"/>
      <w:bookmarkEnd w:id="669"/>
      <w:bookmarkEnd w:id="670"/>
    </w:p>
    <w:p w14:paraId="35293B31">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71" w:name="_Toc8450_WPSOffice_Level3"/>
      <w:bookmarkStart w:id="672" w:name="_Toc26729_WPSOffice_Level3"/>
      <w:r>
        <w:rPr>
          <w:rFonts w:hint="eastAsia" w:ascii="仿宋_GB2312" w:hAnsi="仿宋_GB2312" w:eastAsia="仿宋_GB2312" w:cs="仿宋_GB2312"/>
          <w:bCs/>
          <w:color w:val="auto"/>
          <w:sz w:val="32"/>
          <w:szCs w:val="32"/>
        </w:rPr>
        <w:t>7.1货物质量保证</w:t>
      </w:r>
      <w:bookmarkEnd w:id="671"/>
      <w:bookmarkEnd w:id="672"/>
    </w:p>
    <w:p w14:paraId="485334B3">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7.1.1乙方必须保证货物是全新、未使用过的，并完全符合强制性的国家技术质量规范和合同规定的质量、规格、性能和技术规范等的要求。</w:t>
      </w:r>
    </w:p>
    <w:p w14:paraId="432F6C4B">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7.1.2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6AE281A6">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7.1.3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1FC4918D">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4545D8CD">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7.1.5 合同条款下货物的质量保证期自货物通过最终验收起算，合同另行规定除外。</w:t>
      </w:r>
    </w:p>
    <w:p w14:paraId="14434889">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73" w:name="_Toc9593_WPSOffice_Level3"/>
      <w:bookmarkStart w:id="674" w:name="_Toc18945_WPSOffice_Level3"/>
      <w:r>
        <w:rPr>
          <w:rFonts w:hint="eastAsia" w:ascii="仿宋_GB2312" w:hAnsi="仿宋_GB2312" w:eastAsia="仿宋_GB2312" w:cs="仿宋_GB2312"/>
          <w:bCs/>
          <w:color w:val="auto"/>
          <w:sz w:val="32"/>
          <w:szCs w:val="32"/>
        </w:rPr>
        <w:t>7.2辅助服务质量保证</w:t>
      </w:r>
      <w:bookmarkEnd w:id="673"/>
      <w:bookmarkEnd w:id="674"/>
    </w:p>
    <w:p w14:paraId="326E3CB1">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7.2.1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69EC6B7E">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7.2.2乙方应保证合同条款下所提供的服务包括培训、安装指导、单机调试、系统联调和试验等，按合同规定方式进行，并保证不存在因乙方工作人员的过失、错误或疏忽而产生的缺陷。</w:t>
      </w:r>
    </w:p>
    <w:p w14:paraId="604284C7">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75" w:name="_Toc16656_WPSOffice_Level2"/>
      <w:bookmarkStart w:id="676" w:name="_Toc444_WPSOffice_Level2"/>
      <w:bookmarkStart w:id="677" w:name="_Toc19930_WPSOffice_Level2"/>
      <w:r>
        <w:rPr>
          <w:rFonts w:hint="eastAsia" w:ascii="仿宋_GB2312" w:hAnsi="仿宋_GB2312" w:eastAsia="仿宋_GB2312" w:cs="仿宋_GB2312"/>
          <w:bCs/>
          <w:color w:val="auto"/>
          <w:sz w:val="32"/>
          <w:szCs w:val="32"/>
        </w:rPr>
        <w:t>8.包装要求</w:t>
      </w:r>
      <w:bookmarkEnd w:id="675"/>
      <w:bookmarkEnd w:id="676"/>
      <w:bookmarkEnd w:id="677"/>
    </w:p>
    <w:p w14:paraId="1081BCAE">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8.1 除合同另有约定外，乙方提供的全部货物，均应采用本行业通用的方式进行包装，且该包装应符合国家有关包装的法律、法规的规定。</w:t>
      </w:r>
    </w:p>
    <w:p w14:paraId="6FB53C6A">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8.2 包装应适应于远距离运输，并有良好的防潮、防震、防锈和防粗暴装卸等保护措施，以确保货物安全运抵现场。由于包装不善所引起的货物锈蚀、损坏和损失均由乙方承担。</w:t>
      </w:r>
    </w:p>
    <w:p w14:paraId="23246EE0">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乙方应提供货物运至合同规定的最终目的地所需要的包装，以防止货物在转运中损坏或变质。</w:t>
      </w:r>
    </w:p>
    <w:p w14:paraId="76B89B99">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8.3 乙方所提供的货物包装均为出厂时原包装。</w:t>
      </w:r>
    </w:p>
    <w:p w14:paraId="207E7D91">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8.4 乙方所提供货物必须附有质量合格证，装箱清单，主机、附件、各种零部件和消耗品，有清楚的与装箱单相对应的名称和编号。</w:t>
      </w:r>
    </w:p>
    <w:p w14:paraId="670EA96C">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8.5 货物运输中的运输费用和保险费用均由乙方承担。运输过程中的一切损失、损坏均由乙方负责。</w:t>
      </w:r>
    </w:p>
    <w:p w14:paraId="09183A9A">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78" w:name="_Toc15918_WPSOffice_Level2"/>
      <w:bookmarkStart w:id="679" w:name="_Toc19342_WPSOffice_Level2"/>
      <w:bookmarkStart w:id="680" w:name="_Toc9360_WPSOffice_Level2"/>
      <w:r>
        <w:rPr>
          <w:rFonts w:hint="eastAsia" w:ascii="仿宋_GB2312" w:hAnsi="仿宋_GB2312" w:eastAsia="仿宋_GB2312" w:cs="仿宋_GB2312"/>
          <w:bCs/>
          <w:color w:val="auto"/>
          <w:sz w:val="32"/>
          <w:szCs w:val="32"/>
        </w:rPr>
        <w:t>9. 价格</w:t>
      </w:r>
      <w:bookmarkEnd w:id="678"/>
      <w:bookmarkEnd w:id="679"/>
      <w:bookmarkEnd w:id="680"/>
    </w:p>
    <w:p w14:paraId="70BE7D1A">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032DF447">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9.2 本合同价格为固定价格，包括了乙方履行合同全过程产生的所有成本和费用以及乙方应承担的一切税费。</w:t>
      </w:r>
    </w:p>
    <w:p w14:paraId="368F0B26">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9.3检验费用 </w:t>
      </w:r>
    </w:p>
    <w:p w14:paraId="52AB8056">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9.3.1 乙方必须负担本条款下属于乙方负责的检验、测试、调试、试运行和验收的所有费用，并负责乙方派往买方组织的检验、测试和验收人员的所有费用。</w:t>
      </w:r>
    </w:p>
    <w:p w14:paraId="32D1C93B">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9.3.2 甲方按合同计划参加在乙方工厂所在地检验、测试和验收的费用全部由乙方负责并已包含在合同总价中。</w:t>
      </w:r>
    </w:p>
    <w:p w14:paraId="45AF4358">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9.3.3甲方检验人员已到卖方所在地，测试无法依照合同进行， 而引起甲方人员延长逗留时间，所有由此产生的包括甲方人员在内的直接费用及成本由乙方承担。 </w:t>
      </w:r>
    </w:p>
    <w:p w14:paraId="7EB9FEEF">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81" w:name="_Toc13355_WPSOffice_Level2"/>
      <w:bookmarkStart w:id="682" w:name="_Toc21379_WPSOffice_Level2"/>
      <w:bookmarkStart w:id="683" w:name="_Toc29082_WPSOffice_Level2"/>
      <w:r>
        <w:rPr>
          <w:rFonts w:hint="eastAsia" w:ascii="仿宋_GB2312" w:hAnsi="仿宋_GB2312" w:eastAsia="仿宋_GB2312" w:cs="仿宋_GB2312"/>
          <w:bCs/>
          <w:color w:val="auto"/>
          <w:sz w:val="32"/>
          <w:szCs w:val="32"/>
        </w:rPr>
        <w:t>10.交货方式及交货日期</w:t>
      </w:r>
      <w:bookmarkEnd w:id="681"/>
      <w:bookmarkEnd w:id="682"/>
      <w:bookmarkEnd w:id="683"/>
    </w:p>
    <w:p w14:paraId="052D870E">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交货方式：现场交货，乙方负责办理运输和保险，将货物运抵现场。</w:t>
      </w:r>
    </w:p>
    <w:p w14:paraId="16830CF2">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交货日期：所有货物运抵现场并经双方开箱验收合格之日。</w:t>
      </w:r>
    </w:p>
    <w:p w14:paraId="1A971BEB">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84" w:name="_Toc22184_WPSOffice_Level2"/>
      <w:bookmarkStart w:id="685" w:name="_Toc4905_WPSOffice_Level2"/>
      <w:bookmarkStart w:id="686" w:name="_Toc8711_WPSOffice_Level2"/>
      <w:r>
        <w:rPr>
          <w:rFonts w:hint="eastAsia" w:ascii="仿宋_GB2312" w:hAnsi="仿宋_GB2312" w:eastAsia="仿宋_GB2312" w:cs="仿宋_GB2312"/>
          <w:bCs/>
          <w:color w:val="auto"/>
          <w:sz w:val="32"/>
          <w:szCs w:val="32"/>
        </w:rPr>
        <w:t>11.检验和验收</w:t>
      </w:r>
      <w:bookmarkEnd w:id="684"/>
      <w:bookmarkEnd w:id="685"/>
      <w:bookmarkEnd w:id="686"/>
    </w:p>
    <w:p w14:paraId="21854E0B">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87" w:name="_Toc11588_WPSOffice_Level3"/>
      <w:bookmarkStart w:id="688" w:name="_Toc7309_WPSOffice_Level3"/>
      <w:r>
        <w:rPr>
          <w:rFonts w:hint="eastAsia" w:ascii="仿宋_GB2312" w:hAnsi="仿宋_GB2312" w:eastAsia="仿宋_GB2312" w:cs="仿宋_GB2312"/>
          <w:bCs/>
          <w:color w:val="auto"/>
          <w:sz w:val="32"/>
          <w:szCs w:val="32"/>
        </w:rPr>
        <w:t>11.1开箱验收</w:t>
      </w:r>
      <w:bookmarkEnd w:id="687"/>
      <w:bookmarkEnd w:id="688"/>
    </w:p>
    <w:p w14:paraId="2832D99B">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11.1.1货物运抵现场后，双方应及时开箱验收，并制作验收记录，以确认与本合同约定的数量、型号等是否一致。</w:t>
      </w:r>
    </w:p>
    <w:p w14:paraId="3FA847B4">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11.1.2 乙方应在交货前对货物的质量、规格、数量等进行详细而全面的检验，并出具证明货物符合合同规定的文件。该文件将作为申请付款单据的一部分，但有关质量、规格、数量的检验不应视为最终检验。</w:t>
      </w:r>
    </w:p>
    <w:p w14:paraId="05BCEE59">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11.1.3 开箱验收中如发现货物的数量、规格与合同约定不符，甲方有权拒收货物，乙方应及时按甲方要求免费对拒收货物采取更换或其他必要的补救措施，直至开箱验收合格，方视为乙方完成交货。</w:t>
      </w:r>
    </w:p>
    <w:p w14:paraId="31420231">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89" w:name="_Toc26974_WPSOffice_Level3"/>
      <w:bookmarkStart w:id="690" w:name="_Toc13911_WPSOffice_Level3"/>
      <w:r>
        <w:rPr>
          <w:rFonts w:hint="eastAsia" w:ascii="仿宋_GB2312" w:hAnsi="仿宋_GB2312" w:eastAsia="仿宋_GB2312" w:cs="仿宋_GB2312"/>
          <w:bCs/>
          <w:color w:val="auto"/>
          <w:sz w:val="32"/>
          <w:szCs w:val="32"/>
        </w:rPr>
        <w:t>11.2  检验验收</w:t>
      </w:r>
      <w:bookmarkEnd w:id="689"/>
      <w:bookmarkEnd w:id="690"/>
    </w:p>
    <w:p w14:paraId="56A224FE">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11.2.1 交货完成后，乙方应及时组装、调试、试运行，按照合同专用条款规定的试运行完成后，双方及时组织对货物检验验收。合同双方均须派人参加合同要求双方参加的试验、检验。</w:t>
      </w:r>
    </w:p>
    <w:p w14:paraId="5DB363D4">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11.2.2 在具体实施合同规定的检验验收之前，乙方需提前提交相应的测试计划（包括测试程序、测试内容和检验标准、试验时间安排等）供甲方确认。</w:t>
      </w:r>
    </w:p>
    <w:p w14:paraId="5D7373A3">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11.2.3  除需甲方确认的试验验收外，乙方还应对所有检验验收测试的结果、步骤、原始数据等作妥善记录。如甲方要求，乙方应提供这些记录给买方。</w:t>
      </w:r>
    </w:p>
    <w:p w14:paraId="1B77FAB3">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11.2.4  检验测试出现全部或部分未达到本合同所约定的技术指标，甲方有权选择下列任一处理方式：</w:t>
      </w:r>
    </w:p>
    <w:p w14:paraId="45DFAD44">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a.重新测试直至合格为止；</w:t>
      </w:r>
    </w:p>
    <w:p w14:paraId="648D767E">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b.要求乙方对货物进行免费更换，然后重新测试直至合格为止；</w:t>
      </w:r>
    </w:p>
    <w:p w14:paraId="0B6EAB14">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无论选择何种方式，甲方因此而发生的因卖方原因引起的所有费用均由乙方负担。</w:t>
      </w:r>
    </w:p>
    <w:p w14:paraId="3B8ADF4F">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91" w:name="_Toc5393_WPSOffice_Level3"/>
      <w:bookmarkStart w:id="692" w:name="_Toc1685_WPSOffice_Level3"/>
      <w:r>
        <w:rPr>
          <w:rFonts w:hint="eastAsia" w:ascii="仿宋_GB2312" w:hAnsi="仿宋_GB2312" w:eastAsia="仿宋_GB2312" w:cs="仿宋_GB2312"/>
          <w:bCs/>
          <w:color w:val="auto"/>
          <w:sz w:val="32"/>
          <w:szCs w:val="32"/>
        </w:rPr>
        <w:t>11.3  使用过程检验</w:t>
      </w:r>
      <w:bookmarkEnd w:id="691"/>
      <w:bookmarkEnd w:id="692"/>
    </w:p>
    <w:p w14:paraId="788B818B">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116F841C">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11.3.2如果合同双方对乙方提供的上述试验结果报告的解释有分歧，双方须于出现分歧后10天内给对方声明，以陈述己方的观点。声明须附有关证据。分歧应通过协商解决。</w:t>
      </w:r>
    </w:p>
    <w:p w14:paraId="6EED04E0">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93" w:name="_Toc17827_WPSOffice_Level2"/>
      <w:bookmarkStart w:id="694" w:name="_Toc10883_WPSOffice_Level2"/>
      <w:bookmarkStart w:id="695" w:name="_Toc17387_WPSOffice_Level2"/>
      <w:r>
        <w:rPr>
          <w:rFonts w:hint="eastAsia" w:ascii="仿宋_GB2312" w:hAnsi="仿宋_GB2312" w:eastAsia="仿宋_GB2312" w:cs="仿宋_GB2312"/>
          <w:bCs/>
          <w:color w:val="auto"/>
          <w:sz w:val="32"/>
          <w:szCs w:val="32"/>
        </w:rPr>
        <w:t>12.付款条件</w:t>
      </w:r>
      <w:bookmarkEnd w:id="693"/>
      <w:bookmarkEnd w:id="694"/>
      <w:bookmarkEnd w:id="695"/>
    </w:p>
    <w:p w14:paraId="3B9409CF">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本合同条款下的付款方法和条件在“合同专用条款”中具体规定。</w:t>
      </w:r>
    </w:p>
    <w:p w14:paraId="4E4CF90C">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96" w:name="_Toc25610_WPSOffice_Level2"/>
      <w:bookmarkStart w:id="697" w:name="_Toc8681_WPSOffice_Level2"/>
      <w:bookmarkStart w:id="698" w:name="_Toc24025_WPSOffice_Level2"/>
      <w:r>
        <w:rPr>
          <w:rFonts w:hint="eastAsia" w:ascii="仿宋_GB2312" w:hAnsi="仿宋_GB2312" w:eastAsia="仿宋_GB2312" w:cs="仿宋_GB2312"/>
          <w:bCs/>
          <w:color w:val="auto"/>
          <w:sz w:val="32"/>
          <w:szCs w:val="32"/>
        </w:rPr>
        <w:t>13.履约保证金</w:t>
      </w:r>
      <w:bookmarkEnd w:id="696"/>
      <w:bookmarkEnd w:id="697"/>
      <w:bookmarkEnd w:id="698"/>
    </w:p>
    <w:p w14:paraId="614DBD23">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13.1乙方应在合同签订后，按合同专用条款的约定提交履约保证金。</w:t>
      </w:r>
    </w:p>
    <w:p w14:paraId="021241CD">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13.2履约保证金用于补偿甲方因卖方不能履行其合同义务而蒙受的损失。</w:t>
      </w:r>
    </w:p>
    <w:p w14:paraId="0050CDE9">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13.3履约保证金应使用本合同货币，按下述方式之一提交（谈判文件中另有约定的除外）：</w:t>
      </w:r>
    </w:p>
    <w:p w14:paraId="3846C765">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13.3.1甲方可接受的在中华人民共和国注册和营业的银行出具的履约保函； </w:t>
      </w:r>
    </w:p>
    <w:p w14:paraId="2AB7B4D3">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13.3.2 应当以支票、汇票、本票或者金融机构、担保机构出具的保函等非现金形式提交。</w:t>
      </w:r>
    </w:p>
    <w:p w14:paraId="2F0A7DA3">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13.4乙方未能按合同规定履行其义务，甲方有权从履约保证金中取得补偿。货物验收合格后，甲方将履约保证金退还乙方或转为质量保证金。</w:t>
      </w:r>
    </w:p>
    <w:p w14:paraId="6788EAC8">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699" w:name="_Toc13321_WPSOffice_Level2"/>
      <w:bookmarkStart w:id="700" w:name="_Toc2215_WPSOffice_Level2"/>
      <w:bookmarkStart w:id="701" w:name="_Toc21607_WPSOffice_Level2"/>
      <w:r>
        <w:rPr>
          <w:rFonts w:hint="eastAsia" w:ascii="仿宋_GB2312" w:hAnsi="仿宋_GB2312" w:eastAsia="仿宋_GB2312" w:cs="仿宋_GB2312"/>
          <w:bCs/>
          <w:color w:val="auto"/>
          <w:sz w:val="32"/>
          <w:szCs w:val="32"/>
        </w:rPr>
        <w:t>14.索赔</w:t>
      </w:r>
      <w:bookmarkEnd w:id="699"/>
      <w:bookmarkEnd w:id="700"/>
      <w:bookmarkEnd w:id="701"/>
    </w:p>
    <w:p w14:paraId="6C63D829">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698D8668">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14.2在履约保证期和检验期内，乙方对甲方提出的索赔负有责任，乙方应按照甲方同意的下列一种或多种方式解决索赔事宜：</w:t>
      </w:r>
    </w:p>
    <w:p w14:paraId="220E74F7">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14.2.1在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B0F00AD">
      <w:pPr>
        <w:widowControl w:val="0"/>
        <w:wordWrap/>
        <w:adjustRightInd w:val="0"/>
        <w:snapToGrid w:val="0"/>
        <w:spacing w:line="560" w:lineRule="exact"/>
        <w:jc w:val="left"/>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14.2.2根据货物低劣程度、损坏程度以及甲方所遭受损失的数额，经甲乙双方商定降低货物的价格，或由有资质的中介机构评估，以降低后的价格或评估价格为准。</w:t>
      </w:r>
    </w:p>
    <w:p w14:paraId="3A568AEA">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6379ACC1">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14.3乙方收到甲方发出的索赔通知之日起5个工作日内未作答复的，甲方可从合同款或履约保证金中扣回索赔金额，如金额不足以补偿索赔金额，乙方应补足差额部分。</w:t>
      </w:r>
    </w:p>
    <w:p w14:paraId="5D21D2CD">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702" w:name="_Toc14292_WPSOffice_Level2"/>
      <w:bookmarkStart w:id="703" w:name="_Toc6747_WPSOffice_Level2"/>
      <w:bookmarkStart w:id="704" w:name="_Toc17056_WPSOffice_Level2"/>
      <w:r>
        <w:rPr>
          <w:rFonts w:hint="eastAsia" w:ascii="仿宋_GB2312" w:hAnsi="仿宋_GB2312" w:eastAsia="仿宋_GB2312" w:cs="仿宋_GB2312"/>
          <w:bCs/>
          <w:color w:val="auto"/>
          <w:sz w:val="32"/>
          <w:szCs w:val="32"/>
        </w:rPr>
        <w:t>15.迟延交货</w:t>
      </w:r>
      <w:bookmarkEnd w:id="702"/>
      <w:bookmarkEnd w:id="703"/>
      <w:bookmarkEnd w:id="704"/>
    </w:p>
    <w:p w14:paraId="57A64A22">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15.1 乙方应按照合同约定的时间交货和提供服务。</w:t>
      </w:r>
    </w:p>
    <w:p w14:paraId="7EBBF8D3">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15.2 除不可抗力因素外，乙方迟延交货，甲方有权提出违约损失赔偿或解除合同。</w:t>
      </w:r>
    </w:p>
    <w:p w14:paraId="20B5816D">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15.3在履行合同过程中，乙方遇到不能按时交货和提供服务的情况，应及时以书面形式将不能按时交货的理由、预期延误时间通知甲方。甲方收到乙方通知后，认为其理由正当的，可酌情延长交货时间。</w:t>
      </w:r>
    </w:p>
    <w:p w14:paraId="7B5D98B1">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705" w:name="_Toc15350_WPSOffice_Level2"/>
      <w:bookmarkStart w:id="706" w:name="_Toc10642_WPSOffice_Level2"/>
      <w:bookmarkStart w:id="707" w:name="_Toc32293_WPSOffice_Level2"/>
      <w:r>
        <w:rPr>
          <w:rFonts w:hint="eastAsia" w:ascii="仿宋_GB2312" w:hAnsi="仿宋_GB2312" w:eastAsia="仿宋_GB2312" w:cs="仿宋_GB2312"/>
          <w:bCs/>
          <w:color w:val="auto"/>
          <w:sz w:val="32"/>
          <w:szCs w:val="32"/>
        </w:rPr>
        <w:t>16.违约赔偿</w:t>
      </w:r>
      <w:bookmarkEnd w:id="705"/>
      <w:bookmarkEnd w:id="706"/>
      <w:bookmarkEnd w:id="707"/>
    </w:p>
    <w:p w14:paraId="6D13FC2B">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除不可抗力因素外，乙方没有按照合同规定的时间交货和提供服务，甲方可要求乙方支付违约金。违约金每日按合同总价款的千分之五计收。</w:t>
      </w:r>
    </w:p>
    <w:p w14:paraId="230A2821">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708" w:name="_Toc32484_WPSOffice_Level2"/>
      <w:bookmarkStart w:id="709" w:name="_Toc13101_WPSOffice_Level2"/>
      <w:bookmarkStart w:id="710" w:name="_Toc132_WPSOffice_Level2"/>
      <w:r>
        <w:rPr>
          <w:rFonts w:hint="eastAsia" w:ascii="仿宋_GB2312" w:hAnsi="仿宋_GB2312" w:eastAsia="仿宋_GB2312" w:cs="仿宋_GB2312"/>
          <w:bCs/>
          <w:color w:val="auto"/>
          <w:sz w:val="32"/>
          <w:szCs w:val="32"/>
        </w:rPr>
        <w:t>17.不可抗力</w:t>
      </w:r>
      <w:bookmarkEnd w:id="708"/>
      <w:bookmarkEnd w:id="709"/>
      <w:bookmarkEnd w:id="710"/>
    </w:p>
    <w:p w14:paraId="39F97D00">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17.1.双方中任何一方遭遇法律规定的不可抗力，致使合同履行受阻时，履行合同的期限应予延长，延长的期限应相当于不可抗力所影响的时间。</w:t>
      </w:r>
    </w:p>
    <w:p w14:paraId="3AA1D7D2">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17.2受事故影响的一方应在不可抗力的事故发生后以书面形式通知另一方。</w:t>
      </w:r>
    </w:p>
    <w:p w14:paraId="48D6C58B">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17.3不可抗力使合同的某些内容有变更必要的， 双方应通过协商达成进一步履行合同的协议，因不可抗力致使合同不能履行的，合同终止。</w:t>
      </w:r>
    </w:p>
    <w:p w14:paraId="4D3C9776">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711" w:name="_Toc17666_WPSOffice_Level2"/>
      <w:bookmarkStart w:id="712" w:name="_Toc27502_WPSOffice_Level2"/>
      <w:bookmarkStart w:id="713" w:name="_Toc17980_WPSOffice_Level2"/>
      <w:r>
        <w:rPr>
          <w:rFonts w:hint="eastAsia" w:ascii="仿宋_GB2312" w:hAnsi="仿宋_GB2312" w:eastAsia="仿宋_GB2312" w:cs="仿宋_GB2312"/>
          <w:bCs/>
          <w:color w:val="auto"/>
          <w:sz w:val="32"/>
          <w:szCs w:val="32"/>
        </w:rPr>
        <w:t>18.税费</w:t>
      </w:r>
      <w:bookmarkEnd w:id="711"/>
      <w:bookmarkEnd w:id="712"/>
      <w:bookmarkEnd w:id="713"/>
    </w:p>
    <w:p w14:paraId="24E4B349">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与本合同有关的一切税费均由乙方承担。</w:t>
      </w:r>
    </w:p>
    <w:p w14:paraId="1F253875">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714" w:name="_Toc16036_WPSOffice_Level2"/>
      <w:bookmarkStart w:id="715" w:name="_Toc27070_WPSOffice_Level2"/>
      <w:bookmarkStart w:id="716" w:name="_Toc1449_WPSOffice_Level2"/>
      <w:r>
        <w:rPr>
          <w:rFonts w:hint="eastAsia" w:ascii="仿宋_GB2312" w:hAnsi="仿宋_GB2312" w:eastAsia="仿宋_GB2312" w:cs="仿宋_GB2312"/>
          <w:bCs/>
          <w:color w:val="auto"/>
          <w:sz w:val="32"/>
          <w:szCs w:val="32"/>
        </w:rPr>
        <w:t>19.合同争议的解决</w:t>
      </w:r>
      <w:bookmarkEnd w:id="714"/>
      <w:bookmarkEnd w:id="715"/>
      <w:bookmarkEnd w:id="716"/>
    </w:p>
    <w:p w14:paraId="03DD28C0">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19.1甲方和乙方由于本合同的履行而发生任何争议时，双方可先通过协商解决。</w:t>
      </w:r>
    </w:p>
    <w:p w14:paraId="10F0F466">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19.2任何一方不愿通过协商或通过协商仍不能解决争议，则双方中任何一方均应向甲方所在地人民法院起诉。</w:t>
      </w:r>
    </w:p>
    <w:p w14:paraId="1556E5F6">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717" w:name="_Toc4114_WPSOffice_Level2"/>
      <w:bookmarkStart w:id="718" w:name="_Toc25678_WPSOffice_Level2"/>
      <w:bookmarkStart w:id="719" w:name="_Toc1645_WPSOffice_Level2"/>
      <w:r>
        <w:rPr>
          <w:rFonts w:hint="eastAsia" w:ascii="仿宋_GB2312" w:hAnsi="仿宋_GB2312" w:eastAsia="仿宋_GB2312" w:cs="仿宋_GB2312"/>
          <w:bCs/>
          <w:color w:val="auto"/>
          <w:sz w:val="32"/>
          <w:szCs w:val="32"/>
        </w:rPr>
        <w:t>20.违约解除合同</w:t>
      </w:r>
      <w:bookmarkEnd w:id="717"/>
      <w:bookmarkEnd w:id="718"/>
      <w:bookmarkEnd w:id="719"/>
    </w:p>
    <w:p w14:paraId="0B83ACA9">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20.1出现下列情形之一的，视为乙方违约。甲方可向乙方发出书面通知，部分或全部终止合同，同时保留向乙方索赔的权利。</w:t>
      </w:r>
    </w:p>
    <w:p w14:paraId="178B7AFC">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20.1.1乙方未能在合同规定的限期或甲方同意延长的限期内，提供全部或部分货物的； </w:t>
      </w:r>
    </w:p>
    <w:p w14:paraId="07DD6545">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20.1.2乙方未能履行合同规定的其它主要义务的；</w:t>
      </w:r>
    </w:p>
    <w:p w14:paraId="333A0117">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20.1.3乙方在本合同履行过程中有欺诈行为的。</w:t>
      </w:r>
    </w:p>
    <w:p w14:paraId="7AD914D1">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20.2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330A23DB">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720" w:name="_Toc26055_WPSOffice_Level2"/>
      <w:bookmarkStart w:id="721" w:name="_Toc4171_WPSOffice_Level2"/>
      <w:bookmarkStart w:id="722" w:name="_Toc3174_WPSOffice_Level2"/>
      <w:r>
        <w:rPr>
          <w:rFonts w:hint="eastAsia" w:ascii="仿宋_GB2312" w:hAnsi="仿宋_GB2312" w:eastAsia="仿宋_GB2312" w:cs="仿宋_GB2312"/>
          <w:bCs/>
          <w:color w:val="auto"/>
          <w:sz w:val="32"/>
          <w:szCs w:val="32"/>
        </w:rPr>
        <w:t>21.破产终止合同</w:t>
      </w:r>
      <w:bookmarkEnd w:id="720"/>
      <w:bookmarkEnd w:id="721"/>
      <w:bookmarkEnd w:id="722"/>
    </w:p>
    <w:p w14:paraId="28AD45BA">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乙方破产而无法完全履行本合同义务时，甲方可以书面方式通知乙方终止合同而不给予乙方补偿。该合同的终止将不损害或不影响甲方已经采取或将要采取任何行动或补救措施的权利。</w:t>
      </w:r>
    </w:p>
    <w:p w14:paraId="5CD37A93">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723" w:name="_Toc17697_WPSOffice_Level2"/>
      <w:bookmarkStart w:id="724" w:name="_Toc6264_WPSOffice_Level2"/>
      <w:bookmarkStart w:id="725" w:name="_Toc12382_WPSOffice_Level2"/>
      <w:r>
        <w:rPr>
          <w:rFonts w:hint="eastAsia" w:ascii="仿宋_GB2312" w:hAnsi="仿宋_GB2312" w:eastAsia="仿宋_GB2312" w:cs="仿宋_GB2312"/>
          <w:bCs/>
          <w:color w:val="auto"/>
          <w:sz w:val="32"/>
          <w:szCs w:val="32"/>
        </w:rPr>
        <w:t>22.转让和分包</w:t>
      </w:r>
      <w:bookmarkEnd w:id="723"/>
      <w:bookmarkEnd w:id="724"/>
      <w:bookmarkEnd w:id="725"/>
    </w:p>
    <w:p w14:paraId="16CA68ED">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22.1政府采购合同不能转让。</w:t>
      </w:r>
    </w:p>
    <w:p w14:paraId="4D7DC92A">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02F9C346">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726" w:name="_Toc32240_WPSOffice_Level2"/>
      <w:bookmarkStart w:id="727" w:name="_Toc2646_WPSOffice_Level2"/>
      <w:bookmarkStart w:id="728" w:name="_Toc30393_WPSOffice_Level2"/>
      <w:r>
        <w:rPr>
          <w:rFonts w:hint="eastAsia" w:ascii="仿宋_GB2312" w:hAnsi="仿宋_GB2312" w:eastAsia="仿宋_GB2312" w:cs="仿宋_GB2312"/>
          <w:bCs/>
          <w:color w:val="auto"/>
          <w:sz w:val="32"/>
          <w:szCs w:val="32"/>
        </w:rPr>
        <w:t>23.合同修改</w:t>
      </w:r>
      <w:bookmarkEnd w:id="726"/>
      <w:bookmarkEnd w:id="727"/>
      <w:bookmarkEnd w:id="728"/>
    </w:p>
    <w:p w14:paraId="58E6063B">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甲方和乙方都不得擅自变更本合同，但合同继续履行将损害国家和社会公共利益的除外。如必须对合同条款进行改动时，当事人双方须共同签署书面文件，做为合同的补充。</w:t>
      </w:r>
    </w:p>
    <w:p w14:paraId="3CF24562">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729" w:name="_Toc20751_WPSOffice_Level2"/>
      <w:bookmarkStart w:id="730" w:name="_Toc11324_WPSOffice_Level2"/>
      <w:bookmarkStart w:id="731" w:name="_Toc17115_WPSOffice_Level2"/>
      <w:r>
        <w:rPr>
          <w:rFonts w:hint="eastAsia" w:ascii="仿宋_GB2312" w:hAnsi="仿宋_GB2312" w:eastAsia="仿宋_GB2312" w:cs="仿宋_GB2312"/>
          <w:bCs/>
          <w:color w:val="auto"/>
          <w:sz w:val="32"/>
          <w:szCs w:val="32"/>
        </w:rPr>
        <w:t>24.通知</w:t>
      </w:r>
      <w:bookmarkEnd w:id="729"/>
      <w:bookmarkEnd w:id="730"/>
      <w:bookmarkEnd w:id="731"/>
    </w:p>
    <w:p w14:paraId="2AFD9890">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本合同任何一方给另一方的通知，都应以书面形式发送，而另一方也应以书面形式确认并发送到对方明确的地址。</w:t>
      </w:r>
    </w:p>
    <w:p w14:paraId="65F5B121">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732" w:name="_Toc11022_WPSOffice_Level2"/>
      <w:bookmarkStart w:id="733" w:name="_Toc15147_WPSOffice_Level2"/>
      <w:bookmarkStart w:id="734" w:name="_Toc11594_WPSOffice_Level2"/>
      <w:r>
        <w:rPr>
          <w:rFonts w:hint="eastAsia" w:ascii="仿宋_GB2312" w:hAnsi="仿宋_GB2312" w:eastAsia="仿宋_GB2312" w:cs="仿宋_GB2312"/>
          <w:bCs/>
          <w:color w:val="auto"/>
          <w:sz w:val="32"/>
          <w:szCs w:val="32"/>
        </w:rPr>
        <w:t>25.计量单位</w:t>
      </w:r>
      <w:bookmarkEnd w:id="732"/>
      <w:bookmarkEnd w:id="733"/>
      <w:bookmarkEnd w:id="734"/>
    </w:p>
    <w:p w14:paraId="322703A9">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除技术规范中另有规定外，计量单位均使用国家法定计量单位。</w:t>
      </w:r>
    </w:p>
    <w:p w14:paraId="6A7A571C">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bookmarkStart w:id="735" w:name="_Toc24346_WPSOffice_Level2"/>
      <w:bookmarkStart w:id="736" w:name="_Toc15506_WPSOffice_Level2"/>
      <w:bookmarkStart w:id="737" w:name="_Toc32417_WPSOffice_Level2"/>
      <w:r>
        <w:rPr>
          <w:rFonts w:hint="eastAsia" w:ascii="仿宋_GB2312" w:hAnsi="仿宋_GB2312" w:eastAsia="仿宋_GB2312" w:cs="仿宋_GB2312"/>
          <w:bCs/>
          <w:color w:val="auto"/>
          <w:sz w:val="32"/>
          <w:szCs w:val="32"/>
        </w:rPr>
        <w:t>26.适用法律</w:t>
      </w:r>
      <w:bookmarkEnd w:id="735"/>
      <w:bookmarkEnd w:id="736"/>
      <w:bookmarkEnd w:id="737"/>
    </w:p>
    <w:p w14:paraId="4ED3099D">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Cs/>
          <w:color w:val="auto"/>
          <w:sz w:val="32"/>
          <w:szCs w:val="32"/>
        </w:rPr>
        <w:t>本合同按照中华人民共和国的相关法律进行解释。</w:t>
      </w:r>
    </w:p>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隶书">
    <w:altName w:val="微软雅黑"/>
    <w:panose1 w:val="0201050906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7A9C">
    <w:pPr>
      <w:pStyle w:val="1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Quad Arrow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FA12A4">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Quad Arrow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Ot6R5r4BAACdAwAADgAAAAAAAAABACAAAAAeAQAAZHJzL2Uyb0RvYy54bWxQSwUGAAAA&#10;AAYABgBZAQAATgUAAAAA&#10;">
              <v:fill on="f" focussize="0,0"/>
              <v:stroke on="f"/>
              <v:imagedata o:title=""/>
              <o:lock v:ext="edit" aspectratio="f"/>
              <v:textbox inset="0mm,0mm,0mm,0mm" style="mso-fit-shape-to-text:t;">
                <w:txbxContent>
                  <w:p w14:paraId="23FA12A4">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C83FD"/>
    <w:multiLevelType w:val="singleLevel"/>
    <w:tmpl w:val="992C83FD"/>
    <w:lvl w:ilvl="0" w:tentative="0">
      <w:start w:val="1"/>
      <w:numFmt w:val="decimal"/>
      <w:suff w:val="space"/>
      <w:lvlText w:val="%1."/>
      <w:lvlJc w:val="left"/>
    </w:lvl>
  </w:abstractNum>
  <w:abstractNum w:abstractNumId="1">
    <w:nsid w:val="14FED333"/>
    <w:multiLevelType w:val="singleLevel"/>
    <w:tmpl w:val="14FED333"/>
    <w:lvl w:ilvl="0" w:tentative="0">
      <w:start w:val="1"/>
      <w:numFmt w:val="chineseCounting"/>
      <w:suff w:val="space"/>
      <w:lvlText w:val="第%1部分"/>
      <w:lvlJc w:val="left"/>
      <w:rPr>
        <w:rFonts w:hint="eastAsia"/>
      </w:rPr>
    </w:lvl>
  </w:abstractNum>
  <w:abstractNum w:abstractNumId="2">
    <w:nsid w:val="38B9FA36"/>
    <w:multiLevelType w:val="singleLevel"/>
    <w:tmpl w:val="38B9FA36"/>
    <w:lvl w:ilvl="0" w:tentative="0">
      <w:start w:val="15"/>
      <w:numFmt w:val="decimal"/>
      <w:suff w:val="nothing"/>
      <w:lvlText w:val="%1、"/>
      <w:lvlJc w:val="left"/>
    </w:lvl>
  </w:abstractNum>
  <w:abstractNum w:abstractNumId="3">
    <w:nsid w:val="40063688"/>
    <w:multiLevelType w:val="singleLevel"/>
    <w:tmpl w:val="40063688"/>
    <w:lvl w:ilvl="0" w:tentative="0">
      <w:start w:val="1"/>
      <w:numFmt w:val="decimal"/>
      <w:lvlText w:val="%1."/>
      <w:lvlJc w:val="left"/>
      <w:pPr>
        <w:tabs>
          <w:tab w:val="left" w:pos="312"/>
        </w:tabs>
      </w:pPr>
    </w:lvl>
  </w:abstractNum>
  <w:abstractNum w:abstractNumId="4">
    <w:nsid w:val="5EC64F27"/>
    <w:multiLevelType w:val="singleLevel"/>
    <w:tmpl w:val="5EC64F27"/>
    <w:lvl w:ilvl="0" w:tentative="0">
      <w:start w:val="1"/>
      <w:numFmt w:val="decimal"/>
      <w:suff w:val="nothing"/>
      <w:lvlText w:val="（%1）"/>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ThmMTJjZDFmNDdjNTAzNDU5ZmZjYzBiNWU4ODgifQ=="/>
  </w:docVars>
  <w:rsids>
    <w:rsidRoot w:val="7D9B5E16"/>
    <w:rsid w:val="00B5519B"/>
    <w:rsid w:val="02637B1D"/>
    <w:rsid w:val="02664A99"/>
    <w:rsid w:val="02A9297E"/>
    <w:rsid w:val="03101F14"/>
    <w:rsid w:val="03442F30"/>
    <w:rsid w:val="03960557"/>
    <w:rsid w:val="03A34D06"/>
    <w:rsid w:val="03A86833"/>
    <w:rsid w:val="03C135AE"/>
    <w:rsid w:val="03FF434E"/>
    <w:rsid w:val="04474517"/>
    <w:rsid w:val="04826D2E"/>
    <w:rsid w:val="04CF69F1"/>
    <w:rsid w:val="04DB0285"/>
    <w:rsid w:val="04DE17B1"/>
    <w:rsid w:val="05210BC9"/>
    <w:rsid w:val="055D0822"/>
    <w:rsid w:val="056913B5"/>
    <w:rsid w:val="05E12013"/>
    <w:rsid w:val="05FD3580"/>
    <w:rsid w:val="0624278B"/>
    <w:rsid w:val="063669D9"/>
    <w:rsid w:val="063D244B"/>
    <w:rsid w:val="06F2641E"/>
    <w:rsid w:val="07867AF5"/>
    <w:rsid w:val="07971403"/>
    <w:rsid w:val="0891104C"/>
    <w:rsid w:val="096B585A"/>
    <w:rsid w:val="0A536242"/>
    <w:rsid w:val="0A801DDE"/>
    <w:rsid w:val="0AED28F4"/>
    <w:rsid w:val="0B2B4C7E"/>
    <w:rsid w:val="0BB54002"/>
    <w:rsid w:val="0C05551D"/>
    <w:rsid w:val="0C661388"/>
    <w:rsid w:val="0CA87A52"/>
    <w:rsid w:val="0D256ADD"/>
    <w:rsid w:val="0D616E1A"/>
    <w:rsid w:val="0D711167"/>
    <w:rsid w:val="0DC739FA"/>
    <w:rsid w:val="0E741C71"/>
    <w:rsid w:val="0E771A12"/>
    <w:rsid w:val="0E783BEB"/>
    <w:rsid w:val="0E874D29"/>
    <w:rsid w:val="0E930373"/>
    <w:rsid w:val="109055EB"/>
    <w:rsid w:val="10DE48CA"/>
    <w:rsid w:val="11BA7871"/>
    <w:rsid w:val="11E9219A"/>
    <w:rsid w:val="11FB2BE7"/>
    <w:rsid w:val="12400F8A"/>
    <w:rsid w:val="1289645E"/>
    <w:rsid w:val="13D2255B"/>
    <w:rsid w:val="14526E5B"/>
    <w:rsid w:val="1532490E"/>
    <w:rsid w:val="15831133"/>
    <w:rsid w:val="15D21520"/>
    <w:rsid w:val="15E94352"/>
    <w:rsid w:val="160A7634"/>
    <w:rsid w:val="16601194"/>
    <w:rsid w:val="16932406"/>
    <w:rsid w:val="16D2079D"/>
    <w:rsid w:val="1741439B"/>
    <w:rsid w:val="17B514B3"/>
    <w:rsid w:val="1802614F"/>
    <w:rsid w:val="181531AE"/>
    <w:rsid w:val="185A675A"/>
    <w:rsid w:val="18C211CC"/>
    <w:rsid w:val="19183AAA"/>
    <w:rsid w:val="19227628"/>
    <w:rsid w:val="19D47BEF"/>
    <w:rsid w:val="19E10B40"/>
    <w:rsid w:val="1A472154"/>
    <w:rsid w:val="1A977682"/>
    <w:rsid w:val="1ACC3E1B"/>
    <w:rsid w:val="1AD11780"/>
    <w:rsid w:val="1B662DBF"/>
    <w:rsid w:val="1C2F5B31"/>
    <w:rsid w:val="1CFF6E22"/>
    <w:rsid w:val="1D7542D0"/>
    <w:rsid w:val="1D9A4A78"/>
    <w:rsid w:val="1E2F4669"/>
    <w:rsid w:val="1E662D79"/>
    <w:rsid w:val="1EC13DC1"/>
    <w:rsid w:val="1ECC413E"/>
    <w:rsid w:val="1EED3CFC"/>
    <w:rsid w:val="1EF65831"/>
    <w:rsid w:val="1F1D4355"/>
    <w:rsid w:val="20525060"/>
    <w:rsid w:val="207F0C88"/>
    <w:rsid w:val="21106F4D"/>
    <w:rsid w:val="21C422F5"/>
    <w:rsid w:val="2272669E"/>
    <w:rsid w:val="227F4D71"/>
    <w:rsid w:val="2280389A"/>
    <w:rsid w:val="2302130E"/>
    <w:rsid w:val="231D7EF5"/>
    <w:rsid w:val="242D3E24"/>
    <w:rsid w:val="244B6A99"/>
    <w:rsid w:val="247C2A7C"/>
    <w:rsid w:val="24E26D03"/>
    <w:rsid w:val="24E45C91"/>
    <w:rsid w:val="24FD76C4"/>
    <w:rsid w:val="25A60401"/>
    <w:rsid w:val="26806F3F"/>
    <w:rsid w:val="26B0198D"/>
    <w:rsid w:val="278F5CF9"/>
    <w:rsid w:val="28061D38"/>
    <w:rsid w:val="28773DCD"/>
    <w:rsid w:val="28ED597C"/>
    <w:rsid w:val="29907531"/>
    <w:rsid w:val="2A1C0829"/>
    <w:rsid w:val="2A487660"/>
    <w:rsid w:val="2A5063FA"/>
    <w:rsid w:val="2ADE5E46"/>
    <w:rsid w:val="2B78699C"/>
    <w:rsid w:val="2C2E5CBB"/>
    <w:rsid w:val="2C31690F"/>
    <w:rsid w:val="2CC30608"/>
    <w:rsid w:val="2E352597"/>
    <w:rsid w:val="2E9B2345"/>
    <w:rsid w:val="2F173B14"/>
    <w:rsid w:val="2F315997"/>
    <w:rsid w:val="2F634783"/>
    <w:rsid w:val="2F7A1819"/>
    <w:rsid w:val="2F7B1CC0"/>
    <w:rsid w:val="2FD74D0A"/>
    <w:rsid w:val="30B46ED7"/>
    <w:rsid w:val="30D84A6D"/>
    <w:rsid w:val="30F67E62"/>
    <w:rsid w:val="31153B12"/>
    <w:rsid w:val="31CD6FAF"/>
    <w:rsid w:val="31F0036E"/>
    <w:rsid w:val="32F169A3"/>
    <w:rsid w:val="34184F37"/>
    <w:rsid w:val="342873FA"/>
    <w:rsid w:val="34774220"/>
    <w:rsid w:val="347824B4"/>
    <w:rsid w:val="348875DC"/>
    <w:rsid w:val="35061DD1"/>
    <w:rsid w:val="356B65D3"/>
    <w:rsid w:val="359C3E63"/>
    <w:rsid w:val="360D5E23"/>
    <w:rsid w:val="381009F4"/>
    <w:rsid w:val="38177AC2"/>
    <w:rsid w:val="38330237"/>
    <w:rsid w:val="39020222"/>
    <w:rsid w:val="396D5F42"/>
    <w:rsid w:val="39E61C93"/>
    <w:rsid w:val="3AD61226"/>
    <w:rsid w:val="3AF96301"/>
    <w:rsid w:val="3C0E6A8C"/>
    <w:rsid w:val="3CDA061D"/>
    <w:rsid w:val="3D2F7F78"/>
    <w:rsid w:val="3D4C7081"/>
    <w:rsid w:val="3D9F3525"/>
    <w:rsid w:val="3DCC1178"/>
    <w:rsid w:val="3E004C98"/>
    <w:rsid w:val="3E3B0987"/>
    <w:rsid w:val="3E3F6930"/>
    <w:rsid w:val="3E6F1C2A"/>
    <w:rsid w:val="3F000963"/>
    <w:rsid w:val="3FCC1BB2"/>
    <w:rsid w:val="3FFA1B0C"/>
    <w:rsid w:val="40B97554"/>
    <w:rsid w:val="42104AF5"/>
    <w:rsid w:val="43803F8D"/>
    <w:rsid w:val="44107D9B"/>
    <w:rsid w:val="44717792"/>
    <w:rsid w:val="44BA22C0"/>
    <w:rsid w:val="455609CC"/>
    <w:rsid w:val="45A5284F"/>
    <w:rsid w:val="45CD6479"/>
    <w:rsid w:val="45CF3507"/>
    <w:rsid w:val="45EE208A"/>
    <w:rsid w:val="45F31421"/>
    <w:rsid w:val="460515BC"/>
    <w:rsid w:val="460C6D7B"/>
    <w:rsid w:val="463F11EC"/>
    <w:rsid w:val="465F63FE"/>
    <w:rsid w:val="47176167"/>
    <w:rsid w:val="4746716B"/>
    <w:rsid w:val="47961EA1"/>
    <w:rsid w:val="47C462E6"/>
    <w:rsid w:val="47C87459"/>
    <w:rsid w:val="47CF0B1D"/>
    <w:rsid w:val="47E23378"/>
    <w:rsid w:val="484932CE"/>
    <w:rsid w:val="48A178E1"/>
    <w:rsid w:val="49974C42"/>
    <w:rsid w:val="49E070F4"/>
    <w:rsid w:val="4A431964"/>
    <w:rsid w:val="4AD87F7A"/>
    <w:rsid w:val="4B2E0668"/>
    <w:rsid w:val="4B841DCC"/>
    <w:rsid w:val="4B9F2679"/>
    <w:rsid w:val="4C0B0F4F"/>
    <w:rsid w:val="4C641F0A"/>
    <w:rsid w:val="4C8D39F2"/>
    <w:rsid w:val="4CB10ACF"/>
    <w:rsid w:val="4CC01E86"/>
    <w:rsid w:val="4D2B7562"/>
    <w:rsid w:val="4D7E5FE5"/>
    <w:rsid w:val="4DDB03B5"/>
    <w:rsid w:val="4DED4A76"/>
    <w:rsid w:val="4EA52FE1"/>
    <w:rsid w:val="4ED72EBD"/>
    <w:rsid w:val="4EE202E0"/>
    <w:rsid w:val="4F5C1D7A"/>
    <w:rsid w:val="504D74A3"/>
    <w:rsid w:val="50A925E2"/>
    <w:rsid w:val="51271052"/>
    <w:rsid w:val="5176769E"/>
    <w:rsid w:val="519017FF"/>
    <w:rsid w:val="51B22AB2"/>
    <w:rsid w:val="51FE73D1"/>
    <w:rsid w:val="523454D9"/>
    <w:rsid w:val="53534733"/>
    <w:rsid w:val="535B4140"/>
    <w:rsid w:val="53B41740"/>
    <w:rsid w:val="53E9079A"/>
    <w:rsid w:val="540E3FA7"/>
    <w:rsid w:val="54AB36A4"/>
    <w:rsid w:val="55591611"/>
    <w:rsid w:val="5571016F"/>
    <w:rsid w:val="557F61CB"/>
    <w:rsid w:val="55B04C26"/>
    <w:rsid w:val="55D070C0"/>
    <w:rsid w:val="55F51E57"/>
    <w:rsid w:val="56485405"/>
    <w:rsid w:val="57F27B11"/>
    <w:rsid w:val="587D00AE"/>
    <w:rsid w:val="59361F1D"/>
    <w:rsid w:val="59C0129F"/>
    <w:rsid w:val="5A1B1D57"/>
    <w:rsid w:val="5AA26202"/>
    <w:rsid w:val="5AEF00AC"/>
    <w:rsid w:val="5B3C60FE"/>
    <w:rsid w:val="5BFA2163"/>
    <w:rsid w:val="5C530585"/>
    <w:rsid w:val="5CC84CFD"/>
    <w:rsid w:val="5D07422F"/>
    <w:rsid w:val="5D4A3A21"/>
    <w:rsid w:val="5D6408DE"/>
    <w:rsid w:val="5E3042FA"/>
    <w:rsid w:val="5E814705"/>
    <w:rsid w:val="5EF4431D"/>
    <w:rsid w:val="5F8038FF"/>
    <w:rsid w:val="60715F94"/>
    <w:rsid w:val="607D4734"/>
    <w:rsid w:val="60AE2DC5"/>
    <w:rsid w:val="60F25329"/>
    <w:rsid w:val="61C93CA1"/>
    <w:rsid w:val="632905BE"/>
    <w:rsid w:val="64032F79"/>
    <w:rsid w:val="65927733"/>
    <w:rsid w:val="661E127D"/>
    <w:rsid w:val="6628294C"/>
    <w:rsid w:val="6658601C"/>
    <w:rsid w:val="666E6D57"/>
    <w:rsid w:val="668C6B1C"/>
    <w:rsid w:val="67466E44"/>
    <w:rsid w:val="6858593D"/>
    <w:rsid w:val="68F73186"/>
    <w:rsid w:val="6AC11213"/>
    <w:rsid w:val="6BB6488D"/>
    <w:rsid w:val="6BC0391C"/>
    <w:rsid w:val="6CB51DAA"/>
    <w:rsid w:val="6D484EC2"/>
    <w:rsid w:val="6DDB0AB1"/>
    <w:rsid w:val="6E672B2B"/>
    <w:rsid w:val="6E6E1F36"/>
    <w:rsid w:val="6F443BEB"/>
    <w:rsid w:val="6F7922B4"/>
    <w:rsid w:val="6F8A1A3C"/>
    <w:rsid w:val="6FB824BF"/>
    <w:rsid w:val="70E86D27"/>
    <w:rsid w:val="713118C3"/>
    <w:rsid w:val="71445DC4"/>
    <w:rsid w:val="716B07A3"/>
    <w:rsid w:val="71E64DF1"/>
    <w:rsid w:val="7202096F"/>
    <w:rsid w:val="723004D9"/>
    <w:rsid w:val="72F0558E"/>
    <w:rsid w:val="733A1BD9"/>
    <w:rsid w:val="73972F2B"/>
    <w:rsid w:val="74145D78"/>
    <w:rsid w:val="75053FA4"/>
    <w:rsid w:val="753823C4"/>
    <w:rsid w:val="757F7E3A"/>
    <w:rsid w:val="75A51F0B"/>
    <w:rsid w:val="75BE3D92"/>
    <w:rsid w:val="76275612"/>
    <w:rsid w:val="76473B85"/>
    <w:rsid w:val="76C62B89"/>
    <w:rsid w:val="76FE6E62"/>
    <w:rsid w:val="77850FA2"/>
    <w:rsid w:val="77864563"/>
    <w:rsid w:val="77994750"/>
    <w:rsid w:val="785724B6"/>
    <w:rsid w:val="789F6743"/>
    <w:rsid w:val="78F838CA"/>
    <w:rsid w:val="791A60C4"/>
    <w:rsid w:val="79465555"/>
    <w:rsid w:val="79653A37"/>
    <w:rsid w:val="7BF81ADB"/>
    <w:rsid w:val="7C355CCF"/>
    <w:rsid w:val="7CE14F74"/>
    <w:rsid w:val="7CE5560B"/>
    <w:rsid w:val="7D202EEB"/>
    <w:rsid w:val="7D6F7D73"/>
    <w:rsid w:val="7D9B5E16"/>
    <w:rsid w:val="7E143686"/>
    <w:rsid w:val="7E5A55AC"/>
    <w:rsid w:val="7E775B08"/>
    <w:rsid w:val="7E7F7D0E"/>
    <w:rsid w:val="7EE73E3D"/>
    <w:rsid w:val="7F01514B"/>
    <w:rsid w:val="7FBC7F56"/>
    <w:rsid w:val="7FC00A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keepNext/>
      <w:jc w:val="center"/>
      <w:outlineLvl w:val="0"/>
    </w:pPr>
    <w:rPr>
      <w:b/>
      <w:bCs/>
      <w:sz w:val="24"/>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3"/>
    <w:next w:val="1"/>
    <w:link w:val="41"/>
    <w:qFormat/>
    <w:uiPriority w:val="0"/>
    <w:pPr>
      <w:keepNext/>
      <w:keepLines/>
      <w:spacing w:before="260" w:after="260" w:line="416" w:lineRule="auto"/>
      <w:outlineLvl w:val="2"/>
    </w:pPr>
    <w:rPr>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customStyle="1" w:styleId="8">
    <w:name w:val="一级条标题"/>
    <w:basedOn w:val="9"/>
    <w:next w:val="10"/>
    <w:qFormat/>
    <w:uiPriority w:val="0"/>
    <w:pPr>
      <w:spacing w:line="240" w:lineRule="auto"/>
      <w:ind w:left="420"/>
      <w:outlineLvl w:val="2"/>
    </w:pPr>
  </w:style>
  <w:style w:type="paragraph" w:customStyle="1" w:styleId="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0">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1">
    <w:name w:val="toc 3"/>
    <w:basedOn w:val="1"/>
    <w:next w:val="1"/>
    <w:qFormat/>
    <w:uiPriority w:val="0"/>
    <w:pPr>
      <w:ind w:left="840" w:leftChars="400"/>
    </w:pPr>
  </w:style>
  <w:style w:type="paragraph" w:styleId="12">
    <w:name w:val="Plain Text"/>
    <w:basedOn w:val="1"/>
    <w:next w:val="1"/>
    <w:qFormat/>
    <w:uiPriority w:val="0"/>
    <w:rPr>
      <w:rFonts w:ascii="宋体" w:hAnsi="Courier New" w:cs="Courier New"/>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spacing w:before="100" w:beforeAutospacing="1" w:after="100" w:afterAutospacing="1"/>
      <w:ind w:left="0" w:right="0"/>
      <w:jc w:val="left"/>
    </w:pPr>
    <w:rPr>
      <w:kern w:val="0"/>
      <w:sz w:val="24"/>
      <w:lang w:val="en-US" w:eastAsia="zh-CN"/>
    </w:rPr>
  </w:style>
  <w:style w:type="paragraph" w:styleId="18">
    <w:name w:val="Title"/>
    <w:basedOn w:val="1"/>
    <w:next w:val="1"/>
    <w:qFormat/>
    <w:uiPriority w:val="0"/>
    <w:pPr>
      <w:spacing w:before="240" w:after="60"/>
      <w:jc w:val="center"/>
      <w:outlineLvl w:val="0"/>
    </w:pPr>
    <w:rPr>
      <w:rFonts w:ascii="Cambria" w:hAnsi="Cambria"/>
      <w:b/>
      <w:bCs/>
      <w:sz w:val="36"/>
      <w:szCs w:val="32"/>
    </w:rPr>
  </w:style>
  <w:style w:type="paragraph" w:styleId="19">
    <w:name w:val="Body Text First Indent"/>
    <w:basedOn w:val="7"/>
    <w:next w:val="1"/>
    <w:qFormat/>
    <w:uiPriority w:val="0"/>
    <w:pPr>
      <w:spacing w:line="312" w:lineRule="auto"/>
      <w:ind w:firstLine="42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FollowedHyperlink"/>
    <w:basedOn w:val="22"/>
    <w:qFormat/>
    <w:uiPriority w:val="0"/>
    <w:rPr>
      <w:rFonts w:hint="eastAsia" w:ascii="微软雅黑" w:hAnsi="微软雅黑" w:eastAsia="微软雅黑" w:cs="微软雅黑"/>
      <w:color w:val="02396F"/>
      <w:u w:val="single"/>
    </w:rPr>
  </w:style>
  <w:style w:type="character" w:styleId="26">
    <w:name w:val="Hyperlink"/>
    <w:basedOn w:val="22"/>
    <w:qFormat/>
    <w:uiPriority w:val="0"/>
    <w:rPr>
      <w:rFonts w:ascii="微软雅黑" w:hAnsi="微软雅黑" w:eastAsia="微软雅黑" w:cs="微软雅黑"/>
      <w:color w:val="02396F"/>
      <w:u w:val="single"/>
    </w:rPr>
  </w:style>
  <w:style w:type="paragraph" w:customStyle="1" w:styleId="27">
    <w:name w:val="trs_edito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29">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30">
    <w:name w:val="p0"/>
    <w:basedOn w:val="1"/>
    <w:qFormat/>
    <w:uiPriority w:val="0"/>
    <w:pPr>
      <w:widowControl/>
    </w:pPr>
    <w:rPr>
      <w:kern w:val="0"/>
      <w:szCs w:val="21"/>
    </w:rPr>
  </w:style>
  <w:style w:type="paragraph" w:customStyle="1" w:styleId="31">
    <w:name w:val="文章正文"/>
    <w:basedOn w:val="1"/>
    <w:qFormat/>
    <w:uiPriority w:val="0"/>
    <w:pPr>
      <w:adjustRightInd w:val="0"/>
      <w:snapToGrid w:val="0"/>
      <w:spacing w:beforeLines="100" w:line="360" w:lineRule="auto"/>
      <w:ind w:firstLine="200" w:firstLineChars="200"/>
    </w:pPr>
    <w:rPr>
      <w:sz w:val="24"/>
      <w:szCs w:val="22"/>
    </w:rPr>
  </w:style>
  <w:style w:type="paragraph" w:customStyle="1" w:styleId="32">
    <w:name w:val="WPSOffice手动目录 2"/>
    <w:qFormat/>
    <w:uiPriority w:val="0"/>
    <w:pPr>
      <w:ind w:leftChars="200"/>
    </w:pPr>
    <w:rPr>
      <w:rFonts w:ascii="Times New Roman" w:hAnsi="Times New Roman" w:eastAsia="宋体" w:cs="Times New Roman"/>
      <w:sz w:val="20"/>
      <w:szCs w:val="20"/>
      <w:lang w:val="en-US" w:eastAsia="zh-CN" w:bidi="ar-SA"/>
    </w:rPr>
  </w:style>
  <w:style w:type="paragraph" w:customStyle="1" w:styleId="33">
    <w:name w:val="WPSOffice手动目录 3"/>
    <w:qFormat/>
    <w:uiPriority w:val="0"/>
    <w:pPr>
      <w:ind w:leftChars="400"/>
    </w:pPr>
    <w:rPr>
      <w:rFonts w:ascii="Times New Roman" w:hAnsi="Times New Roman" w:eastAsia="宋体" w:cs="Times New Roman"/>
      <w:sz w:val="20"/>
      <w:szCs w:val="20"/>
      <w:lang w:val="en-US" w:eastAsia="zh-CN" w:bidi="ar-SA"/>
    </w:rPr>
  </w:style>
  <w:style w:type="character" w:customStyle="1" w:styleId="34">
    <w:name w:val="gjfg"/>
    <w:basedOn w:val="22"/>
    <w:qFormat/>
    <w:uiPriority w:val="0"/>
  </w:style>
  <w:style w:type="character" w:customStyle="1" w:styleId="35">
    <w:name w:val="displayarti"/>
    <w:basedOn w:val="22"/>
    <w:qFormat/>
    <w:uiPriority w:val="0"/>
    <w:rPr>
      <w:color w:val="FFFFFF"/>
      <w:shd w:val="clear" w:color="010000" w:fill="A00000"/>
    </w:rPr>
  </w:style>
  <w:style w:type="character" w:customStyle="1" w:styleId="36">
    <w:name w:val="redfilefwwh"/>
    <w:basedOn w:val="22"/>
    <w:qFormat/>
    <w:uiPriority w:val="0"/>
    <w:rPr>
      <w:color w:val="BA2636"/>
      <w:sz w:val="14"/>
      <w:szCs w:val="14"/>
    </w:rPr>
  </w:style>
  <w:style w:type="character" w:customStyle="1" w:styleId="37">
    <w:name w:val="redfilenumber"/>
    <w:basedOn w:val="22"/>
    <w:qFormat/>
    <w:uiPriority w:val="0"/>
    <w:rPr>
      <w:color w:val="BA2636"/>
      <w:sz w:val="14"/>
      <w:szCs w:val="14"/>
    </w:rPr>
  </w:style>
  <w:style w:type="character" w:customStyle="1" w:styleId="38">
    <w:name w:val="qxdate"/>
    <w:basedOn w:val="22"/>
    <w:qFormat/>
    <w:uiPriority w:val="0"/>
    <w:rPr>
      <w:color w:val="333333"/>
      <w:sz w:val="14"/>
      <w:szCs w:val="14"/>
    </w:rPr>
  </w:style>
  <w:style w:type="character" w:customStyle="1" w:styleId="39">
    <w:name w:val="cfdate"/>
    <w:basedOn w:val="22"/>
    <w:qFormat/>
    <w:uiPriority w:val="0"/>
    <w:rPr>
      <w:color w:val="333333"/>
      <w:sz w:val="14"/>
      <w:szCs w:val="14"/>
    </w:rPr>
  </w:style>
  <w:style w:type="character" w:customStyle="1" w:styleId="40">
    <w:name w:val="标题 1 Char"/>
    <w:link w:val="2"/>
    <w:qFormat/>
    <w:uiPriority w:val="0"/>
    <w:rPr>
      <w:b/>
      <w:bCs/>
      <w:sz w:val="24"/>
      <w:szCs w:val="20"/>
    </w:rPr>
  </w:style>
  <w:style w:type="character" w:customStyle="1" w:styleId="41">
    <w:name w:val="标题 3 Char"/>
    <w:link w:val="4"/>
    <w:qFormat/>
    <w:uiPriority w:val="0"/>
    <w:rPr>
      <w:b/>
      <w:bCs/>
      <w:sz w:val="32"/>
      <w:szCs w:val="32"/>
    </w:rPr>
  </w:style>
  <w:style w:type="paragraph" w:customStyle="1" w:styleId="42">
    <w:name w:val="2"/>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3">
    <w:name w:val="font21"/>
    <w:basedOn w:val="22"/>
    <w:qFormat/>
    <w:uiPriority w:val="0"/>
    <w:rPr>
      <w:rFonts w:hint="eastAsia" w:ascii="宋体" w:hAnsi="宋体" w:eastAsia="宋体" w:cs="宋体"/>
      <w:color w:val="000000"/>
      <w:sz w:val="20"/>
      <w:szCs w:val="20"/>
      <w:u w:val="none"/>
    </w:rPr>
  </w:style>
  <w:style w:type="character" w:customStyle="1" w:styleId="44">
    <w:name w:val="font01"/>
    <w:basedOn w:val="22"/>
    <w:qFormat/>
    <w:uiPriority w:val="0"/>
    <w:rPr>
      <w:rFonts w:ascii="等线" w:hAnsi="等线" w:eastAsia="等线" w:cs="等线"/>
      <w:color w:val="000000"/>
      <w:sz w:val="20"/>
      <w:szCs w:val="20"/>
      <w:u w:val="none"/>
    </w:rPr>
  </w:style>
  <w:style w:type="paragraph" w:customStyle="1" w:styleId="45">
    <w:name w:val="table of authorities1"/>
    <w:basedOn w:val="1"/>
    <w:next w:val="1"/>
    <w:qFormat/>
    <w:uiPriority w:val="0"/>
    <w:pPr>
      <w:ind w:left="420" w:leftChars="200"/>
    </w:pPr>
  </w:style>
  <w:style w:type="character" w:customStyle="1" w:styleId="46">
    <w:name w:val="font41"/>
    <w:basedOn w:val="22"/>
    <w:qFormat/>
    <w:uiPriority w:val="0"/>
    <w:rPr>
      <w:rFonts w:hint="eastAsia" w:ascii="宋体" w:hAnsi="宋体" w:eastAsia="宋体" w:cs="宋体"/>
      <w:color w:val="000000"/>
      <w:sz w:val="21"/>
      <w:szCs w:val="21"/>
      <w:u w:val="none"/>
    </w:rPr>
  </w:style>
  <w:style w:type="paragraph" w:styleId="47">
    <w:name w:val="List Paragraph"/>
    <w:basedOn w:val="1"/>
    <w:qFormat/>
    <w:uiPriority w:val="34"/>
    <w:pPr>
      <w:ind w:firstLine="420" w:firstLineChars="200"/>
    </w:pPr>
  </w:style>
  <w:style w:type="table" w:customStyle="1" w:styleId="48">
    <w:name w:val="Table Normal"/>
    <w:semiHidden/>
    <w:unhideWhenUsed/>
    <w:qFormat/>
    <w:uiPriority w:val="0"/>
    <w:tblPr>
      <w:tblCellMar>
        <w:top w:w="0" w:type="dxa"/>
        <w:left w:w="0" w:type="dxa"/>
        <w:bottom w:w="0" w:type="dxa"/>
        <w:right w:w="0" w:type="dxa"/>
      </w:tblCellMar>
    </w:tblPr>
  </w:style>
  <w:style w:type="paragraph" w:customStyle="1" w:styleId="4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15024</Words>
  <Characters>16558</Characters>
  <Lines>0</Lines>
  <Paragraphs>0</Paragraphs>
  <TotalTime>73</TotalTime>
  <ScaleCrop>false</ScaleCrop>
  <LinksUpToDate>false</LinksUpToDate>
  <CharactersWithSpaces>16832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2020-04-01T00:51:00Z</dcterms:created>
  <dc:creator>Administrator</dc:creator>
  <cp:lastModifiedBy>admin</cp:lastModifiedBy>
  <cp:lastPrinted>2020-12-30T07:36:00Z</cp:lastPrinted>
  <dcterms:modified xsi:type="dcterms:W3CDTF">2026-04-24T07:54:21Z</dcterms:modified>
  <dc:title>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55BA011C955A46F5B2A5DCA5C6EFB99D_13</vt:lpwstr>
  </property>
  <property fmtid="{D5CDD505-2E9C-101B-9397-08002B2CF9AE}" pid="4" name="KSOTemplateDocerSaveRecord">
    <vt:lpwstr>eyJoZGlkIjoiN2U2ZjY2YjNmYzM1ZWI5MWE4NDUyNzEzNTA5ZTFlZWEiLCJ1c2VySWQiOiI0NTAyNzY1MDYifQ==</vt:lpwstr>
  </property>
</Properties>
</file>