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05E8A5">
      <w:pPr>
        <w:rPr>
          <w:color w:val="auto"/>
          <w:highlight w:val="none"/>
        </w:rPr>
      </w:pPr>
    </w:p>
    <w:p w14:paraId="2F177AEB">
      <w:pPr>
        <w:rPr>
          <w:color w:val="auto"/>
          <w:highlight w:val="none"/>
        </w:rPr>
      </w:pPr>
      <w:bookmarkStart w:id="0" w:name="_Hlk83600134"/>
      <w:bookmarkEnd w:id="0"/>
    </w:p>
    <w:p w14:paraId="5EFA8AF1">
      <w:pPr>
        <w:rPr>
          <w:color w:val="auto"/>
          <w:highlight w:val="none"/>
        </w:rPr>
      </w:pPr>
    </w:p>
    <w:p w14:paraId="1307AEE2">
      <w:pPr>
        <w:jc w:val="center"/>
        <w:rPr>
          <w:rFonts w:hint="eastAsia"/>
          <w:color w:val="auto"/>
          <w:sz w:val="72"/>
          <w:highlight w:val="none"/>
        </w:rPr>
      </w:pPr>
    </w:p>
    <w:p w14:paraId="1EF49BBF">
      <w:pPr>
        <w:jc w:val="center"/>
        <w:rPr>
          <w:rFonts w:hint="eastAsia"/>
          <w:color w:val="auto"/>
          <w:sz w:val="72"/>
          <w:highlight w:val="none"/>
        </w:rPr>
      </w:pPr>
    </w:p>
    <w:p w14:paraId="2E2A4E70">
      <w:pPr>
        <w:jc w:val="center"/>
        <w:rPr>
          <w:rFonts w:hint="eastAsia"/>
          <w:color w:val="auto"/>
          <w:sz w:val="72"/>
          <w:highlight w:val="none"/>
        </w:rPr>
      </w:pPr>
    </w:p>
    <w:p w14:paraId="0522B6E1">
      <w:pPr>
        <w:jc w:val="center"/>
        <w:rPr>
          <w:color w:val="auto"/>
          <w:highlight w:val="none"/>
        </w:rPr>
      </w:pPr>
      <w:r>
        <w:rPr>
          <w:rFonts w:hint="eastAsia"/>
          <w:color w:val="auto"/>
          <w:sz w:val="72"/>
          <w:highlight w:val="none"/>
        </w:rPr>
        <w:t>招 标 文 件</w:t>
      </w:r>
      <w:r>
        <w:rPr>
          <w:rFonts w:hint="eastAsia"/>
          <w:color w:val="auto"/>
          <w:highlight w:val="none"/>
        </w:rPr>
        <w:br w:type="textWrapping"/>
      </w:r>
    </w:p>
    <w:p w14:paraId="18B743EC">
      <w:pPr>
        <w:pStyle w:val="10"/>
        <w:ind w:firstLine="480"/>
        <w:rPr>
          <w:color w:val="auto"/>
          <w:highlight w:val="none"/>
        </w:rPr>
      </w:pPr>
    </w:p>
    <w:p w14:paraId="2DC5C9F1">
      <w:pPr>
        <w:spacing w:line="360" w:lineRule="auto"/>
        <w:rPr>
          <w:color w:val="auto"/>
          <w:highlight w:val="none"/>
        </w:rPr>
      </w:pPr>
    </w:p>
    <w:p w14:paraId="7814E077">
      <w:pPr>
        <w:spacing w:line="360" w:lineRule="auto"/>
        <w:rPr>
          <w:color w:val="auto"/>
          <w:highlight w:val="none"/>
        </w:rPr>
      </w:pPr>
    </w:p>
    <w:p w14:paraId="32D66A25">
      <w:pPr>
        <w:spacing w:line="360" w:lineRule="auto"/>
        <w:rPr>
          <w:color w:val="auto"/>
          <w:highlight w:val="none"/>
        </w:rPr>
      </w:pPr>
    </w:p>
    <w:p w14:paraId="6FDFF410">
      <w:pPr>
        <w:spacing w:line="360" w:lineRule="auto"/>
        <w:rPr>
          <w:color w:val="auto"/>
          <w:highlight w:val="none"/>
        </w:rPr>
      </w:pPr>
    </w:p>
    <w:p w14:paraId="5C234269">
      <w:pPr>
        <w:spacing w:line="360" w:lineRule="auto"/>
        <w:rPr>
          <w:rFonts w:hint="eastAsia"/>
          <w:color w:val="auto"/>
          <w:highlight w:val="none"/>
        </w:rPr>
      </w:pPr>
    </w:p>
    <w:p w14:paraId="1BB0AC78">
      <w:pPr>
        <w:spacing w:line="360" w:lineRule="auto"/>
        <w:rPr>
          <w:rFonts w:hint="eastAsia" w:eastAsia="宋体"/>
          <w:color w:val="auto"/>
          <w:highlight w:val="none"/>
          <w:lang w:eastAsia="zh-CN"/>
        </w:rPr>
      </w:pPr>
      <w:r>
        <w:rPr>
          <w:rFonts w:hint="eastAsia"/>
          <w:color w:val="auto"/>
          <w:highlight w:val="none"/>
        </w:rPr>
        <w:t>项目编号：</w:t>
      </w:r>
      <w:r>
        <w:rPr>
          <w:rFonts w:hint="eastAsia"/>
          <w:color w:val="auto"/>
          <w:highlight w:val="none"/>
          <w:lang w:eastAsia="zh-CN"/>
        </w:rPr>
        <w:t>TC269H0BN</w:t>
      </w:r>
    </w:p>
    <w:p w14:paraId="5A19CFBA">
      <w:pPr>
        <w:spacing w:line="360" w:lineRule="auto"/>
        <w:rPr>
          <w:rFonts w:hint="eastAsia"/>
          <w:color w:val="auto"/>
          <w:highlight w:val="none"/>
          <w:lang w:eastAsia="zh-CN"/>
        </w:rPr>
      </w:pPr>
      <w:r>
        <w:rPr>
          <w:rFonts w:hint="eastAsia"/>
          <w:color w:val="auto"/>
          <w:highlight w:val="none"/>
        </w:rPr>
        <w:t>项目名称</w:t>
      </w:r>
      <w:r>
        <w:rPr>
          <w:rFonts w:hint="eastAsia"/>
          <w:color w:val="auto"/>
          <w:highlight w:val="none"/>
          <w:lang w:eastAsia="zh-CN"/>
        </w:rPr>
        <w:t>：新疆医科大学附属肿瘤医院支气管镜导航系统采购项目</w:t>
      </w:r>
    </w:p>
    <w:p w14:paraId="6A8CD685">
      <w:pPr>
        <w:spacing w:line="360" w:lineRule="auto"/>
        <w:rPr>
          <w:rFonts w:hint="eastAsia" w:eastAsia="宋体"/>
          <w:color w:val="auto"/>
          <w:highlight w:val="none"/>
          <w:lang w:eastAsia="zh-CN"/>
        </w:rPr>
      </w:pPr>
      <w:r>
        <w:rPr>
          <w:rFonts w:hint="eastAsia"/>
          <w:color w:val="auto"/>
          <w:highlight w:val="none"/>
        </w:rPr>
        <w:t>采 购 人（盖章）：</w:t>
      </w:r>
      <w:r>
        <w:rPr>
          <w:rFonts w:hint="eastAsia"/>
          <w:color w:val="auto"/>
          <w:highlight w:val="none"/>
          <w:lang w:eastAsia="zh-CN"/>
        </w:rPr>
        <w:t>新疆医科大学附属肿瘤医院</w:t>
      </w:r>
    </w:p>
    <w:p w14:paraId="5F45C4C1">
      <w:pPr>
        <w:spacing w:line="360" w:lineRule="auto"/>
        <w:rPr>
          <w:color w:val="auto"/>
          <w:highlight w:val="none"/>
        </w:rPr>
      </w:pPr>
      <w:r>
        <w:rPr>
          <w:rFonts w:hint="eastAsia"/>
          <w:color w:val="auto"/>
          <w:highlight w:val="none"/>
        </w:rPr>
        <w:t>联系人： 王老师</w:t>
      </w:r>
    </w:p>
    <w:p w14:paraId="0F55042A">
      <w:pPr>
        <w:spacing w:line="360" w:lineRule="auto"/>
        <w:rPr>
          <w:color w:val="auto"/>
          <w:highlight w:val="none"/>
        </w:rPr>
      </w:pPr>
      <w:r>
        <w:rPr>
          <w:rFonts w:hint="eastAsia"/>
          <w:color w:val="auto"/>
          <w:highlight w:val="none"/>
        </w:rPr>
        <w:t>联系方式： 0991-7819055</w:t>
      </w:r>
    </w:p>
    <w:p w14:paraId="1F361F25">
      <w:pPr>
        <w:spacing w:line="360" w:lineRule="auto"/>
        <w:rPr>
          <w:color w:val="auto"/>
          <w:highlight w:val="none"/>
        </w:rPr>
      </w:pPr>
      <w:r>
        <w:rPr>
          <w:rFonts w:hint="eastAsia"/>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94615</wp:posOffset>
                </wp:positionH>
                <wp:positionV relativeFrom="paragraph">
                  <wp:posOffset>93345</wp:posOffset>
                </wp:positionV>
                <wp:extent cx="5626735" cy="0"/>
                <wp:effectExtent l="0" t="6350" r="12065" b="6350"/>
                <wp:wrapNone/>
                <wp:docPr id="9" name="直接连接符 9"/>
                <wp:cNvGraphicFramePr/>
                <a:graphic xmlns:a="http://schemas.openxmlformats.org/drawingml/2006/main">
                  <a:graphicData uri="http://schemas.microsoft.com/office/word/2010/wordprocessingShape">
                    <wps:wsp>
                      <wps:cNvCnPr/>
                      <wps:spPr>
                        <a:xfrm>
                          <a:off x="0" y="0"/>
                          <a:ext cx="5626735" cy="0"/>
                        </a:xfrm>
                        <a:prstGeom prst="line">
                          <a:avLst/>
                        </a:prstGeom>
                        <a:ln w="12700" cap="flat" cmpd="sng">
                          <a:solidFill>
                            <a:srgbClr val="000000"/>
                          </a:solidFill>
                          <a:prstDash val="sysDot"/>
                          <a:headEnd type="none" w="med" len="med"/>
                          <a:tailEnd type="none" w="med" len="med"/>
                        </a:ln>
                      </wps:spPr>
                      <wps:bodyPr/>
                    </wps:wsp>
                  </a:graphicData>
                </a:graphic>
              </wp:anchor>
            </w:drawing>
          </mc:Choice>
          <mc:Fallback>
            <w:pict>
              <v:line id="_x0000_s1026" o:spid="_x0000_s1026" o:spt="20" style="position:absolute;left:0pt;margin-left:7.45pt;margin-top:7.35pt;height:0pt;width:443.05pt;z-index:251659264;mso-width-relative:page;mso-height-relative:page;" filled="f" stroked="t" coordsize="21600,21600" o:gfxdata="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i&#10;wOvA0wAAAAgBAAAPAAAAAAAAAAEAIAAAACIAAABkcnMvZG93bnJldi54bWxQSwECFAAUAAAACACH&#10;TuJA/BdJvPABAADaAwAADgAAAAAAAAABACAAAAAiAQAAZHJzL2Uyb0RvYy54bWxQSwUGAAAAAAYA&#10;BgBZAQAAhAUAAAAA&#10;">
                <v:fill on="f" focussize="0,0"/>
                <v:stroke weight="1pt" color="#000000" joinstyle="round" dashstyle="1 1"/>
                <v:imagedata o:title=""/>
                <o:lock v:ext="edit" aspectratio="f"/>
              </v:line>
            </w:pict>
          </mc:Fallback>
        </mc:AlternateContent>
      </w:r>
    </w:p>
    <w:p w14:paraId="5AC80AE1">
      <w:pPr>
        <w:spacing w:line="360" w:lineRule="auto"/>
        <w:rPr>
          <w:rFonts w:hint="eastAsia" w:eastAsia="宋体"/>
          <w:color w:val="auto"/>
          <w:highlight w:val="none"/>
          <w:lang w:eastAsia="zh-CN"/>
        </w:rPr>
      </w:pPr>
      <w:r>
        <w:rPr>
          <w:rFonts w:hint="eastAsia"/>
          <w:color w:val="auto"/>
          <w:highlight w:val="none"/>
        </w:rPr>
        <w:t>采购代理机构（盖章）：</w:t>
      </w:r>
      <w:r>
        <w:rPr>
          <w:rFonts w:hint="eastAsia"/>
          <w:color w:val="auto"/>
          <w:highlight w:val="none"/>
          <w:lang w:eastAsia="zh-CN"/>
        </w:rPr>
        <w:t>中招国际招标有限公司</w:t>
      </w:r>
    </w:p>
    <w:p w14:paraId="2FBCE315">
      <w:pPr>
        <w:spacing w:line="360" w:lineRule="auto"/>
        <w:rPr>
          <w:rFonts w:hint="eastAsia" w:eastAsia="宋体"/>
          <w:color w:val="auto"/>
          <w:highlight w:val="none"/>
          <w:lang w:eastAsia="zh-CN"/>
        </w:rPr>
      </w:pPr>
      <w:r>
        <w:rPr>
          <w:rFonts w:hint="eastAsia"/>
          <w:color w:val="auto"/>
          <w:highlight w:val="none"/>
        </w:rPr>
        <w:t>项目联系人：</w:t>
      </w:r>
      <w:r>
        <w:rPr>
          <w:rFonts w:hint="eastAsia"/>
          <w:color w:val="auto"/>
          <w:highlight w:val="none"/>
          <w:lang w:eastAsia="zh-CN"/>
        </w:rPr>
        <w:t>张辉、师翠婷、杨芳、杨泽艺</w:t>
      </w:r>
    </w:p>
    <w:p w14:paraId="4BD6F351">
      <w:pPr>
        <w:spacing w:line="360" w:lineRule="auto"/>
        <w:rPr>
          <w:rFonts w:hint="eastAsia" w:eastAsia="宋体"/>
          <w:color w:val="auto"/>
          <w:highlight w:val="none"/>
          <w:lang w:eastAsia="zh-CN"/>
        </w:rPr>
      </w:pPr>
      <w:r>
        <w:rPr>
          <w:rFonts w:hint="eastAsia"/>
          <w:color w:val="auto"/>
          <w:highlight w:val="none"/>
        </w:rPr>
        <w:t>联系方式：</w:t>
      </w:r>
      <w:r>
        <w:rPr>
          <w:rFonts w:hint="eastAsia"/>
          <w:color w:val="auto"/>
          <w:highlight w:val="none"/>
          <w:lang w:eastAsia="zh-CN"/>
        </w:rPr>
        <w:t xml:space="preserve">19990606127 </w:t>
      </w:r>
    </w:p>
    <w:p w14:paraId="2903FA10">
      <w:pPr>
        <w:spacing w:line="360" w:lineRule="auto"/>
        <w:rPr>
          <w:rFonts w:hint="eastAsia" w:eastAsia="宋体"/>
          <w:color w:val="auto"/>
          <w:highlight w:val="none"/>
          <w:lang w:eastAsia="zh-CN"/>
        </w:rPr>
      </w:pPr>
      <w:r>
        <w:rPr>
          <w:rFonts w:hint="eastAsia"/>
          <w:color w:val="auto"/>
          <w:highlight w:val="none"/>
        </w:rPr>
        <w:t>详细地址：</w:t>
      </w:r>
      <w:r>
        <w:rPr>
          <w:rFonts w:hint="eastAsia"/>
          <w:color w:val="auto"/>
          <w:highlight w:val="none"/>
          <w:lang w:eastAsia="zh-CN"/>
        </w:rPr>
        <w:t>新疆乌鲁木齐市486号南湖明珠大厦8楼</w:t>
      </w:r>
    </w:p>
    <w:p w14:paraId="5E86564E">
      <w:pPr>
        <w:pStyle w:val="39"/>
        <w:ind w:firstLine="1440"/>
        <w:rPr>
          <w:rFonts w:ascii="黑体" w:hAnsi="黑体" w:eastAsia="黑体"/>
          <w:color w:val="auto"/>
          <w:sz w:val="72"/>
          <w:szCs w:val="72"/>
          <w:highlight w:val="none"/>
        </w:rPr>
        <w:sectPr>
          <w:pgSz w:w="11906" w:h="16838"/>
          <w:pgMar w:top="1440" w:right="1800" w:bottom="1440" w:left="1800" w:header="851" w:footer="879" w:gutter="0"/>
          <w:cols w:space="0" w:num="1"/>
          <w:docGrid w:type="lines" w:linePitch="312" w:charSpace="0"/>
        </w:sectPr>
      </w:pPr>
    </w:p>
    <w:p w14:paraId="20932649">
      <w:pPr>
        <w:jc w:val="left"/>
        <w:rPr>
          <w:color w:val="auto"/>
          <w:highlight w:val="none"/>
        </w:rPr>
      </w:pPr>
      <w:r>
        <w:rPr>
          <w:rFonts w:hint="eastAsia"/>
          <w:color w:val="auto"/>
          <w:highlight w:val="none"/>
        </w:rPr>
        <w:t>目  录</w:t>
      </w:r>
    </w:p>
    <w:p w14:paraId="512E92BA">
      <w:pPr>
        <w:pStyle w:val="23"/>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TOC \o "1-2" \h \u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HYPERLINK \l _Toc4647 </w:instrText>
      </w:r>
      <w:r>
        <w:rPr>
          <w:rFonts w:hint="eastAsia"/>
          <w:color w:val="auto"/>
          <w:highlight w:val="none"/>
        </w:rPr>
        <w:fldChar w:fldCharType="separate"/>
      </w:r>
      <w:r>
        <w:rPr>
          <w:rFonts w:hint="eastAsia"/>
          <w:color w:val="auto"/>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_Toc4647 \h </w:instrText>
      </w:r>
      <w:r>
        <w:rPr>
          <w:color w:val="auto"/>
          <w:highlight w:val="none"/>
        </w:rPr>
        <w:fldChar w:fldCharType="separate"/>
      </w:r>
      <w:r>
        <w:rPr>
          <w:color w:val="auto"/>
          <w:highlight w:val="none"/>
        </w:rPr>
        <w:t>- 1 -</w:t>
      </w:r>
      <w:r>
        <w:rPr>
          <w:color w:val="auto"/>
          <w:highlight w:val="none"/>
        </w:rPr>
        <w:fldChar w:fldCharType="end"/>
      </w:r>
      <w:r>
        <w:rPr>
          <w:rFonts w:hint="eastAsia"/>
          <w:color w:val="auto"/>
          <w:highlight w:val="none"/>
        </w:rPr>
        <w:fldChar w:fldCharType="end"/>
      </w:r>
    </w:p>
    <w:p w14:paraId="46E0331D">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_Toc1203 </w:instrText>
      </w:r>
      <w:r>
        <w:rPr>
          <w:rFonts w:hint="eastAsia"/>
          <w:color w:val="auto"/>
          <w:highlight w:val="none"/>
        </w:rPr>
        <w:fldChar w:fldCharType="separate"/>
      </w:r>
      <w:r>
        <w:rPr>
          <w:rFonts w:hint="eastAsia"/>
          <w:color w:val="auto"/>
          <w:highlight w:val="none"/>
        </w:rPr>
        <w:t>项目概况：</w:t>
      </w:r>
      <w:r>
        <w:rPr>
          <w:color w:val="auto"/>
          <w:highlight w:val="none"/>
        </w:rPr>
        <w:tab/>
      </w:r>
      <w:r>
        <w:rPr>
          <w:color w:val="auto"/>
          <w:highlight w:val="none"/>
        </w:rPr>
        <w:fldChar w:fldCharType="begin"/>
      </w:r>
      <w:r>
        <w:rPr>
          <w:color w:val="auto"/>
          <w:highlight w:val="none"/>
        </w:rPr>
        <w:instrText xml:space="preserve"> PAGEREF _Toc1203 \h </w:instrText>
      </w:r>
      <w:r>
        <w:rPr>
          <w:color w:val="auto"/>
          <w:highlight w:val="none"/>
        </w:rPr>
        <w:fldChar w:fldCharType="separate"/>
      </w:r>
      <w:r>
        <w:rPr>
          <w:color w:val="auto"/>
          <w:highlight w:val="none"/>
        </w:rPr>
        <w:t>- 1 -</w:t>
      </w:r>
      <w:r>
        <w:rPr>
          <w:color w:val="auto"/>
          <w:highlight w:val="none"/>
        </w:rPr>
        <w:fldChar w:fldCharType="end"/>
      </w:r>
      <w:r>
        <w:rPr>
          <w:rFonts w:hint="eastAsia"/>
          <w:color w:val="auto"/>
          <w:highlight w:val="none"/>
        </w:rPr>
        <w:fldChar w:fldCharType="end"/>
      </w:r>
    </w:p>
    <w:p w14:paraId="1C5F185C">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_Toc16486 </w:instrText>
      </w:r>
      <w:r>
        <w:rPr>
          <w:rFonts w:hint="eastAsia"/>
          <w:color w:val="auto"/>
          <w:highlight w:val="none"/>
        </w:rPr>
        <w:fldChar w:fldCharType="separate"/>
      </w:r>
      <w:r>
        <w:rPr>
          <w:rFonts w:hint="eastAsia"/>
          <w:color w:val="auto"/>
          <w:highlight w:val="none"/>
          <w:lang w:val="hr-HR"/>
        </w:rPr>
        <w:t>一、项目基本情况</w:t>
      </w:r>
      <w:r>
        <w:rPr>
          <w:color w:val="auto"/>
          <w:highlight w:val="none"/>
        </w:rPr>
        <w:tab/>
      </w:r>
      <w:r>
        <w:rPr>
          <w:color w:val="auto"/>
          <w:highlight w:val="none"/>
        </w:rPr>
        <w:fldChar w:fldCharType="begin"/>
      </w:r>
      <w:r>
        <w:rPr>
          <w:color w:val="auto"/>
          <w:highlight w:val="none"/>
        </w:rPr>
        <w:instrText xml:space="preserve"> PAGEREF _Toc16486 \h </w:instrText>
      </w:r>
      <w:r>
        <w:rPr>
          <w:color w:val="auto"/>
          <w:highlight w:val="none"/>
        </w:rPr>
        <w:fldChar w:fldCharType="separate"/>
      </w:r>
      <w:r>
        <w:rPr>
          <w:color w:val="auto"/>
          <w:highlight w:val="none"/>
        </w:rPr>
        <w:t>- 1 -</w:t>
      </w:r>
      <w:r>
        <w:rPr>
          <w:color w:val="auto"/>
          <w:highlight w:val="none"/>
        </w:rPr>
        <w:fldChar w:fldCharType="end"/>
      </w:r>
      <w:r>
        <w:rPr>
          <w:rFonts w:hint="eastAsia"/>
          <w:color w:val="auto"/>
          <w:highlight w:val="none"/>
        </w:rPr>
        <w:fldChar w:fldCharType="end"/>
      </w:r>
    </w:p>
    <w:p w14:paraId="27D18654">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_Toc31159 </w:instrText>
      </w:r>
      <w:r>
        <w:rPr>
          <w:rFonts w:hint="eastAsia"/>
          <w:color w:val="auto"/>
          <w:highlight w:val="none"/>
        </w:rPr>
        <w:fldChar w:fldCharType="separate"/>
      </w:r>
      <w:r>
        <w:rPr>
          <w:rFonts w:hint="eastAsia"/>
          <w:color w:val="auto"/>
          <w:highlight w:val="none"/>
        </w:rPr>
        <w:t>二、申请</w:t>
      </w:r>
      <w:r>
        <w:rPr>
          <w:rFonts w:hint="eastAsia"/>
          <w:color w:val="auto"/>
          <w:highlight w:val="none"/>
          <w:lang w:val="hr-HR"/>
        </w:rPr>
        <w:t>人</w:t>
      </w:r>
      <w:r>
        <w:rPr>
          <w:rFonts w:hint="eastAsia"/>
          <w:color w:val="auto"/>
          <w:highlight w:val="none"/>
        </w:rPr>
        <w:t>的</w:t>
      </w:r>
      <w:r>
        <w:rPr>
          <w:rFonts w:hint="eastAsia"/>
          <w:color w:val="auto"/>
          <w:highlight w:val="none"/>
          <w:lang w:val="hr-HR"/>
        </w:rPr>
        <w:t>资格要求</w:t>
      </w:r>
      <w:r>
        <w:rPr>
          <w:color w:val="auto"/>
          <w:highlight w:val="none"/>
        </w:rPr>
        <w:tab/>
      </w:r>
      <w:r>
        <w:rPr>
          <w:color w:val="auto"/>
          <w:highlight w:val="none"/>
        </w:rPr>
        <w:fldChar w:fldCharType="begin"/>
      </w:r>
      <w:r>
        <w:rPr>
          <w:color w:val="auto"/>
          <w:highlight w:val="none"/>
        </w:rPr>
        <w:instrText xml:space="preserve"> PAGEREF _Toc31159 \h </w:instrText>
      </w:r>
      <w:r>
        <w:rPr>
          <w:color w:val="auto"/>
          <w:highlight w:val="none"/>
        </w:rPr>
        <w:fldChar w:fldCharType="separate"/>
      </w:r>
      <w:r>
        <w:rPr>
          <w:color w:val="auto"/>
          <w:highlight w:val="none"/>
        </w:rPr>
        <w:t>- 1 -</w:t>
      </w:r>
      <w:r>
        <w:rPr>
          <w:color w:val="auto"/>
          <w:highlight w:val="none"/>
        </w:rPr>
        <w:fldChar w:fldCharType="end"/>
      </w:r>
      <w:r>
        <w:rPr>
          <w:rFonts w:hint="eastAsia"/>
          <w:color w:val="auto"/>
          <w:highlight w:val="none"/>
        </w:rPr>
        <w:fldChar w:fldCharType="end"/>
      </w:r>
    </w:p>
    <w:p w14:paraId="20AF82E4">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_Toc21810 </w:instrText>
      </w:r>
      <w:r>
        <w:rPr>
          <w:rFonts w:hint="eastAsia"/>
          <w:color w:val="auto"/>
          <w:highlight w:val="none"/>
        </w:rPr>
        <w:fldChar w:fldCharType="separate"/>
      </w:r>
      <w:r>
        <w:rPr>
          <w:rFonts w:hint="eastAsia"/>
          <w:color w:val="auto"/>
          <w:highlight w:val="none"/>
        </w:rPr>
        <w:t>三、</w:t>
      </w:r>
      <w:r>
        <w:rPr>
          <w:rFonts w:hint="eastAsia" w:eastAsia="宋体"/>
          <w:color w:val="auto"/>
          <w:szCs w:val="28"/>
          <w:highlight w:val="none"/>
          <w:lang w:val="hr-HR"/>
        </w:rPr>
        <w:t>获取招标文件</w:t>
      </w:r>
      <w:r>
        <w:rPr>
          <w:color w:val="auto"/>
          <w:highlight w:val="none"/>
        </w:rPr>
        <w:tab/>
      </w:r>
      <w:r>
        <w:rPr>
          <w:color w:val="auto"/>
          <w:highlight w:val="none"/>
        </w:rPr>
        <w:fldChar w:fldCharType="begin"/>
      </w:r>
      <w:r>
        <w:rPr>
          <w:color w:val="auto"/>
          <w:highlight w:val="none"/>
        </w:rPr>
        <w:instrText xml:space="preserve"> PAGEREF _Toc21810 \h </w:instrText>
      </w:r>
      <w:r>
        <w:rPr>
          <w:color w:val="auto"/>
          <w:highlight w:val="none"/>
        </w:rPr>
        <w:fldChar w:fldCharType="separate"/>
      </w:r>
      <w:r>
        <w:rPr>
          <w:color w:val="auto"/>
          <w:highlight w:val="none"/>
        </w:rPr>
        <w:t>- 2 -</w:t>
      </w:r>
      <w:r>
        <w:rPr>
          <w:color w:val="auto"/>
          <w:highlight w:val="none"/>
        </w:rPr>
        <w:fldChar w:fldCharType="end"/>
      </w:r>
      <w:r>
        <w:rPr>
          <w:rFonts w:hint="eastAsia"/>
          <w:color w:val="auto"/>
          <w:highlight w:val="none"/>
        </w:rPr>
        <w:fldChar w:fldCharType="end"/>
      </w:r>
    </w:p>
    <w:p w14:paraId="13DDB069">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_Toc1642 </w:instrText>
      </w:r>
      <w:r>
        <w:rPr>
          <w:rFonts w:hint="eastAsia"/>
          <w:color w:val="auto"/>
          <w:highlight w:val="none"/>
        </w:rPr>
        <w:fldChar w:fldCharType="separate"/>
      </w:r>
      <w:r>
        <w:rPr>
          <w:rFonts w:hint="eastAsia" w:eastAsia="宋体"/>
          <w:color w:val="auto"/>
          <w:highlight w:val="none"/>
          <w:lang w:val="hr-HR"/>
        </w:rPr>
        <w:t>四、</w:t>
      </w:r>
      <w:r>
        <w:rPr>
          <w:rFonts w:hint="eastAsia" w:eastAsia="宋体"/>
          <w:color w:val="auto"/>
          <w:szCs w:val="28"/>
          <w:highlight w:val="none"/>
          <w:lang w:val="hr-HR"/>
        </w:rPr>
        <w:t>提交投标文件截止时间/开标时间、递交方式和开标地点</w:t>
      </w:r>
      <w:r>
        <w:rPr>
          <w:color w:val="auto"/>
          <w:highlight w:val="none"/>
        </w:rPr>
        <w:tab/>
      </w:r>
      <w:r>
        <w:rPr>
          <w:color w:val="auto"/>
          <w:highlight w:val="none"/>
        </w:rPr>
        <w:fldChar w:fldCharType="begin"/>
      </w:r>
      <w:r>
        <w:rPr>
          <w:color w:val="auto"/>
          <w:highlight w:val="none"/>
        </w:rPr>
        <w:instrText xml:space="preserve"> PAGEREF _Toc1642 \h </w:instrText>
      </w:r>
      <w:r>
        <w:rPr>
          <w:color w:val="auto"/>
          <w:highlight w:val="none"/>
        </w:rPr>
        <w:fldChar w:fldCharType="separate"/>
      </w:r>
      <w:r>
        <w:rPr>
          <w:color w:val="auto"/>
          <w:highlight w:val="none"/>
        </w:rPr>
        <w:t>- 2 -</w:t>
      </w:r>
      <w:r>
        <w:rPr>
          <w:color w:val="auto"/>
          <w:highlight w:val="none"/>
        </w:rPr>
        <w:fldChar w:fldCharType="end"/>
      </w:r>
      <w:r>
        <w:rPr>
          <w:rFonts w:hint="eastAsia"/>
          <w:color w:val="auto"/>
          <w:highlight w:val="none"/>
        </w:rPr>
        <w:fldChar w:fldCharType="end"/>
      </w:r>
    </w:p>
    <w:p w14:paraId="6231FB61">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_Toc23037 </w:instrText>
      </w:r>
      <w:r>
        <w:rPr>
          <w:rFonts w:hint="eastAsia"/>
          <w:color w:val="auto"/>
          <w:highlight w:val="none"/>
        </w:rPr>
        <w:fldChar w:fldCharType="separate"/>
      </w:r>
      <w:r>
        <w:rPr>
          <w:rFonts w:hint="eastAsia"/>
          <w:color w:val="auto"/>
          <w:highlight w:val="none"/>
        </w:rPr>
        <w:t>五、</w:t>
      </w:r>
      <w:r>
        <w:rPr>
          <w:rFonts w:hint="eastAsia"/>
          <w:color w:val="auto"/>
          <w:highlight w:val="none"/>
          <w:lang w:val="hr-HR"/>
        </w:rPr>
        <w:t>公告期限</w:t>
      </w:r>
      <w:r>
        <w:rPr>
          <w:color w:val="auto"/>
          <w:highlight w:val="none"/>
        </w:rPr>
        <w:tab/>
      </w:r>
      <w:r>
        <w:rPr>
          <w:color w:val="auto"/>
          <w:highlight w:val="none"/>
        </w:rPr>
        <w:fldChar w:fldCharType="begin"/>
      </w:r>
      <w:r>
        <w:rPr>
          <w:color w:val="auto"/>
          <w:highlight w:val="none"/>
        </w:rPr>
        <w:instrText xml:space="preserve"> PAGEREF _Toc23037 \h </w:instrText>
      </w:r>
      <w:r>
        <w:rPr>
          <w:color w:val="auto"/>
          <w:highlight w:val="none"/>
        </w:rPr>
        <w:fldChar w:fldCharType="separate"/>
      </w:r>
      <w:r>
        <w:rPr>
          <w:color w:val="auto"/>
          <w:highlight w:val="none"/>
        </w:rPr>
        <w:t>- 2 -</w:t>
      </w:r>
      <w:r>
        <w:rPr>
          <w:color w:val="auto"/>
          <w:highlight w:val="none"/>
        </w:rPr>
        <w:fldChar w:fldCharType="end"/>
      </w:r>
      <w:r>
        <w:rPr>
          <w:rFonts w:hint="eastAsia"/>
          <w:color w:val="auto"/>
          <w:highlight w:val="none"/>
        </w:rPr>
        <w:fldChar w:fldCharType="end"/>
      </w:r>
    </w:p>
    <w:p w14:paraId="5B6E266F">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_Toc21248 </w:instrText>
      </w:r>
      <w:r>
        <w:rPr>
          <w:rFonts w:hint="eastAsia"/>
          <w:color w:val="auto"/>
          <w:highlight w:val="none"/>
        </w:rPr>
        <w:fldChar w:fldCharType="separate"/>
      </w:r>
      <w:r>
        <w:rPr>
          <w:rFonts w:hint="eastAsia"/>
          <w:color w:val="auto"/>
          <w:highlight w:val="none"/>
        </w:rPr>
        <w:t>六、</w:t>
      </w:r>
      <w:r>
        <w:rPr>
          <w:rFonts w:hint="eastAsia"/>
          <w:color w:val="auto"/>
          <w:highlight w:val="none"/>
          <w:lang w:val="hr-HR"/>
        </w:rPr>
        <w:t>其他补充事宜</w:t>
      </w:r>
      <w:r>
        <w:rPr>
          <w:color w:val="auto"/>
          <w:highlight w:val="none"/>
        </w:rPr>
        <w:tab/>
      </w:r>
      <w:r>
        <w:rPr>
          <w:color w:val="auto"/>
          <w:highlight w:val="none"/>
        </w:rPr>
        <w:fldChar w:fldCharType="begin"/>
      </w:r>
      <w:r>
        <w:rPr>
          <w:color w:val="auto"/>
          <w:highlight w:val="none"/>
        </w:rPr>
        <w:instrText xml:space="preserve"> PAGEREF _Toc21248 \h </w:instrText>
      </w:r>
      <w:r>
        <w:rPr>
          <w:color w:val="auto"/>
          <w:highlight w:val="none"/>
        </w:rPr>
        <w:fldChar w:fldCharType="separate"/>
      </w:r>
      <w:r>
        <w:rPr>
          <w:color w:val="auto"/>
          <w:highlight w:val="none"/>
        </w:rPr>
        <w:t>- 3 -</w:t>
      </w:r>
      <w:r>
        <w:rPr>
          <w:color w:val="auto"/>
          <w:highlight w:val="none"/>
        </w:rPr>
        <w:fldChar w:fldCharType="end"/>
      </w:r>
      <w:r>
        <w:rPr>
          <w:rFonts w:hint="eastAsia"/>
          <w:color w:val="auto"/>
          <w:highlight w:val="none"/>
        </w:rPr>
        <w:fldChar w:fldCharType="end"/>
      </w:r>
    </w:p>
    <w:p w14:paraId="545D0BEF">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_Toc20593 </w:instrText>
      </w:r>
      <w:r>
        <w:rPr>
          <w:rFonts w:hint="eastAsia"/>
          <w:color w:val="auto"/>
          <w:highlight w:val="none"/>
        </w:rPr>
        <w:fldChar w:fldCharType="separate"/>
      </w:r>
      <w:r>
        <w:rPr>
          <w:rFonts w:hint="eastAsia"/>
          <w:color w:val="auto"/>
          <w:highlight w:val="none"/>
        </w:rPr>
        <w:t>七、</w:t>
      </w:r>
      <w:r>
        <w:rPr>
          <w:rFonts w:hint="eastAsia"/>
          <w:color w:val="auto"/>
          <w:highlight w:val="none"/>
          <w:lang w:val="hr-HR"/>
        </w:rPr>
        <w:t>对本次</w:t>
      </w:r>
      <w:r>
        <w:rPr>
          <w:rFonts w:hint="eastAsia"/>
          <w:color w:val="auto"/>
          <w:highlight w:val="none"/>
        </w:rPr>
        <w:t>招标</w:t>
      </w:r>
      <w:r>
        <w:rPr>
          <w:rFonts w:hint="eastAsia"/>
          <w:color w:val="auto"/>
          <w:highlight w:val="none"/>
          <w:lang w:val="hr-HR"/>
        </w:rPr>
        <w:t>提出询问，请按以下方式联系</w:t>
      </w:r>
      <w:r>
        <w:rPr>
          <w:color w:val="auto"/>
          <w:highlight w:val="none"/>
        </w:rPr>
        <w:tab/>
      </w:r>
      <w:r>
        <w:rPr>
          <w:color w:val="auto"/>
          <w:highlight w:val="none"/>
        </w:rPr>
        <w:fldChar w:fldCharType="begin"/>
      </w:r>
      <w:r>
        <w:rPr>
          <w:color w:val="auto"/>
          <w:highlight w:val="none"/>
        </w:rPr>
        <w:instrText xml:space="preserve"> PAGEREF _Toc20593 \h </w:instrText>
      </w:r>
      <w:r>
        <w:rPr>
          <w:color w:val="auto"/>
          <w:highlight w:val="none"/>
        </w:rPr>
        <w:fldChar w:fldCharType="separate"/>
      </w:r>
      <w:r>
        <w:rPr>
          <w:color w:val="auto"/>
          <w:highlight w:val="none"/>
        </w:rPr>
        <w:t>- 4 -</w:t>
      </w:r>
      <w:r>
        <w:rPr>
          <w:color w:val="auto"/>
          <w:highlight w:val="none"/>
        </w:rPr>
        <w:fldChar w:fldCharType="end"/>
      </w:r>
      <w:r>
        <w:rPr>
          <w:rFonts w:hint="eastAsia"/>
          <w:color w:val="auto"/>
          <w:highlight w:val="none"/>
        </w:rPr>
        <w:fldChar w:fldCharType="end"/>
      </w:r>
    </w:p>
    <w:p w14:paraId="4C4C55C1">
      <w:pPr>
        <w:pStyle w:val="23"/>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_Toc5028 </w:instrText>
      </w:r>
      <w:r>
        <w:rPr>
          <w:rFonts w:hint="eastAsia"/>
          <w:color w:val="auto"/>
          <w:highlight w:val="none"/>
        </w:rPr>
        <w:fldChar w:fldCharType="separate"/>
      </w:r>
      <w:r>
        <w:rPr>
          <w:rFonts w:hint="eastAsia"/>
          <w:color w:val="auto"/>
          <w:highlight w:val="none"/>
        </w:rPr>
        <w:t>第二章 投标人须知</w:t>
      </w:r>
      <w:r>
        <w:rPr>
          <w:color w:val="auto"/>
          <w:highlight w:val="none"/>
        </w:rPr>
        <w:tab/>
      </w:r>
      <w:r>
        <w:rPr>
          <w:color w:val="auto"/>
          <w:highlight w:val="none"/>
        </w:rPr>
        <w:fldChar w:fldCharType="begin"/>
      </w:r>
      <w:r>
        <w:rPr>
          <w:color w:val="auto"/>
          <w:highlight w:val="none"/>
        </w:rPr>
        <w:instrText xml:space="preserve"> PAGEREF _Toc5028 \h </w:instrText>
      </w:r>
      <w:r>
        <w:rPr>
          <w:color w:val="auto"/>
          <w:highlight w:val="none"/>
        </w:rPr>
        <w:fldChar w:fldCharType="separate"/>
      </w:r>
      <w:r>
        <w:rPr>
          <w:color w:val="auto"/>
          <w:highlight w:val="none"/>
        </w:rPr>
        <w:t>5</w:t>
      </w:r>
      <w:r>
        <w:rPr>
          <w:color w:val="auto"/>
          <w:highlight w:val="none"/>
        </w:rPr>
        <w:fldChar w:fldCharType="end"/>
      </w:r>
      <w:r>
        <w:rPr>
          <w:rFonts w:hint="eastAsia"/>
          <w:color w:val="auto"/>
          <w:highlight w:val="none"/>
        </w:rPr>
        <w:fldChar w:fldCharType="end"/>
      </w:r>
    </w:p>
    <w:p w14:paraId="05AAAE3B">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_Toc30888 </w:instrText>
      </w:r>
      <w:r>
        <w:rPr>
          <w:rFonts w:hint="eastAsia"/>
          <w:color w:val="auto"/>
          <w:highlight w:val="none"/>
        </w:rPr>
        <w:fldChar w:fldCharType="separate"/>
      </w:r>
      <w:r>
        <w:rPr>
          <w:rFonts w:hint="eastAsia"/>
          <w:color w:val="auto"/>
          <w:highlight w:val="none"/>
        </w:rPr>
        <w:t>一、投标人须知前附表</w:t>
      </w:r>
      <w:r>
        <w:rPr>
          <w:color w:val="auto"/>
          <w:highlight w:val="none"/>
        </w:rPr>
        <w:tab/>
      </w:r>
      <w:r>
        <w:rPr>
          <w:color w:val="auto"/>
          <w:highlight w:val="none"/>
        </w:rPr>
        <w:fldChar w:fldCharType="begin"/>
      </w:r>
      <w:r>
        <w:rPr>
          <w:color w:val="auto"/>
          <w:highlight w:val="none"/>
        </w:rPr>
        <w:instrText xml:space="preserve"> PAGEREF _Toc30888 \h </w:instrText>
      </w:r>
      <w:r>
        <w:rPr>
          <w:color w:val="auto"/>
          <w:highlight w:val="none"/>
        </w:rPr>
        <w:fldChar w:fldCharType="separate"/>
      </w:r>
      <w:r>
        <w:rPr>
          <w:color w:val="auto"/>
          <w:highlight w:val="none"/>
        </w:rPr>
        <w:t>5</w:t>
      </w:r>
      <w:r>
        <w:rPr>
          <w:color w:val="auto"/>
          <w:highlight w:val="none"/>
        </w:rPr>
        <w:fldChar w:fldCharType="end"/>
      </w:r>
      <w:r>
        <w:rPr>
          <w:rFonts w:hint="eastAsia"/>
          <w:color w:val="auto"/>
          <w:highlight w:val="none"/>
        </w:rPr>
        <w:fldChar w:fldCharType="end"/>
      </w:r>
    </w:p>
    <w:p w14:paraId="675E1B86">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_Toc23095 </w:instrText>
      </w:r>
      <w:r>
        <w:rPr>
          <w:rFonts w:hint="eastAsia"/>
          <w:color w:val="auto"/>
          <w:highlight w:val="none"/>
        </w:rPr>
        <w:fldChar w:fldCharType="separate"/>
      </w:r>
      <w:r>
        <w:rPr>
          <w:rFonts w:hint="eastAsia"/>
          <w:color w:val="auto"/>
          <w:highlight w:val="none"/>
        </w:rPr>
        <w:t>二、投标人须知</w:t>
      </w:r>
      <w:r>
        <w:rPr>
          <w:color w:val="auto"/>
          <w:highlight w:val="none"/>
        </w:rPr>
        <w:tab/>
      </w:r>
      <w:r>
        <w:rPr>
          <w:color w:val="auto"/>
          <w:highlight w:val="none"/>
        </w:rPr>
        <w:fldChar w:fldCharType="begin"/>
      </w:r>
      <w:r>
        <w:rPr>
          <w:color w:val="auto"/>
          <w:highlight w:val="none"/>
        </w:rPr>
        <w:instrText xml:space="preserve"> PAGEREF _Toc23095 \h </w:instrText>
      </w:r>
      <w:r>
        <w:rPr>
          <w:color w:val="auto"/>
          <w:highlight w:val="none"/>
        </w:rPr>
        <w:fldChar w:fldCharType="separate"/>
      </w:r>
      <w:r>
        <w:rPr>
          <w:color w:val="auto"/>
          <w:highlight w:val="none"/>
        </w:rPr>
        <w:t>18</w:t>
      </w:r>
      <w:r>
        <w:rPr>
          <w:color w:val="auto"/>
          <w:highlight w:val="none"/>
        </w:rPr>
        <w:fldChar w:fldCharType="end"/>
      </w:r>
      <w:r>
        <w:rPr>
          <w:rFonts w:hint="eastAsia"/>
          <w:color w:val="auto"/>
          <w:highlight w:val="none"/>
        </w:rPr>
        <w:fldChar w:fldCharType="end"/>
      </w:r>
    </w:p>
    <w:p w14:paraId="17880CB8">
      <w:pPr>
        <w:pStyle w:val="23"/>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_Toc28263 </w:instrText>
      </w:r>
      <w:r>
        <w:rPr>
          <w:rFonts w:hint="eastAsia"/>
          <w:color w:val="auto"/>
          <w:highlight w:val="none"/>
        </w:rPr>
        <w:fldChar w:fldCharType="separate"/>
      </w:r>
      <w:r>
        <w:rPr>
          <w:rFonts w:hint="eastAsia"/>
          <w:color w:val="auto"/>
          <w:highlight w:val="none"/>
        </w:rPr>
        <w:t>第三章 采购需求</w:t>
      </w:r>
      <w:r>
        <w:rPr>
          <w:color w:val="auto"/>
          <w:highlight w:val="none"/>
        </w:rPr>
        <w:tab/>
      </w:r>
      <w:r>
        <w:rPr>
          <w:color w:val="auto"/>
          <w:highlight w:val="none"/>
        </w:rPr>
        <w:fldChar w:fldCharType="begin"/>
      </w:r>
      <w:r>
        <w:rPr>
          <w:color w:val="auto"/>
          <w:highlight w:val="none"/>
        </w:rPr>
        <w:instrText xml:space="preserve"> PAGEREF _Toc28263 \h </w:instrText>
      </w:r>
      <w:r>
        <w:rPr>
          <w:color w:val="auto"/>
          <w:highlight w:val="none"/>
        </w:rPr>
        <w:fldChar w:fldCharType="separate"/>
      </w:r>
      <w:r>
        <w:rPr>
          <w:color w:val="auto"/>
          <w:highlight w:val="none"/>
        </w:rPr>
        <w:t>47</w:t>
      </w:r>
      <w:r>
        <w:rPr>
          <w:color w:val="auto"/>
          <w:highlight w:val="none"/>
        </w:rPr>
        <w:fldChar w:fldCharType="end"/>
      </w:r>
      <w:r>
        <w:rPr>
          <w:rFonts w:hint="eastAsia"/>
          <w:color w:val="auto"/>
          <w:highlight w:val="none"/>
        </w:rPr>
        <w:fldChar w:fldCharType="end"/>
      </w:r>
    </w:p>
    <w:p w14:paraId="2F97F3A6">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_Toc1834 </w:instrText>
      </w:r>
      <w:r>
        <w:rPr>
          <w:rFonts w:hint="eastAsia"/>
          <w:color w:val="auto"/>
          <w:highlight w:val="none"/>
        </w:rPr>
        <w:fldChar w:fldCharType="separate"/>
      </w:r>
      <w:r>
        <w:rPr>
          <w:rFonts w:hint="eastAsia"/>
          <w:color w:val="auto"/>
          <w:highlight w:val="none"/>
        </w:rPr>
        <w:t>一、采购标的</w:t>
      </w:r>
      <w:r>
        <w:rPr>
          <w:color w:val="auto"/>
          <w:highlight w:val="none"/>
        </w:rPr>
        <w:tab/>
      </w:r>
      <w:r>
        <w:rPr>
          <w:color w:val="auto"/>
          <w:highlight w:val="none"/>
        </w:rPr>
        <w:fldChar w:fldCharType="begin"/>
      </w:r>
      <w:r>
        <w:rPr>
          <w:color w:val="auto"/>
          <w:highlight w:val="none"/>
        </w:rPr>
        <w:instrText xml:space="preserve"> PAGEREF _Toc1834 \h </w:instrText>
      </w:r>
      <w:r>
        <w:rPr>
          <w:color w:val="auto"/>
          <w:highlight w:val="none"/>
        </w:rPr>
        <w:fldChar w:fldCharType="separate"/>
      </w:r>
      <w:r>
        <w:rPr>
          <w:color w:val="auto"/>
          <w:highlight w:val="none"/>
        </w:rPr>
        <w:t>47</w:t>
      </w:r>
      <w:r>
        <w:rPr>
          <w:color w:val="auto"/>
          <w:highlight w:val="none"/>
        </w:rPr>
        <w:fldChar w:fldCharType="end"/>
      </w:r>
      <w:r>
        <w:rPr>
          <w:rFonts w:hint="eastAsia"/>
          <w:color w:val="auto"/>
          <w:highlight w:val="none"/>
        </w:rPr>
        <w:fldChar w:fldCharType="end"/>
      </w:r>
    </w:p>
    <w:p w14:paraId="286E6A00">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_Toc32026 </w:instrText>
      </w:r>
      <w:r>
        <w:rPr>
          <w:rFonts w:hint="eastAsia"/>
          <w:color w:val="auto"/>
          <w:highlight w:val="none"/>
        </w:rPr>
        <w:fldChar w:fldCharType="separate"/>
      </w:r>
      <w:r>
        <w:rPr>
          <w:rFonts w:hint="eastAsia"/>
          <w:color w:val="auto"/>
          <w:highlight w:val="none"/>
        </w:rPr>
        <w:t>二、商务要求</w:t>
      </w:r>
      <w:r>
        <w:rPr>
          <w:color w:val="auto"/>
          <w:highlight w:val="none"/>
        </w:rPr>
        <w:tab/>
      </w:r>
      <w:r>
        <w:rPr>
          <w:color w:val="auto"/>
          <w:highlight w:val="none"/>
        </w:rPr>
        <w:fldChar w:fldCharType="begin"/>
      </w:r>
      <w:r>
        <w:rPr>
          <w:color w:val="auto"/>
          <w:highlight w:val="none"/>
        </w:rPr>
        <w:instrText xml:space="preserve"> PAGEREF _Toc32026 \h </w:instrText>
      </w:r>
      <w:r>
        <w:rPr>
          <w:color w:val="auto"/>
          <w:highlight w:val="none"/>
        </w:rPr>
        <w:fldChar w:fldCharType="separate"/>
      </w:r>
      <w:r>
        <w:rPr>
          <w:color w:val="auto"/>
          <w:highlight w:val="none"/>
        </w:rPr>
        <w:t>47</w:t>
      </w:r>
      <w:r>
        <w:rPr>
          <w:color w:val="auto"/>
          <w:highlight w:val="none"/>
        </w:rPr>
        <w:fldChar w:fldCharType="end"/>
      </w:r>
      <w:r>
        <w:rPr>
          <w:rFonts w:hint="eastAsia"/>
          <w:color w:val="auto"/>
          <w:highlight w:val="none"/>
        </w:rPr>
        <w:fldChar w:fldCharType="end"/>
      </w:r>
    </w:p>
    <w:p w14:paraId="5A661AFD">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_Toc23056 </w:instrText>
      </w:r>
      <w:r>
        <w:rPr>
          <w:rFonts w:hint="eastAsia"/>
          <w:color w:val="auto"/>
          <w:highlight w:val="none"/>
        </w:rPr>
        <w:fldChar w:fldCharType="separate"/>
      </w:r>
      <w:r>
        <w:rPr>
          <w:rFonts w:hint="eastAsia"/>
          <w:color w:val="auto"/>
          <w:highlight w:val="none"/>
        </w:rPr>
        <w:t>三、技术要求</w:t>
      </w:r>
      <w:r>
        <w:rPr>
          <w:color w:val="auto"/>
          <w:highlight w:val="none"/>
        </w:rPr>
        <w:tab/>
      </w:r>
      <w:r>
        <w:rPr>
          <w:color w:val="auto"/>
          <w:highlight w:val="none"/>
        </w:rPr>
        <w:fldChar w:fldCharType="begin"/>
      </w:r>
      <w:r>
        <w:rPr>
          <w:color w:val="auto"/>
          <w:highlight w:val="none"/>
        </w:rPr>
        <w:instrText xml:space="preserve"> PAGEREF _Toc23056 \h </w:instrText>
      </w:r>
      <w:r>
        <w:rPr>
          <w:color w:val="auto"/>
          <w:highlight w:val="none"/>
        </w:rPr>
        <w:fldChar w:fldCharType="separate"/>
      </w:r>
      <w:r>
        <w:rPr>
          <w:color w:val="auto"/>
          <w:highlight w:val="none"/>
        </w:rPr>
        <w:t>48</w:t>
      </w:r>
      <w:r>
        <w:rPr>
          <w:color w:val="auto"/>
          <w:highlight w:val="none"/>
        </w:rPr>
        <w:fldChar w:fldCharType="end"/>
      </w:r>
      <w:r>
        <w:rPr>
          <w:rFonts w:hint="eastAsia"/>
          <w:color w:val="auto"/>
          <w:highlight w:val="none"/>
        </w:rPr>
        <w:fldChar w:fldCharType="end"/>
      </w:r>
    </w:p>
    <w:p w14:paraId="51230C21">
      <w:pPr>
        <w:pStyle w:val="23"/>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_Toc18577 </w:instrText>
      </w:r>
      <w:r>
        <w:rPr>
          <w:rFonts w:hint="eastAsia"/>
          <w:color w:val="auto"/>
          <w:highlight w:val="none"/>
        </w:rPr>
        <w:fldChar w:fldCharType="separate"/>
      </w:r>
      <w:r>
        <w:rPr>
          <w:rFonts w:hint="eastAsia"/>
          <w:color w:val="auto"/>
          <w:highlight w:val="none"/>
        </w:rPr>
        <w:t>第四章 资格审查</w:t>
      </w:r>
      <w:r>
        <w:rPr>
          <w:color w:val="auto"/>
          <w:highlight w:val="none"/>
        </w:rPr>
        <w:tab/>
      </w:r>
      <w:r>
        <w:rPr>
          <w:color w:val="auto"/>
          <w:highlight w:val="none"/>
        </w:rPr>
        <w:fldChar w:fldCharType="begin"/>
      </w:r>
      <w:r>
        <w:rPr>
          <w:color w:val="auto"/>
          <w:highlight w:val="none"/>
        </w:rPr>
        <w:instrText xml:space="preserve"> PAGEREF _Toc18577 \h </w:instrText>
      </w:r>
      <w:r>
        <w:rPr>
          <w:color w:val="auto"/>
          <w:highlight w:val="none"/>
        </w:rPr>
        <w:fldChar w:fldCharType="separate"/>
      </w:r>
      <w:r>
        <w:rPr>
          <w:color w:val="auto"/>
          <w:highlight w:val="none"/>
        </w:rPr>
        <w:t>51</w:t>
      </w:r>
      <w:r>
        <w:rPr>
          <w:color w:val="auto"/>
          <w:highlight w:val="none"/>
        </w:rPr>
        <w:fldChar w:fldCharType="end"/>
      </w:r>
      <w:r>
        <w:rPr>
          <w:rFonts w:hint="eastAsia"/>
          <w:color w:val="auto"/>
          <w:highlight w:val="none"/>
        </w:rPr>
        <w:fldChar w:fldCharType="end"/>
      </w:r>
    </w:p>
    <w:p w14:paraId="226C16E9">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_Toc26583 </w:instrText>
      </w:r>
      <w:r>
        <w:rPr>
          <w:rFonts w:hint="eastAsia"/>
          <w:color w:val="auto"/>
          <w:highlight w:val="none"/>
        </w:rPr>
        <w:fldChar w:fldCharType="separate"/>
      </w:r>
      <w:r>
        <w:rPr>
          <w:rFonts w:hint="eastAsia"/>
          <w:color w:val="auto"/>
          <w:highlight w:val="none"/>
        </w:rPr>
        <w:t>一、资格审查程序</w:t>
      </w:r>
      <w:r>
        <w:rPr>
          <w:color w:val="auto"/>
          <w:highlight w:val="none"/>
        </w:rPr>
        <w:tab/>
      </w:r>
      <w:r>
        <w:rPr>
          <w:color w:val="auto"/>
          <w:highlight w:val="none"/>
        </w:rPr>
        <w:fldChar w:fldCharType="begin"/>
      </w:r>
      <w:r>
        <w:rPr>
          <w:color w:val="auto"/>
          <w:highlight w:val="none"/>
        </w:rPr>
        <w:instrText xml:space="preserve"> PAGEREF _Toc26583 \h </w:instrText>
      </w:r>
      <w:r>
        <w:rPr>
          <w:color w:val="auto"/>
          <w:highlight w:val="none"/>
        </w:rPr>
        <w:fldChar w:fldCharType="separate"/>
      </w:r>
      <w:r>
        <w:rPr>
          <w:color w:val="auto"/>
          <w:highlight w:val="none"/>
        </w:rPr>
        <w:t>51</w:t>
      </w:r>
      <w:r>
        <w:rPr>
          <w:color w:val="auto"/>
          <w:highlight w:val="none"/>
        </w:rPr>
        <w:fldChar w:fldCharType="end"/>
      </w:r>
      <w:r>
        <w:rPr>
          <w:rFonts w:hint="eastAsia"/>
          <w:color w:val="auto"/>
          <w:highlight w:val="none"/>
        </w:rPr>
        <w:fldChar w:fldCharType="end"/>
      </w:r>
    </w:p>
    <w:p w14:paraId="7B28BFC0">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_Toc6358 </w:instrText>
      </w:r>
      <w:r>
        <w:rPr>
          <w:rFonts w:hint="eastAsia"/>
          <w:color w:val="auto"/>
          <w:highlight w:val="none"/>
        </w:rPr>
        <w:fldChar w:fldCharType="separate"/>
      </w:r>
      <w:r>
        <w:rPr>
          <w:rFonts w:hint="eastAsia"/>
          <w:color w:val="auto"/>
          <w:highlight w:val="none"/>
        </w:rPr>
        <w:t>二、资格审查要求</w:t>
      </w:r>
      <w:r>
        <w:rPr>
          <w:color w:val="auto"/>
          <w:highlight w:val="none"/>
        </w:rPr>
        <w:tab/>
      </w:r>
      <w:r>
        <w:rPr>
          <w:color w:val="auto"/>
          <w:highlight w:val="none"/>
        </w:rPr>
        <w:fldChar w:fldCharType="begin"/>
      </w:r>
      <w:r>
        <w:rPr>
          <w:color w:val="auto"/>
          <w:highlight w:val="none"/>
        </w:rPr>
        <w:instrText xml:space="preserve"> PAGEREF _Toc6358 \h </w:instrText>
      </w:r>
      <w:r>
        <w:rPr>
          <w:color w:val="auto"/>
          <w:highlight w:val="none"/>
        </w:rPr>
        <w:fldChar w:fldCharType="separate"/>
      </w:r>
      <w:r>
        <w:rPr>
          <w:color w:val="auto"/>
          <w:highlight w:val="none"/>
        </w:rPr>
        <w:t>51</w:t>
      </w:r>
      <w:r>
        <w:rPr>
          <w:color w:val="auto"/>
          <w:highlight w:val="none"/>
        </w:rPr>
        <w:fldChar w:fldCharType="end"/>
      </w:r>
      <w:r>
        <w:rPr>
          <w:rFonts w:hint="eastAsia"/>
          <w:color w:val="auto"/>
          <w:highlight w:val="none"/>
        </w:rPr>
        <w:fldChar w:fldCharType="end"/>
      </w:r>
    </w:p>
    <w:p w14:paraId="400B24F3">
      <w:pPr>
        <w:pStyle w:val="23"/>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_Toc11221 </w:instrText>
      </w:r>
      <w:r>
        <w:rPr>
          <w:rFonts w:hint="eastAsia"/>
          <w:color w:val="auto"/>
          <w:highlight w:val="none"/>
        </w:rPr>
        <w:fldChar w:fldCharType="separate"/>
      </w:r>
      <w:r>
        <w:rPr>
          <w:rFonts w:hint="eastAsia"/>
          <w:color w:val="auto"/>
          <w:highlight w:val="none"/>
        </w:rPr>
        <w:t>第五章 评标方法及标准(综合评分法)</w:t>
      </w:r>
      <w:r>
        <w:rPr>
          <w:color w:val="auto"/>
          <w:highlight w:val="none"/>
        </w:rPr>
        <w:tab/>
      </w:r>
      <w:r>
        <w:rPr>
          <w:color w:val="auto"/>
          <w:highlight w:val="none"/>
        </w:rPr>
        <w:fldChar w:fldCharType="begin"/>
      </w:r>
      <w:r>
        <w:rPr>
          <w:color w:val="auto"/>
          <w:highlight w:val="none"/>
        </w:rPr>
        <w:instrText xml:space="preserve"> PAGEREF _Toc11221 \h </w:instrText>
      </w:r>
      <w:r>
        <w:rPr>
          <w:color w:val="auto"/>
          <w:highlight w:val="none"/>
        </w:rPr>
        <w:fldChar w:fldCharType="separate"/>
      </w:r>
      <w:r>
        <w:rPr>
          <w:color w:val="auto"/>
          <w:highlight w:val="none"/>
        </w:rPr>
        <w:t>53</w:t>
      </w:r>
      <w:r>
        <w:rPr>
          <w:color w:val="auto"/>
          <w:highlight w:val="none"/>
        </w:rPr>
        <w:fldChar w:fldCharType="end"/>
      </w:r>
      <w:r>
        <w:rPr>
          <w:rFonts w:hint="eastAsia"/>
          <w:color w:val="auto"/>
          <w:highlight w:val="none"/>
        </w:rPr>
        <w:fldChar w:fldCharType="end"/>
      </w:r>
    </w:p>
    <w:p w14:paraId="425927A2">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_Toc18841 </w:instrText>
      </w:r>
      <w:r>
        <w:rPr>
          <w:rFonts w:hint="eastAsia"/>
          <w:color w:val="auto"/>
          <w:highlight w:val="none"/>
        </w:rPr>
        <w:fldChar w:fldCharType="separate"/>
      </w:r>
      <w:r>
        <w:rPr>
          <w:rFonts w:hint="eastAsia"/>
          <w:color w:val="auto"/>
          <w:highlight w:val="none"/>
          <w:lang w:val="zh-CN"/>
        </w:rPr>
        <w:t>一、评标</w:t>
      </w:r>
      <w:r>
        <w:rPr>
          <w:rFonts w:hint="eastAsia"/>
          <w:color w:val="auto"/>
          <w:highlight w:val="none"/>
        </w:rPr>
        <w:t>方</w:t>
      </w:r>
      <w:r>
        <w:rPr>
          <w:rFonts w:hint="eastAsia"/>
          <w:color w:val="auto"/>
          <w:highlight w:val="none"/>
          <w:lang w:val="zh-CN"/>
        </w:rPr>
        <w:t>法</w:t>
      </w:r>
      <w:r>
        <w:rPr>
          <w:color w:val="auto"/>
          <w:highlight w:val="none"/>
        </w:rPr>
        <w:tab/>
      </w:r>
      <w:r>
        <w:rPr>
          <w:color w:val="auto"/>
          <w:highlight w:val="none"/>
        </w:rPr>
        <w:fldChar w:fldCharType="begin"/>
      </w:r>
      <w:r>
        <w:rPr>
          <w:color w:val="auto"/>
          <w:highlight w:val="none"/>
        </w:rPr>
        <w:instrText xml:space="preserve"> PAGEREF _Toc18841 \h </w:instrText>
      </w:r>
      <w:r>
        <w:rPr>
          <w:color w:val="auto"/>
          <w:highlight w:val="none"/>
        </w:rPr>
        <w:fldChar w:fldCharType="separate"/>
      </w:r>
      <w:r>
        <w:rPr>
          <w:color w:val="auto"/>
          <w:highlight w:val="none"/>
        </w:rPr>
        <w:t>53</w:t>
      </w:r>
      <w:r>
        <w:rPr>
          <w:color w:val="auto"/>
          <w:highlight w:val="none"/>
        </w:rPr>
        <w:fldChar w:fldCharType="end"/>
      </w:r>
      <w:r>
        <w:rPr>
          <w:rFonts w:hint="eastAsia"/>
          <w:color w:val="auto"/>
          <w:highlight w:val="none"/>
        </w:rPr>
        <w:fldChar w:fldCharType="end"/>
      </w:r>
    </w:p>
    <w:p w14:paraId="60601879">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_Toc20986 </w:instrText>
      </w:r>
      <w:r>
        <w:rPr>
          <w:rFonts w:hint="eastAsia"/>
          <w:color w:val="auto"/>
          <w:highlight w:val="none"/>
        </w:rPr>
        <w:fldChar w:fldCharType="separate"/>
      </w:r>
      <w:r>
        <w:rPr>
          <w:rFonts w:hint="eastAsia"/>
          <w:color w:val="auto"/>
          <w:highlight w:val="none"/>
        </w:rPr>
        <w:t>二</w:t>
      </w:r>
      <w:r>
        <w:rPr>
          <w:rFonts w:hint="eastAsia"/>
          <w:color w:val="auto"/>
          <w:highlight w:val="none"/>
          <w:lang w:val="zh-CN"/>
        </w:rPr>
        <w:t>、评标程序</w:t>
      </w:r>
      <w:r>
        <w:rPr>
          <w:color w:val="auto"/>
          <w:highlight w:val="none"/>
        </w:rPr>
        <w:tab/>
      </w:r>
      <w:r>
        <w:rPr>
          <w:color w:val="auto"/>
          <w:highlight w:val="none"/>
        </w:rPr>
        <w:fldChar w:fldCharType="begin"/>
      </w:r>
      <w:r>
        <w:rPr>
          <w:color w:val="auto"/>
          <w:highlight w:val="none"/>
        </w:rPr>
        <w:instrText xml:space="preserve"> PAGEREF _Toc20986 \h </w:instrText>
      </w:r>
      <w:r>
        <w:rPr>
          <w:color w:val="auto"/>
          <w:highlight w:val="none"/>
        </w:rPr>
        <w:fldChar w:fldCharType="separate"/>
      </w:r>
      <w:r>
        <w:rPr>
          <w:color w:val="auto"/>
          <w:highlight w:val="none"/>
        </w:rPr>
        <w:t>53</w:t>
      </w:r>
      <w:r>
        <w:rPr>
          <w:color w:val="auto"/>
          <w:highlight w:val="none"/>
        </w:rPr>
        <w:fldChar w:fldCharType="end"/>
      </w:r>
      <w:r>
        <w:rPr>
          <w:rFonts w:hint="eastAsia"/>
          <w:color w:val="auto"/>
          <w:highlight w:val="none"/>
        </w:rPr>
        <w:fldChar w:fldCharType="end"/>
      </w:r>
    </w:p>
    <w:p w14:paraId="5DB26136">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_Toc8700 </w:instrText>
      </w:r>
      <w:r>
        <w:rPr>
          <w:rFonts w:hint="eastAsia"/>
          <w:color w:val="auto"/>
          <w:highlight w:val="none"/>
        </w:rPr>
        <w:fldChar w:fldCharType="separate"/>
      </w:r>
      <w:r>
        <w:rPr>
          <w:rFonts w:hint="eastAsia"/>
          <w:color w:val="auto"/>
          <w:highlight w:val="none"/>
          <w:lang w:val="zh-CN"/>
        </w:rPr>
        <w:t>三、评标</w:t>
      </w:r>
      <w:r>
        <w:rPr>
          <w:rFonts w:hint="eastAsia"/>
          <w:color w:val="auto"/>
          <w:highlight w:val="none"/>
        </w:rPr>
        <w:t>其他要求</w:t>
      </w:r>
      <w:r>
        <w:rPr>
          <w:color w:val="auto"/>
          <w:highlight w:val="none"/>
        </w:rPr>
        <w:tab/>
      </w:r>
      <w:r>
        <w:rPr>
          <w:color w:val="auto"/>
          <w:highlight w:val="none"/>
        </w:rPr>
        <w:fldChar w:fldCharType="begin"/>
      </w:r>
      <w:r>
        <w:rPr>
          <w:color w:val="auto"/>
          <w:highlight w:val="none"/>
        </w:rPr>
        <w:instrText xml:space="preserve"> PAGEREF _Toc8700 \h </w:instrText>
      </w:r>
      <w:r>
        <w:rPr>
          <w:color w:val="auto"/>
          <w:highlight w:val="none"/>
        </w:rPr>
        <w:fldChar w:fldCharType="separate"/>
      </w:r>
      <w:r>
        <w:rPr>
          <w:color w:val="auto"/>
          <w:highlight w:val="none"/>
        </w:rPr>
        <w:t>61</w:t>
      </w:r>
      <w:r>
        <w:rPr>
          <w:color w:val="auto"/>
          <w:highlight w:val="none"/>
        </w:rPr>
        <w:fldChar w:fldCharType="end"/>
      </w:r>
      <w:r>
        <w:rPr>
          <w:rFonts w:hint="eastAsia"/>
          <w:color w:val="auto"/>
          <w:highlight w:val="none"/>
        </w:rPr>
        <w:fldChar w:fldCharType="end"/>
      </w:r>
    </w:p>
    <w:p w14:paraId="20B908C7">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_Toc3058 </w:instrText>
      </w:r>
      <w:r>
        <w:rPr>
          <w:rFonts w:hint="eastAsia"/>
          <w:color w:val="auto"/>
          <w:highlight w:val="none"/>
        </w:rPr>
        <w:fldChar w:fldCharType="separate"/>
      </w:r>
      <w:r>
        <w:rPr>
          <w:rFonts w:hint="eastAsia"/>
          <w:color w:val="auto"/>
          <w:highlight w:val="none"/>
        </w:rPr>
        <w:t>四</w:t>
      </w:r>
      <w:r>
        <w:rPr>
          <w:rFonts w:hint="eastAsia"/>
          <w:color w:val="auto"/>
          <w:highlight w:val="none"/>
          <w:lang w:val="zh-CN"/>
        </w:rPr>
        <w:t>、评标标准</w:t>
      </w:r>
      <w:r>
        <w:rPr>
          <w:color w:val="auto"/>
          <w:highlight w:val="none"/>
        </w:rPr>
        <w:tab/>
      </w:r>
      <w:r>
        <w:rPr>
          <w:color w:val="auto"/>
          <w:highlight w:val="none"/>
        </w:rPr>
        <w:fldChar w:fldCharType="begin"/>
      </w:r>
      <w:r>
        <w:rPr>
          <w:color w:val="auto"/>
          <w:highlight w:val="none"/>
        </w:rPr>
        <w:instrText xml:space="preserve"> PAGEREF _Toc3058 \h </w:instrText>
      </w:r>
      <w:r>
        <w:rPr>
          <w:color w:val="auto"/>
          <w:highlight w:val="none"/>
        </w:rPr>
        <w:fldChar w:fldCharType="separate"/>
      </w:r>
      <w:r>
        <w:rPr>
          <w:color w:val="auto"/>
          <w:highlight w:val="none"/>
        </w:rPr>
        <w:t>61</w:t>
      </w:r>
      <w:r>
        <w:rPr>
          <w:color w:val="auto"/>
          <w:highlight w:val="none"/>
        </w:rPr>
        <w:fldChar w:fldCharType="end"/>
      </w:r>
      <w:r>
        <w:rPr>
          <w:rFonts w:hint="eastAsia"/>
          <w:color w:val="auto"/>
          <w:highlight w:val="none"/>
        </w:rPr>
        <w:fldChar w:fldCharType="end"/>
      </w:r>
    </w:p>
    <w:p w14:paraId="565043DE">
      <w:pPr>
        <w:pStyle w:val="23"/>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_Toc16332 </w:instrText>
      </w:r>
      <w:r>
        <w:rPr>
          <w:rFonts w:hint="eastAsia"/>
          <w:color w:val="auto"/>
          <w:highlight w:val="none"/>
        </w:rPr>
        <w:fldChar w:fldCharType="separate"/>
      </w:r>
      <w:r>
        <w:rPr>
          <w:rFonts w:hint="eastAsia"/>
          <w:color w:val="auto"/>
          <w:highlight w:val="none"/>
          <w:lang w:val="zh-CN"/>
        </w:rPr>
        <w:t>第六章 合同草案</w:t>
      </w:r>
      <w:r>
        <w:rPr>
          <w:color w:val="auto"/>
          <w:highlight w:val="none"/>
        </w:rPr>
        <w:tab/>
      </w:r>
      <w:r>
        <w:rPr>
          <w:color w:val="auto"/>
          <w:highlight w:val="none"/>
        </w:rPr>
        <w:fldChar w:fldCharType="begin"/>
      </w:r>
      <w:r>
        <w:rPr>
          <w:color w:val="auto"/>
          <w:highlight w:val="none"/>
        </w:rPr>
        <w:instrText xml:space="preserve"> PAGEREF _Toc16332 \h </w:instrText>
      </w:r>
      <w:r>
        <w:rPr>
          <w:color w:val="auto"/>
          <w:highlight w:val="none"/>
        </w:rPr>
        <w:fldChar w:fldCharType="separate"/>
      </w:r>
      <w:r>
        <w:rPr>
          <w:color w:val="auto"/>
          <w:highlight w:val="none"/>
        </w:rPr>
        <w:t>67</w:t>
      </w:r>
      <w:r>
        <w:rPr>
          <w:color w:val="auto"/>
          <w:highlight w:val="none"/>
        </w:rPr>
        <w:fldChar w:fldCharType="end"/>
      </w:r>
      <w:r>
        <w:rPr>
          <w:rFonts w:hint="eastAsia"/>
          <w:color w:val="auto"/>
          <w:highlight w:val="none"/>
        </w:rPr>
        <w:fldChar w:fldCharType="end"/>
      </w:r>
    </w:p>
    <w:p w14:paraId="1133B89A">
      <w:pPr>
        <w:pStyle w:val="23"/>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_Toc4092 </w:instrText>
      </w:r>
      <w:r>
        <w:rPr>
          <w:rFonts w:hint="eastAsia"/>
          <w:color w:val="auto"/>
          <w:highlight w:val="none"/>
        </w:rPr>
        <w:fldChar w:fldCharType="separate"/>
      </w:r>
      <w:r>
        <w:rPr>
          <w:rFonts w:hint="eastAsia"/>
          <w:color w:val="auto"/>
          <w:highlight w:val="none"/>
        </w:rPr>
        <w:t>第七章 投标文件格式</w:t>
      </w:r>
      <w:r>
        <w:rPr>
          <w:color w:val="auto"/>
          <w:highlight w:val="none"/>
        </w:rPr>
        <w:tab/>
      </w:r>
      <w:r>
        <w:rPr>
          <w:color w:val="auto"/>
          <w:highlight w:val="none"/>
        </w:rPr>
        <w:fldChar w:fldCharType="begin"/>
      </w:r>
      <w:r>
        <w:rPr>
          <w:color w:val="auto"/>
          <w:highlight w:val="none"/>
        </w:rPr>
        <w:instrText xml:space="preserve"> PAGEREF _Toc4092 \h </w:instrText>
      </w:r>
      <w:r>
        <w:rPr>
          <w:color w:val="auto"/>
          <w:highlight w:val="none"/>
        </w:rPr>
        <w:fldChar w:fldCharType="separate"/>
      </w:r>
      <w:r>
        <w:rPr>
          <w:color w:val="auto"/>
          <w:highlight w:val="none"/>
        </w:rPr>
        <w:t>67</w:t>
      </w:r>
      <w:r>
        <w:rPr>
          <w:color w:val="auto"/>
          <w:highlight w:val="none"/>
        </w:rPr>
        <w:fldChar w:fldCharType="end"/>
      </w:r>
      <w:r>
        <w:rPr>
          <w:rFonts w:hint="eastAsia"/>
          <w:color w:val="auto"/>
          <w:highlight w:val="none"/>
        </w:rPr>
        <w:fldChar w:fldCharType="end"/>
      </w:r>
    </w:p>
    <w:p w14:paraId="5F1EE6F8">
      <w:pPr>
        <w:pStyle w:val="23"/>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_Toc22883 </w:instrText>
      </w:r>
      <w:r>
        <w:rPr>
          <w:rFonts w:hint="eastAsia"/>
          <w:color w:val="auto"/>
          <w:highlight w:val="none"/>
        </w:rPr>
        <w:fldChar w:fldCharType="separate"/>
      </w:r>
      <w:r>
        <w:rPr>
          <w:rFonts w:hint="eastAsia"/>
          <w:color w:val="auto"/>
          <w:highlight w:val="none"/>
        </w:rPr>
        <w:t>投 标 文 件</w:t>
      </w:r>
      <w:r>
        <w:rPr>
          <w:color w:val="auto"/>
          <w:highlight w:val="none"/>
        </w:rPr>
        <w:tab/>
      </w:r>
      <w:r>
        <w:rPr>
          <w:color w:val="auto"/>
          <w:highlight w:val="none"/>
        </w:rPr>
        <w:fldChar w:fldCharType="begin"/>
      </w:r>
      <w:r>
        <w:rPr>
          <w:color w:val="auto"/>
          <w:highlight w:val="none"/>
        </w:rPr>
        <w:instrText xml:space="preserve"> PAGEREF _Toc22883 \h </w:instrText>
      </w:r>
      <w:r>
        <w:rPr>
          <w:color w:val="auto"/>
          <w:highlight w:val="none"/>
        </w:rPr>
        <w:fldChar w:fldCharType="separate"/>
      </w:r>
      <w:r>
        <w:rPr>
          <w:color w:val="auto"/>
          <w:highlight w:val="none"/>
        </w:rPr>
        <w:t>82</w:t>
      </w:r>
      <w:r>
        <w:rPr>
          <w:color w:val="auto"/>
          <w:highlight w:val="none"/>
        </w:rPr>
        <w:fldChar w:fldCharType="end"/>
      </w:r>
      <w:r>
        <w:rPr>
          <w:rFonts w:hint="eastAsia"/>
          <w:color w:val="auto"/>
          <w:highlight w:val="none"/>
        </w:rPr>
        <w:fldChar w:fldCharType="end"/>
      </w:r>
    </w:p>
    <w:p w14:paraId="71634D3C">
      <w:pPr>
        <w:pStyle w:val="23"/>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_Toc6071 </w:instrText>
      </w:r>
      <w:r>
        <w:rPr>
          <w:rFonts w:hint="eastAsia"/>
          <w:color w:val="auto"/>
          <w:highlight w:val="none"/>
        </w:rPr>
        <w:fldChar w:fldCharType="separate"/>
      </w:r>
      <w:r>
        <w:rPr>
          <w:rFonts w:hint="eastAsia"/>
          <w:color w:val="auto"/>
          <w:highlight w:val="none"/>
        </w:rPr>
        <w:t>资格证明文件</w:t>
      </w:r>
      <w:r>
        <w:rPr>
          <w:color w:val="auto"/>
          <w:highlight w:val="none"/>
        </w:rPr>
        <w:tab/>
      </w:r>
      <w:r>
        <w:rPr>
          <w:color w:val="auto"/>
          <w:highlight w:val="none"/>
        </w:rPr>
        <w:fldChar w:fldCharType="begin"/>
      </w:r>
      <w:r>
        <w:rPr>
          <w:color w:val="auto"/>
          <w:highlight w:val="none"/>
        </w:rPr>
        <w:instrText xml:space="preserve"> PAGEREF _Toc6071 \h </w:instrText>
      </w:r>
      <w:r>
        <w:rPr>
          <w:color w:val="auto"/>
          <w:highlight w:val="none"/>
        </w:rPr>
        <w:fldChar w:fldCharType="separate"/>
      </w:r>
      <w:r>
        <w:rPr>
          <w:color w:val="auto"/>
          <w:highlight w:val="none"/>
        </w:rPr>
        <w:t>82</w:t>
      </w:r>
      <w:r>
        <w:rPr>
          <w:color w:val="auto"/>
          <w:highlight w:val="none"/>
        </w:rPr>
        <w:fldChar w:fldCharType="end"/>
      </w:r>
      <w:r>
        <w:rPr>
          <w:rFonts w:hint="eastAsia"/>
          <w:color w:val="auto"/>
          <w:highlight w:val="none"/>
        </w:rPr>
        <w:fldChar w:fldCharType="end"/>
      </w:r>
    </w:p>
    <w:p w14:paraId="52204D62">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_Toc29646 </w:instrText>
      </w:r>
      <w:r>
        <w:rPr>
          <w:rFonts w:hint="eastAsia"/>
          <w:color w:val="auto"/>
          <w:highlight w:val="none"/>
        </w:rPr>
        <w:fldChar w:fldCharType="separate"/>
      </w:r>
      <w:r>
        <w:rPr>
          <w:rFonts w:hint="eastAsia"/>
          <w:color w:val="auto"/>
          <w:highlight w:val="none"/>
        </w:rPr>
        <w:t>一、满足《中华人民共和国政府采购法》第二十二条规定</w:t>
      </w:r>
      <w:r>
        <w:rPr>
          <w:color w:val="auto"/>
          <w:highlight w:val="none"/>
        </w:rPr>
        <w:tab/>
      </w:r>
      <w:r>
        <w:rPr>
          <w:color w:val="auto"/>
          <w:highlight w:val="none"/>
        </w:rPr>
        <w:fldChar w:fldCharType="begin"/>
      </w:r>
      <w:r>
        <w:rPr>
          <w:color w:val="auto"/>
          <w:highlight w:val="none"/>
        </w:rPr>
        <w:instrText xml:space="preserve"> PAGEREF _Toc29646 \h </w:instrText>
      </w:r>
      <w:r>
        <w:rPr>
          <w:color w:val="auto"/>
          <w:highlight w:val="none"/>
        </w:rPr>
        <w:fldChar w:fldCharType="separate"/>
      </w:r>
      <w:r>
        <w:rPr>
          <w:color w:val="auto"/>
          <w:highlight w:val="none"/>
        </w:rPr>
        <w:t>83</w:t>
      </w:r>
      <w:r>
        <w:rPr>
          <w:color w:val="auto"/>
          <w:highlight w:val="none"/>
        </w:rPr>
        <w:fldChar w:fldCharType="end"/>
      </w:r>
      <w:r>
        <w:rPr>
          <w:rFonts w:hint="eastAsia"/>
          <w:color w:val="auto"/>
          <w:highlight w:val="none"/>
        </w:rPr>
        <w:fldChar w:fldCharType="end"/>
      </w:r>
    </w:p>
    <w:p w14:paraId="147C95C1">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_Toc9795 </w:instrText>
      </w:r>
      <w:r>
        <w:rPr>
          <w:rFonts w:hint="eastAsia"/>
          <w:color w:val="auto"/>
          <w:highlight w:val="none"/>
        </w:rPr>
        <w:fldChar w:fldCharType="separate"/>
      </w:r>
      <w:r>
        <w:rPr>
          <w:rFonts w:hint="eastAsia"/>
          <w:color w:val="auto"/>
          <w:highlight w:val="none"/>
        </w:rPr>
        <w:t>二、</w:t>
      </w:r>
      <w:r>
        <w:rPr>
          <w:rFonts w:hint="eastAsia"/>
          <w:color w:val="auto"/>
          <w:highlight w:val="none"/>
          <w:lang w:val="zh-CN"/>
        </w:rPr>
        <w:t>联合体协议书【</w:t>
      </w:r>
      <w:r>
        <w:rPr>
          <w:rFonts w:hint="eastAsia"/>
          <w:color w:val="auto"/>
          <w:highlight w:val="none"/>
        </w:rPr>
        <w:t>不适用可不提供</w:t>
      </w:r>
      <w:r>
        <w:rPr>
          <w:rFonts w:hint="eastAsia"/>
          <w:color w:val="auto"/>
          <w:highlight w:val="none"/>
          <w:lang w:val="zh-CN"/>
        </w:rPr>
        <w:t>】</w:t>
      </w:r>
      <w:r>
        <w:rPr>
          <w:color w:val="auto"/>
          <w:highlight w:val="none"/>
        </w:rPr>
        <w:tab/>
      </w:r>
      <w:r>
        <w:rPr>
          <w:color w:val="auto"/>
          <w:highlight w:val="none"/>
        </w:rPr>
        <w:fldChar w:fldCharType="begin"/>
      </w:r>
      <w:r>
        <w:rPr>
          <w:color w:val="auto"/>
          <w:highlight w:val="none"/>
        </w:rPr>
        <w:instrText xml:space="preserve"> PAGEREF _Toc9795 \h </w:instrText>
      </w:r>
      <w:r>
        <w:rPr>
          <w:color w:val="auto"/>
          <w:highlight w:val="none"/>
        </w:rPr>
        <w:fldChar w:fldCharType="separate"/>
      </w:r>
      <w:r>
        <w:rPr>
          <w:color w:val="auto"/>
          <w:highlight w:val="none"/>
        </w:rPr>
        <w:t>- 90 -</w:t>
      </w:r>
      <w:r>
        <w:rPr>
          <w:color w:val="auto"/>
          <w:highlight w:val="none"/>
        </w:rPr>
        <w:fldChar w:fldCharType="end"/>
      </w:r>
      <w:r>
        <w:rPr>
          <w:rFonts w:hint="eastAsia"/>
          <w:color w:val="auto"/>
          <w:highlight w:val="none"/>
        </w:rPr>
        <w:fldChar w:fldCharType="end"/>
      </w:r>
    </w:p>
    <w:p w14:paraId="364B344B">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_Toc22249 </w:instrText>
      </w:r>
      <w:r>
        <w:rPr>
          <w:rFonts w:hint="eastAsia"/>
          <w:color w:val="auto"/>
          <w:highlight w:val="none"/>
        </w:rPr>
        <w:fldChar w:fldCharType="separate"/>
      </w:r>
      <w:r>
        <w:rPr>
          <w:rFonts w:hint="eastAsia"/>
          <w:color w:val="auto"/>
          <w:highlight w:val="none"/>
        </w:rPr>
        <w:t>三、</w:t>
      </w:r>
      <w:r>
        <w:rPr>
          <w:rFonts w:hint="eastAsia"/>
          <w:color w:val="auto"/>
          <w:highlight w:val="none"/>
          <w:lang w:val="zh-CN"/>
        </w:rPr>
        <w:t>分包意向协议书【</w:t>
      </w:r>
      <w:r>
        <w:rPr>
          <w:rFonts w:hint="eastAsia"/>
          <w:color w:val="auto"/>
          <w:highlight w:val="none"/>
        </w:rPr>
        <w:t>不适用可不提供</w:t>
      </w:r>
      <w:r>
        <w:rPr>
          <w:rFonts w:hint="eastAsia"/>
          <w:color w:val="auto"/>
          <w:highlight w:val="none"/>
          <w:lang w:val="zh-CN"/>
        </w:rPr>
        <w:t>】</w:t>
      </w:r>
      <w:r>
        <w:rPr>
          <w:color w:val="auto"/>
          <w:highlight w:val="none"/>
        </w:rPr>
        <w:tab/>
      </w:r>
      <w:r>
        <w:rPr>
          <w:color w:val="auto"/>
          <w:highlight w:val="none"/>
        </w:rPr>
        <w:fldChar w:fldCharType="begin"/>
      </w:r>
      <w:r>
        <w:rPr>
          <w:color w:val="auto"/>
          <w:highlight w:val="none"/>
        </w:rPr>
        <w:instrText xml:space="preserve"> PAGEREF _Toc22249 \h </w:instrText>
      </w:r>
      <w:r>
        <w:rPr>
          <w:color w:val="auto"/>
          <w:highlight w:val="none"/>
        </w:rPr>
        <w:fldChar w:fldCharType="separate"/>
      </w:r>
      <w:r>
        <w:rPr>
          <w:color w:val="auto"/>
          <w:highlight w:val="none"/>
        </w:rPr>
        <w:t>- 92 -</w:t>
      </w:r>
      <w:r>
        <w:rPr>
          <w:color w:val="auto"/>
          <w:highlight w:val="none"/>
        </w:rPr>
        <w:fldChar w:fldCharType="end"/>
      </w:r>
      <w:r>
        <w:rPr>
          <w:rFonts w:hint="eastAsia"/>
          <w:color w:val="auto"/>
          <w:highlight w:val="none"/>
        </w:rPr>
        <w:fldChar w:fldCharType="end"/>
      </w:r>
    </w:p>
    <w:p w14:paraId="1986798F">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_Toc22618 </w:instrText>
      </w:r>
      <w:r>
        <w:rPr>
          <w:rFonts w:hint="eastAsia"/>
          <w:color w:val="auto"/>
          <w:highlight w:val="none"/>
        </w:rPr>
        <w:fldChar w:fldCharType="separate"/>
      </w:r>
      <w:r>
        <w:rPr>
          <w:rFonts w:hint="eastAsia"/>
          <w:color w:val="auto"/>
          <w:highlight w:val="none"/>
        </w:rPr>
        <w:t>四、落实政府采购政策相关证明文件</w:t>
      </w:r>
      <w:r>
        <w:rPr>
          <w:color w:val="auto"/>
          <w:highlight w:val="none"/>
        </w:rPr>
        <w:tab/>
      </w:r>
      <w:r>
        <w:rPr>
          <w:color w:val="auto"/>
          <w:highlight w:val="none"/>
        </w:rPr>
        <w:fldChar w:fldCharType="begin"/>
      </w:r>
      <w:r>
        <w:rPr>
          <w:color w:val="auto"/>
          <w:highlight w:val="none"/>
        </w:rPr>
        <w:instrText xml:space="preserve"> PAGEREF _Toc22618 \h </w:instrText>
      </w:r>
      <w:r>
        <w:rPr>
          <w:color w:val="auto"/>
          <w:highlight w:val="none"/>
        </w:rPr>
        <w:fldChar w:fldCharType="separate"/>
      </w:r>
      <w:r>
        <w:rPr>
          <w:color w:val="auto"/>
          <w:highlight w:val="none"/>
        </w:rPr>
        <w:t>- 94 -</w:t>
      </w:r>
      <w:r>
        <w:rPr>
          <w:color w:val="auto"/>
          <w:highlight w:val="none"/>
        </w:rPr>
        <w:fldChar w:fldCharType="end"/>
      </w:r>
      <w:r>
        <w:rPr>
          <w:rFonts w:hint="eastAsia"/>
          <w:color w:val="auto"/>
          <w:highlight w:val="none"/>
        </w:rPr>
        <w:fldChar w:fldCharType="end"/>
      </w:r>
    </w:p>
    <w:p w14:paraId="4287F374">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_Toc6028 </w:instrText>
      </w:r>
      <w:r>
        <w:rPr>
          <w:rFonts w:hint="eastAsia"/>
          <w:color w:val="auto"/>
          <w:highlight w:val="none"/>
        </w:rPr>
        <w:fldChar w:fldCharType="separate"/>
      </w:r>
      <w:r>
        <w:rPr>
          <w:rFonts w:hint="eastAsia"/>
          <w:color w:val="auto"/>
          <w:highlight w:val="none"/>
        </w:rPr>
        <w:t>五、不参与围标串标承诺书</w:t>
      </w:r>
      <w:r>
        <w:rPr>
          <w:color w:val="auto"/>
          <w:highlight w:val="none"/>
        </w:rPr>
        <w:tab/>
      </w:r>
      <w:r>
        <w:rPr>
          <w:color w:val="auto"/>
          <w:highlight w:val="none"/>
        </w:rPr>
        <w:fldChar w:fldCharType="begin"/>
      </w:r>
      <w:r>
        <w:rPr>
          <w:color w:val="auto"/>
          <w:highlight w:val="none"/>
        </w:rPr>
        <w:instrText xml:space="preserve"> PAGEREF _Toc6028 \h </w:instrText>
      </w:r>
      <w:r>
        <w:rPr>
          <w:color w:val="auto"/>
          <w:highlight w:val="none"/>
        </w:rPr>
        <w:fldChar w:fldCharType="separate"/>
      </w:r>
      <w:r>
        <w:rPr>
          <w:color w:val="auto"/>
          <w:highlight w:val="none"/>
        </w:rPr>
        <w:t>- 105 -</w:t>
      </w:r>
      <w:r>
        <w:rPr>
          <w:color w:val="auto"/>
          <w:highlight w:val="none"/>
        </w:rPr>
        <w:fldChar w:fldCharType="end"/>
      </w:r>
      <w:r>
        <w:rPr>
          <w:rFonts w:hint="eastAsia"/>
          <w:color w:val="auto"/>
          <w:highlight w:val="none"/>
        </w:rPr>
        <w:fldChar w:fldCharType="end"/>
      </w:r>
    </w:p>
    <w:p w14:paraId="1F722683">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_Toc22101 </w:instrText>
      </w:r>
      <w:r>
        <w:rPr>
          <w:rFonts w:hint="eastAsia"/>
          <w:color w:val="auto"/>
          <w:highlight w:val="none"/>
        </w:rPr>
        <w:fldChar w:fldCharType="separate"/>
      </w:r>
      <w:r>
        <w:rPr>
          <w:rFonts w:hint="eastAsia"/>
          <w:color w:val="auto"/>
          <w:highlight w:val="none"/>
        </w:rPr>
        <w:t>六、</w:t>
      </w:r>
      <w:r>
        <w:rPr>
          <w:rFonts w:hint="eastAsia"/>
          <w:color w:val="auto"/>
          <w:highlight w:val="none"/>
          <w:lang w:val="zh-CN"/>
        </w:rPr>
        <w:t>其他资格证明文件</w:t>
      </w:r>
      <w:r>
        <w:rPr>
          <w:color w:val="auto"/>
          <w:highlight w:val="none"/>
        </w:rPr>
        <w:tab/>
      </w:r>
      <w:r>
        <w:rPr>
          <w:color w:val="auto"/>
          <w:highlight w:val="none"/>
        </w:rPr>
        <w:fldChar w:fldCharType="begin"/>
      </w:r>
      <w:r>
        <w:rPr>
          <w:color w:val="auto"/>
          <w:highlight w:val="none"/>
        </w:rPr>
        <w:instrText xml:space="preserve"> PAGEREF _Toc22101 \h </w:instrText>
      </w:r>
      <w:r>
        <w:rPr>
          <w:color w:val="auto"/>
          <w:highlight w:val="none"/>
        </w:rPr>
        <w:fldChar w:fldCharType="separate"/>
      </w:r>
      <w:r>
        <w:rPr>
          <w:color w:val="auto"/>
          <w:highlight w:val="none"/>
        </w:rPr>
        <w:t>- 107 -</w:t>
      </w:r>
      <w:r>
        <w:rPr>
          <w:color w:val="auto"/>
          <w:highlight w:val="none"/>
        </w:rPr>
        <w:fldChar w:fldCharType="end"/>
      </w:r>
      <w:r>
        <w:rPr>
          <w:rFonts w:hint="eastAsia"/>
          <w:color w:val="auto"/>
          <w:highlight w:val="none"/>
        </w:rPr>
        <w:fldChar w:fldCharType="end"/>
      </w:r>
    </w:p>
    <w:p w14:paraId="49F5BC15">
      <w:pPr>
        <w:pStyle w:val="23"/>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_Toc4103 </w:instrText>
      </w:r>
      <w:r>
        <w:rPr>
          <w:rFonts w:hint="eastAsia"/>
          <w:color w:val="auto"/>
          <w:highlight w:val="none"/>
        </w:rPr>
        <w:fldChar w:fldCharType="separate"/>
      </w:r>
      <w:r>
        <w:rPr>
          <w:rFonts w:hint="eastAsia"/>
          <w:color w:val="auto"/>
          <w:highlight w:val="none"/>
        </w:rPr>
        <w:t>投 标 文 件</w:t>
      </w:r>
      <w:r>
        <w:rPr>
          <w:color w:val="auto"/>
          <w:highlight w:val="none"/>
        </w:rPr>
        <w:tab/>
      </w:r>
      <w:r>
        <w:rPr>
          <w:color w:val="auto"/>
          <w:highlight w:val="none"/>
        </w:rPr>
        <w:fldChar w:fldCharType="begin"/>
      </w:r>
      <w:r>
        <w:rPr>
          <w:color w:val="auto"/>
          <w:highlight w:val="none"/>
        </w:rPr>
        <w:instrText xml:space="preserve"> PAGEREF _Toc4103 \h </w:instrText>
      </w:r>
      <w:r>
        <w:rPr>
          <w:color w:val="auto"/>
          <w:highlight w:val="none"/>
        </w:rPr>
        <w:fldChar w:fldCharType="separate"/>
      </w:r>
      <w:r>
        <w:rPr>
          <w:color w:val="auto"/>
          <w:highlight w:val="none"/>
        </w:rPr>
        <w:t>- 108 -</w:t>
      </w:r>
      <w:r>
        <w:rPr>
          <w:color w:val="auto"/>
          <w:highlight w:val="none"/>
        </w:rPr>
        <w:fldChar w:fldCharType="end"/>
      </w:r>
      <w:r>
        <w:rPr>
          <w:rFonts w:hint="eastAsia"/>
          <w:color w:val="auto"/>
          <w:highlight w:val="none"/>
        </w:rPr>
        <w:fldChar w:fldCharType="end"/>
      </w:r>
    </w:p>
    <w:p w14:paraId="0300DA8A">
      <w:pPr>
        <w:pStyle w:val="23"/>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_Toc32571 </w:instrText>
      </w:r>
      <w:r>
        <w:rPr>
          <w:rFonts w:hint="eastAsia"/>
          <w:color w:val="auto"/>
          <w:highlight w:val="none"/>
        </w:rPr>
        <w:fldChar w:fldCharType="separate"/>
      </w:r>
      <w:r>
        <w:rPr>
          <w:rFonts w:hint="eastAsia"/>
          <w:color w:val="auto"/>
          <w:highlight w:val="none"/>
        </w:rPr>
        <w:t>报价文件</w:t>
      </w:r>
      <w:r>
        <w:rPr>
          <w:color w:val="auto"/>
          <w:highlight w:val="none"/>
        </w:rPr>
        <w:tab/>
      </w:r>
      <w:r>
        <w:rPr>
          <w:color w:val="auto"/>
          <w:highlight w:val="none"/>
        </w:rPr>
        <w:fldChar w:fldCharType="begin"/>
      </w:r>
      <w:r>
        <w:rPr>
          <w:color w:val="auto"/>
          <w:highlight w:val="none"/>
        </w:rPr>
        <w:instrText xml:space="preserve"> PAGEREF _Toc32571 \h </w:instrText>
      </w:r>
      <w:r>
        <w:rPr>
          <w:color w:val="auto"/>
          <w:highlight w:val="none"/>
        </w:rPr>
        <w:fldChar w:fldCharType="separate"/>
      </w:r>
      <w:r>
        <w:rPr>
          <w:color w:val="auto"/>
          <w:highlight w:val="none"/>
        </w:rPr>
        <w:t>- 108 -</w:t>
      </w:r>
      <w:r>
        <w:rPr>
          <w:color w:val="auto"/>
          <w:highlight w:val="none"/>
        </w:rPr>
        <w:fldChar w:fldCharType="end"/>
      </w:r>
      <w:r>
        <w:rPr>
          <w:rFonts w:hint="eastAsia"/>
          <w:color w:val="auto"/>
          <w:highlight w:val="none"/>
        </w:rPr>
        <w:fldChar w:fldCharType="end"/>
      </w:r>
    </w:p>
    <w:p w14:paraId="0FF9AA08">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_Toc8563 </w:instrText>
      </w:r>
      <w:r>
        <w:rPr>
          <w:rFonts w:hint="eastAsia"/>
          <w:color w:val="auto"/>
          <w:highlight w:val="none"/>
        </w:rPr>
        <w:fldChar w:fldCharType="separate"/>
      </w:r>
      <w:r>
        <w:rPr>
          <w:rFonts w:hint="eastAsia"/>
          <w:color w:val="auto"/>
          <w:highlight w:val="none"/>
        </w:rPr>
        <w:t>一、开标一览表</w:t>
      </w:r>
      <w:r>
        <w:rPr>
          <w:color w:val="auto"/>
          <w:highlight w:val="none"/>
        </w:rPr>
        <w:tab/>
      </w:r>
      <w:r>
        <w:rPr>
          <w:color w:val="auto"/>
          <w:highlight w:val="none"/>
        </w:rPr>
        <w:fldChar w:fldCharType="begin"/>
      </w:r>
      <w:r>
        <w:rPr>
          <w:color w:val="auto"/>
          <w:highlight w:val="none"/>
        </w:rPr>
        <w:instrText xml:space="preserve"> PAGEREF _Toc8563 \h </w:instrText>
      </w:r>
      <w:r>
        <w:rPr>
          <w:color w:val="auto"/>
          <w:highlight w:val="none"/>
        </w:rPr>
        <w:fldChar w:fldCharType="separate"/>
      </w:r>
      <w:r>
        <w:rPr>
          <w:color w:val="auto"/>
          <w:highlight w:val="none"/>
        </w:rPr>
        <w:t>- 109 -</w:t>
      </w:r>
      <w:r>
        <w:rPr>
          <w:color w:val="auto"/>
          <w:highlight w:val="none"/>
        </w:rPr>
        <w:fldChar w:fldCharType="end"/>
      </w:r>
      <w:r>
        <w:rPr>
          <w:rFonts w:hint="eastAsia"/>
          <w:color w:val="auto"/>
          <w:highlight w:val="none"/>
        </w:rPr>
        <w:fldChar w:fldCharType="end"/>
      </w:r>
    </w:p>
    <w:p w14:paraId="2D27F63A">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_Toc23873 </w:instrText>
      </w:r>
      <w:r>
        <w:rPr>
          <w:rFonts w:hint="eastAsia"/>
          <w:color w:val="auto"/>
          <w:highlight w:val="none"/>
        </w:rPr>
        <w:fldChar w:fldCharType="separate"/>
      </w:r>
      <w:r>
        <w:rPr>
          <w:rFonts w:hint="eastAsia"/>
          <w:color w:val="auto"/>
          <w:highlight w:val="none"/>
        </w:rPr>
        <w:t>二、分项报价表</w:t>
      </w:r>
      <w:r>
        <w:rPr>
          <w:color w:val="auto"/>
          <w:highlight w:val="none"/>
        </w:rPr>
        <w:tab/>
      </w:r>
      <w:r>
        <w:rPr>
          <w:color w:val="auto"/>
          <w:highlight w:val="none"/>
        </w:rPr>
        <w:fldChar w:fldCharType="begin"/>
      </w:r>
      <w:r>
        <w:rPr>
          <w:color w:val="auto"/>
          <w:highlight w:val="none"/>
        </w:rPr>
        <w:instrText xml:space="preserve"> PAGEREF _Toc23873 \h </w:instrText>
      </w:r>
      <w:r>
        <w:rPr>
          <w:color w:val="auto"/>
          <w:highlight w:val="none"/>
        </w:rPr>
        <w:fldChar w:fldCharType="separate"/>
      </w:r>
      <w:r>
        <w:rPr>
          <w:color w:val="auto"/>
          <w:highlight w:val="none"/>
        </w:rPr>
        <w:t>- 110 -</w:t>
      </w:r>
      <w:r>
        <w:rPr>
          <w:color w:val="auto"/>
          <w:highlight w:val="none"/>
        </w:rPr>
        <w:fldChar w:fldCharType="end"/>
      </w:r>
      <w:r>
        <w:rPr>
          <w:rFonts w:hint="eastAsia"/>
          <w:color w:val="auto"/>
          <w:highlight w:val="none"/>
        </w:rPr>
        <w:fldChar w:fldCharType="end"/>
      </w:r>
    </w:p>
    <w:p w14:paraId="44BE8488">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_Toc11433 </w:instrText>
      </w:r>
      <w:r>
        <w:rPr>
          <w:rFonts w:hint="eastAsia"/>
          <w:color w:val="auto"/>
          <w:highlight w:val="none"/>
        </w:rPr>
        <w:fldChar w:fldCharType="separate"/>
      </w:r>
      <w:r>
        <w:rPr>
          <w:rFonts w:hint="eastAsia"/>
          <w:color w:val="auto"/>
          <w:highlight w:val="none"/>
        </w:rPr>
        <w:t>三、关于符合本国产品标准的声明函或财政部规定的其他证明文件</w:t>
      </w:r>
      <w:r>
        <w:rPr>
          <w:color w:val="auto"/>
          <w:highlight w:val="none"/>
        </w:rPr>
        <w:tab/>
      </w:r>
      <w:r>
        <w:rPr>
          <w:color w:val="auto"/>
          <w:highlight w:val="none"/>
        </w:rPr>
        <w:fldChar w:fldCharType="begin"/>
      </w:r>
      <w:r>
        <w:rPr>
          <w:color w:val="auto"/>
          <w:highlight w:val="none"/>
        </w:rPr>
        <w:instrText xml:space="preserve"> PAGEREF _Toc11433 \h </w:instrText>
      </w:r>
      <w:r>
        <w:rPr>
          <w:color w:val="auto"/>
          <w:highlight w:val="none"/>
        </w:rPr>
        <w:fldChar w:fldCharType="separate"/>
      </w:r>
      <w:r>
        <w:rPr>
          <w:color w:val="auto"/>
          <w:highlight w:val="none"/>
        </w:rPr>
        <w:t>- 112 -</w:t>
      </w:r>
      <w:r>
        <w:rPr>
          <w:color w:val="auto"/>
          <w:highlight w:val="none"/>
        </w:rPr>
        <w:fldChar w:fldCharType="end"/>
      </w:r>
      <w:r>
        <w:rPr>
          <w:rFonts w:hint="eastAsia"/>
          <w:color w:val="auto"/>
          <w:highlight w:val="none"/>
        </w:rPr>
        <w:fldChar w:fldCharType="end"/>
      </w:r>
    </w:p>
    <w:p w14:paraId="5D0298B5">
      <w:pPr>
        <w:pStyle w:val="23"/>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_Toc14188 </w:instrText>
      </w:r>
      <w:r>
        <w:rPr>
          <w:rFonts w:hint="eastAsia"/>
          <w:color w:val="auto"/>
          <w:highlight w:val="none"/>
        </w:rPr>
        <w:fldChar w:fldCharType="separate"/>
      </w:r>
      <w:r>
        <w:rPr>
          <w:rFonts w:hint="eastAsia"/>
          <w:color w:val="auto"/>
          <w:highlight w:val="none"/>
        </w:rPr>
        <w:t>投 标 文 件</w:t>
      </w:r>
      <w:r>
        <w:rPr>
          <w:color w:val="auto"/>
          <w:highlight w:val="none"/>
        </w:rPr>
        <w:tab/>
      </w:r>
      <w:r>
        <w:rPr>
          <w:color w:val="auto"/>
          <w:highlight w:val="none"/>
        </w:rPr>
        <w:fldChar w:fldCharType="begin"/>
      </w:r>
      <w:r>
        <w:rPr>
          <w:color w:val="auto"/>
          <w:highlight w:val="none"/>
        </w:rPr>
        <w:instrText xml:space="preserve"> PAGEREF _Toc14188 \h </w:instrText>
      </w:r>
      <w:r>
        <w:rPr>
          <w:color w:val="auto"/>
          <w:highlight w:val="none"/>
        </w:rPr>
        <w:fldChar w:fldCharType="separate"/>
      </w:r>
      <w:r>
        <w:rPr>
          <w:color w:val="auto"/>
          <w:highlight w:val="none"/>
        </w:rPr>
        <w:t>- 114 -</w:t>
      </w:r>
      <w:r>
        <w:rPr>
          <w:color w:val="auto"/>
          <w:highlight w:val="none"/>
        </w:rPr>
        <w:fldChar w:fldCharType="end"/>
      </w:r>
      <w:r>
        <w:rPr>
          <w:rFonts w:hint="eastAsia"/>
          <w:color w:val="auto"/>
          <w:highlight w:val="none"/>
        </w:rPr>
        <w:fldChar w:fldCharType="end"/>
      </w:r>
    </w:p>
    <w:p w14:paraId="73B5F09A">
      <w:pPr>
        <w:pStyle w:val="23"/>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_Toc26592 </w:instrText>
      </w:r>
      <w:r>
        <w:rPr>
          <w:rFonts w:hint="eastAsia"/>
          <w:color w:val="auto"/>
          <w:highlight w:val="none"/>
        </w:rPr>
        <w:fldChar w:fldCharType="separate"/>
      </w:r>
      <w:r>
        <w:rPr>
          <w:rFonts w:hint="eastAsia"/>
          <w:color w:val="auto"/>
          <w:highlight w:val="none"/>
        </w:rPr>
        <w:t>商务技术文件</w:t>
      </w:r>
      <w:r>
        <w:rPr>
          <w:color w:val="auto"/>
          <w:highlight w:val="none"/>
        </w:rPr>
        <w:tab/>
      </w:r>
      <w:r>
        <w:rPr>
          <w:color w:val="auto"/>
          <w:highlight w:val="none"/>
        </w:rPr>
        <w:fldChar w:fldCharType="begin"/>
      </w:r>
      <w:r>
        <w:rPr>
          <w:color w:val="auto"/>
          <w:highlight w:val="none"/>
        </w:rPr>
        <w:instrText xml:space="preserve"> PAGEREF _Toc26592 \h </w:instrText>
      </w:r>
      <w:r>
        <w:rPr>
          <w:color w:val="auto"/>
          <w:highlight w:val="none"/>
        </w:rPr>
        <w:fldChar w:fldCharType="separate"/>
      </w:r>
      <w:r>
        <w:rPr>
          <w:color w:val="auto"/>
          <w:highlight w:val="none"/>
        </w:rPr>
        <w:t>- 114 -</w:t>
      </w:r>
      <w:r>
        <w:rPr>
          <w:color w:val="auto"/>
          <w:highlight w:val="none"/>
        </w:rPr>
        <w:fldChar w:fldCharType="end"/>
      </w:r>
      <w:r>
        <w:rPr>
          <w:rFonts w:hint="eastAsia"/>
          <w:color w:val="auto"/>
          <w:highlight w:val="none"/>
        </w:rPr>
        <w:fldChar w:fldCharType="end"/>
      </w:r>
    </w:p>
    <w:p w14:paraId="0F6F428F">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_Toc28987 </w:instrText>
      </w:r>
      <w:r>
        <w:rPr>
          <w:rFonts w:hint="eastAsia"/>
          <w:color w:val="auto"/>
          <w:highlight w:val="none"/>
        </w:rPr>
        <w:fldChar w:fldCharType="separate"/>
      </w:r>
      <w:r>
        <w:rPr>
          <w:rFonts w:hint="eastAsia"/>
          <w:color w:val="auto"/>
          <w:highlight w:val="none"/>
        </w:rPr>
        <w:t>一、投标函</w:t>
      </w:r>
      <w:r>
        <w:rPr>
          <w:color w:val="auto"/>
          <w:highlight w:val="none"/>
        </w:rPr>
        <w:tab/>
      </w:r>
      <w:r>
        <w:rPr>
          <w:color w:val="auto"/>
          <w:highlight w:val="none"/>
        </w:rPr>
        <w:fldChar w:fldCharType="begin"/>
      </w:r>
      <w:r>
        <w:rPr>
          <w:color w:val="auto"/>
          <w:highlight w:val="none"/>
        </w:rPr>
        <w:instrText xml:space="preserve"> PAGEREF _Toc28987 \h </w:instrText>
      </w:r>
      <w:r>
        <w:rPr>
          <w:color w:val="auto"/>
          <w:highlight w:val="none"/>
        </w:rPr>
        <w:fldChar w:fldCharType="separate"/>
      </w:r>
      <w:r>
        <w:rPr>
          <w:color w:val="auto"/>
          <w:highlight w:val="none"/>
        </w:rPr>
        <w:t>- 115 -</w:t>
      </w:r>
      <w:r>
        <w:rPr>
          <w:color w:val="auto"/>
          <w:highlight w:val="none"/>
        </w:rPr>
        <w:fldChar w:fldCharType="end"/>
      </w:r>
      <w:r>
        <w:rPr>
          <w:rFonts w:hint="eastAsia"/>
          <w:color w:val="auto"/>
          <w:highlight w:val="none"/>
        </w:rPr>
        <w:fldChar w:fldCharType="end"/>
      </w:r>
    </w:p>
    <w:p w14:paraId="266F7FFE">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_Toc7740 </w:instrText>
      </w:r>
      <w:r>
        <w:rPr>
          <w:rFonts w:hint="eastAsia"/>
          <w:color w:val="auto"/>
          <w:highlight w:val="none"/>
        </w:rPr>
        <w:fldChar w:fldCharType="separate"/>
      </w:r>
      <w:r>
        <w:rPr>
          <w:rFonts w:hint="eastAsia"/>
          <w:color w:val="auto"/>
          <w:highlight w:val="none"/>
        </w:rPr>
        <w:t>二、法定代表人（单位负责人）身份证明</w:t>
      </w:r>
      <w:r>
        <w:rPr>
          <w:color w:val="auto"/>
          <w:highlight w:val="none"/>
        </w:rPr>
        <w:tab/>
      </w:r>
      <w:r>
        <w:rPr>
          <w:color w:val="auto"/>
          <w:highlight w:val="none"/>
        </w:rPr>
        <w:fldChar w:fldCharType="begin"/>
      </w:r>
      <w:r>
        <w:rPr>
          <w:color w:val="auto"/>
          <w:highlight w:val="none"/>
        </w:rPr>
        <w:instrText xml:space="preserve"> PAGEREF _Toc7740 \h </w:instrText>
      </w:r>
      <w:r>
        <w:rPr>
          <w:color w:val="auto"/>
          <w:highlight w:val="none"/>
        </w:rPr>
        <w:fldChar w:fldCharType="separate"/>
      </w:r>
      <w:r>
        <w:rPr>
          <w:color w:val="auto"/>
          <w:highlight w:val="none"/>
        </w:rPr>
        <w:t>- 117 -</w:t>
      </w:r>
      <w:r>
        <w:rPr>
          <w:color w:val="auto"/>
          <w:highlight w:val="none"/>
        </w:rPr>
        <w:fldChar w:fldCharType="end"/>
      </w:r>
      <w:r>
        <w:rPr>
          <w:rFonts w:hint="eastAsia"/>
          <w:color w:val="auto"/>
          <w:highlight w:val="none"/>
        </w:rPr>
        <w:fldChar w:fldCharType="end"/>
      </w:r>
    </w:p>
    <w:p w14:paraId="7B620AF0">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_Toc12401 </w:instrText>
      </w:r>
      <w:r>
        <w:rPr>
          <w:rFonts w:hint="eastAsia"/>
          <w:color w:val="auto"/>
          <w:highlight w:val="none"/>
        </w:rPr>
        <w:fldChar w:fldCharType="separate"/>
      </w:r>
      <w:r>
        <w:rPr>
          <w:rFonts w:hint="eastAsia"/>
          <w:color w:val="auto"/>
          <w:highlight w:val="none"/>
        </w:rPr>
        <w:t>三、授权委托书</w:t>
      </w:r>
      <w:r>
        <w:rPr>
          <w:color w:val="auto"/>
          <w:highlight w:val="none"/>
        </w:rPr>
        <w:tab/>
      </w:r>
      <w:r>
        <w:rPr>
          <w:color w:val="auto"/>
          <w:highlight w:val="none"/>
        </w:rPr>
        <w:fldChar w:fldCharType="begin"/>
      </w:r>
      <w:r>
        <w:rPr>
          <w:color w:val="auto"/>
          <w:highlight w:val="none"/>
        </w:rPr>
        <w:instrText xml:space="preserve"> PAGEREF _Toc12401 \h </w:instrText>
      </w:r>
      <w:r>
        <w:rPr>
          <w:color w:val="auto"/>
          <w:highlight w:val="none"/>
        </w:rPr>
        <w:fldChar w:fldCharType="separate"/>
      </w:r>
      <w:r>
        <w:rPr>
          <w:color w:val="auto"/>
          <w:highlight w:val="none"/>
        </w:rPr>
        <w:t>- 118 -</w:t>
      </w:r>
      <w:r>
        <w:rPr>
          <w:color w:val="auto"/>
          <w:highlight w:val="none"/>
        </w:rPr>
        <w:fldChar w:fldCharType="end"/>
      </w:r>
      <w:r>
        <w:rPr>
          <w:rFonts w:hint="eastAsia"/>
          <w:color w:val="auto"/>
          <w:highlight w:val="none"/>
        </w:rPr>
        <w:fldChar w:fldCharType="end"/>
      </w:r>
    </w:p>
    <w:p w14:paraId="5C7A1ADA">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_Toc4311 </w:instrText>
      </w:r>
      <w:r>
        <w:rPr>
          <w:rFonts w:hint="eastAsia"/>
          <w:color w:val="auto"/>
          <w:highlight w:val="none"/>
        </w:rPr>
        <w:fldChar w:fldCharType="separate"/>
      </w:r>
      <w:r>
        <w:rPr>
          <w:rFonts w:hint="eastAsia"/>
          <w:color w:val="auto"/>
          <w:highlight w:val="none"/>
        </w:rPr>
        <w:t>四、</w:t>
      </w:r>
      <w:r>
        <w:rPr>
          <w:rFonts w:hint="eastAsia"/>
          <w:color w:val="auto"/>
          <w:highlight w:val="none"/>
          <w:lang w:val="zh-CN"/>
        </w:rPr>
        <w:t>政府采购</w:t>
      </w:r>
      <w:r>
        <w:rPr>
          <w:rFonts w:hint="eastAsia"/>
          <w:color w:val="auto"/>
          <w:highlight w:val="none"/>
        </w:rPr>
        <w:t>投标人</w:t>
      </w:r>
      <w:r>
        <w:rPr>
          <w:rFonts w:hint="eastAsia"/>
          <w:color w:val="auto"/>
          <w:highlight w:val="none"/>
          <w:lang w:val="zh-CN"/>
        </w:rPr>
        <w:t>廉洁自律承诺书</w:t>
      </w:r>
      <w:r>
        <w:rPr>
          <w:color w:val="auto"/>
          <w:highlight w:val="none"/>
        </w:rPr>
        <w:tab/>
      </w:r>
      <w:r>
        <w:rPr>
          <w:color w:val="auto"/>
          <w:highlight w:val="none"/>
        </w:rPr>
        <w:fldChar w:fldCharType="begin"/>
      </w:r>
      <w:r>
        <w:rPr>
          <w:color w:val="auto"/>
          <w:highlight w:val="none"/>
        </w:rPr>
        <w:instrText xml:space="preserve"> PAGEREF _Toc4311 \h </w:instrText>
      </w:r>
      <w:r>
        <w:rPr>
          <w:color w:val="auto"/>
          <w:highlight w:val="none"/>
        </w:rPr>
        <w:fldChar w:fldCharType="separate"/>
      </w:r>
      <w:r>
        <w:rPr>
          <w:color w:val="auto"/>
          <w:highlight w:val="none"/>
        </w:rPr>
        <w:t>- 119 -</w:t>
      </w:r>
      <w:r>
        <w:rPr>
          <w:color w:val="auto"/>
          <w:highlight w:val="none"/>
        </w:rPr>
        <w:fldChar w:fldCharType="end"/>
      </w:r>
      <w:r>
        <w:rPr>
          <w:rFonts w:hint="eastAsia"/>
          <w:color w:val="auto"/>
          <w:highlight w:val="none"/>
        </w:rPr>
        <w:fldChar w:fldCharType="end"/>
      </w:r>
    </w:p>
    <w:p w14:paraId="533D4B4D">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_Toc17030 </w:instrText>
      </w:r>
      <w:r>
        <w:rPr>
          <w:rFonts w:hint="eastAsia"/>
          <w:color w:val="auto"/>
          <w:highlight w:val="none"/>
        </w:rPr>
        <w:fldChar w:fldCharType="separate"/>
      </w:r>
      <w:r>
        <w:rPr>
          <w:rFonts w:hint="eastAsia"/>
          <w:color w:val="auto"/>
          <w:highlight w:val="none"/>
        </w:rPr>
        <w:t>五、</w:t>
      </w:r>
      <w:r>
        <w:rPr>
          <w:rFonts w:hint="eastAsia"/>
          <w:color w:val="auto"/>
          <w:highlight w:val="none"/>
          <w:lang w:val="zh-CN"/>
        </w:rPr>
        <w:t>实质性响应一览表【</w:t>
      </w:r>
      <w:r>
        <w:rPr>
          <w:rFonts w:hint="eastAsia"/>
          <w:color w:val="auto"/>
          <w:highlight w:val="none"/>
        </w:rPr>
        <w:t>本表须与第五章的一致】</w:t>
      </w:r>
      <w:r>
        <w:rPr>
          <w:color w:val="auto"/>
          <w:highlight w:val="none"/>
        </w:rPr>
        <w:tab/>
      </w:r>
      <w:r>
        <w:rPr>
          <w:color w:val="auto"/>
          <w:highlight w:val="none"/>
        </w:rPr>
        <w:fldChar w:fldCharType="begin"/>
      </w:r>
      <w:r>
        <w:rPr>
          <w:color w:val="auto"/>
          <w:highlight w:val="none"/>
        </w:rPr>
        <w:instrText xml:space="preserve"> PAGEREF _Toc17030 \h </w:instrText>
      </w:r>
      <w:r>
        <w:rPr>
          <w:color w:val="auto"/>
          <w:highlight w:val="none"/>
        </w:rPr>
        <w:fldChar w:fldCharType="separate"/>
      </w:r>
      <w:r>
        <w:rPr>
          <w:color w:val="auto"/>
          <w:highlight w:val="none"/>
        </w:rPr>
        <w:t>- 120 -</w:t>
      </w:r>
      <w:r>
        <w:rPr>
          <w:color w:val="auto"/>
          <w:highlight w:val="none"/>
        </w:rPr>
        <w:fldChar w:fldCharType="end"/>
      </w:r>
      <w:r>
        <w:rPr>
          <w:rFonts w:hint="eastAsia"/>
          <w:color w:val="auto"/>
          <w:highlight w:val="none"/>
        </w:rPr>
        <w:fldChar w:fldCharType="end"/>
      </w:r>
    </w:p>
    <w:p w14:paraId="33D341B0">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_Toc11528 </w:instrText>
      </w:r>
      <w:r>
        <w:rPr>
          <w:rFonts w:hint="eastAsia"/>
          <w:color w:val="auto"/>
          <w:highlight w:val="none"/>
        </w:rPr>
        <w:fldChar w:fldCharType="separate"/>
      </w:r>
      <w:r>
        <w:rPr>
          <w:rFonts w:hint="eastAsia"/>
          <w:color w:val="auto"/>
          <w:highlight w:val="none"/>
        </w:rPr>
        <w:t>六、商务响应偏离表</w:t>
      </w:r>
      <w:r>
        <w:rPr>
          <w:color w:val="auto"/>
          <w:highlight w:val="none"/>
        </w:rPr>
        <w:tab/>
      </w:r>
      <w:r>
        <w:rPr>
          <w:color w:val="auto"/>
          <w:highlight w:val="none"/>
        </w:rPr>
        <w:fldChar w:fldCharType="begin"/>
      </w:r>
      <w:r>
        <w:rPr>
          <w:color w:val="auto"/>
          <w:highlight w:val="none"/>
        </w:rPr>
        <w:instrText xml:space="preserve"> PAGEREF _Toc11528 \h </w:instrText>
      </w:r>
      <w:r>
        <w:rPr>
          <w:color w:val="auto"/>
          <w:highlight w:val="none"/>
        </w:rPr>
        <w:fldChar w:fldCharType="separate"/>
      </w:r>
      <w:r>
        <w:rPr>
          <w:color w:val="auto"/>
          <w:highlight w:val="none"/>
        </w:rPr>
        <w:t>- 121 -</w:t>
      </w:r>
      <w:r>
        <w:rPr>
          <w:color w:val="auto"/>
          <w:highlight w:val="none"/>
        </w:rPr>
        <w:fldChar w:fldCharType="end"/>
      </w:r>
      <w:r>
        <w:rPr>
          <w:rFonts w:hint="eastAsia"/>
          <w:color w:val="auto"/>
          <w:highlight w:val="none"/>
        </w:rPr>
        <w:fldChar w:fldCharType="end"/>
      </w:r>
    </w:p>
    <w:p w14:paraId="2A656092">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_Toc17988 </w:instrText>
      </w:r>
      <w:r>
        <w:rPr>
          <w:rFonts w:hint="eastAsia"/>
          <w:color w:val="auto"/>
          <w:highlight w:val="none"/>
        </w:rPr>
        <w:fldChar w:fldCharType="separate"/>
      </w:r>
      <w:r>
        <w:rPr>
          <w:rFonts w:hint="eastAsia"/>
          <w:color w:val="auto"/>
          <w:highlight w:val="none"/>
        </w:rPr>
        <w:t>七、业绩证明文件</w:t>
      </w:r>
      <w:r>
        <w:rPr>
          <w:color w:val="auto"/>
          <w:highlight w:val="none"/>
        </w:rPr>
        <w:tab/>
      </w:r>
      <w:r>
        <w:rPr>
          <w:color w:val="auto"/>
          <w:highlight w:val="none"/>
        </w:rPr>
        <w:fldChar w:fldCharType="begin"/>
      </w:r>
      <w:r>
        <w:rPr>
          <w:color w:val="auto"/>
          <w:highlight w:val="none"/>
        </w:rPr>
        <w:instrText xml:space="preserve"> PAGEREF _Toc17988 \h </w:instrText>
      </w:r>
      <w:r>
        <w:rPr>
          <w:color w:val="auto"/>
          <w:highlight w:val="none"/>
        </w:rPr>
        <w:fldChar w:fldCharType="separate"/>
      </w:r>
      <w:r>
        <w:rPr>
          <w:color w:val="auto"/>
          <w:highlight w:val="none"/>
        </w:rPr>
        <w:t>- 123 -</w:t>
      </w:r>
      <w:r>
        <w:rPr>
          <w:color w:val="auto"/>
          <w:highlight w:val="none"/>
        </w:rPr>
        <w:fldChar w:fldCharType="end"/>
      </w:r>
      <w:r>
        <w:rPr>
          <w:rFonts w:hint="eastAsia"/>
          <w:color w:val="auto"/>
          <w:highlight w:val="none"/>
        </w:rPr>
        <w:fldChar w:fldCharType="end"/>
      </w:r>
    </w:p>
    <w:p w14:paraId="7D9C21F5">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_Toc10743 </w:instrText>
      </w:r>
      <w:r>
        <w:rPr>
          <w:rFonts w:hint="eastAsia"/>
          <w:color w:val="auto"/>
          <w:highlight w:val="none"/>
        </w:rPr>
        <w:fldChar w:fldCharType="separate"/>
      </w:r>
      <w:r>
        <w:rPr>
          <w:rFonts w:hint="eastAsia"/>
          <w:color w:val="auto"/>
          <w:highlight w:val="none"/>
        </w:rPr>
        <w:t>八、拟派项目团队</w:t>
      </w:r>
      <w:r>
        <w:rPr>
          <w:color w:val="auto"/>
          <w:highlight w:val="none"/>
        </w:rPr>
        <w:tab/>
      </w:r>
      <w:r>
        <w:rPr>
          <w:color w:val="auto"/>
          <w:highlight w:val="none"/>
        </w:rPr>
        <w:fldChar w:fldCharType="begin"/>
      </w:r>
      <w:r>
        <w:rPr>
          <w:color w:val="auto"/>
          <w:highlight w:val="none"/>
        </w:rPr>
        <w:instrText xml:space="preserve"> PAGEREF _Toc10743 \h </w:instrText>
      </w:r>
      <w:r>
        <w:rPr>
          <w:color w:val="auto"/>
          <w:highlight w:val="none"/>
        </w:rPr>
        <w:fldChar w:fldCharType="separate"/>
      </w:r>
      <w:r>
        <w:rPr>
          <w:color w:val="auto"/>
          <w:highlight w:val="none"/>
        </w:rPr>
        <w:t>- 124 -</w:t>
      </w:r>
      <w:r>
        <w:rPr>
          <w:color w:val="auto"/>
          <w:highlight w:val="none"/>
        </w:rPr>
        <w:fldChar w:fldCharType="end"/>
      </w:r>
      <w:r>
        <w:rPr>
          <w:rFonts w:hint="eastAsia"/>
          <w:color w:val="auto"/>
          <w:highlight w:val="none"/>
        </w:rPr>
        <w:fldChar w:fldCharType="end"/>
      </w:r>
    </w:p>
    <w:p w14:paraId="0B89B622">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_Toc919 </w:instrText>
      </w:r>
      <w:r>
        <w:rPr>
          <w:rFonts w:hint="eastAsia"/>
          <w:color w:val="auto"/>
          <w:highlight w:val="none"/>
        </w:rPr>
        <w:fldChar w:fldCharType="separate"/>
      </w:r>
      <w:r>
        <w:rPr>
          <w:rFonts w:hint="eastAsia"/>
          <w:color w:val="auto"/>
          <w:highlight w:val="none"/>
        </w:rPr>
        <w:t>九、技术响应偏离表</w:t>
      </w:r>
      <w:r>
        <w:rPr>
          <w:color w:val="auto"/>
          <w:highlight w:val="none"/>
        </w:rPr>
        <w:tab/>
      </w:r>
      <w:r>
        <w:rPr>
          <w:color w:val="auto"/>
          <w:highlight w:val="none"/>
        </w:rPr>
        <w:fldChar w:fldCharType="begin"/>
      </w:r>
      <w:r>
        <w:rPr>
          <w:color w:val="auto"/>
          <w:highlight w:val="none"/>
        </w:rPr>
        <w:instrText xml:space="preserve"> PAGEREF _Toc919 \h </w:instrText>
      </w:r>
      <w:r>
        <w:rPr>
          <w:color w:val="auto"/>
          <w:highlight w:val="none"/>
        </w:rPr>
        <w:fldChar w:fldCharType="separate"/>
      </w:r>
      <w:r>
        <w:rPr>
          <w:color w:val="auto"/>
          <w:highlight w:val="none"/>
        </w:rPr>
        <w:t>- 125 -</w:t>
      </w:r>
      <w:r>
        <w:rPr>
          <w:color w:val="auto"/>
          <w:highlight w:val="none"/>
        </w:rPr>
        <w:fldChar w:fldCharType="end"/>
      </w:r>
      <w:r>
        <w:rPr>
          <w:rFonts w:hint="eastAsia"/>
          <w:color w:val="auto"/>
          <w:highlight w:val="none"/>
        </w:rPr>
        <w:fldChar w:fldCharType="end"/>
      </w:r>
    </w:p>
    <w:p w14:paraId="56C47CE6">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_Toc28608 </w:instrText>
      </w:r>
      <w:r>
        <w:rPr>
          <w:rFonts w:hint="eastAsia"/>
          <w:color w:val="auto"/>
          <w:highlight w:val="none"/>
        </w:rPr>
        <w:fldChar w:fldCharType="separate"/>
      </w:r>
      <w:r>
        <w:rPr>
          <w:rFonts w:hint="eastAsia"/>
          <w:color w:val="auto"/>
          <w:highlight w:val="none"/>
        </w:rPr>
        <w:t>十、技术方案</w:t>
      </w:r>
      <w:r>
        <w:rPr>
          <w:color w:val="auto"/>
          <w:highlight w:val="none"/>
        </w:rPr>
        <w:tab/>
      </w:r>
      <w:r>
        <w:rPr>
          <w:color w:val="auto"/>
          <w:highlight w:val="none"/>
        </w:rPr>
        <w:fldChar w:fldCharType="begin"/>
      </w:r>
      <w:r>
        <w:rPr>
          <w:color w:val="auto"/>
          <w:highlight w:val="none"/>
        </w:rPr>
        <w:instrText xml:space="preserve"> PAGEREF _Toc28608 \h </w:instrText>
      </w:r>
      <w:r>
        <w:rPr>
          <w:color w:val="auto"/>
          <w:highlight w:val="none"/>
        </w:rPr>
        <w:fldChar w:fldCharType="separate"/>
      </w:r>
      <w:r>
        <w:rPr>
          <w:color w:val="auto"/>
          <w:highlight w:val="none"/>
        </w:rPr>
        <w:t>- 126 -</w:t>
      </w:r>
      <w:r>
        <w:rPr>
          <w:color w:val="auto"/>
          <w:highlight w:val="none"/>
        </w:rPr>
        <w:fldChar w:fldCharType="end"/>
      </w:r>
      <w:r>
        <w:rPr>
          <w:rFonts w:hint="eastAsia"/>
          <w:color w:val="auto"/>
          <w:highlight w:val="none"/>
        </w:rPr>
        <w:fldChar w:fldCharType="end"/>
      </w:r>
    </w:p>
    <w:p w14:paraId="1DDA2368">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_Toc27293 </w:instrText>
      </w:r>
      <w:r>
        <w:rPr>
          <w:rFonts w:hint="eastAsia"/>
          <w:color w:val="auto"/>
          <w:highlight w:val="none"/>
        </w:rPr>
        <w:fldChar w:fldCharType="separate"/>
      </w:r>
      <w:r>
        <w:rPr>
          <w:rFonts w:hint="eastAsia"/>
          <w:color w:val="auto"/>
          <w:highlight w:val="none"/>
        </w:rPr>
        <w:t>十一、其他文件</w:t>
      </w:r>
      <w:r>
        <w:rPr>
          <w:color w:val="auto"/>
          <w:highlight w:val="none"/>
        </w:rPr>
        <w:tab/>
      </w:r>
      <w:r>
        <w:rPr>
          <w:color w:val="auto"/>
          <w:highlight w:val="none"/>
        </w:rPr>
        <w:fldChar w:fldCharType="begin"/>
      </w:r>
      <w:r>
        <w:rPr>
          <w:color w:val="auto"/>
          <w:highlight w:val="none"/>
        </w:rPr>
        <w:instrText xml:space="preserve"> PAGEREF _Toc27293 \h </w:instrText>
      </w:r>
      <w:r>
        <w:rPr>
          <w:color w:val="auto"/>
          <w:highlight w:val="none"/>
        </w:rPr>
        <w:fldChar w:fldCharType="separate"/>
      </w:r>
      <w:r>
        <w:rPr>
          <w:color w:val="auto"/>
          <w:highlight w:val="none"/>
        </w:rPr>
        <w:t>- 127 -</w:t>
      </w:r>
      <w:r>
        <w:rPr>
          <w:color w:val="auto"/>
          <w:highlight w:val="none"/>
        </w:rPr>
        <w:fldChar w:fldCharType="end"/>
      </w:r>
      <w:r>
        <w:rPr>
          <w:rFonts w:hint="eastAsia"/>
          <w:color w:val="auto"/>
          <w:highlight w:val="none"/>
        </w:rPr>
        <w:fldChar w:fldCharType="end"/>
      </w:r>
    </w:p>
    <w:p w14:paraId="3029E5E4">
      <w:pPr>
        <w:rPr>
          <w:color w:val="auto"/>
          <w:highlight w:val="none"/>
        </w:rPr>
      </w:pPr>
      <w:r>
        <w:rPr>
          <w:rFonts w:hint="eastAsia"/>
          <w:color w:val="auto"/>
          <w:highlight w:val="none"/>
        </w:rPr>
        <w:fldChar w:fldCharType="end"/>
      </w:r>
    </w:p>
    <w:p w14:paraId="187A46D4">
      <w:pPr>
        <w:rPr>
          <w:color w:val="auto"/>
          <w:highlight w:val="none"/>
        </w:rPr>
        <w:sectPr>
          <w:headerReference r:id="rId3" w:type="default"/>
          <w:pgSz w:w="11906" w:h="16838"/>
          <w:pgMar w:top="1440" w:right="1800" w:bottom="1440" w:left="1800" w:header="851" w:footer="992" w:gutter="0"/>
          <w:cols w:space="425" w:num="1"/>
          <w:docGrid w:type="lines" w:linePitch="312" w:charSpace="0"/>
        </w:sectPr>
      </w:pPr>
    </w:p>
    <w:p w14:paraId="075BA0DB">
      <w:pPr>
        <w:pStyle w:val="2"/>
        <w:rPr>
          <w:color w:val="auto"/>
          <w:highlight w:val="none"/>
        </w:rPr>
      </w:pPr>
      <w:bookmarkStart w:id="1" w:name="_Toc163492811"/>
      <w:bookmarkStart w:id="2" w:name="_Toc155185859"/>
      <w:bookmarkStart w:id="3" w:name="_Toc4647"/>
      <w:r>
        <w:rPr>
          <w:rFonts w:hint="eastAsia"/>
          <w:color w:val="auto"/>
          <w:highlight w:val="none"/>
        </w:rPr>
        <w:t xml:space="preserve">第一章 </w:t>
      </w:r>
      <w:bookmarkEnd w:id="1"/>
      <w:bookmarkEnd w:id="2"/>
      <w:bookmarkStart w:id="4" w:name="_Hlk130458318"/>
      <w:r>
        <w:rPr>
          <w:rFonts w:hint="eastAsia"/>
          <w:color w:val="auto"/>
          <w:highlight w:val="none"/>
        </w:rPr>
        <w:t>招标公告</w:t>
      </w:r>
      <w:bookmarkEnd w:id="3"/>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62D1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14:paraId="3BEE6707">
            <w:pPr>
              <w:pStyle w:val="3"/>
              <w:rPr>
                <w:color w:val="auto"/>
                <w:highlight w:val="none"/>
              </w:rPr>
            </w:pPr>
            <w:bookmarkStart w:id="5" w:name="_Toc1203"/>
            <w:bookmarkStart w:id="6" w:name="_Toc35393798"/>
            <w:bookmarkStart w:id="7" w:name="_Toc35393629"/>
            <w:bookmarkStart w:id="8" w:name="_Toc44583628"/>
            <w:bookmarkStart w:id="9" w:name="_Toc163492812"/>
            <w:bookmarkStart w:id="10" w:name="_Toc140132745"/>
            <w:bookmarkStart w:id="11" w:name="_Toc109899829"/>
            <w:bookmarkStart w:id="12" w:name="_Toc155185860"/>
            <w:bookmarkStart w:id="13" w:name="_Toc28359089"/>
            <w:bookmarkStart w:id="14" w:name="_Toc109899410"/>
            <w:bookmarkStart w:id="15" w:name="_Toc28359012"/>
            <w:bookmarkStart w:id="16" w:name="_Toc109900248"/>
            <w:r>
              <w:rPr>
                <w:rFonts w:hint="eastAsia"/>
                <w:color w:val="auto"/>
                <w:highlight w:val="none"/>
              </w:rPr>
              <w:t>项目概况：</w:t>
            </w:r>
            <w:bookmarkEnd w:id="5"/>
          </w:p>
          <w:p w14:paraId="1F8389AC">
            <w:pPr>
              <w:spacing w:line="360" w:lineRule="auto"/>
              <w:rPr>
                <w:color w:val="auto"/>
                <w:highlight w:val="none"/>
              </w:rPr>
            </w:pPr>
            <w:r>
              <w:rPr>
                <w:rFonts w:hint="eastAsia"/>
                <w:color w:val="auto"/>
                <w:highlight w:val="none"/>
                <w:shd w:val="clear" w:color="auto" w:fill="FFFFFF" w:themeFill="background1"/>
                <w:lang w:val="hr-HR"/>
              </w:rPr>
              <w:t xml:space="preserve"> </w:t>
            </w:r>
            <w:r>
              <w:rPr>
                <w:rFonts w:hint="eastAsia"/>
                <w:color w:val="auto"/>
                <w:highlight w:val="none"/>
                <w:lang w:eastAsia="zh-CN"/>
              </w:rPr>
              <w:t>新疆医科大学附属肿瘤医院支气管镜导航系统采购项目</w:t>
            </w:r>
            <w:r>
              <w:rPr>
                <w:rFonts w:hint="eastAsia"/>
                <w:color w:val="auto"/>
                <w:highlight w:val="none"/>
                <w:shd w:val="clear" w:color="auto" w:fill="FFFFFF" w:themeFill="background1"/>
                <w:lang w:val="hr-HR"/>
              </w:rPr>
              <w:t>招标项目的潜在投标人应在政采云平台线上获取招标文件，并于2</w:t>
            </w:r>
            <w:r>
              <w:rPr>
                <w:color w:val="auto"/>
                <w:highlight w:val="none"/>
                <w:shd w:val="clear" w:color="auto" w:fill="FFFFFF" w:themeFill="background1"/>
                <w:lang w:val="hr-HR"/>
              </w:rPr>
              <w:t>026</w:t>
            </w:r>
            <w:r>
              <w:rPr>
                <w:rFonts w:hint="eastAsia"/>
                <w:color w:val="auto"/>
                <w:highlight w:val="none"/>
                <w:shd w:val="clear" w:color="auto" w:fill="FFFFFF" w:themeFill="background1"/>
                <w:lang w:val="hr-HR"/>
              </w:rPr>
              <w:t>年</w:t>
            </w:r>
            <w:r>
              <w:rPr>
                <w:rFonts w:hint="eastAsia"/>
                <w:color w:val="auto"/>
                <w:highlight w:val="none"/>
                <w:shd w:val="clear" w:color="auto" w:fill="FFFFFF" w:themeFill="background1"/>
                <w:lang w:val="en-US" w:eastAsia="zh-CN"/>
              </w:rPr>
              <w:t>5</w:t>
            </w:r>
            <w:bookmarkStart w:id="450" w:name="_GoBack"/>
            <w:bookmarkEnd w:id="450"/>
            <w:r>
              <w:rPr>
                <w:rFonts w:hint="eastAsia"/>
                <w:color w:val="auto"/>
                <w:highlight w:val="none"/>
                <w:shd w:val="clear" w:color="auto" w:fill="FFFFFF" w:themeFill="background1"/>
                <w:lang w:val="hr-HR"/>
              </w:rPr>
              <w:t>月</w:t>
            </w:r>
            <w:r>
              <w:rPr>
                <w:rFonts w:hint="eastAsia"/>
                <w:color w:val="auto"/>
                <w:highlight w:val="none"/>
                <w:shd w:val="clear" w:color="auto" w:fill="FFFFFF" w:themeFill="background1"/>
                <w:lang w:val="en-US" w:eastAsia="zh-CN"/>
              </w:rPr>
              <w:t>21</w:t>
            </w:r>
            <w:r>
              <w:rPr>
                <w:rFonts w:hint="eastAsia"/>
                <w:color w:val="auto"/>
                <w:highlight w:val="none"/>
                <w:shd w:val="clear" w:color="auto" w:fill="FFFFFF" w:themeFill="background1"/>
                <w:lang w:val="hr-HR"/>
              </w:rPr>
              <w:t>日</w:t>
            </w:r>
            <w:r>
              <w:rPr>
                <w:rFonts w:hint="eastAsia"/>
                <w:color w:val="auto"/>
                <w:highlight w:val="none"/>
                <w:shd w:val="clear" w:color="auto" w:fill="FFFFFF" w:themeFill="background1"/>
                <w:lang w:val="en-US" w:eastAsia="zh-CN"/>
              </w:rPr>
              <w:t>11</w:t>
            </w:r>
            <w:r>
              <w:rPr>
                <w:rFonts w:hint="eastAsia"/>
                <w:color w:val="auto"/>
                <w:highlight w:val="none"/>
                <w:shd w:val="clear" w:color="auto" w:fill="FFFFFF" w:themeFill="background1"/>
              </w:rPr>
              <w:t>时</w:t>
            </w:r>
            <w:r>
              <w:rPr>
                <w:rFonts w:hint="eastAsia"/>
                <w:color w:val="auto"/>
                <w:highlight w:val="none"/>
                <w:shd w:val="clear" w:color="auto" w:fill="FFFFFF" w:themeFill="background1"/>
                <w:lang w:val="en-US" w:eastAsia="zh-CN"/>
              </w:rPr>
              <w:t>00</w:t>
            </w:r>
            <w:r>
              <w:rPr>
                <w:rFonts w:hint="eastAsia"/>
                <w:color w:val="auto"/>
                <w:highlight w:val="none"/>
                <w:shd w:val="clear" w:color="auto" w:fill="FFFFFF" w:themeFill="background1"/>
                <w:lang w:val="hr-HR"/>
              </w:rPr>
              <w:t>分（北京时间）前递交投标文件。</w:t>
            </w:r>
          </w:p>
        </w:tc>
      </w:tr>
    </w:tbl>
    <w:p w14:paraId="64B7CF1D">
      <w:pPr>
        <w:pStyle w:val="3"/>
        <w:spacing w:line="360" w:lineRule="auto"/>
        <w:rPr>
          <w:color w:val="auto"/>
          <w:highlight w:val="none"/>
          <w:lang w:val="hr-HR"/>
        </w:rPr>
      </w:pPr>
      <w:bookmarkStart w:id="17" w:name="_Toc27682"/>
      <w:bookmarkStart w:id="18" w:name="_Toc11065"/>
      <w:bookmarkStart w:id="19" w:name="_Toc2335"/>
      <w:bookmarkStart w:id="20" w:name="_Toc16486"/>
      <w:bookmarkStart w:id="21" w:name="_Toc4515"/>
      <w:r>
        <w:rPr>
          <w:rFonts w:hint="eastAsia"/>
          <w:color w:val="auto"/>
          <w:highlight w:val="none"/>
          <w:lang w:val="hr-HR"/>
        </w:rPr>
        <w:t>一、项目基本情况</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29238C81">
      <w:pPr>
        <w:pStyle w:val="40"/>
        <w:spacing w:line="360" w:lineRule="auto"/>
        <w:rPr>
          <w:color w:val="auto"/>
          <w:highlight w:val="none"/>
        </w:rPr>
      </w:pPr>
      <w:r>
        <w:rPr>
          <w:rFonts w:hint="eastAsia"/>
          <w:color w:val="auto"/>
          <w:highlight w:val="none"/>
          <w:lang w:val="hr-HR"/>
        </w:rPr>
        <w:t>1.项目编号：</w:t>
      </w:r>
      <w:r>
        <w:rPr>
          <w:rFonts w:hint="eastAsia"/>
          <w:color w:val="auto"/>
          <w:spacing w:val="-1"/>
          <w:sz w:val="24"/>
          <w:szCs w:val="24"/>
          <w:highlight w:val="none"/>
          <w:lang w:eastAsia="zh-CN"/>
        </w:rPr>
        <w:t>TC269H0BN</w:t>
      </w:r>
      <w:r>
        <w:rPr>
          <w:rFonts w:hint="eastAsia"/>
          <w:color w:val="auto"/>
          <w:highlight w:val="none"/>
        </w:rPr>
        <w:t xml:space="preserve">                         </w:t>
      </w:r>
      <w:r>
        <w:rPr>
          <w:rFonts w:hint="eastAsia"/>
          <w:color w:val="auto"/>
          <w:highlight w:val="none"/>
          <w:lang w:val="hr-HR"/>
        </w:rPr>
        <w:t xml:space="preserve"> </w:t>
      </w:r>
    </w:p>
    <w:p w14:paraId="5C6EAD09">
      <w:pPr>
        <w:pStyle w:val="40"/>
        <w:spacing w:line="360" w:lineRule="auto"/>
        <w:rPr>
          <w:color w:val="auto"/>
          <w:highlight w:val="none"/>
          <w:lang w:val="hr-HR"/>
        </w:rPr>
      </w:pPr>
      <w:r>
        <w:rPr>
          <w:rFonts w:hint="eastAsia"/>
          <w:color w:val="auto"/>
          <w:highlight w:val="none"/>
          <w:lang w:val="en-US"/>
        </w:rPr>
        <w:t>2</w:t>
      </w:r>
      <w:r>
        <w:rPr>
          <w:rFonts w:hint="eastAsia"/>
          <w:color w:val="auto"/>
          <w:highlight w:val="none"/>
          <w:lang w:val="hr-HR"/>
        </w:rPr>
        <w:t>.项目名称：</w:t>
      </w:r>
      <w:r>
        <w:rPr>
          <w:rFonts w:hint="eastAsia"/>
          <w:color w:val="auto"/>
          <w:highlight w:val="none"/>
          <w:lang w:eastAsia="zh-CN"/>
        </w:rPr>
        <w:t>新疆医科大学附属肿瘤医院支气管镜导航系统采购项目</w:t>
      </w:r>
    </w:p>
    <w:p w14:paraId="73640D0D">
      <w:pPr>
        <w:pStyle w:val="40"/>
        <w:spacing w:line="360" w:lineRule="auto"/>
        <w:rPr>
          <w:color w:val="auto"/>
          <w:highlight w:val="none"/>
          <w:lang w:val="hr-HR"/>
        </w:rPr>
      </w:pPr>
      <w:r>
        <w:rPr>
          <w:rFonts w:hint="eastAsia"/>
          <w:color w:val="auto"/>
          <w:highlight w:val="none"/>
          <w:lang w:val="en-US"/>
        </w:rPr>
        <w:t>3</w:t>
      </w:r>
      <w:r>
        <w:rPr>
          <w:rFonts w:hint="eastAsia"/>
          <w:color w:val="auto"/>
          <w:highlight w:val="none"/>
        </w:rPr>
        <w:t>.采购方式：公开招标</w:t>
      </w:r>
    </w:p>
    <w:p w14:paraId="166E8B81">
      <w:pPr>
        <w:pStyle w:val="40"/>
        <w:spacing w:line="360" w:lineRule="auto"/>
        <w:rPr>
          <w:color w:val="auto"/>
          <w:highlight w:val="none"/>
        </w:rPr>
      </w:pPr>
      <w:r>
        <w:rPr>
          <w:rFonts w:hint="eastAsia"/>
          <w:color w:val="auto"/>
          <w:highlight w:val="none"/>
          <w:lang w:val="en-US"/>
        </w:rPr>
        <w:t>4</w:t>
      </w:r>
      <w:r>
        <w:rPr>
          <w:rFonts w:hint="eastAsia"/>
          <w:color w:val="auto"/>
          <w:highlight w:val="none"/>
        </w:rPr>
        <w:t>.</w:t>
      </w:r>
      <w:r>
        <w:rPr>
          <w:rFonts w:hint="eastAsia"/>
          <w:color w:val="auto"/>
          <w:highlight w:val="none"/>
          <w:lang w:val="en-US"/>
        </w:rPr>
        <w:t>项目</w:t>
      </w:r>
      <w:r>
        <w:rPr>
          <w:rFonts w:hint="eastAsia"/>
          <w:color w:val="auto"/>
          <w:highlight w:val="none"/>
        </w:rPr>
        <w:t>预算金额：</w:t>
      </w:r>
      <w:r>
        <w:rPr>
          <w:rFonts w:hint="eastAsia"/>
          <w:color w:val="auto"/>
          <w:highlight w:val="none"/>
          <w:u w:val="single"/>
        </w:rPr>
        <w:t xml:space="preserve"> </w:t>
      </w:r>
      <w:r>
        <w:rPr>
          <w:rFonts w:hint="eastAsia"/>
          <w:color w:val="auto"/>
          <w:highlight w:val="none"/>
          <w:u w:val="single"/>
          <w:lang w:val="en-US" w:eastAsia="zh-CN"/>
        </w:rPr>
        <w:t>350</w:t>
      </w:r>
      <w:r>
        <w:rPr>
          <w:rFonts w:hint="eastAsia"/>
          <w:color w:val="auto"/>
          <w:highlight w:val="none"/>
        </w:rPr>
        <w:t>万元</w:t>
      </w:r>
    </w:p>
    <w:p w14:paraId="1051D3E5">
      <w:pPr>
        <w:pStyle w:val="40"/>
        <w:spacing w:line="360" w:lineRule="auto"/>
        <w:rPr>
          <w:color w:val="auto"/>
          <w:highlight w:val="none"/>
          <w:lang w:val="hr-HR"/>
        </w:rPr>
      </w:pPr>
      <w:r>
        <w:rPr>
          <w:rFonts w:hint="eastAsia"/>
          <w:color w:val="auto"/>
          <w:highlight w:val="none"/>
          <w:lang w:val="en-US"/>
        </w:rPr>
        <w:t>5</w:t>
      </w:r>
      <w:r>
        <w:rPr>
          <w:rFonts w:hint="eastAsia"/>
          <w:color w:val="auto"/>
          <w:highlight w:val="none"/>
          <w:lang w:val="hr-HR"/>
        </w:rPr>
        <w:t>.</w:t>
      </w:r>
      <w:r>
        <w:rPr>
          <w:rFonts w:hint="eastAsia"/>
          <w:color w:val="auto"/>
          <w:highlight w:val="none"/>
        </w:rPr>
        <w:t>最高限价</w:t>
      </w:r>
      <w:r>
        <w:rPr>
          <w:rFonts w:hint="eastAsia"/>
          <w:color w:val="auto"/>
          <w:highlight w:val="none"/>
          <w:lang w:val="en-US"/>
        </w:rPr>
        <w:t xml:space="preserve"> </w:t>
      </w:r>
      <w:r>
        <w:rPr>
          <w:rFonts w:hint="eastAsia"/>
          <w:color w:val="auto"/>
          <w:highlight w:val="none"/>
          <w:lang w:val="hr-HR"/>
        </w:rPr>
        <w:t>：</w:t>
      </w:r>
      <w:r>
        <w:rPr>
          <w:rFonts w:hint="eastAsia"/>
          <w:color w:val="auto"/>
          <w:highlight w:val="none"/>
          <w:u w:val="single"/>
          <w:lang w:val="en-US" w:eastAsia="zh-CN"/>
        </w:rPr>
        <w:t>350</w:t>
      </w:r>
      <w:r>
        <w:rPr>
          <w:rFonts w:hint="eastAsia"/>
          <w:color w:val="auto"/>
          <w:highlight w:val="none"/>
        </w:rPr>
        <w:t>万元</w:t>
      </w:r>
    </w:p>
    <w:p w14:paraId="1E2D2A18">
      <w:pPr>
        <w:pStyle w:val="40"/>
        <w:spacing w:line="360" w:lineRule="auto"/>
        <w:rPr>
          <w:color w:val="auto"/>
          <w:highlight w:val="none"/>
          <w:lang w:val="en-US"/>
        </w:rPr>
      </w:pPr>
      <w:r>
        <w:rPr>
          <w:rFonts w:hint="eastAsia"/>
          <w:color w:val="auto"/>
          <w:highlight w:val="none"/>
          <w:lang w:val="en-US"/>
        </w:rPr>
        <w:t>6</w:t>
      </w:r>
      <w:r>
        <w:rPr>
          <w:rFonts w:hint="eastAsia"/>
          <w:color w:val="auto"/>
          <w:highlight w:val="none"/>
        </w:rPr>
        <w:t>.采购需求：</w:t>
      </w:r>
      <w:r>
        <w:rPr>
          <w:rFonts w:hint="eastAsia"/>
          <w:color w:val="auto"/>
          <w:highlight w:val="none"/>
          <w:lang w:val="en-US" w:eastAsia="zh-CN"/>
        </w:rPr>
        <w:t>采购</w:t>
      </w:r>
      <w:r>
        <w:rPr>
          <w:rFonts w:ascii="Calibri Light" w:hAnsi="Calibri Light" w:cs="Calibri Light"/>
          <w:color w:val="auto"/>
          <w:kern w:val="0"/>
          <w:sz w:val="24"/>
          <w:highlight w:val="none"/>
        </w:rPr>
        <w:t>1</w:t>
      </w:r>
      <w:r>
        <w:rPr>
          <w:rFonts w:hint="eastAsia" w:ascii="Calibri Light" w:hAnsi="Calibri Light" w:cs="Calibri Light"/>
          <w:color w:val="auto"/>
          <w:kern w:val="0"/>
          <w:sz w:val="24"/>
          <w:highlight w:val="none"/>
        </w:rPr>
        <w:t>台支气管镜导航系统</w:t>
      </w:r>
      <w:r>
        <w:rPr>
          <w:rFonts w:hint="eastAsia" w:ascii="Calibri Light" w:hAnsi="Calibri Light" w:cs="Calibri Light"/>
          <w:color w:val="auto"/>
          <w:kern w:val="0"/>
          <w:sz w:val="24"/>
          <w:highlight w:val="none"/>
          <w:lang w:eastAsia="zh-CN"/>
        </w:rPr>
        <w:t>，</w:t>
      </w:r>
      <w:r>
        <w:rPr>
          <w:rFonts w:hint="eastAsia" w:ascii="Calibri Light" w:hAnsi="Calibri Light" w:cs="Calibri Light"/>
          <w:color w:val="auto"/>
          <w:kern w:val="0"/>
          <w:sz w:val="24"/>
          <w:highlight w:val="none"/>
        </w:rPr>
        <w:t>具体技术参数详见</w:t>
      </w:r>
      <w:r>
        <w:rPr>
          <w:rFonts w:hint="eastAsia" w:ascii="Calibri Light" w:hAnsi="Calibri Light" w:cs="Calibri Light"/>
          <w:color w:val="auto"/>
          <w:kern w:val="0"/>
          <w:sz w:val="24"/>
          <w:highlight w:val="none"/>
          <w:lang w:val="en-US" w:eastAsia="zh-CN"/>
        </w:rPr>
        <w:t>第三章采购需求</w:t>
      </w:r>
      <w:r>
        <w:rPr>
          <w:rFonts w:hint="default" w:cs="宋体"/>
          <w:color w:val="auto"/>
          <w:sz w:val="24"/>
          <w:highlight w:val="none"/>
          <w:lang w:val="en-US" w:eastAsia="zh-CN"/>
        </w:rPr>
        <w:t>。</w:t>
      </w:r>
      <w:r>
        <w:rPr>
          <w:color w:val="auto"/>
          <w:highlight w:val="none"/>
        </w:rPr>
        <w:t xml:space="preserve">   </w:t>
      </w:r>
    </w:p>
    <w:p w14:paraId="5F4A3BC2">
      <w:pPr>
        <w:pStyle w:val="40"/>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7.合同履行期限： 自合同签订之日起30天内完成到货安装调试。</w:t>
      </w:r>
      <w:r>
        <w:rPr>
          <w:rFonts w:hint="default" w:ascii="宋体" w:hAnsi="宋体" w:eastAsia="宋体" w:cs="宋体"/>
          <w:color w:val="auto"/>
          <w:sz w:val="24"/>
          <w:highlight w:val="none"/>
          <w:lang w:val="en-US" w:eastAsia="zh-CN"/>
        </w:rPr>
        <w:t xml:space="preserve">            </w:t>
      </w:r>
      <w:bookmarkStart w:id="22" w:name="_Toc35393799"/>
      <w:bookmarkStart w:id="23" w:name="_Toc35393630"/>
      <w:bookmarkStart w:id="24" w:name="_Toc44583629"/>
      <w:bookmarkStart w:id="25" w:name="_Toc28359013"/>
      <w:bookmarkStart w:id="26" w:name="_Toc28359090"/>
      <w:r>
        <w:rPr>
          <w:rFonts w:hint="eastAsia" w:ascii="宋体" w:hAnsi="宋体" w:eastAsia="宋体" w:cs="宋体"/>
          <w:color w:val="auto"/>
          <w:sz w:val="24"/>
          <w:highlight w:val="none"/>
          <w:lang w:val="en-US" w:eastAsia="zh-CN"/>
        </w:rPr>
        <w:t>8.</w:t>
      </w:r>
      <w:bookmarkStart w:id="27" w:name="_Hlk162011358"/>
      <w:r>
        <w:rPr>
          <w:rFonts w:hint="eastAsia" w:ascii="宋体" w:hAnsi="宋体" w:eastAsia="宋体" w:cs="宋体"/>
          <w:color w:val="auto"/>
          <w:sz w:val="24"/>
          <w:highlight w:val="none"/>
          <w:lang w:val="en-US" w:eastAsia="zh-CN"/>
        </w:rPr>
        <w:t>本项目是否接受联合体投标：□是</w:t>
      </w:r>
      <w:bookmarkEnd w:id="27"/>
      <w:r>
        <w:rPr>
          <w:rFonts w:hint="eastAsia" w:ascii="宋体" w:hAnsi="宋体" w:eastAsia="宋体" w:cs="宋体"/>
          <w:color w:val="auto"/>
          <w:sz w:val="24"/>
          <w:highlight w:val="none"/>
          <w:lang w:val="en-US" w:eastAsia="zh-CN"/>
        </w:rPr>
        <w:t xml:space="preserve">   </w:t>
      </w:r>
      <w:r>
        <w:rPr>
          <w:rFonts w:hint="default" w:ascii="宋体" w:hAnsi="宋体" w:eastAsia="宋体" w:cs="宋体"/>
          <w:color w:val="auto"/>
          <w:sz w:val="24"/>
          <w:highlight w:val="none"/>
          <w:lang w:val="en-US" w:eastAsia="zh-CN"/>
        </w:rPr>
        <w:t>☑</w:t>
      </w:r>
      <w:r>
        <w:rPr>
          <w:rFonts w:hint="eastAsia" w:ascii="宋体" w:hAnsi="宋体" w:eastAsia="宋体" w:cs="宋体"/>
          <w:color w:val="auto"/>
          <w:sz w:val="24"/>
          <w:highlight w:val="none"/>
          <w:lang w:val="en-US" w:eastAsia="zh-CN"/>
        </w:rPr>
        <w:t>否</w:t>
      </w:r>
    </w:p>
    <w:p w14:paraId="46F0E31F">
      <w:pPr>
        <w:pStyle w:val="3"/>
        <w:rPr>
          <w:color w:val="auto"/>
          <w:highlight w:val="none"/>
          <w:lang w:val="hr-HR"/>
        </w:rPr>
      </w:pPr>
      <w:bookmarkStart w:id="28" w:name="_Toc31159"/>
      <w:bookmarkStart w:id="29" w:name="_Toc109900249"/>
      <w:bookmarkStart w:id="30" w:name="_Toc10801"/>
      <w:bookmarkStart w:id="31" w:name="_Toc140132746"/>
      <w:bookmarkStart w:id="32" w:name="_Toc30635"/>
      <w:bookmarkStart w:id="33" w:name="_Toc155185861"/>
      <w:bookmarkStart w:id="34" w:name="_Toc883"/>
      <w:bookmarkStart w:id="35" w:name="_Toc163492813"/>
      <w:bookmarkStart w:id="36" w:name="_Toc109899411"/>
      <w:bookmarkStart w:id="37" w:name="_Toc27911"/>
      <w:bookmarkStart w:id="38" w:name="_Toc109899830"/>
      <w:r>
        <w:rPr>
          <w:rFonts w:hint="eastAsia"/>
          <w:color w:val="auto"/>
          <w:highlight w:val="none"/>
        </w:rPr>
        <w:t>二、申请</w:t>
      </w:r>
      <w:r>
        <w:rPr>
          <w:rFonts w:hint="eastAsia"/>
          <w:color w:val="auto"/>
          <w:highlight w:val="none"/>
          <w:lang w:val="hr-HR"/>
        </w:rPr>
        <w:t>人</w:t>
      </w:r>
      <w:r>
        <w:rPr>
          <w:rFonts w:hint="eastAsia"/>
          <w:color w:val="auto"/>
          <w:highlight w:val="none"/>
        </w:rPr>
        <w:t>的</w:t>
      </w:r>
      <w:r>
        <w:rPr>
          <w:rFonts w:hint="eastAsia"/>
          <w:color w:val="auto"/>
          <w:highlight w:val="none"/>
          <w:lang w:val="hr-HR"/>
        </w:rPr>
        <w:t>资格要求</w:t>
      </w:r>
      <w:bookmarkEnd w:id="22"/>
      <w:bookmarkEnd w:id="23"/>
      <w:bookmarkEnd w:id="24"/>
      <w:bookmarkEnd w:id="25"/>
      <w:bookmarkEnd w:id="26"/>
      <w:bookmarkEnd w:id="28"/>
      <w:bookmarkEnd w:id="29"/>
      <w:bookmarkEnd w:id="30"/>
      <w:bookmarkEnd w:id="31"/>
      <w:bookmarkEnd w:id="32"/>
      <w:bookmarkEnd w:id="33"/>
      <w:bookmarkEnd w:id="34"/>
      <w:bookmarkEnd w:id="35"/>
      <w:bookmarkEnd w:id="36"/>
      <w:bookmarkEnd w:id="37"/>
      <w:bookmarkEnd w:id="38"/>
    </w:p>
    <w:p w14:paraId="224E39C5">
      <w:pPr>
        <w:spacing w:line="360" w:lineRule="auto"/>
        <w:rPr>
          <w:color w:val="auto"/>
          <w:highlight w:val="none"/>
        </w:rPr>
      </w:pPr>
      <w:bookmarkStart w:id="39" w:name="_Toc35393800"/>
      <w:bookmarkStart w:id="40" w:name="_Toc28359091"/>
      <w:bookmarkStart w:id="41" w:name="_Toc44583630"/>
      <w:bookmarkStart w:id="42" w:name="_Toc35393631"/>
      <w:bookmarkStart w:id="43" w:name="_Toc28359014"/>
      <w:r>
        <w:rPr>
          <w:rFonts w:hint="eastAsia"/>
          <w:color w:val="auto"/>
          <w:highlight w:val="none"/>
        </w:rPr>
        <w:t>1.满足《中华人民共和国政府采购法》第二十二条规定；</w:t>
      </w:r>
    </w:p>
    <w:p w14:paraId="4D230FB3">
      <w:pPr>
        <w:spacing w:line="360" w:lineRule="auto"/>
        <w:rPr>
          <w:color w:val="auto"/>
          <w:highlight w:val="none"/>
        </w:rPr>
      </w:pPr>
      <w:r>
        <w:rPr>
          <w:rFonts w:hint="eastAsia"/>
          <w:color w:val="auto"/>
          <w:highlight w:val="none"/>
        </w:rPr>
        <w:t>2.落实政府采购政策需满足的资格要求：本项目属于</w:t>
      </w:r>
      <w:r>
        <w:rPr>
          <w:rFonts w:hint="eastAsia"/>
          <w:color w:val="auto"/>
          <w:highlight w:val="none"/>
          <w:lang w:val="en-US" w:eastAsia="zh-CN"/>
        </w:rPr>
        <w:t>非</w:t>
      </w:r>
      <w:r>
        <w:rPr>
          <w:rFonts w:hint="eastAsia"/>
          <w:color w:val="auto"/>
          <w:highlight w:val="none"/>
        </w:rPr>
        <w:t>专门面向中小企业采购项目。</w:t>
      </w:r>
    </w:p>
    <w:p w14:paraId="41168EE3">
      <w:pPr>
        <w:spacing w:line="360" w:lineRule="auto"/>
        <w:rPr>
          <w:color w:val="auto"/>
          <w:highlight w:val="none"/>
        </w:rPr>
      </w:pPr>
      <w:r>
        <w:rPr>
          <w:rFonts w:hint="eastAsia"/>
          <w:color w:val="auto"/>
          <w:highlight w:val="none"/>
        </w:rPr>
        <w:t>3.本项目的特定资格要求：所投产品属于第二类医疗器械的，需提供有效的行政主管部门颁发的医疗器械经营备案凭证或医疗器械生产许可证；所投产品属于第三类医疗器械的，需提供有效的行政主管部门颁发的医疗器械生产许可证或医疗器械经营许可证；</w:t>
      </w:r>
    </w:p>
    <w:p w14:paraId="6C71A3F1">
      <w:pPr>
        <w:pStyle w:val="40"/>
        <w:spacing w:line="360" w:lineRule="auto"/>
        <w:ind w:left="0" w:leftChars="0" w:firstLine="0" w:firstLineChars="0"/>
        <w:rPr>
          <w:color w:val="auto"/>
          <w:highlight w:val="none"/>
        </w:rPr>
      </w:pPr>
      <w:r>
        <w:rPr>
          <w:rFonts w:hint="eastAsia"/>
          <w:color w:val="auto"/>
          <w:highlight w:val="none"/>
        </w:rPr>
        <w:t>4. 其他资格要求：</w:t>
      </w:r>
    </w:p>
    <w:p w14:paraId="415474A2">
      <w:pPr>
        <w:pStyle w:val="40"/>
        <w:spacing w:line="360" w:lineRule="auto"/>
        <w:rPr>
          <w:color w:val="auto"/>
          <w:highlight w:val="none"/>
        </w:rPr>
      </w:pPr>
      <w:r>
        <w:rPr>
          <w:rFonts w:hint="eastAsia"/>
          <w:color w:val="auto"/>
          <w:highlight w:val="none"/>
          <w:lang w:val="en-US"/>
        </w:rPr>
        <w:t>（1）</w:t>
      </w:r>
      <w:r>
        <w:rPr>
          <w:rFonts w:hint="eastAsia"/>
          <w:color w:val="auto"/>
          <w:highlight w:val="none"/>
        </w:rPr>
        <w:t>法定代表人或</w:t>
      </w:r>
      <w:r>
        <w:rPr>
          <w:rFonts w:hint="eastAsia"/>
          <w:color w:val="auto"/>
          <w:highlight w:val="none"/>
          <w:lang w:val="en-US"/>
        </w:rPr>
        <w:t>单位</w:t>
      </w:r>
      <w:r>
        <w:rPr>
          <w:rFonts w:hint="eastAsia"/>
          <w:color w:val="auto"/>
          <w:highlight w:val="none"/>
        </w:rPr>
        <w:t>负责人为同一人或者存在</w:t>
      </w:r>
      <w:r>
        <w:rPr>
          <w:rFonts w:hint="eastAsia"/>
          <w:color w:val="auto"/>
          <w:highlight w:val="none"/>
          <w:lang w:val="en-US"/>
        </w:rPr>
        <w:t>直接</w:t>
      </w:r>
      <w:r>
        <w:rPr>
          <w:rFonts w:hint="eastAsia"/>
          <w:color w:val="auto"/>
          <w:highlight w:val="none"/>
        </w:rPr>
        <w:t>控股、管理关系的</w:t>
      </w:r>
      <w:r>
        <w:rPr>
          <w:rFonts w:hint="eastAsia"/>
          <w:color w:val="auto"/>
          <w:highlight w:val="none"/>
          <w:lang w:val="en-US"/>
        </w:rPr>
        <w:t>不同供应商</w:t>
      </w:r>
      <w:r>
        <w:rPr>
          <w:rFonts w:hint="eastAsia"/>
          <w:color w:val="auto"/>
          <w:highlight w:val="none"/>
        </w:rPr>
        <w:t>，不得参加同一合同项下的政府采购活动。</w:t>
      </w:r>
    </w:p>
    <w:p w14:paraId="34C6A0B8">
      <w:pPr>
        <w:pStyle w:val="40"/>
        <w:spacing w:line="360" w:lineRule="auto"/>
        <w:rPr>
          <w:color w:val="auto"/>
          <w:highlight w:val="none"/>
        </w:rPr>
      </w:pPr>
      <w:r>
        <w:rPr>
          <w:rFonts w:hint="eastAsia"/>
          <w:color w:val="auto"/>
          <w:highlight w:val="none"/>
          <w:lang w:val="en-US"/>
        </w:rPr>
        <w:t>（2）</w:t>
      </w:r>
      <w:r>
        <w:rPr>
          <w:rFonts w:hint="eastAsia"/>
          <w:color w:val="auto"/>
          <w:highlight w:val="none"/>
        </w:rPr>
        <w:t>除单一来源采购项目外，为采购项目提供整体设计、规范编制或者项目管理、监理、检测等服务的供应商，不得再参加该采购项目的其他采购活动。</w:t>
      </w:r>
    </w:p>
    <w:p w14:paraId="32233328">
      <w:pPr>
        <w:pStyle w:val="40"/>
        <w:spacing w:line="360" w:lineRule="auto"/>
        <w:rPr>
          <w:color w:val="auto"/>
          <w:highlight w:val="none"/>
        </w:rPr>
      </w:pPr>
      <w:r>
        <w:rPr>
          <w:rFonts w:hint="eastAsia"/>
          <w:color w:val="auto"/>
          <w:highlight w:val="none"/>
          <w:lang w:val="hr-HR"/>
        </w:rPr>
        <w:t>（</w:t>
      </w:r>
      <w:r>
        <w:rPr>
          <w:rFonts w:hint="eastAsia"/>
          <w:color w:val="auto"/>
          <w:highlight w:val="none"/>
        </w:rPr>
        <w:t>3）</w:t>
      </w:r>
      <w:r>
        <w:rPr>
          <w:rFonts w:hint="eastAsia"/>
          <w:color w:val="auto"/>
          <w:highlight w:val="none"/>
          <w:lang w:val="hr-HR"/>
        </w:rPr>
        <w:t>供应商的信用行为：在</w:t>
      </w:r>
      <w:r>
        <w:rPr>
          <w:rFonts w:hint="eastAsia"/>
          <w:color w:val="auto"/>
          <w:highlight w:val="none"/>
        </w:rPr>
        <w:t>资格审查阶段经查询</w:t>
      </w:r>
      <w:r>
        <w:rPr>
          <w:rFonts w:hint="eastAsia"/>
          <w:color w:val="auto"/>
          <w:highlight w:val="none"/>
          <w:lang w:val="hr-HR"/>
        </w:rPr>
        <w:t>，</w:t>
      </w:r>
      <w:r>
        <w:rPr>
          <w:rFonts w:hint="eastAsia"/>
          <w:color w:val="auto"/>
          <w:highlight w:val="none"/>
        </w:rPr>
        <w:t>未被列入“失信被执行人”、“重大税收违法失信主体名单”、“政府采购严重违法失信行为记录名单”</w:t>
      </w:r>
      <w:r>
        <w:rPr>
          <w:rFonts w:hint="eastAsia"/>
          <w:color w:val="auto"/>
          <w:highlight w:val="none"/>
          <w:lang w:val="hr-HR"/>
        </w:rPr>
        <w:t>其中之一。如有以上不良信用记录</w:t>
      </w:r>
      <w:r>
        <w:rPr>
          <w:rFonts w:hint="eastAsia"/>
          <w:color w:val="auto"/>
          <w:highlight w:val="none"/>
        </w:rPr>
        <w:t>之一的，</w:t>
      </w:r>
      <w:r>
        <w:rPr>
          <w:rFonts w:hint="eastAsia"/>
          <w:color w:val="auto"/>
          <w:highlight w:val="none"/>
          <w:lang w:val="hr-HR"/>
        </w:rPr>
        <w:t>其</w:t>
      </w:r>
      <w:r>
        <w:rPr>
          <w:rFonts w:hint="eastAsia"/>
          <w:b/>
          <w:bCs/>
          <w:color w:val="auto"/>
          <w:highlight w:val="none"/>
          <w:lang w:val="hr-HR"/>
        </w:rPr>
        <w:t>投标</w:t>
      </w:r>
      <w:r>
        <w:rPr>
          <w:rFonts w:hint="eastAsia"/>
          <w:b/>
          <w:bCs/>
          <w:color w:val="auto"/>
          <w:highlight w:val="none"/>
        </w:rPr>
        <w:t>无效</w:t>
      </w:r>
      <w:r>
        <w:rPr>
          <w:rFonts w:hint="eastAsia"/>
          <w:color w:val="auto"/>
          <w:highlight w:val="none"/>
          <w:lang w:val="hr-HR"/>
        </w:rPr>
        <w:t>。</w:t>
      </w:r>
    </w:p>
    <w:p w14:paraId="792F1DD2">
      <w:pPr>
        <w:pStyle w:val="3"/>
        <w:rPr>
          <w:color w:val="auto"/>
          <w:highlight w:val="none"/>
          <w:lang w:val="hr-HR"/>
        </w:rPr>
      </w:pPr>
      <w:bookmarkStart w:id="44" w:name="_Toc109899412"/>
      <w:bookmarkStart w:id="45" w:name="_Toc109900250"/>
      <w:bookmarkStart w:id="46" w:name="_Toc23301"/>
      <w:bookmarkStart w:id="47" w:name="_Toc5466"/>
      <w:bookmarkStart w:id="48" w:name="_Toc27361"/>
      <w:bookmarkStart w:id="49" w:name="_Toc21810"/>
      <w:bookmarkStart w:id="50" w:name="_Toc155185862"/>
      <w:bookmarkStart w:id="51" w:name="_Toc109899831"/>
      <w:bookmarkStart w:id="52" w:name="_Toc163492814"/>
      <w:bookmarkStart w:id="53" w:name="_Toc140132747"/>
      <w:bookmarkStart w:id="54" w:name="_Toc13839"/>
      <w:r>
        <w:rPr>
          <w:rFonts w:hint="eastAsia"/>
          <w:color w:val="auto"/>
          <w:highlight w:val="none"/>
        </w:rPr>
        <w:t>三、</w:t>
      </w:r>
      <w:r>
        <w:rPr>
          <w:rFonts w:hint="eastAsia" w:eastAsia="宋体"/>
          <w:color w:val="auto"/>
          <w:sz w:val="28"/>
          <w:szCs w:val="28"/>
          <w:highlight w:val="none"/>
          <w:lang w:val="hr-HR"/>
        </w:rPr>
        <w:t>获取招标文件</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Pr>
          <w:rFonts w:hint="eastAsia" w:eastAsia="宋体"/>
          <w:color w:val="auto"/>
          <w:sz w:val="28"/>
          <w:szCs w:val="28"/>
          <w:highlight w:val="none"/>
          <w:lang w:val="hr-HR"/>
        </w:rPr>
        <w:t xml:space="preserve"> </w:t>
      </w:r>
    </w:p>
    <w:p w14:paraId="7ACABBBE">
      <w:pPr>
        <w:pStyle w:val="40"/>
        <w:spacing w:line="360" w:lineRule="auto"/>
        <w:rPr>
          <w:color w:val="auto"/>
          <w:highlight w:val="none"/>
          <w:lang w:val="hr-HR"/>
        </w:rPr>
      </w:pPr>
      <w:bookmarkStart w:id="55" w:name="_Hlk130457234"/>
      <w:bookmarkStart w:id="56" w:name="_Hlk130457327"/>
      <w:bookmarkStart w:id="57" w:name="_Hlk130457261"/>
      <w:bookmarkStart w:id="58" w:name="_Toc28359015"/>
      <w:bookmarkStart w:id="59" w:name="_Toc28359092"/>
      <w:bookmarkStart w:id="60" w:name="_Toc35393801"/>
      <w:bookmarkStart w:id="61" w:name="_Toc35393632"/>
      <w:r>
        <w:rPr>
          <w:rFonts w:hint="eastAsia"/>
          <w:color w:val="auto"/>
          <w:highlight w:val="none"/>
          <w:lang w:val="hr-HR"/>
        </w:rPr>
        <w:t>1.时间：</w:t>
      </w:r>
      <w:r>
        <w:rPr>
          <w:color w:val="auto"/>
          <w:highlight w:val="none"/>
        </w:rPr>
        <w:t>2026</w:t>
      </w:r>
      <w:r>
        <w:rPr>
          <w:rFonts w:hint="eastAsia"/>
          <w:color w:val="auto"/>
          <w:highlight w:val="none"/>
        </w:rPr>
        <w:t>年</w:t>
      </w:r>
      <w:r>
        <w:rPr>
          <w:rFonts w:hint="eastAsia"/>
          <w:color w:val="auto"/>
          <w:highlight w:val="none"/>
          <w:lang w:val="en-US" w:eastAsia="zh-CN"/>
        </w:rPr>
        <w:t>4</w:t>
      </w:r>
      <w:r>
        <w:rPr>
          <w:rFonts w:hint="eastAsia"/>
          <w:color w:val="auto"/>
          <w:highlight w:val="none"/>
        </w:rPr>
        <w:t>月</w:t>
      </w:r>
      <w:r>
        <w:rPr>
          <w:rFonts w:hint="eastAsia"/>
          <w:color w:val="auto"/>
          <w:highlight w:val="none"/>
          <w:lang w:val="en-US" w:eastAsia="zh-CN"/>
        </w:rPr>
        <w:t>30</w:t>
      </w:r>
      <w:r>
        <w:rPr>
          <w:rFonts w:hint="eastAsia"/>
          <w:color w:val="auto"/>
          <w:highlight w:val="none"/>
        </w:rPr>
        <w:t>日</w:t>
      </w:r>
      <w:r>
        <w:rPr>
          <w:color w:val="auto"/>
          <w:highlight w:val="none"/>
        </w:rPr>
        <w:t>00</w:t>
      </w:r>
      <w:r>
        <w:rPr>
          <w:rFonts w:hint="eastAsia"/>
          <w:color w:val="auto"/>
          <w:highlight w:val="none"/>
        </w:rPr>
        <w:t>时</w:t>
      </w:r>
      <w:r>
        <w:rPr>
          <w:color w:val="auto"/>
          <w:highlight w:val="none"/>
        </w:rPr>
        <w:t>00</w:t>
      </w:r>
      <w:r>
        <w:rPr>
          <w:rFonts w:hint="eastAsia"/>
          <w:color w:val="auto"/>
          <w:highlight w:val="none"/>
        </w:rPr>
        <w:t>分</w:t>
      </w:r>
      <w:r>
        <w:rPr>
          <w:rFonts w:hint="eastAsia"/>
          <w:color w:val="auto"/>
          <w:highlight w:val="none"/>
          <w:lang w:val="hr-HR"/>
        </w:rPr>
        <w:t>至</w:t>
      </w:r>
      <w:r>
        <w:rPr>
          <w:color w:val="auto"/>
          <w:highlight w:val="none"/>
          <w:lang w:val="hr-HR"/>
        </w:rPr>
        <w:t>2026</w:t>
      </w:r>
      <w:r>
        <w:rPr>
          <w:rFonts w:hint="eastAsia"/>
          <w:color w:val="auto"/>
          <w:highlight w:val="none"/>
        </w:rPr>
        <w:t>年</w:t>
      </w:r>
      <w:r>
        <w:rPr>
          <w:rFonts w:hint="eastAsia"/>
          <w:color w:val="auto"/>
          <w:highlight w:val="none"/>
          <w:lang w:val="en-US" w:eastAsia="zh-CN"/>
        </w:rPr>
        <w:t>5</w:t>
      </w:r>
      <w:r>
        <w:rPr>
          <w:rFonts w:hint="eastAsia"/>
          <w:color w:val="auto"/>
          <w:highlight w:val="none"/>
        </w:rPr>
        <w:t>月</w:t>
      </w:r>
      <w:r>
        <w:rPr>
          <w:rFonts w:hint="eastAsia"/>
          <w:color w:val="auto"/>
          <w:highlight w:val="none"/>
          <w:lang w:val="en-US" w:eastAsia="zh-CN"/>
        </w:rPr>
        <w:t>11</w:t>
      </w:r>
      <w:r>
        <w:rPr>
          <w:rFonts w:hint="eastAsia"/>
          <w:color w:val="auto"/>
          <w:highlight w:val="none"/>
        </w:rPr>
        <w:t>日</w:t>
      </w:r>
      <w:r>
        <w:rPr>
          <w:color w:val="auto"/>
          <w:highlight w:val="none"/>
        </w:rPr>
        <w:t>23</w:t>
      </w:r>
      <w:r>
        <w:rPr>
          <w:rFonts w:hint="eastAsia"/>
          <w:color w:val="auto"/>
          <w:highlight w:val="none"/>
        </w:rPr>
        <w:t>时</w:t>
      </w:r>
      <w:r>
        <w:rPr>
          <w:color w:val="auto"/>
          <w:highlight w:val="none"/>
        </w:rPr>
        <w:t>59</w:t>
      </w:r>
      <w:r>
        <w:rPr>
          <w:rFonts w:hint="eastAsia"/>
          <w:color w:val="auto"/>
          <w:highlight w:val="none"/>
        </w:rPr>
        <w:t>分</w:t>
      </w:r>
      <w:r>
        <w:rPr>
          <w:rFonts w:hint="eastAsia"/>
          <w:color w:val="auto"/>
          <w:highlight w:val="none"/>
          <w:lang w:val="hr-HR"/>
        </w:rPr>
        <w:t>（北京时间）。</w:t>
      </w:r>
    </w:p>
    <w:bookmarkEnd w:id="55"/>
    <w:p w14:paraId="7D07936F">
      <w:pPr>
        <w:pStyle w:val="40"/>
        <w:spacing w:line="360" w:lineRule="auto"/>
        <w:rPr>
          <w:color w:val="auto"/>
          <w:highlight w:val="none"/>
          <w:lang w:val="hr-HR"/>
        </w:rPr>
      </w:pPr>
      <w:r>
        <w:rPr>
          <w:rFonts w:hint="eastAsia"/>
          <w:color w:val="auto"/>
          <w:highlight w:val="none"/>
          <w:lang w:val="hr-HR"/>
        </w:rPr>
        <w:t>2.</w:t>
      </w:r>
      <w:r>
        <w:rPr>
          <w:rFonts w:hint="eastAsia"/>
          <w:color w:val="auto"/>
          <w:highlight w:val="none"/>
        </w:rPr>
        <w:t>地点</w:t>
      </w:r>
      <w:r>
        <w:rPr>
          <w:rFonts w:hint="eastAsia"/>
          <w:color w:val="auto"/>
          <w:highlight w:val="none"/>
          <w:lang w:val="hr-HR"/>
        </w:rPr>
        <w:t>：</w:t>
      </w:r>
      <w:bookmarkStart w:id="62" w:name="_Hlk89807779"/>
      <w:r>
        <w:rPr>
          <w:rFonts w:hint="eastAsia"/>
          <w:color w:val="auto"/>
          <w:highlight w:val="none"/>
          <w:lang w:val="en-US"/>
        </w:rPr>
        <w:t>政采云平台线上</w:t>
      </w:r>
      <w:r>
        <w:rPr>
          <w:rFonts w:hint="eastAsia"/>
          <w:color w:val="auto"/>
          <w:highlight w:val="none"/>
          <w:lang w:val="hr-HR"/>
        </w:rPr>
        <w:t>（</w:t>
      </w:r>
      <w:r>
        <w:rPr>
          <w:rFonts w:hint="eastAsia"/>
          <w:color w:val="auto"/>
          <w:highlight w:val="none"/>
          <w:lang w:val="en-US"/>
        </w:rPr>
        <w:t>网址</w:t>
      </w:r>
      <w:r>
        <w:rPr>
          <w:rFonts w:hint="eastAsia"/>
          <w:color w:val="auto"/>
          <w:highlight w:val="none"/>
          <w:lang w:val="hr-HR"/>
        </w:rPr>
        <w:t>：https://www.zcygov.cn/）</w:t>
      </w:r>
      <w:r>
        <w:rPr>
          <w:rFonts w:hint="eastAsia"/>
          <w:color w:val="auto"/>
          <w:highlight w:val="none"/>
        </w:rPr>
        <w:t>。</w:t>
      </w:r>
      <w:bookmarkEnd w:id="62"/>
    </w:p>
    <w:p w14:paraId="0BD36CD1">
      <w:pPr>
        <w:pStyle w:val="40"/>
        <w:spacing w:line="360" w:lineRule="auto"/>
        <w:rPr>
          <w:color w:val="auto"/>
          <w:highlight w:val="none"/>
          <w:lang w:val="hr-HR"/>
        </w:rPr>
      </w:pPr>
      <w:r>
        <w:rPr>
          <w:rFonts w:hint="eastAsia"/>
          <w:color w:val="auto"/>
          <w:highlight w:val="none"/>
          <w:lang w:val="hr-HR"/>
        </w:rPr>
        <w:t>3.</w:t>
      </w:r>
      <w:r>
        <w:rPr>
          <w:rFonts w:hint="eastAsia"/>
          <w:color w:val="auto"/>
          <w:highlight w:val="none"/>
        </w:rPr>
        <w:t>方式</w:t>
      </w:r>
      <w:r>
        <w:rPr>
          <w:rFonts w:hint="eastAsia"/>
          <w:color w:val="auto"/>
          <w:highlight w:val="none"/>
          <w:lang w:val="hr-HR"/>
        </w:rPr>
        <w:t>：</w:t>
      </w:r>
      <w:r>
        <w:rPr>
          <w:rFonts w:hint="eastAsia"/>
          <w:color w:val="auto"/>
          <w:highlight w:val="none"/>
        </w:rPr>
        <w:t>投标供应商登录政采云平台</w:t>
      </w:r>
      <w:r>
        <w:rPr>
          <w:rFonts w:hint="eastAsia"/>
          <w:color w:val="auto"/>
          <w:highlight w:val="none"/>
          <w:lang w:val="hr-HR"/>
        </w:rPr>
        <w:t>https://www.zcygov.cn/</w:t>
      </w:r>
      <w:r>
        <w:rPr>
          <w:rFonts w:hint="eastAsia"/>
          <w:color w:val="auto"/>
          <w:highlight w:val="none"/>
        </w:rPr>
        <w:t>在线申请</w:t>
      </w:r>
      <w:r>
        <w:rPr>
          <w:rFonts w:hint="eastAsia"/>
          <w:color w:val="auto"/>
          <w:highlight w:val="none"/>
          <w:lang w:val="hr-HR"/>
        </w:rPr>
        <w:t>，</w:t>
      </w:r>
      <w:r>
        <w:rPr>
          <w:rFonts w:hint="eastAsia"/>
          <w:color w:val="auto"/>
          <w:highlight w:val="none"/>
        </w:rPr>
        <w:t>免费获取电子采购文件</w:t>
      </w:r>
      <w:r>
        <w:rPr>
          <w:rFonts w:hint="eastAsia"/>
          <w:color w:val="auto"/>
          <w:highlight w:val="none"/>
          <w:lang w:val="hr-HR"/>
        </w:rPr>
        <w:t>（</w:t>
      </w:r>
      <w:r>
        <w:rPr>
          <w:rFonts w:hint="eastAsia"/>
          <w:color w:val="auto"/>
          <w:highlight w:val="none"/>
        </w:rPr>
        <w:t>进入</w:t>
      </w:r>
      <w:r>
        <w:rPr>
          <w:rFonts w:hint="eastAsia"/>
          <w:color w:val="auto"/>
          <w:highlight w:val="none"/>
          <w:lang w:val="hr-HR"/>
        </w:rPr>
        <w:t>“</w:t>
      </w:r>
      <w:r>
        <w:rPr>
          <w:rFonts w:hint="eastAsia"/>
          <w:color w:val="auto"/>
          <w:highlight w:val="none"/>
        </w:rPr>
        <w:t>项目采购</w:t>
      </w:r>
      <w:r>
        <w:rPr>
          <w:rFonts w:hint="eastAsia"/>
          <w:color w:val="auto"/>
          <w:highlight w:val="none"/>
          <w:lang w:val="hr-HR"/>
        </w:rPr>
        <w:t>”</w:t>
      </w:r>
      <w:r>
        <w:rPr>
          <w:rFonts w:hint="eastAsia"/>
          <w:color w:val="auto"/>
          <w:highlight w:val="none"/>
        </w:rPr>
        <w:t>应用</w:t>
      </w:r>
      <w:r>
        <w:rPr>
          <w:rFonts w:hint="eastAsia"/>
          <w:color w:val="auto"/>
          <w:highlight w:val="none"/>
          <w:lang w:val="hr-HR"/>
        </w:rPr>
        <w:t>，</w:t>
      </w:r>
      <w:r>
        <w:rPr>
          <w:rFonts w:hint="eastAsia"/>
          <w:color w:val="auto"/>
          <w:highlight w:val="none"/>
        </w:rPr>
        <w:t>在获取采购文件菜单中选择项目</w:t>
      </w:r>
      <w:r>
        <w:rPr>
          <w:rFonts w:hint="eastAsia"/>
          <w:color w:val="auto"/>
          <w:highlight w:val="none"/>
          <w:lang w:val="hr-HR"/>
        </w:rPr>
        <w:t>，</w:t>
      </w:r>
      <w:r>
        <w:rPr>
          <w:rFonts w:hint="eastAsia"/>
          <w:color w:val="auto"/>
          <w:highlight w:val="none"/>
        </w:rPr>
        <w:t>申请获取采购文件</w:t>
      </w:r>
      <w:r>
        <w:rPr>
          <w:rFonts w:hint="eastAsia"/>
          <w:color w:val="auto"/>
          <w:highlight w:val="none"/>
          <w:lang w:val="hr-HR"/>
        </w:rPr>
        <w:t>）</w:t>
      </w:r>
      <w:r>
        <w:rPr>
          <w:rFonts w:hint="eastAsia"/>
          <w:color w:val="auto"/>
          <w:highlight w:val="none"/>
        </w:rPr>
        <w:t>。</w:t>
      </w:r>
    </w:p>
    <w:p w14:paraId="2FFD7191">
      <w:pPr>
        <w:pStyle w:val="40"/>
        <w:spacing w:line="360" w:lineRule="auto"/>
        <w:rPr>
          <w:color w:val="auto"/>
          <w:highlight w:val="none"/>
        </w:rPr>
      </w:pPr>
      <w:r>
        <w:rPr>
          <w:rFonts w:hint="eastAsia"/>
          <w:color w:val="auto"/>
          <w:highlight w:val="none"/>
        </w:rPr>
        <w:t>4.售价：0元。</w:t>
      </w:r>
    </w:p>
    <w:bookmarkEnd w:id="56"/>
    <w:bookmarkEnd w:id="57"/>
    <w:bookmarkEnd w:id="58"/>
    <w:bookmarkEnd w:id="59"/>
    <w:bookmarkEnd w:id="60"/>
    <w:bookmarkEnd w:id="61"/>
    <w:p w14:paraId="182F2113">
      <w:pPr>
        <w:pStyle w:val="3"/>
        <w:spacing w:line="360" w:lineRule="auto"/>
        <w:rPr>
          <w:rFonts w:hint="eastAsia" w:eastAsia="宋体"/>
          <w:color w:val="auto"/>
          <w:sz w:val="28"/>
          <w:szCs w:val="28"/>
          <w:highlight w:val="none"/>
          <w:lang w:val="hr-HR"/>
        </w:rPr>
      </w:pPr>
      <w:bookmarkStart w:id="63" w:name="_Toc155185863"/>
      <w:bookmarkStart w:id="64" w:name="_Toc163492815"/>
      <w:bookmarkStart w:id="65" w:name="_Toc109899832"/>
      <w:bookmarkStart w:id="66" w:name="_Toc109900251"/>
      <w:bookmarkStart w:id="67" w:name="_Toc109899413"/>
      <w:bookmarkStart w:id="68" w:name="_Toc140132748"/>
      <w:bookmarkStart w:id="69" w:name="_Toc27258"/>
      <w:bookmarkStart w:id="70" w:name="_Toc21751"/>
      <w:bookmarkStart w:id="71" w:name="_Toc1796"/>
      <w:bookmarkStart w:id="72" w:name="_Toc1642"/>
      <w:bookmarkStart w:id="73" w:name="_Toc32460"/>
      <w:r>
        <w:rPr>
          <w:rFonts w:hint="eastAsia" w:eastAsia="宋体"/>
          <w:color w:val="auto"/>
          <w:highlight w:val="none"/>
          <w:lang w:val="hr-HR"/>
        </w:rPr>
        <w:t>四、</w:t>
      </w:r>
      <w:bookmarkEnd w:id="63"/>
      <w:bookmarkEnd w:id="64"/>
      <w:bookmarkEnd w:id="65"/>
      <w:bookmarkEnd w:id="66"/>
      <w:bookmarkEnd w:id="67"/>
      <w:bookmarkEnd w:id="68"/>
      <w:r>
        <w:rPr>
          <w:rFonts w:hint="eastAsia" w:eastAsia="宋体"/>
          <w:color w:val="auto"/>
          <w:sz w:val="28"/>
          <w:szCs w:val="28"/>
          <w:highlight w:val="none"/>
          <w:lang w:val="hr-HR"/>
        </w:rPr>
        <w:t>提交投标文件截止时间/开标时间、递交方式和开标地点</w:t>
      </w:r>
      <w:bookmarkEnd w:id="69"/>
      <w:bookmarkEnd w:id="70"/>
      <w:bookmarkEnd w:id="71"/>
      <w:bookmarkEnd w:id="72"/>
      <w:bookmarkEnd w:id="73"/>
      <w:bookmarkStart w:id="74" w:name="_Hlk130457395"/>
      <w:bookmarkStart w:id="75" w:name="_Toc28359094"/>
      <w:bookmarkStart w:id="76" w:name="_Toc35393634"/>
      <w:bookmarkStart w:id="77" w:name="_Toc44583633"/>
      <w:bookmarkStart w:id="78" w:name="_Toc35393803"/>
      <w:bookmarkStart w:id="79" w:name="_Toc28359017"/>
    </w:p>
    <w:p w14:paraId="3DD8D2DA">
      <w:pPr>
        <w:pStyle w:val="40"/>
        <w:spacing w:line="360" w:lineRule="auto"/>
        <w:rPr>
          <w:color w:val="auto"/>
          <w:highlight w:val="none"/>
        </w:rPr>
      </w:pPr>
      <w:bookmarkStart w:id="80" w:name="_Toc28855"/>
      <w:bookmarkStart w:id="81" w:name="_Toc8573"/>
      <w:bookmarkStart w:id="82" w:name="_Toc12436"/>
      <w:bookmarkStart w:id="83" w:name="_Toc5471"/>
      <w:bookmarkStart w:id="84" w:name="_Toc12519"/>
      <w:r>
        <w:rPr>
          <w:rFonts w:hint="eastAsia"/>
          <w:color w:val="auto"/>
          <w:highlight w:val="none"/>
        </w:rPr>
        <w:t>1.截止时间/开标时间：</w:t>
      </w:r>
      <w:r>
        <w:rPr>
          <w:color w:val="auto"/>
          <w:highlight w:val="none"/>
          <w:u w:val="single"/>
          <w:lang w:val="hr-HR"/>
        </w:rPr>
        <w:t>2026</w:t>
      </w:r>
      <w:r>
        <w:rPr>
          <w:rFonts w:hint="eastAsia"/>
          <w:color w:val="auto"/>
          <w:highlight w:val="none"/>
          <w:u w:val="single"/>
        </w:rPr>
        <w:t>年</w:t>
      </w:r>
      <w:r>
        <w:rPr>
          <w:rFonts w:hint="eastAsia"/>
          <w:color w:val="auto"/>
          <w:highlight w:val="none"/>
          <w:u w:val="single"/>
          <w:lang w:val="en-US" w:eastAsia="zh-CN"/>
        </w:rPr>
        <w:t>5</w:t>
      </w:r>
      <w:r>
        <w:rPr>
          <w:rFonts w:hint="eastAsia"/>
          <w:color w:val="auto"/>
          <w:highlight w:val="none"/>
          <w:u w:val="single"/>
        </w:rPr>
        <w:t>月</w:t>
      </w:r>
      <w:r>
        <w:rPr>
          <w:rFonts w:hint="eastAsia"/>
          <w:color w:val="auto"/>
          <w:highlight w:val="none"/>
          <w:u w:val="single"/>
          <w:lang w:val="en-US" w:eastAsia="zh-CN"/>
        </w:rPr>
        <w:t>21</w:t>
      </w:r>
      <w:r>
        <w:rPr>
          <w:rFonts w:hint="eastAsia"/>
          <w:color w:val="auto"/>
          <w:highlight w:val="none"/>
          <w:u w:val="single"/>
        </w:rPr>
        <w:t>日</w:t>
      </w:r>
      <w:r>
        <w:rPr>
          <w:rFonts w:hint="eastAsia"/>
          <w:color w:val="auto"/>
          <w:highlight w:val="none"/>
          <w:u w:val="single"/>
          <w:lang w:val="en-US" w:eastAsia="zh-CN"/>
        </w:rPr>
        <w:t>11</w:t>
      </w:r>
      <w:r>
        <w:rPr>
          <w:rFonts w:hint="eastAsia"/>
          <w:color w:val="auto"/>
          <w:highlight w:val="none"/>
          <w:u w:val="single"/>
        </w:rPr>
        <w:t xml:space="preserve">时 </w:t>
      </w:r>
      <w:r>
        <w:rPr>
          <w:rFonts w:hint="eastAsia"/>
          <w:color w:val="auto"/>
          <w:highlight w:val="none"/>
          <w:u w:val="single"/>
          <w:lang w:val="en-US" w:eastAsia="zh-CN"/>
        </w:rPr>
        <w:t>00</w:t>
      </w:r>
      <w:r>
        <w:rPr>
          <w:rFonts w:hint="eastAsia"/>
          <w:color w:val="auto"/>
          <w:highlight w:val="none"/>
          <w:u w:val="single"/>
        </w:rPr>
        <w:t>分</w:t>
      </w:r>
      <w:r>
        <w:rPr>
          <w:rFonts w:hint="eastAsia"/>
          <w:color w:val="auto"/>
          <w:highlight w:val="none"/>
          <w:lang w:val="hr-HR"/>
        </w:rPr>
        <w:t>（北京时间）</w:t>
      </w:r>
      <w:r>
        <w:rPr>
          <w:rFonts w:hint="eastAsia"/>
          <w:color w:val="auto"/>
          <w:highlight w:val="none"/>
        </w:rPr>
        <w:t>。</w:t>
      </w:r>
      <w:bookmarkEnd w:id="80"/>
      <w:bookmarkEnd w:id="81"/>
      <w:bookmarkEnd w:id="82"/>
      <w:bookmarkEnd w:id="83"/>
      <w:bookmarkEnd w:id="84"/>
    </w:p>
    <w:p w14:paraId="554D5A71">
      <w:pPr>
        <w:pStyle w:val="40"/>
        <w:spacing w:line="360" w:lineRule="auto"/>
        <w:rPr>
          <w:color w:val="auto"/>
          <w:highlight w:val="none"/>
        </w:rPr>
      </w:pPr>
      <w:r>
        <w:rPr>
          <w:rFonts w:hint="eastAsia"/>
          <w:color w:val="auto"/>
          <w:highlight w:val="none"/>
        </w:rPr>
        <w:t>2.递交方式：</w:t>
      </w:r>
      <w:bookmarkStart w:id="85" w:name="_Hlk89807823"/>
      <w:r>
        <w:rPr>
          <w:rFonts w:hint="eastAsia"/>
          <w:color w:val="auto"/>
          <w:highlight w:val="none"/>
        </w:rPr>
        <w:t>在新疆政府采购电子交易云平台（网址：https://www.zcygov.cn/）进入“项目采购”应用，在投标文件上传菜单中选择项目进行上传。</w:t>
      </w:r>
      <w:bookmarkEnd w:id="85"/>
    </w:p>
    <w:p w14:paraId="6F4F633C">
      <w:pPr>
        <w:pStyle w:val="40"/>
        <w:spacing w:line="360" w:lineRule="auto"/>
        <w:rPr>
          <w:color w:val="auto"/>
          <w:highlight w:val="none"/>
        </w:rPr>
      </w:pPr>
      <w:r>
        <w:rPr>
          <w:rFonts w:hint="eastAsia"/>
          <w:color w:val="auto"/>
          <w:highlight w:val="none"/>
        </w:rPr>
        <w:t>3.开标地点：投标人登录政采云平台https://www.zcygov.cn/，进入项目采购－开标评标－右边选择对应项目点击“进入项目”进入开标大厅。</w:t>
      </w:r>
    </w:p>
    <w:bookmarkEnd w:id="74"/>
    <w:p w14:paraId="0FB7C528">
      <w:pPr>
        <w:pStyle w:val="3"/>
        <w:rPr>
          <w:color w:val="auto"/>
          <w:highlight w:val="none"/>
          <w:lang w:val="hr-HR"/>
        </w:rPr>
      </w:pPr>
      <w:bookmarkStart w:id="86" w:name="_Toc140132749"/>
      <w:bookmarkStart w:id="87" w:name="_Toc155185864"/>
      <w:bookmarkStart w:id="88" w:name="_Toc14194"/>
      <w:bookmarkStart w:id="89" w:name="_Toc6696"/>
      <w:bookmarkStart w:id="90" w:name="_Toc23037"/>
      <w:bookmarkStart w:id="91" w:name="_Toc163492816"/>
      <w:bookmarkStart w:id="92" w:name="_Toc109900252"/>
      <w:bookmarkStart w:id="93" w:name="_Toc109899833"/>
      <w:bookmarkStart w:id="94" w:name="_Toc109899414"/>
      <w:bookmarkStart w:id="95" w:name="_Toc20013"/>
      <w:bookmarkStart w:id="96" w:name="_Toc13347"/>
      <w:r>
        <w:rPr>
          <w:rFonts w:hint="eastAsia"/>
          <w:color w:val="auto"/>
          <w:highlight w:val="none"/>
        </w:rPr>
        <w:t>五、</w:t>
      </w:r>
      <w:r>
        <w:rPr>
          <w:rFonts w:hint="eastAsia"/>
          <w:color w:val="auto"/>
          <w:highlight w:val="none"/>
          <w:lang w:val="hr-HR"/>
        </w:rPr>
        <w:t>公告期限</w:t>
      </w:r>
      <w:bookmarkEnd w:id="75"/>
      <w:bookmarkEnd w:id="76"/>
      <w:bookmarkEnd w:id="77"/>
      <w:bookmarkEnd w:id="78"/>
      <w:bookmarkEnd w:id="79"/>
      <w:bookmarkEnd w:id="86"/>
      <w:bookmarkEnd w:id="87"/>
      <w:bookmarkEnd w:id="88"/>
      <w:bookmarkEnd w:id="89"/>
      <w:bookmarkEnd w:id="90"/>
      <w:bookmarkEnd w:id="91"/>
      <w:bookmarkEnd w:id="92"/>
      <w:bookmarkEnd w:id="93"/>
      <w:bookmarkEnd w:id="94"/>
      <w:bookmarkEnd w:id="95"/>
      <w:bookmarkEnd w:id="96"/>
    </w:p>
    <w:p w14:paraId="4609AD7C">
      <w:pPr>
        <w:pStyle w:val="40"/>
        <w:rPr>
          <w:color w:val="auto"/>
          <w:highlight w:val="none"/>
        </w:rPr>
      </w:pPr>
      <w:r>
        <w:rPr>
          <w:rFonts w:hint="eastAsia"/>
          <w:color w:val="auto"/>
          <w:highlight w:val="none"/>
        </w:rPr>
        <w:t>自招标公告发布之日起5个工作日。</w:t>
      </w:r>
    </w:p>
    <w:p w14:paraId="2CF3A38D">
      <w:pPr>
        <w:pStyle w:val="3"/>
        <w:rPr>
          <w:color w:val="auto"/>
          <w:highlight w:val="none"/>
          <w:lang w:val="hr-HR"/>
        </w:rPr>
      </w:pPr>
      <w:bookmarkStart w:id="97" w:name="_Toc155185865"/>
      <w:bookmarkStart w:id="98" w:name="_Toc163492817"/>
      <w:bookmarkStart w:id="99" w:name="_Toc21248"/>
      <w:bookmarkStart w:id="100" w:name="_Toc44583634"/>
      <w:bookmarkStart w:id="101" w:name="_Toc30667"/>
      <w:bookmarkStart w:id="102" w:name="_Toc35393635"/>
      <w:bookmarkStart w:id="103" w:name="_Toc7878"/>
      <w:bookmarkStart w:id="104" w:name="_Toc109899834"/>
      <w:bookmarkStart w:id="105" w:name="_Toc35393804"/>
      <w:bookmarkStart w:id="106" w:name="_Toc14182"/>
      <w:bookmarkStart w:id="107" w:name="_Toc109900253"/>
      <w:bookmarkStart w:id="108" w:name="_Toc140132750"/>
      <w:bookmarkStart w:id="109" w:name="_Toc7635"/>
      <w:bookmarkStart w:id="110" w:name="_Toc109899415"/>
      <w:r>
        <w:rPr>
          <w:rFonts w:hint="eastAsia"/>
          <w:color w:val="auto"/>
          <w:highlight w:val="none"/>
        </w:rPr>
        <w:t>六、</w:t>
      </w:r>
      <w:r>
        <w:rPr>
          <w:rFonts w:hint="eastAsia"/>
          <w:color w:val="auto"/>
          <w:highlight w:val="none"/>
          <w:lang w:val="hr-HR"/>
        </w:rPr>
        <w:t>其他补充事宜</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6E65E185">
      <w:pPr>
        <w:spacing w:line="360" w:lineRule="auto"/>
        <w:ind w:firstLine="480" w:firstLineChars="200"/>
        <w:rPr>
          <w:color w:val="auto"/>
          <w:highlight w:val="none"/>
        </w:rPr>
      </w:pPr>
      <w:bookmarkStart w:id="111" w:name="_Toc28359095"/>
      <w:bookmarkStart w:id="112" w:name="_Toc35393805"/>
      <w:bookmarkStart w:id="113" w:name="_Toc109899835"/>
      <w:bookmarkStart w:id="114" w:name="_Toc28359018"/>
      <w:bookmarkStart w:id="115" w:name="_Toc35393636"/>
      <w:bookmarkStart w:id="116" w:name="_Toc109900254"/>
      <w:bookmarkStart w:id="117" w:name="_Toc163492818"/>
      <w:bookmarkStart w:id="118" w:name="_Toc44583635"/>
      <w:bookmarkStart w:id="119" w:name="_Toc109899416"/>
      <w:bookmarkStart w:id="120" w:name="_Toc140132751"/>
      <w:bookmarkStart w:id="121" w:name="_Toc155185866"/>
      <w:bookmarkStart w:id="122" w:name="_Toc19771"/>
      <w:bookmarkStart w:id="123" w:name="_Toc22960"/>
      <w:bookmarkStart w:id="124" w:name="_Toc14349"/>
      <w:bookmarkStart w:id="125" w:name="_Toc10795"/>
      <w:r>
        <w:rPr>
          <w:rFonts w:hint="eastAsia"/>
          <w:color w:val="auto"/>
          <w:highlight w:val="none"/>
        </w:rPr>
        <w:t>1、本项目实行网上投标，采用电子投标文件。</w:t>
      </w:r>
    </w:p>
    <w:p w14:paraId="745E707C">
      <w:pPr>
        <w:spacing w:line="360" w:lineRule="auto"/>
        <w:ind w:firstLine="480" w:firstLineChars="200"/>
        <w:rPr>
          <w:color w:val="auto"/>
          <w:highlight w:val="none"/>
        </w:rPr>
      </w:pPr>
      <w:r>
        <w:rPr>
          <w:rFonts w:hint="eastAsia"/>
          <w:color w:val="auto"/>
          <w:highlight w:val="none"/>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3CEB4AD9">
      <w:pPr>
        <w:spacing w:line="360" w:lineRule="auto"/>
        <w:ind w:firstLine="480" w:firstLineChars="200"/>
        <w:rPr>
          <w:color w:val="auto"/>
          <w:highlight w:val="none"/>
        </w:rPr>
      </w:pPr>
      <w:r>
        <w:rPr>
          <w:rFonts w:hint="eastAsia"/>
          <w:color w:val="auto"/>
          <w:highlight w:val="none"/>
        </w:rPr>
        <w:t>3、供应商将政采云电子交易客户端下载、安装完成后，可通过账号密码或CA登录客户端进行投标文件的制作。在使用政采云投标客户端时，建议使用WIN7及以上操作系统。</w:t>
      </w:r>
    </w:p>
    <w:p w14:paraId="1321DBC1">
      <w:pPr>
        <w:spacing w:line="360" w:lineRule="auto"/>
        <w:ind w:firstLine="480" w:firstLineChars="200"/>
        <w:rPr>
          <w:color w:val="auto"/>
          <w:highlight w:val="none"/>
        </w:rPr>
      </w:pPr>
      <w:r>
        <w:rPr>
          <w:rFonts w:hint="eastAsia"/>
          <w:color w:val="auto"/>
          <w:highlight w:val="none"/>
        </w:rPr>
        <w:t>4、其他事项：①如需咨询，可联系新疆CA服务热线 0991-2819290；②供应商须注意事项：1)本项目实行电子招投标，供应商须登录政采云平台https://www.zcygov.cn/申请获取招标文件，并通过政采云电子投标客户端制作响应文件，同时自行承担与投标有关的一切费用；2）根据国办函〔2019〕41号文促进数字证书（CA）跨平台、跨部门、跨区域互认要求，政府采购云平台目前已支持包括新疆CA、翔晟CA及汇信CA等多家CA的办理及使用。供应商可通过政府采购网-办理指南—供应商—CA证书办理操作指南-进入CA办理界面，按需选择办理任意一家CA厂商的数字证书。CA证书办理操作指南链接：http://u3v.cn/5F3afc；3）客户端请至政采云平台https://www.zcygov.cn/下载专区查看，如有问题可拨打政采云客户服务热线95763进行咨询。如因供应商自身原因导致在规定时间内无法正常解密的（如：浏览器故障、未安装相关驱动、网络故障、加密CA与解密CA不一致等），采购代理机构不予异常处理，视为供应商自动弃标。4）本项目采用不见面开标，供应商须在投标截止时间前通过CA在政采云平台上传加密的电子响应文件。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7506C8B4">
      <w:pPr>
        <w:pStyle w:val="3"/>
        <w:rPr>
          <w:color w:val="auto"/>
          <w:highlight w:val="none"/>
          <w:lang w:val="hr-HR"/>
        </w:rPr>
      </w:pPr>
      <w:bookmarkStart w:id="126" w:name="_Toc20593"/>
      <w:r>
        <w:rPr>
          <w:rFonts w:hint="eastAsia"/>
          <w:color w:val="auto"/>
          <w:highlight w:val="none"/>
        </w:rPr>
        <w:t>七、</w:t>
      </w:r>
      <w:bookmarkEnd w:id="111"/>
      <w:bookmarkEnd w:id="112"/>
      <w:bookmarkEnd w:id="113"/>
      <w:bookmarkEnd w:id="114"/>
      <w:bookmarkEnd w:id="115"/>
      <w:bookmarkEnd w:id="116"/>
      <w:bookmarkEnd w:id="117"/>
      <w:bookmarkEnd w:id="118"/>
      <w:bookmarkEnd w:id="119"/>
      <w:bookmarkEnd w:id="120"/>
      <w:bookmarkEnd w:id="121"/>
      <w:r>
        <w:rPr>
          <w:rFonts w:hint="eastAsia"/>
          <w:color w:val="auto"/>
          <w:highlight w:val="none"/>
          <w:lang w:val="hr-HR"/>
        </w:rPr>
        <w:t>对本次</w:t>
      </w:r>
      <w:r>
        <w:rPr>
          <w:rFonts w:hint="eastAsia"/>
          <w:color w:val="auto"/>
          <w:highlight w:val="none"/>
        </w:rPr>
        <w:t>招标</w:t>
      </w:r>
      <w:r>
        <w:rPr>
          <w:rFonts w:hint="eastAsia"/>
          <w:color w:val="auto"/>
          <w:highlight w:val="none"/>
          <w:lang w:val="hr-HR"/>
        </w:rPr>
        <w:t>提出询问，请按以下方式联系</w:t>
      </w:r>
      <w:bookmarkEnd w:id="122"/>
      <w:bookmarkEnd w:id="123"/>
      <w:bookmarkEnd w:id="124"/>
      <w:bookmarkEnd w:id="125"/>
      <w:bookmarkEnd w:id="126"/>
    </w:p>
    <w:p w14:paraId="36E43E25">
      <w:pPr>
        <w:pStyle w:val="40"/>
        <w:spacing w:line="360" w:lineRule="auto"/>
        <w:rPr>
          <w:color w:val="auto"/>
          <w:highlight w:val="none"/>
        </w:rPr>
      </w:pPr>
      <w:r>
        <w:rPr>
          <w:rFonts w:hint="eastAsia"/>
          <w:color w:val="auto"/>
          <w:highlight w:val="none"/>
        </w:rPr>
        <w:t>1.采购人信息</w:t>
      </w:r>
    </w:p>
    <w:p w14:paraId="25F26143">
      <w:pPr>
        <w:pStyle w:val="40"/>
        <w:spacing w:line="360" w:lineRule="auto"/>
        <w:rPr>
          <w:rFonts w:hint="eastAsia" w:eastAsia="宋体"/>
          <w:color w:val="auto"/>
          <w:highlight w:val="none"/>
          <w:lang w:eastAsia="zh-CN"/>
        </w:rPr>
      </w:pPr>
      <w:r>
        <w:rPr>
          <w:rFonts w:hint="eastAsia"/>
          <w:color w:val="auto"/>
          <w:highlight w:val="none"/>
        </w:rPr>
        <w:t>名称：</w:t>
      </w:r>
      <w:r>
        <w:rPr>
          <w:rFonts w:hint="eastAsia"/>
          <w:color w:val="auto"/>
          <w:highlight w:val="none"/>
          <w:lang w:eastAsia="zh-CN"/>
        </w:rPr>
        <w:t>新疆医科大学附属肿瘤医院</w:t>
      </w:r>
    </w:p>
    <w:p w14:paraId="21A007E5">
      <w:pPr>
        <w:pStyle w:val="40"/>
        <w:spacing w:line="360" w:lineRule="auto"/>
        <w:rPr>
          <w:rFonts w:hint="eastAsia" w:eastAsia="宋体"/>
          <w:color w:val="auto"/>
          <w:highlight w:val="none"/>
          <w:lang w:eastAsia="zh-CN"/>
        </w:rPr>
      </w:pPr>
      <w:r>
        <w:rPr>
          <w:rFonts w:hint="eastAsia"/>
          <w:color w:val="auto"/>
          <w:highlight w:val="none"/>
        </w:rPr>
        <w:t>地址：</w:t>
      </w:r>
      <w:r>
        <w:rPr>
          <w:rFonts w:hint="eastAsia"/>
          <w:color w:val="auto"/>
          <w:highlight w:val="none"/>
          <w:lang w:eastAsia="zh-CN"/>
        </w:rPr>
        <w:t>乌鲁木齐市苏州东街789号</w:t>
      </w:r>
    </w:p>
    <w:p w14:paraId="0BFA6A12">
      <w:pPr>
        <w:pStyle w:val="40"/>
        <w:spacing w:line="360" w:lineRule="auto"/>
        <w:rPr>
          <w:color w:val="auto"/>
          <w:highlight w:val="none"/>
        </w:rPr>
      </w:pPr>
      <w:r>
        <w:rPr>
          <w:rFonts w:hint="eastAsia"/>
          <w:color w:val="auto"/>
          <w:highlight w:val="none"/>
        </w:rPr>
        <w:t xml:space="preserve">联系人：王老师 </w:t>
      </w:r>
    </w:p>
    <w:p w14:paraId="0B0A60D5">
      <w:pPr>
        <w:pStyle w:val="40"/>
        <w:spacing w:line="360" w:lineRule="auto"/>
        <w:rPr>
          <w:color w:val="auto"/>
          <w:highlight w:val="none"/>
        </w:rPr>
      </w:pPr>
      <w:r>
        <w:rPr>
          <w:rFonts w:hint="eastAsia"/>
          <w:color w:val="auto"/>
          <w:highlight w:val="none"/>
        </w:rPr>
        <w:t xml:space="preserve">联系方式：09917819055  </w:t>
      </w:r>
    </w:p>
    <w:p w14:paraId="6A96F4B1">
      <w:pPr>
        <w:pStyle w:val="40"/>
        <w:spacing w:line="360" w:lineRule="auto"/>
        <w:rPr>
          <w:color w:val="auto"/>
          <w:highlight w:val="none"/>
        </w:rPr>
      </w:pPr>
      <w:r>
        <w:rPr>
          <w:rFonts w:hint="eastAsia"/>
          <w:color w:val="auto"/>
          <w:highlight w:val="none"/>
        </w:rPr>
        <w:t>2.采购代理机构信息</w:t>
      </w:r>
    </w:p>
    <w:p w14:paraId="1E481313">
      <w:pPr>
        <w:pStyle w:val="40"/>
        <w:spacing w:line="360" w:lineRule="auto"/>
        <w:rPr>
          <w:rFonts w:hint="eastAsia" w:eastAsia="宋体"/>
          <w:color w:val="auto"/>
          <w:highlight w:val="none"/>
          <w:lang w:eastAsia="zh-CN"/>
        </w:rPr>
      </w:pPr>
      <w:r>
        <w:rPr>
          <w:rFonts w:hint="eastAsia"/>
          <w:color w:val="auto"/>
          <w:highlight w:val="none"/>
        </w:rPr>
        <w:t>名称：</w:t>
      </w:r>
      <w:r>
        <w:rPr>
          <w:rFonts w:hint="eastAsia"/>
          <w:color w:val="auto"/>
          <w:highlight w:val="none"/>
          <w:lang w:eastAsia="zh-CN"/>
        </w:rPr>
        <w:t>中招国际招标有限公司</w:t>
      </w:r>
    </w:p>
    <w:p w14:paraId="7B77D0EE">
      <w:pPr>
        <w:pStyle w:val="40"/>
        <w:spacing w:line="360" w:lineRule="auto"/>
        <w:rPr>
          <w:color w:val="auto"/>
          <w:highlight w:val="none"/>
        </w:rPr>
      </w:pPr>
      <w:r>
        <w:rPr>
          <w:rFonts w:hint="eastAsia"/>
          <w:color w:val="auto"/>
          <w:highlight w:val="none"/>
        </w:rPr>
        <w:t>地址：</w:t>
      </w:r>
      <w:r>
        <w:rPr>
          <w:rFonts w:hint="eastAsia"/>
          <w:color w:val="auto"/>
          <w:highlight w:val="none"/>
          <w:lang w:eastAsia="zh-CN"/>
        </w:rPr>
        <w:t>新疆乌鲁木齐市486号南湖明珠大厦8楼</w:t>
      </w:r>
    </w:p>
    <w:p w14:paraId="62F732B0">
      <w:pPr>
        <w:pStyle w:val="40"/>
        <w:spacing w:line="360" w:lineRule="auto"/>
        <w:rPr>
          <w:rFonts w:hint="eastAsia" w:eastAsia="宋体"/>
          <w:color w:val="auto"/>
          <w:highlight w:val="none"/>
          <w:lang w:eastAsia="zh-CN"/>
        </w:rPr>
      </w:pPr>
      <w:r>
        <w:rPr>
          <w:rFonts w:hint="eastAsia"/>
          <w:color w:val="auto"/>
          <w:highlight w:val="none"/>
        </w:rPr>
        <w:t>联系方式：</w:t>
      </w:r>
      <w:r>
        <w:rPr>
          <w:rFonts w:hint="eastAsia"/>
          <w:color w:val="auto"/>
          <w:highlight w:val="none"/>
          <w:lang w:eastAsia="zh-CN"/>
        </w:rPr>
        <w:t>19990606127</w:t>
      </w:r>
    </w:p>
    <w:p w14:paraId="4001D5EA">
      <w:pPr>
        <w:pStyle w:val="40"/>
        <w:spacing w:line="360" w:lineRule="auto"/>
        <w:rPr>
          <w:color w:val="auto"/>
          <w:highlight w:val="none"/>
        </w:rPr>
      </w:pPr>
      <w:r>
        <w:rPr>
          <w:color w:val="auto"/>
          <w:highlight w:val="none"/>
        </w:rPr>
        <w:t>3.项目联系方式</w:t>
      </w:r>
    </w:p>
    <w:p w14:paraId="266C0221">
      <w:pPr>
        <w:pStyle w:val="40"/>
        <w:spacing w:line="360" w:lineRule="auto"/>
        <w:rPr>
          <w:rFonts w:hint="eastAsia" w:eastAsia="宋体"/>
          <w:color w:val="auto"/>
          <w:highlight w:val="none"/>
          <w:lang w:eastAsia="zh-CN"/>
        </w:rPr>
      </w:pPr>
      <w:r>
        <w:rPr>
          <w:rFonts w:hint="eastAsia"/>
          <w:color w:val="auto"/>
          <w:highlight w:val="none"/>
        </w:rPr>
        <w:t>项目联系人：</w:t>
      </w:r>
      <w:r>
        <w:rPr>
          <w:rFonts w:hint="eastAsia"/>
          <w:color w:val="auto"/>
          <w:highlight w:val="none"/>
          <w:lang w:eastAsia="zh-CN"/>
        </w:rPr>
        <w:t>张辉、师翠婷、杨芳、杨泽艺</w:t>
      </w:r>
    </w:p>
    <w:p w14:paraId="48ABF4E7">
      <w:pPr>
        <w:pStyle w:val="40"/>
        <w:spacing w:line="360" w:lineRule="auto"/>
        <w:rPr>
          <w:rFonts w:hint="eastAsia" w:eastAsia="宋体"/>
          <w:color w:val="auto"/>
          <w:highlight w:val="none"/>
          <w:lang w:eastAsia="zh-CN"/>
        </w:rPr>
      </w:pPr>
      <w:r>
        <w:rPr>
          <w:rFonts w:hint="eastAsia"/>
          <w:color w:val="auto"/>
          <w:highlight w:val="none"/>
        </w:rPr>
        <w:t>电</w:t>
      </w:r>
      <w:r>
        <w:rPr>
          <w:color w:val="auto"/>
          <w:highlight w:val="none"/>
        </w:rPr>
        <w:t xml:space="preserve"> 话：</w:t>
      </w:r>
      <w:r>
        <w:rPr>
          <w:rFonts w:hint="eastAsia"/>
          <w:color w:val="auto"/>
          <w:highlight w:val="none"/>
          <w:lang w:eastAsia="zh-CN"/>
        </w:rPr>
        <w:t xml:space="preserve">19990606127 </w:t>
      </w:r>
    </w:p>
    <w:p w14:paraId="07FE87E0">
      <w:pPr>
        <w:rPr>
          <w:color w:val="auto"/>
          <w:highlight w:val="none"/>
        </w:rPr>
      </w:pPr>
    </w:p>
    <w:p w14:paraId="7455CF01">
      <w:pPr>
        <w:rPr>
          <w:color w:val="auto"/>
          <w:highlight w:val="none"/>
        </w:rPr>
      </w:pPr>
    </w:p>
    <w:p w14:paraId="3EDE542A">
      <w:pPr>
        <w:rPr>
          <w:color w:val="auto"/>
          <w:highlight w:val="none"/>
        </w:rPr>
      </w:pPr>
    </w:p>
    <w:p w14:paraId="1C6AAA50">
      <w:pPr>
        <w:rPr>
          <w:color w:val="auto"/>
          <w:highlight w:val="none"/>
        </w:rPr>
      </w:pPr>
    </w:p>
    <w:p w14:paraId="12F3FDF4">
      <w:pPr>
        <w:rPr>
          <w:color w:val="auto"/>
          <w:highlight w:val="none"/>
        </w:rPr>
        <w:sectPr>
          <w:footerReference r:id="rId4" w:type="default"/>
          <w:pgSz w:w="11906" w:h="16838"/>
          <w:pgMar w:top="1440" w:right="1800" w:bottom="1440" w:left="1800" w:header="851" w:footer="992" w:gutter="0"/>
          <w:pgNumType w:fmt="numberInDash" w:start="1"/>
          <w:cols w:space="425" w:num="1"/>
          <w:docGrid w:type="lines" w:linePitch="312" w:charSpace="0"/>
        </w:sectPr>
      </w:pPr>
    </w:p>
    <w:p w14:paraId="73332F39">
      <w:pPr>
        <w:pStyle w:val="2"/>
        <w:rPr>
          <w:color w:val="auto"/>
          <w:highlight w:val="none"/>
        </w:rPr>
      </w:pPr>
      <w:bookmarkStart w:id="127" w:name="_Toc5028"/>
      <w:bookmarkStart w:id="128" w:name="_Toc155185867"/>
      <w:bookmarkStart w:id="129" w:name="_Toc163492819"/>
      <w:r>
        <w:rPr>
          <w:rFonts w:hint="eastAsia"/>
          <w:color w:val="auto"/>
          <w:highlight w:val="none"/>
        </w:rPr>
        <w:t>第二章 投标人须知</w:t>
      </w:r>
      <w:bookmarkEnd w:id="127"/>
      <w:bookmarkEnd w:id="128"/>
      <w:bookmarkEnd w:id="129"/>
    </w:p>
    <w:bookmarkEnd w:id="4"/>
    <w:p w14:paraId="68B59B49">
      <w:pPr>
        <w:pStyle w:val="3"/>
        <w:rPr>
          <w:color w:val="auto"/>
          <w:highlight w:val="none"/>
        </w:rPr>
      </w:pPr>
      <w:bookmarkStart w:id="130" w:name="_Toc30888"/>
      <w:bookmarkStart w:id="131" w:name="_Toc163492820"/>
      <w:bookmarkStart w:id="132" w:name="_Toc155185868"/>
      <w:r>
        <w:rPr>
          <w:rFonts w:hint="eastAsia"/>
          <w:color w:val="auto"/>
          <w:highlight w:val="none"/>
        </w:rPr>
        <w:t>一、投标人须知前附表</w:t>
      </w:r>
      <w:bookmarkEnd w:id="130"/>
      <w:bookmarkEnd w:id="131"/>
      <w:bookmarkEnd w:id="132"/>
    </w:p>
    <w:p w14:paraId="210F51E4">
      <w:pPr>
        <w:pStyle w:val="40"/>
        <w:rPr>
          <w:color w:val="auto"/>
          <w:highlight w:val="none"/>
          <w:lang w:val="en-US"/>
        </w:rPr>
      </w:pPr>
      <w:r>
        <w:rPr>
          <w:rFonts w:hint="eastAsia"/>
          <w:color w:val="auto"/>
          <w:highlight w:val="none"/>
        </w:rPr>
        <w:t>投标人应仔细阅读本招标文件的第二章“投标人须知”，下面所列资料是对“投标人须知”的具体补充和说明，如有矛盾，应以本表为准。</w:t>
      </w:r>
      <w:r>
        <w:rPr>
          <w:rFonts w:hint="eastAsia"/>
          <w:color w:val="auto"/>
          <w:highlight w:val="none"/>
          <w:lang w:val="en-US"/>
        </w:rPr>
        <w:t>标记“</w:t>
      </w:r>
      <w:r>
        <w:rPr>
          <w:rFonts w:ascii="Segoe UI Symbol" w:hAnsi="Segoe UI Symbol" w:cs="Segoe UI Symbol"/>
          <w:color w:val="auto"/>
          <w:highlight w:val="none"/>
          <w:lang w:val="en-US"/>
        </w:rPr>
        <w:t>☑</w:t>
      </w:r>
      <w:r>
        <w:rPr>
          <w:rFonts w:hint="eastAsia" w:cs="宋体"/>
          <w:color w:val="auto"/>
          <w:highlight w:val="none"/>
          <w:lang w:val="en-US"/>
        </w:rPr>
        <w:t>”的选项意为适用于本项目，标记“□”的选项意为不适用于本项目。</w:t>
      </w:r>
    </w:p>
    <w:tbl>
      <w:tblPr>
        <w:tblStyle w:val="32"/>
        <w:tblW w:w="9408"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6700"/>
      </w:tblGrid>
      <w:tr w14:paraId="7B3399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7E5B12E">
            <w:pPr>
              <w:pStyle w:val="52"/>
              <w:jc w:val="center"/>
              <w:rPr>
                <w:rFonts w:cs="宋体"/>
                <w:b/>
                <w:bCs/>
                <w:color w:val="auto"/>
                <w:szCs w:val="24"/>
                <w:highlight w:val="none"/>
              </w:rPr>
            </w:pPr>
            <w:r>
              <w:rPr>
                <w:rFonts w:hint="eastAsia" w:cs="宋体"/>
                <w:b/>
                <w:bCs/>
                <w:color w:val="auto"/>
                <w:szCs w:val="24"/>
                <w:highlight w:val="none"/>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E15038">
            <w:pPr>
              <w:pStyle w:val="52"/>
              <w:jc w:val="center"/>
              <w:rPr>
                <w:rFonts w:cs="宋体"/>
                <w:b/>
                <w:bCs/>
                <w:color w:val="auto"/>
                <w:szCs w:val="24"/>
                <w:highlight w:val="none"/>
              </w:rPr>
            </w:pPr>
            <w:r>
              <w:rPr>
                <w:rFonts w:hint="eastAsia" w:cs="宋体"/>
                <w:b/>
                <w:bCs/>
                <w:color w:val="auto"/>
                <w:szCs w:val="24"/>
                <w:highlight w:val="none"/>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1BDAE8E">
            <w:pPr>
              <w:pStyle w:val="52"/>
              <w:jc w:val="center"/>
              <w:rPr>
                <w:rFonts w:cs="宋体"/>
                <w:b/>
                <w:bCs/>
                <w:color w:val="auto"/>
                <w:szCs w:val="24"/>
                <w:highlight w:val="none"/>
              </w:rPr>
            </w:pPr>
            <w:r>
              <w:rPr>
                <w:rFonts w:hint="eastAsia" w:cs="宋体"/>
                <w:b/>
                <w:bCs/>
                <w:color w:val="auto"/>
                <w:szCs w:val="24"/>
                <w:highlight w:val="none"/>
              </w:rPr>
              <w:t>内  容</w:t>
            </w:r>
          </w:p>
        </w:tc>
      </w:tr>
      <w:tr w14:paraId="04379F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10750849">
            <w:pPr>
              <w:pStyle w:val="52"/>
              <w:jc w:val="center"/>
              <w:rPr>
                <w:rFonts w:cs="宋体"/>
                <w:color w:val="auto"/>
                <w:szCs w:val="24"/>
                <w:highlight w:val="none"/>
              </w:rPr>
            </w:pPr>
            <w:r>
              <w:rPr>
                <w:rFonts w:hint="eastAsia" w:cs="宋体"/>
                <w:color w:val="auto"/>
                <w:szCs w:val="24"/>
                <w:highlight w:val="none"/>
              </w:rPr>
              <w:t>2.1</w:t>
            </w:r>
          </w:p>
        </w:tc>
        <w:tc>
          <w:tcPr>
            <w:tcW w:w="1738" w:type="dxa"/>
            <w:shd w:val="clear" w:color="auto" w:fill="auto"/>
            <w:vAlign w:val="center"/>
          </w:tcPr>
          <w:p w14:paraId="45BA23DF">
            <w:pPr>
              <w:pStyle w:val="52"/>
              <w:rPr>
                <w:rFonts w:cs="宋体"/>
                <w:color w:val="auto"/>
                <w:szCs w:val="24"/>
                <w:highlight w:val="none"/>
              </w:rPr>
            </w:pPr>
            <w:r>
              <w:rPr>
                <w:rFonts w:hint="eastAsia" w:cs="宋体"/>
                <w:color w:val="auto"/>
                <w:szCs w:val="24"/>
                <w:highlight w:val="none"/>
              </w:rPr>
              <w:t>项目名称及编号</w:t>
            </w:r>
          </w:p>
        </w:tc>
        <w:tc>
          <w:tcPr>
            <w:tcW w:w="6700" w:type="dxa"/>
            <w:shd w:val="clear" w:color="auto" w:fill="auto"/>
            <w:vAlign w:val="center"/>
          </w:tcPr>
          <w:p w14:paraId="619C216A">
            <w:pPr>
              <w:pStyle w:val="52"/>
              <w:spacing w:line="360" w:lineRule="auto"/>
              <w:rPr>
                <w:rFonts w:cs="宋体"/>
                <w:color w:val="auto"/>
                <w:szCs w:val="24"/>
                <w:highlight w:val="none"/>
              </w:rPr>
            </w:pPr>
            <w:r>
              <w:rPr>
                <w:rFonts w:hint="eastAsia" w:cs="宋体"/>
                <w:color w:val="auto"/>
                <w:szCs w:val="24"/>
                <w:highlight w:val="none"/>
              </w:rPr>
              <w:t>项目名称：</w:t>
            </w:r>
            <w:r>
              <w:rPr>
                <w:rFonts w:hint="eastAsia" w:cs="宋体"/>
                <w:color w:val="auto"/>
                <w:sz w:val="24"/>
                <w:highlight w:val="none"/>
                <w:lang w:val="hr-HR" w:eastAsia="zh-CN"/>
              </w:rPr>
              <w:t>新疆医科大学附属肿瘤医院支气管镜导航系统采购项目</w:t>
            </w:r>
            <w:r>
              <w:rPr>
                <w:rFonts w:hint="eastAsia" w:cs="宋体"/>
                <w:color w:val="auto"/>
                <w:szCs w:val="24"/>
                <w:highlight w:val="none"/>
              </w:rPr>
              <w:br w:type="textWrapping"/>
            </w:r>
            <w:r>
              <w:rPr>
                <w:rFonts w:hint="eastAsia" w:cs="宋体"/>
                <w:color w:val="auto"/>
                <w:szCs w:val="24"/>
                <w:highlight w:val="none"/>
              </w:rPr>
              <w:t>项目编号：</w:t>
            </w:r>
            <w:r>
              <w:rPr>
                <w:rFonts w:hint="eastAsia" w:cs="宋体"/>
                <w:color w:val="auto"/>
                <w:sz w:val="24"/>
                <w:highlight w:val="none"/>
                <w:lang w:val="hr-HR" w:eastAsia="zh-CN"/>
              </w:rPr>
              <w:t>TC269H0BN</w:t>
            </w:r>
          </w:p>
        </w:tc>
      </w:tr>
      <w:tr w14:paraId="1CB047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180ED1CC">
            <w:pPr>
              <w:pStyle w:val="52"/>
              <w:jc w:val="center"/>
              <w:rPr>
                <w:rFonts w:cs="宋体"/>
                <w:color w:val="auto"/>
                <w:szCs w:val="24"/>
                <w:highlight w:val="none"/>
              </w:rPr>
            </w:pPr>
            <w:r>
              <w:rPr>
                <w:rFonts w:hint="eastAsia" w:cs="宋体"/>
                <w:color w:val="auto"/>
                <w:szCs w:val="24"/>
                <w:highlight w:val="none"/>
              </w:rPr>
              <w:t>2.2</w:t>
            </w:r>
          </w:p>
        </w:tc>
        <w:tc>
          <w:tcPr>
            <w:tcW w:w="1738" w:type="dxa"/>
            <w:shd w:val="clear" w:color="auto" w:fill="auto"/>
            <w:vAlign w:val="center"/>
          </w:tcPr>
          <w:p w14:paraId="1E05DF73">
            <w:pPr>
              <w:pStyle w:val="52"/>
              <w:rPr>
                <w:rFonts w:cs="宋体"/>
                <w:color w:val="auto"/>
                <w:szCs w:val="24"/>
                <w:highlight w:val="none"/>
              </w:rPr>
            </w:pPr>
            <w:r>
              <w:rPr>
                <w:rFonts w:hint="eastAsia" w:cs="宋体"/>
                <w:color w:val="auto"/>
                <w:szCs w:val="24"/>
                <w:highlight w:val="none"/>
              </w:rPr>
              <w:t>采购人</w:t>
            </w:r>
          </w:p>
        </w:tc>
        <w:tc>
          <w:tcPr>
            <w:tcW w:w="6700" w:type="dxa"/>
            <w:shd w:val="clear" w:color="auto" w:fill="auto"/>
            <w:vAlign w:val="center"/>
          </w:tcPr>
          <w:p w14:paraId="78075FEF">
            <w:pPr>
              <w:pStyle w:val="52"/>
              <w:spacing w:line="360" w:lineRule="auto"/>
              <w:rPr>
                <w:rFonts w:hint="eastAsia" w:eastAsia="宋体" w:cs="宋体"/>
                <w:color w:val="auto"/>
                <w:szCs w:val="24"/>
                <w:highlight w:val="none"/>
                <w:lang w:eastAsia="zh-CN"/>
              </w:rPr>
            </w:pPr>
            <w:r>
              <w:rPr>
                <w:rFonts w:hint="eastAsia" w:cs="宋体"/>
                <w:color w:val="auto"/>
                <w:szCs w:val="24"/>
                <w:highlight w:val="none"/>
              </w:rPr>
              <w:t>名    称：</w:t>
            </w:r>
            <w:r>
              <w:rPr>
                <w:rFonts w:hint="eastAsia" w:cs="宋体"/>
                <w:color w:val="auto"/>
                <w:szCs w:val="24"/>
                <w:highlight w:val="none"/>
                <w:lang w:eastAsia="zh-CN"/>
              </w:rPr>
              <w:t>新疆医科大学附属肿瘤医院</w:t>
            </w:r>
          </w:p>
          <w:p w14:paraId="3FE79858">
            <w:pPr>
              <w:pStyle w:val="52"/>
              <w:spacing w:line="360" w:lineRule="auto"/>
              <w:rPr>
                <w:rFonts w:hint="eastAsia" w:eastAsia="宋体" w:cs="宋体"/>
                <w:color w:val="auto"/>
                <w:szCs w:val="24"/>
                <w:highlight w:val="none"/>
                <w:lang w:eastAsia="zh-CN"/>
              </w:rPr>
            </w:pPr>
            <w:r>
              <w:rPr>
                <w:rFonts w:hint="eastAsia" w:cs="宋体"/>
                <w:color w:val="auto"/>
                <w:szCs w:val="24"/>
                <w:highlight w:val="none"/>
              </w:rPr>
              <w:t>地    址：</w:t>
            </w:r>
            <w:r>
              <w:rPr>
                <w:rFonts w:hint="eastAsia" w:cs="宋体"/>
                <w:color w:val="auto"/>
                <w:szCs w:val="24"/>
                <w:highlight w:val="none"/>
                <w:lang w:eastAsia="zh-CN"/>
              </w:rPr>
              <w:t>乌鲁木齐市苏州东街789号</w:t>
            </w:r>
          </w:p>
          <w:p w14:paraId="474493B2">
            <w:pPr>
              <w:pStyle w:val="52"/>
              <w:spacing w:line="360" w:lineRule="auto"/>
              <w:rPr>
                <w:rFonts w:cs="宋体"/>
                <w:color w:val="auto"/>
                <w:szCs w:val="24"/>
                <w:highlight w:val="none"/>
              </w:rPr>
            </w:pPr>
            <w:r>
              <w:rPr>
                <w:rFonts w:hint="eastAsia" w:cs="宋体"/>
                <w:color w:val="auto"/>
                <w:szCs w:val="24"/>
                <w:highlight w:val="none"/>
              </w:rPr>
              <w:t>联 系 人：王老师</w:t>
            </w:r>
          </w:p>
          <w:p w14:paraId="01B36BFC">
            <w:pPr>
              <w:pStyle w:val="52"/>
              <w:spacing w:line="360" w:lineRule="auto"/>
              <w:rPr>
                <w:rFonts w:cs="宋体"/>
                <w:color w:val="auto"/>
                <w:szCs w:val="24"/>
                <w:highlight w:val="none"/>
              </w:rPr>
            </w:pPr>
            <w:r>
              <w:rPr>
                <w:rFonts w:hint="eastAsia" w:cs="宋体"/>
                <w:color w:val="auto"/>
                <w:szCs w:val="24"/>
                <w:highlight w:val="none"/>
              </w:rPr>
              <w:t xml:space="preserve">联系电话： 09917819055 </w:t>
            </w:r>
          </w:p>
        </w:tc>
      </w:tr>
      <w:tr w14:paraId="62DBDD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3DE54421">
            <w:pPr>
              <w:pStyle w:val="52"/>
              <w:jc w:val="center"/>
              <w:rPr>
                <w:rFonts w:cs="宋体"/>
                <w:color w:val="auto"/>
                <w:szCs w:val="24"/>
                <w:highlight w:val="none"/>
              </w:rPr>
            </w:pPr>
            <w:r>
              <w:rPr>
                <w:rFonts w:hint="eastAsia" w:cs="宋体"/>
                <w:color w:val="auto"/>
                <w:szCs w:val="24"/>
                <w:highlight w:val="none"/>
              </w:rPr>
              <w:t>2.3</w:t>
            </w:r>
          </w:p>
        </w:tc>
        <w:tc>
          <w:tcPr>
            <w:tcW w:w="1738" w:type="dxa"/>
            <w:shd w:val="clear" w:color="auto" w:fill="auto"/>
            <w:vAlign w:val="center"/>
          </w:tcPr>
          <w:p w14:paraId="01829D74">
            <w:pPr>
              <w:pStyle w:val="52"/>
              <w:rPr>
                <w:rFonts w:cs="宋体"/>
                <w:color w:val="auto"/>
                <w:szCs w:val="24"/>
                <w:highlight w:val="none"/>
              </w:rPr>
            </w:pPr>
            <w:r>
              <w:rPr>
                <w:rFonts w:hint="eastAsia" w:cs="宋体"/>
                <w:color w:val="auto"/>
                <w:szCs w:val="24"/>
                <w:highlight w:val="none"/>
              </w:rPr>
              <w:t>采购代理机构</w:t>
            </w:r>
          </w:p>
        </w:tc>
        <w:tc>
          <w:tcPr>
            <w:tcW w:w="6700" w:type="dxa"/>
            <w:shd w:val="clear" w:color="auto" w:fill="auto"/>
            <w:vAlign w:val="center"/>
          </w:tcPr>
          <w:p w14:paraId="0DD209B7">
            <w:pPr>
              <w:pStyle w:val="52"/>
              <w:spacing w:line="360" w:lineRule="auto"/>
              <w:rPr>
                <w:rFonts w:cs="宋体"/>
                <w:color w:val="auto"/>
                <w:szCs w:val="24"/>
                <w:highlight w:val="none"/>
              </w:rPr>
            </w:pPr>
            <w:r>
              <w:rPr>
                <w:rFonts w:hint="eastAsia" w:cs="宋体"/>
                <w:color w:val="auto"/>
                <w:szCs w:val="24"/>
                <w:highlight w:val="none"/>
              </w:rPr>
              <w:t>名    称：中招国际招标有限公司</w:t>
            </w:r>
          </w:p>
          <w:p w14:paraId="0122AB10">
            <w:pPr>
              <w:pStyle w:val="52"/>
              <w:spacing w:line="360" w:lineRule="auto"/>
              <w:rPr>
                <w:rFonts w:cs="宋体"/>
                <w:color w:val="auto"/>
                <w:szCs w:val="24"/>
                <w:highlight w:val="none"/>
              </w:rPr>
            </w:pPr>
            <w:r>
              <w:rPr>
                <w:rFonts w:hint="eastAsia" w:cs="宋体"/>
                <w:color w:val="auto"/>
                <w:szCs w:val="24"/>
                <w:highlight w:val="none"/>
              </w:rPr>
              <w:t>地    址：乌鲁木齐市水磨沟区南湖北路486号南湖明珠大厦南区8楼</w:t>
            </w:r>
          </w:p>
          <w:p w14:paraId="7C5B9634">
            <w:pPr>
              <w:pStyle w:val="52"/>
              <w:spacing w:line="360" w:lineRule="auto"/>
              <w:rPr>
                <w:rFonts w:hint="eastAsia" w:eastAsia="宋体" w:cs="宋体"/>
                <w:color w:val="auto"/>
                <w:szCs w:val="24"/>
                <w:highlight w:val="none"/>
                <w:lang w:eastAsia="zh-CN"/>
              </w:rPr>
            </w:pPr>
            <w:r>
              <w:rPr>
                <w:rFonts w:hint="eastAsia" w:cs="宋体"/>
                <w:color w:val="auto"/>
                <w:szCs w:val="24"/>
                <w:highlight w:val="none"/>
              </w:rPr>
              <w:t>联 系 人：</w:t>
            </w:r>
            <w:r>
              <w:rPr>
                <w:rFonts w:hint="eastAsia" w:cs="宋体"/>
                <w:color w:val="auto"/>
                <w:szCs w:val="24"/>
                <w:highlight w:val="none"/>
                <w:lang w:eastAsia="zh-CN"/>
              </w:rPr>
              <w:t>张辉、师翠婷、杨芳、杨泽艺</w:t>
            </w:r>
          </w:p>
          <w:p w14:paraId="6378DADF">
            <w:pPr>
              <w:pStyle w:val="52"/>
              <w:spacing w:line="360" w:lineRule="auto"/>
              <w:rPr>
                <w:rFonts w:hint="eastAsia" w:eastAsia="宋体" w:cs="宋体"/>
                <w:color w:val="auto"/>
                <w:szCs w:val="24"/>
                <w:highlight w:val="none"/>
                <w:lang w:eastAsia="zh-CN"/>
              </w:rPr>
            </w:pPr>
            <w:r>
              <w:rPr>
                <w:rFonts w:hint="eastAsia" w:cs="宋体"/>
                <w:color w:val="auto"/>
                <w:szCs w:val="24"/>
                <w:highlight w:val="none"/>
              </w:rPr>
              <w:t>联系电话：</w:t>
            </w:r>
            <w:r>
              <w:rPr>
                <w:rFonts w:hint="eastAsia" w:cs="宋体"/>
                <w:color w:val="auto"/>
                <w:szCs w:val="24"/>
                <w:highlight w:val="none"/>
                <w:lang w:eastAsia="zh-CN"/>
              </w:rPr>
              <w:t>19990606127</w:t>
            </w:r>
          </w:p>
          <w:p w14:paraId="40D3D5F4">
            <w:pPr>
              <w:pStyle w:val="52"/>
              <w:spacing w:line="360" w:lineRule="auto"/>
              <w:rPr>
                <w:rFonts w:cs="宋体"/>
                <w:color w:val="auto"/>
                <w:szCs w:val="24"/>
                <w:highlight w:val="none"/>
              </w:rPr>
            </w:pPr>
            <w:r>
              <w:rPr>
                <w:rFonts w:hint="eastAsia" w:cs="宋体"/>
                <w:color w:val="auto"/>
                <w:szCs w:val="24"/>
                <w:highlight w:val="none"/>
              </w:rPr>
              <w:t>电子邮件：</w:t>
            </w:r>
            <w:r>
              <w:rPr>
                <w:rFonts w:hint="eastAsia" w:cs="宋体"/>
                <w:color w:val="auto"/>
                <w:szCs w:val="24"/>
                <w:highlight w:val="none"/>
                <w:lang w:val="en-US" w:eastAsia="zh-CN"/>
              </w:rPr>
              <w:t>zhanghui</w:t>
            </w:r>
            <w:r>
              <w:rPr>
                <w:rFonts w:hint="eastAsia" w:cs="宋体"/>
                <w:color w:val="auto"/>
                <w:szCs w:val="24"/>
                <w:highlight w:val="none"/>
              </w:rPr>
              <w:t>@cntcitc.com.cn</w:t>
            </w:r>
          </w:p>
        </w:tc>
      </w:tr>
      <w:tr w14:paraId="24FE63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565A6BD9">
            <w:pPr>
              <w:pStyle w:val="52"/>
              <w:jc w:val="center"/>
              <w:rPr>
                <w:rFonts w:cs="宋体"/>
                <w:color w:val="auto"/>
                <w:szCs w:val="24"/>
                <w:highlight w:val="none"/>
              </w:rPr>
            </w:pPr>
            <w:r>
              <w:rPr>
                <w:rFonts w:hint="eastAsia" w:cs="宋体"/>
                <w:color w:val="auto"/>
                <w:szCs w:val="24"/>
                <w:highlight w:val="none"/>
              </w:rPr>
              <w:t>2</w:t>
            </w:r>
            <w:r>
              <w:rPr>
                <w:rFonts w:cs="宋体"/>
                <w:color w:val="auto"/>
                <w:szCs w:val="24"/>
                <w:highlight w:val="none"/>
              </w:rPr>
              <w:t>.4</w:t>
            </w:r>
          </w:p>
        </w:tc>
        <w:tc>
          <w:tcPr>
            <w:tcW w:w="1738" w:type="dxa"/>
            <w:shd w:val="clear" w:color="auto" w:fill="auto"/>
            <w:vAlign w:val="center"/>
          </w:tcPr>
          <w:p w14:paraId="22A82FA1">
            <w:pPr>
              <w:pStyle w:val="52"/>
              <w:rPr>
                <w:rFonts w:cs="宋体"/>
                <w:color w:val="auto"/>
                <w:szCs w:val="24"/>
                <w:highlight w:val="none"/>
              </w:rPr>
            </w:pPr>
            <w:r>
              <w:rPr>
                <w:rFonts w:hint="eastAsia" w:cs="宋体"/>
                <w:color w:val="auto"/>
                <w:kern w:val="0"/>
                <w:szCs w:val="24"/>
                <w:highlight w:val="none"/>
                <w:lang w:bidi="ar"/>
              </w:rPr>
              <w:t>项目概况</w:t>
            </w:r>
          </w:p>
        </w:tc>
        <w:tc>
          <w:tcPr>
            <w:tcW w:w="6700" w:type="dxa"/>
            <w:shd w:val="clear" w:color="auto" w:fill="auto"/>
            <w:vAlign w:val="center"/>
          </w:tcPr>
          <w:p w14:paraId="6A2C1EE7">
            <w:pPr>
              <w:pStyle w:val="52"/>
              <w:spacing w:line="360" w:lineRule="auto"/>
              <w:rPr>
                <w:rFonts w:cs="宋体"/>
                <w:color w:val="auto"/>
                <w:szCs w:val="24"/>
                <w:highlight w:val="none"/>
              </w:rPr>
            </w:pPr>
            <w:r>
              <w:rPr>
                <w:rFonts w:hint="eastAsia" w:cs="宋体"/>
                <w:color w:val="auto"/>
                <w:szCs w:val="24"/>
                <w:highlight w:val="none"/>
              </w:rPr>
              <w:t>1</w:t>
            </w:r>
            <w:r>
              <w:rPr>
                <w:rFonts w:cs="宋体"/>
                <w:color w:val="auto"/>
                <w:szCs w:val="24"/>
                <w:highlight w:val="none"/>
              </w:rPr>
              <w:t>.项目名称：</w:t>
            </w:r>
            <w:r>
              <w:rPr>
                <w:rFonts w:hint="eastAsia" w:cs="宋体"/>
                <w:color w:val="auto"/>
                <w:sz w:val="24"/>
                <w:highlight w:val="none"/>
                <w:lang w:val="hr-HR" w:eastAsia="zh-CN"/>
              </w:rPr>
              <w:t>新疆医科大学附属肿瘤医院支气管镜导航系统采购项目</w:t>
            </w:r>
          </w:p>
          <w:p w14:paraId="599D504A">
            <w:pPr>
              <w:pStyle w:val="52"/>
              <w:spacing w:line="360" w:lineRule="auto"/>
              <w:rPr>
                <w:rFonts w:cs="宋体"/>
                <w:color w:val="auto"/>
                <w:szCs w:val="24"/>
                <w:highlight w:val="none"/>
              </w:rPr>
            </w:pPr>
            <w:r>
              <w:rPr>
                <w:rFonts w:hint="eastAsia" w:cs="宋体"/>
                <w:color w:val="auto"/>
                <w:szCs w:val="24"/>
                <w:highlight w:val="none"/>
              </w:rPr>
              <w:t>2</w:t>
            </w:r>
            <w:r>
              <w:rPr>
                <w:rFonts w:cs="宋体"/>
                <w:color w:val="auto"/>
                <w:szCs w:val="24"/>
                <w:highlight w:val="none"/>
              </w:rPr>
              <w:t>.项目编号：</w:t>
            </w:r>
            <w:r>
              <w:rPr>
                <w:rFonts w:hint="eastAsia" w:cs="宋体"/>
                <w:color w:val="auto"/>
                <w:sz w:val="24"/>
                <w:highlight w:val="none"/>
                <w:lang w:val="hr-HR" w:eastAsia="zh-CN"/>
              </w:rPr>
              <w:t>TC269H0BN</w:t>
            </w:r>
          </w:p>
          <w:p w14:paraId="040F6D7A">
            <w:pPr>
              <w:pStyle w:val="52"/>
              <w:spacing w:line="360" w:lineRule="auto"/>
              <w:rPr>
                <w:rFonts w:cs="宋体"/>
                <w:color w:val="auto"/>
                <w:szCs w:val="24"/>
                <w:highlight w:val="none"/>
              </w:rPr>
            </w:pPr>
            <w:r>
              <w:rPr>
                <w:rFonts w:hint="eastAsia" w:cs="宋体"/>
                <w:color w:val="auto"/>
                <w:szCs w:val="24"/>
                <w:highlight w:val="none"/>
              </w:rPr>
              <w:t>3</w:t>
            </w:r>
            <w:r>
              <w:rPr>
                <w:rFonts w:cs="宋体"/>
                <w:color w:val="auto"/>
                <w:szCs w:val="24"/>
                <w:highlight w:val="none"/>
              </w:rPr>
              <w:t xml:space="preserve">.采购内容： </w:t>
            </w:r>
            <w:r>
              <w:rPr>
                <w:rFonts w:hint="eastAsia" w:cs="宋体"/>
                <w:color w:val="auto"/>
                <w:szCs w:val="24"/>
                <w:highlight w:val="none"/>
              </w:rPr>
              <w:t>气管镜导航系统</w:t>
            </w:r>
          </w:p>
          <w:p w14:paraId="0C078F4F">
            <w:pPr>
              <w:pStyle w:val="52"/>
              <w:spacing w:line="360" w:lineRule="auto"/>
              <w:rPr>
                <w:rFonts w:hint="default" w:eastAsia="宋体" w:cs="宋体"/>
                <w:color w:val="auto"/>
                <w:szCs w:val="24"/>
                <w:highlight w:val="none"/>
                <w:lang w:val="en-US" w:eastAsia="zh-CN"/>
              </w:rPr>
            </w:pPr>
            <w:r>
              <w:rPr>
                <w:rFonts w:hint="eastAsia" w:cs="宋体"/>
                <w:color w:val="auto"/>
                <w:szCs w:val="24"/>
                <w:highlight w:val="none"/>
              </w:rPr>
              <w:t>4</w:t>
            </w:r>
            <w:r>
              <w:rPr>
                <w:rFonts w:cs="宋体"/>
                <w:color w:val="auto"/>
                <w:szCs w:val="24"/>
                <w:highlight w:val="none"/>
              </w:rPr>
              <w:t>.预算（最高限价）：</w:t>
            </w:r>
            <w:r>
              <w:rPr>
                <w:rFonts w:hint="eastAsia" w:cs="宋体"/>
                <w:color w:val="auto"/>
                <w:szCs w:val="24"/>
                <w:highlight w:val="none"/>
                <w:lang w:val="en-US" w:eastAsia="zh-CN"/>
              </w:rPr>
              <w:t>350万元</w:t>
            </w:r>
          </w:p>
          <w:p w14:paraId="630563CE">
            <w:pPr>
              <w:pStyle w:val="52"/>
              <w:spacing w:line="360" w:lineRule="auto"/>
              <w:rPr>
                <w:rFonts w:cs="宋体"/>
                <w:color w:val="auto"/>
                <w:szCs w:val="24"/>
                <w:highlight w:val="none"/>
              </w:rPr>
            </w:pPr>
            <w:r>
              <w:rPr>
                <w:rFonts w:hint="eastAsia" w:cs="宋体"/>
                <w:color w:val="auto"/>
                <w:szCs w:val="24"/>
                <w:highlight w:val="none"/>
              </w:rPr>
              <w:t>5</w:t>
            </w:r>
            <w:r>
              <w:rPr>
                <w:rFonts w:cs="宋体"/>
                <w:color w:val="auto"/>
                <w:szCs w:val="24"/>
                <w:highlight w:val="none"/>
              </w:rPr>
              <w:t>.交货期</w:t>
            </w:r>
            <w:r>
              <w:rPr>
                <w:rFonts w:hint="eastAsia" w:cs="宋体"/>
                <w:color w:val="auto"/>
                <w:szCs w:val="24"/>
                <w:highlight w:val="none"/>
              </w:rPr>
              <w:t>：自合同签订之日起30天内完成到货安装调试。</w:t>
            </w:r>
          </w:p>
          <w:p w14:paraId="5808A5A6">
            <w:pPr>
              <w:pStyle w:val="52"/>
              <w:spacing w:line="360" w:lineRule="auto"/>
              <w:rPr>
                <w:rFonts w:cs="宋体"/>
                <w:color w:val="auto"/>
                <w:szCs w:val="24"/>
                <w:highlight w:val="none"/>
              </w:rPr>
            </w:pPr>
            <w:r>
              <w:rPr>
                <w:rFonts w:hint="eastAsia" w:cs="宋体"/>
                <w:color w:val="auto"/>
                <w:szCs w:val="24"/>
                <w:highlight w:val="none"/>
              </w:rPr>
              <w:t>6</w:t>
            </w:r>
            <w:r>
              <w:rPr>
                <w:rFonts w:cs="宋体"/>
                <w:color w:val="auto"/>
                <w:szCs w:val="24"/>
                <w:highlight w:val="none"/>
              </w:rPr>
              <w:t>.质保期：</w:t>
            </w:r>
            <w:r>
              <w:rPr>
                <w:rFonts w:hint="eastAsia" w:cs="宋体"/>
                <w:b w:val="0"/>
                <w:bCs/>
                <w:color w:val="auto"/>
                <w:sz w:val="24"/>
                <w:highlight w:val="none"/>
                <w:lang w:val="en-US" w:eastAsia="zh-CN"/>
              </w:rPr>
              <w:t>整机质保≥8年</w:t>
            </w:r>
          </w:p>
          <w:p w14:paraId="3D48C21D">
            <w:pPr>
              <w:pStyle w:val="52"/>
              <w:spacing w:line="360" w:lineRule="auto"/>
              <w:rPr>
                <w:rFonts w:cs="宋体"/>
                <w:color w:val="auto"/>
                <w:szCs w:val="24"/>
                <w:highlight w:val="none"/>
              </w:rPr>
            </w:pPr>
            <w:r>
              <w:rPr>
                <w:rFonts w:hint="eastAsia" w:cs="宋体"/>
                <w:color w:val="auto"/>
                <w:szCs w:val="24"/>
                <w:highlight w:val="none"/>
              </w:rPr>
              <w:t>7</w:t>
            </w:r>
            <w:r>
              <w:rPr>
                <w:rFonts w:cs="宋体"/>
                <w:color w:val="auto"/>
                <w:szCs w:val="24"/>
                <w:highlight w:val="none"/>
              </w:rPr>
              <w:t>.付款方式</w:t>
            </w:r>
            <w:r>
              <w:rPr>
                <w:rFonts w:hint="eastAsia" w:cs="宋体"/>
                <w:color w:val="auto"/>
                <w:szCs w:val="24"/>
                <w:highlight w:val="none"/>
                <w:lang w:eastAsia="zh-CN"/>
              </w:rPr>
              <w:t>：合同签订后完成设备的到货、安装、调试，经甲方确认达到试运行标准后支付合同总金额的90%，达到验收标准后无息支付合同总金额10%。</w:t>
            </w:r>
          </w:p>
          <w:p w14:paraId="03F7EDFA">
            <w:pPr>
              <w:pStyle w:val="52"/>
              <w:spacing w:line="360" w:lineRule="auto"/>
              <w:rPr>
                <w:rFonts w:hint="eastAsia" w:eastAsia="宋体" w:cs="宋体"/>
                <w:color w:val="auto"/>
                <w:szCs w:val="24"/>
                <w:highlight w:val="none"/>
                <w:lang w:val="en-US" w:eastAsia="zh-CN"/>
              </w:rPr>
            </w:pPr>
            <w:r>
              <w:rPr>
                <w:rFonts w:hint="eastAsia" w:cs="宋体"/>
                <w:color w:val="auto"/>
                <w:szCs w:val="24"/>
                <w:highlight w:val="none"/>
              </w:rPr>
              <w:t>8</w:t>
            </w:r>
            <w:r>
              <w:rPr>
                <w:rFonts w:cs="宋体"/>
                <w:color w:val="auto"/>
                <w:szCs w:val="24"/>
                <w:highlight w:val="none"/>
              </w:rPr>
              <w:t>.履约保证金：</w:t>
            </w:r>
            <w:r>
              <w:rPr>
                <w:rFonts w:hint="eastAsia" w:cs="宋体"/>
                <w:color w:val="auto"/>
                <w:szCs w:val="24"/>
                <w:highlight w:val="none"/>
                <w:lang w:val="en-US" w:eastAsia="zh-CN"/>
              </w:rPr>
              <w:t>收取</w:t>
            </w:r>
          </w:p>
        </w:tc>
      </w:tr>
      <w:tr w14:paraId="4AE3D2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6A3DF671">
            <w:pPr>
              <w:pStyle w:val="52"/>
              <w:jc w:val="center"/>
              <w:rPr>
                <w:rFonts w:cs="宋体"/>
                <w:color w:val="auto"/>
                <w:szCs w:val="24"/>
                <w:highlight w:val="none"/>
              </w:rPr>
            </w:pPr>
            <w:r>
              <w:rPr>
                <w:rFonts w:hint="eastAsia" w:cs="宋体"/>
                <w:color w:val="auto"/>
                <w:szCs w:val="24"/>
                <w:highlight w:val="none"/>
              </w:rPr>
              <w:t>2.</w:t>
            </w:r>
            <w:r>
              <w:rPr>
                <w:rFonts w:cs="宋体"/>
                <w:color w:val="auto"/>
                <w:szCs w:val="24"/>
                <w:highlight w:val="none"/>
              </w:rPr>
              <w:t>6</w:t>
            </w:r>
          </w:p>
        </w:tc>
        <w:tc>
          <w:tcPr>
            <w:tcW w:w="1738" w:type="dxa"/>
            <w:shd w:val="clear" w:color="auto" w:fill="auto"/>
            <w:vAlign w:val="center"/>
          </w:tcPr>
          <w:p w14:paraId="7DEA2EC9">
            <w:pPr>
              <w:pStyle w:val="52"/>
              <w:rPr>
                <w:rFonts w:cs="宋体"/>
                <w:color w:val="auto"/>
                <w:szCs w:val="24"/>
                <w:highlight w:val="none"/>
              </w:rPr>
            </w:pPr>
            <w:r>
              <w:rPr>
                <w:rFonts w:hint="eastAsia"/>
                <w:color w:val="auto"/>
                <w:highlight w:val="none"/>
              </w:rPr>
              <w:t>核心产品</w:t>
            </w:r>
          </w:p>
        </w:tc>
        <w:tc>
          <w:tcPr>
            <w:tcW w:w="6700" w:type="dxa"/>
            <w:shd w:val="clear" w:color="auto" w:fill="auto"/>
            <w:vAlign w:val="center"/>
          </w:tcPr>
          <w:p w14:paraId="6AE5A1AF">
            <w:pPr>
              <w:pStyle w:val="52"/>
              <w:spacing w:line="360" w:lineRule="auto"/>
              <w:rPr>
                <w:rFonts w:cs="宋体"/>
                <w:color w:val="auto"/>
                <w:szCs w:val="24"/>
                <w:highlight w:val="none"/>
              </w:rPr>
            </w:pPr>
            <w:r>
              <w:rPr>
                <w:rFonts w:hint="eastAsia" w:cs="宋体"/>
                <w:color w:val="auto"/>
                <w:szCs w:val="24"/>
                <w:highlight w:val="none"/>
              </w:rPr>
              <w:t>核心产品：</w:t>
            </w:r>
          </w:p>
          <w:p w14:paraId="6BAE6335">
            <w:pPr>
              <w:pStyle w:val="52"/>
              <w:spacing w:line="360" w:lineRule="auto"/>
              <w:rPr>
                <w:rFonts w:cs="宋体"/>
                <w:color w:val="auto"/>
                <w:szCs w:val="24"/>
                <w:highlight w:val="none"/>
              </w:rPr>
            </w:pPr>
            <w:r>
              <w:rPr>
                <w:rFonts w:hint="eastAsia" w:cs="宋体"/>
                <w:color w:val="auto"/>
                <w:szCs w:val="24"/>
                <w:highlight w:val="none"/>
              </w:rPr>
              <w:t xml:space="preserve">☑本项目为单一产品采购项目，不适用。 </w:t>
            </w:r>
          </w:p>
          <w:p w14:paraId="154D6DFA">
            <w:pPr>
              <w:pStyle w:val="52"/>
              <w:spacing w:line="360" w:lineRule="auto"/>
              <w:rPr>
                <w:rFonts w:cs="宋体"/>
                <w:color w:val="auto"/>
                <w:szCs w:val="24"/>
                <w:highlight w:val="none"/>
              </w:rPr>
            </w:pPr>
            <w:r>
              <w:rPr>
                <w:rFonts w:hint="eastAsia" w:cs="宋体"/>
                <w:color w:val="auto"/>
                <w:szCs w:val="24"/>
                <w:highlight w:val="none"/>
              </w:rPr>
              <w:t>□本项目第__包为非单一产品采购项目，其中核心产品为：</w:t>
            </w:r>
            <w:r>
              <w:rPr>
                <w:rFonts w:hint="eastAsia" w:cs="宋体"/>
                <w:color w:val="auto"/>
                <w:szCs w:val="24"/>
                <w:highlight w:val="none"/>
                <w:u w:val="single"/>
              </w:rPr>
              <w:t>_/</w:t>
            </w:r>
            <w:r>
              <w:rPr>
                <w:rFonts w:hint="eastAsia" w:cs="宋体"/>
                <w:color w:val="auto"/>
                <w:szCs w:val="24"/>
                <w:highlight w:val="none"/>
              </w:rPr>
              <w:t>_。</w:t>
            </w:r>
          </w:p>
        </w:tc>
      </w:tr>
      <w:tr w14:paraId="6BB220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5" w:hRule="atLeast"/>
        </w:trPr>
        <w:tc>
          <w:tcPr>
            <w:tcW w:w="970" w:type="dxa"/>
            <w:shd w:val="clear" w:color="auto" w:fill="auto"/>
            <w:vAlign w:val="center"/>
          </w:tcPr>
          <w:p w14:paraId="246BC0DC">
            <w:pPr>
              <w:pStyle w:val="52"/>
              <w:jc w:val="center"/>
              <w:rPr>
                <w:rFonts w:cs="宋体"/>
                <w:color w:val="auto"/>
                <w:szCs w:val="24"/>
                <w:highlight w:val="none"/>
              </w:rPr>
            </w:pPr>
            <w:r>
              <w:rPr>
                <w:rFonts w:hint="eastAsia" w:cs="宋体"/>
                <w:color w:val="auto"/>
                <w:szCs w:val="24"/>
                <w:highlight w:val="none"/>
              </w:rPr>
              <w:t>2.</w:t>
            </w:r>
            <w:r>
              <w:rPr>
                <w:rFonts w:cs="宋体"/>
                <w:color w:val="auto"/>
                <w:szCs w:val="24"/>
                <w:highlight w:val="none"/>
              </w:rPr>
              <w:t>7</w:t>
            </w:r>
          </w:p>
        </w:tc>
        <w:tc>
          <w:tcPr>
            <w:tcW w:w="1738" w:type="dxa"/>
            <w:shd w:val="clear" w:color="auto" w:fill="auto"/>
            <w:vAlign w:val="center"/>
          </w:tcPr>
          <w:p w14:paraId="4C6CB11A">
            <w:pPr>
              <w:rPr>
                <w:color w:val="auto"/>
                <w:highlight w:val="none"/>
              </w:rPr>
            </w:pPr>
            <w:r>
              <w:rPr>
                <w:rFonts w:hint="eastAsia"/>
                <w:color w:val="auto"/>
                <w:highlight w:val="none"/>
                <w:lang w:bidi="ar"/>
              </w:rPr>
              <w:t>科研仪器设备</w:t>
            </w:r>
          </w:p>
        </w:tc>
        <w:tc>
          <w:tcPr>
            <w:tcW w:w="6700" w:type="dxa"/>
            <w:shd w:val="clear" w:color="auto" w:fill="auto"/>
            <w:vAlign w:val="center"/>
          </w:tcPr>
          <w:p w14:paraId="4A3DE333">
            <w:pPr>
              <w:spacing w:line="360" w:lineRule="auto"/>
              <w:rPr>
                <w:color w:val="auto"/>
                <w:highlight w:val="none"/>
                <w:lang w:bidi="ar"/>
              </w:rPr>
            </w:pPr>
            <w:r>
              <w:rPr>
                <w:rFonts w:hint="eastAsia"/>
                <w:color w:val="auto"/>
                <w:highlight w:val="none"/>
                <w:lang w:bidi="ar"/>
              </w:rPr>
              <w:t xml:space="preserve">是否属于科研仪器设备采购项目： </w:t>
            </w:r>
          </w:p>
          <w:p w14:paraId="57A16C3D">
            <w:pPr>
              <w:spacing w:line="360" w:lineRule="auto"/>
              <w:rPr>
                <w:color w:val="auto"/>
                <w:highlight w:val="none"/>
                <w:lang w:bidi="ar"/>
              </w:rPr>
            </w:pPr>
            <w:r>
              <w:rPr>
                <w:rFonts w:hint="eastAsia"/>
                <w:color w:val="auto"/>
                <w:highlight w:val="none"/>
              </w:rPr>
              <w:t>□</w:t>
            </w:r>
            <w:r>
              <w:rPr>
                <w:rFonts w:hint="eastAsia"/>
                <w:color w:val="auto"/>
                <w:highlight w:val="none"/>
                <w:lang w:bidi="ar"/>
              </w:rPr>
              <w:t>是</w:t>
            </w:r>
          </w:p>
          <w:p w14:paraId="7BA4DFC4">
            <w:pPr>
              <w:spacing w:line="360" w:lineRule="auto"/>
              <w:rPr>
                <w:color w:val="auto"/>
                <w:kern w:val="0"/>
                <w:highlight w:val="none"/>
                <w:lang w:bidi="ar"/>
              </w:rPr>
            </w:pPr>
            <w:r>
              <w:rPr>
                <w:rFonts w:ascii="Segoe UI Symbol" w:hAnsi="Segoe UI Symbol" w:cs="Segoe UI Symbol"/>
                <w:color w:val="auto"/>
                <w:highlight w:val="none"/>
                <w:lang w:bidi="ar"/>
              </w:rPr>
              <w:t>☑</w:t>
            </w:r>
            <w:r>
              <w:rPr>
                <w:rFonts w:hint="eastAsia"/>
                <w:color w:val="auto"/>
                <w:highlight w:val="none"/>
                <w:lang w:bidi="ar"/>
              </w:rPr>
              <w:t>否</w:t>
            </w:r>
          </w:p>
        </w:tc>
      </w:tr>
      <w:tr w14:paraId="207215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5" w:hRule="atLeast"/>
        </w:trPr>
        <w:tc>
          <w:tcPr>
            <w:tcW w:w="970" w:type="dxa"/>
            <w:shd w:val="clear" w:color="auto" w:fill="auto"/>
            <w:vAlign w:val="center"/>
          </w:tcPr>
          <w:p w14:paraId="2C898AA8">
            <w:pPr>
              <w:pStyle w:val="52"/>
              <w:jc w:val="center"/>
              <w:rPr>
                <w:rFonts w:cs="宋体"/>
                <w:color w:val="auto"/>
                <w:szCs w:val="24"/>
                <w:highlight w:val="none"/>
              </w:rPr>
            </w:pPr>
            <w:r>
              <w:rPr>
                <w:rFonts w:hint="eastAsia" w:cs="宋体"/>
                <w:color w:val="auto"/>
                <w:szCs w:val="24"/>
                <w:highlight w:val="none"/>
              </w:rPr>
              <w:t>4.1</w:t>
            </w:r>
          </w:p>
        </w:tc>
        <w:tc>
          <w:tcPr>
            <w:tcW w:w="1738" w:type="dxa"/>
            <w:shd w:val="clear" w:color="auto" w:fill="auto"/>
            <w:vAlign w:val="center"/>
          </w:tcPr>
          <w:p w14:paraId="64BEACD1">
            <w:pPr>
              <w:pStyle w:val="52"/>
              <w:rPr>
                <w:rFonts w:cs="宋体"/>
                <w:color w:val="auto"/>
                <w:kern w:val="0"/>
                <w:szCs w:val="24"/>
                <w:highlight w:val="none"/>
                <w:lang w:bidi="ar"/>
              </w:rPr>
            </w:pPr>
            <w:r>
              <w:rPr>
                <w:rFonts w:hint="eastAsia" w:cs="宋体"/>
                <w:color w:val="auto"/>
                <w:szCs w:val="24"/>
                <w:highlight w:val="none"/>
              </w:rPr>
              <w:t>投标人资格要求</w:t>
            </w:r>
          </w:p>
        </w:tc>
        <w:tc>
          <w:tcPr>
            <w:tcW w:w="6700" w:type="dxa"/>
            <w:shd w:val="clear" w:color="auto" w:fill="auto"/>
            <w:vAlign w:val="center"/>
          </w:tcPr>
          <w:p w14:paraId="3B02CA0C">
            <w:pPr>
              <w:pStyle w:val="52"/>
              <w:spacing w:line="360" w:lineRule="auto"/>
              <w:rPr>
                <w:rFonts w:cs="宋体"/>
                <w:color w:val="auto"/>
                <w:szCs w:val="24"/>
                <w:highlight w:val="none"/>
              </w:rPr>
            </w:pPr>
            <w:r>
              <w:rPr>
                <w:rFonts w:cs="宋体"/>
                <w:color w:val="auto"/>
                <w:szCs w:val="24"/>
                <w:highlight w:val="none"/>
              </w:rPr>
              <w:t>1.供应商应具备《中华人民共和国政府采购法》第二十二条规定的条件，提供下列材料：</w:t>
            </w:r>
          </w:p>
          <w:p w14:paraId="0C0A4766">
            <w:pPr>
              <w:pStyle w:val="52"/>
              <w:spacing w:line="360" w:lineRule="auto"/>
              <w:rPr>
                <w:rFonts w:cs="宋体"/>
                <w:color w:val="auto"/>
                <w:szCs w:val="24"/>
                <w:highlight w:val="none"/>
              </w:rPr>
            </w:pPr>
            <w:r>
              <w:rPr>
                <w:rFonts w:cs="宋体"/>
                <w:color w:val="auto"/>
                <w:szCs w:val="24"/>
                <w:highlight w:val="none"/>
              </w:rPr>
              <w:t>1）具有独立承担民事责任的能力；（投标时，提供在中华人民共和国境内注册的法人或其他组织的营业执照或事业单位法人证书或社会团体法人登记证书复印件/扫描件）</w:t>
            </w:r>
          </w:p>
          <w:p w14:paraId="6C869510">
            <w:pPr>
              <w:pStyle w:val="52"/>
              <w:spacing w:line="360" w:lineRule="auto"/>
              <w:rPr>
                <w:rFonts w:cs="宋体"/>
                <w:color w:val="auto"/>
                <w:szCs w:val="24"/>
                <w:highlight w:val="none"/>
              </w:rPr>
            </w:pPr>
            <w:r>
              <w:rPr>
                <w:rFonts w:cs="宋体"/>
                <w:color w:val="auto"/>
                <w:szCs w:val="24"/>
                <w:highlight w:val="none"/>
              </w:rPr>
              <w:t xml:space="preserve">2）有依法缴纳税收和社会保障资金的良好记录：（投标时，提供至本项目投标截止日前一年内任意1个月缴纳税收凭据证明材料复印件/扫描件；如依法免税的，应提供相应文件证明；提供至本项目投标截止日前一年内任意1个月缴纳社会保险的凭据证明材料复印件/扫描件；如依法不需要缴纳社会保障资金的，应提供相应文件证明） </w:t>
            </w:r>
          </w:p>
          <w:p w14:paraId="65AECD1F">
            <w:pPr>
              <w:pStyle w:val="52"/>
              <w:spacing w:line="360" w:lineRule="auto"/>
              <w:rPr>
                <w:rFonts w:cs="宋体"/>
                <w:color w:val="auto"/>
                <w:szCs w:val="24"/>
                <w:highlight w:val="none"/>
              </w:rPr>
            </w:pPr>
            <w:r>
              <w:rPr>
                <w:rFonts w:cs="宋体"/>
                <w:color w:val="auto"/>
                <w:szCs w:val="24"/>
                <w:highlight w:val="none"/>
              </w:rPr>
              <w:t>3）具有良好的商业信誉和健全的财务会计制度：（投标时，投标时，若投标人成立超过一年需提供</w:t>
            </w:r>
            <w:r>
              <w:rPr>
                <w:rFonts w:hint="eastAsia" w:cs="宋体"/>
                <w:color w:val="auto"/>
                <w:szCs w:val="24"/>
                <w:highlight w:val="none"/>
                <w:lang w:eastAsia="zh-CN"/>
              </w:rPr>
              <w:t>2024年、2025年度任意一年的财务状况报表或经第三方审计出具的审计报告</w:t>
            </w:r>
            <w:r>
              <w:rPr>
                <w:rFonts w:cs="宋体"/>
                <w:color w:val="auto"/>
                <w:szCs w:val="24"/>
                <w:highlight w:val="none"/>
              </w:rPr>
              <w:t xml:space="preserve">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 </w:t>
            </w:r>
          </w:p>
          <w:p w14:paraId="1F4237B8">
            <w:pPr>
              <w:pStyle w:val="52"/>
              <w:spacing w:line="360" w:lineRule="auto"/>
              <w:rPr>
                <w:rFonts w:cs="宋体"/>
                <w:color w:val="auto"/>
                <w:szCs w:val="24"/>
                <w:highlight w:val="none"/>
              </w:rPr>
            </w:pPr>
            <w:r>
              <w:rPr>
                <w:rFonts w:cs="宋体"/>
                <w:color w:val="auto"/>
                <w:szCs w:val="24"/>
                <w:highlight w:val="none"/>
              </w:rPr>
              <w:t>4）具有履行合同所必须的设备和专业技术能力；（投标时，供应商出具承诺函，承诺满足要求，加盖供应商公章）</w:t>
            </w:r>
          </w:p>
          <w:p w14:paraId="3377063D">
            <w:pPr>
              <w:pStyle w:val="52"/>
              <w:spacing w:line="360" w:lineRule="auto"/>
              <w:rPr>
                <w:rFonts w:cs="宋体"/>
                <w:color w:val="auto"/>
                <w:szCs w:val="24"/>
                <w:highlight w:val="none"/>
              </w:rPr>
            </w:pPr>
            <w:r>
              <w:rPr>
                <w:rFonts w:cs="宋体"/>
                <w:color w:val="auto"/>
                <w:szCs w:val="24"/>
                <w:highlight w:val="none"/>
              </w:rPr>
              <w:t xml:space="preserve"> 5）参加采购活动前3年内，在经营活动中没有重大违法记录；（投标时，供应商出具承诺函，加盖供应商公章）</w:t>
            </w:r>
          </w:p>
          <w:p w14:paraId="262425B2">
            <w:pPr>
              <w:pStyle w:val="52"/>
              <w:spacing w:line="360" w:lineRule="auto"/>
              <w:rPr>
                <w:rFonts w:cs="宋体"/>
                <w:color w:val="auto"/>
                <w:szCs w:val="24"/>
                <w:highlight w:val="none"/>
              </w:rPr>
            </w:pPr>
            <w:r>
              <w:rPr>
                <w:rFonts w:hint="eastAsia" w:cs="宋体"/>
                <w:color w:val="auto"/>
                <w:szCs w:val="24"/>
                <w:highlight w:val="none"/>
              </w:rPr>
              <w:t>注：重大违法记录，是指供应商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r>
              <w:rPr>
                <w:rFonts w:cs="宋体"/>
                <w:color w:val="auto"/>
                <w:szCs w:val="24"/>
                <w:highlight w:val="none"/>
              </w:rPr>
              <w:t xml:space="preserve"> </w:t>
            </w:r>
          </w:p>
          <w:p w14:paraId="0F2B8E10">
            <w:pPr>
              <w:pStyle w:val="52"/>
              <w:spacing w:line="360" w:lineRule="auto"/>
              <w:rPr>
                <w:rFonts w:cs="宋体"/>
                <w:color w:val="auto"/>
                <w:szCs w:val="24"/>
                <w:highlight w:val="none"/>
              </w:rPr>
            </w:pPr>
            <w:r>
              <w:rPr>
                <w:rFonts w:cs="宋体"/>
                <w:color w:val="auto"/>
                <w:szCs w:val="24"/>
                <w:highlight w:val="none"/>
              </w:rPr>
              <w:t>6）信用记录：供应商未被列入“信用中国”网站(www.creditchina.gov.cn)“记录严重失信主体名单、失信被执行人、重大税收违法失信主体”记录名单；不处于中国政府采购网(www.ccgp.gov.cn)“政府采购严重违法失信行为信息记录”中的禁止参加政府采购活动期间。如相关失信记录已失效，供应商需提供相关证明资料，如在上述网站查询结果均显示没有相关记录，视为没有上述不良信用记录。）。</w:t>
            </w:r>
          </w:p>
          <w:p w14:paraId="468A9709">
            <w:pPr>
              <w:pStyle w:val="52"/>
              <w:spacing w:line="360" w:lineRule="auto"/>
              <w:rPr>
                <w:rFonts w:cs="宋体"/>
                <w:color w:val="auto"/>
                <w:szCs w:val="24"/>
                <w:highlight w:val="none"/>
              </w:rPr>
            </w:pPr>
            <w:r>
              <w:rPr>
                <w:rFonts w:cs="宋体"/>
                <w:color w:val="auto"/>
                <w:szCs w:val="24"/>
                <w:highlight w:val="none"/>
              </w:rPr>
              <w:t>7）单位负责人为同一人或者存在直接控股、管理关系的不同供应商，不得参加同一合同项下的政府采购活动。与采购人存在利害关系可能影响招标公正性的法人、其他组织或者个人，不得参加投标。</w:t>
            </w:r>
          </w:p>
          <w:p w14:paraId="1E2EB36E">
            <w:pPr>
              <w:pStyle w:val="52"/>
              <w:spacing w:line="360" w:lineRule="auto"/>
              <w:rPr>
                <w:rFonts w:cs="宋体"/>
                <w:color w:val="auto"/>
                <w:szCs w:val="24"/>
                <w:highlight w:val="none"/>
              </w:rPr>
            </w:pPr>
            <w:r>
              <w:rPr>
                <w:rFonts w:hint="eastAsia" w:cs="宋体"/>
                <w:color w:val="auto"/>
                <w:szCs w:val="24"/>
                <w:highlight w:val="none"/>
              </w:rPr>
              <w:t>（投标时，供应商出具承诺函，加盖供应商公章）。</w:t>
            </w:r>
          </w:p>
          <w:p w14:paraId="64809C48">
            <w:pPr>
              <w:pStyle w:val="52"/>
              <w:spacing w:line="360" w:lineRule="auto"/>
              <w:rPr>
                <w:rFonts w:cs="宋体"/>
                <w:color w:val="auto"/>
                <w:szCs w:val="24"/>
                <w:highlight w:val="none"/>
              </w:rPr>
            </w:pPr>
            <w:r>
              <w:rPr>
                <w:rFonts w:hint="eastAsia" w:cs="宋体"/>
                <w:color w:val="auto"/>
                <w:szCs w:val="24"/>
                <w:highlight w:val="none"/>
              </w:rPr>
              <w:t>2.落实政府采购政策需满足的资格要求：本项目属于</w:t>
            </w:r>
            <w:r>
              <w:rPr>
                <w:rFonts w:hint="eastAsia" w:cs="宋体"/>
                <w:color w:val="auto"/>
                <w:szCs w:val="24"/>
                <w:highlight w:val="none"/>
                <w:lang w:val="en-US" w:eastAsia="zh-CN"/>
              </w:rPr>
              <w:t>非</w:t>
            </w:r>
            <w:r>
              <w:rPr>
                <w:rFonts w:cs="宋体"/>
                <w:color w:val="auto"/>
                <w:szCs w:val="24"/>
                <w:highlight w:val="none"/>
              </w:rPr>
              <w:t>专门面向中小企业采购项目。</w:t>
            </w:r>
          </w:p>
          <w:p w14:paraId="524C3991">
            <w:pPr>
              <w:pStyle w:val="52"/>
              <w:spacing w:line="360" w:lineRule="auto"/>
              <w:rPr>
                <w:rFonts w:hint="eastAsia" w:eastAsia="宋体" w:cs="宋体"/>
                <w:color w:val="auto"/>
                <w:szCs w:val="24"/>
                <w:highlight w:val="none"/>
                <w:lang w:eastAsia="zh-CN"/>
              </w:rPr>
            </w:pPr>
            <w:r>
              <w:rPr>
                <w:rFonts w:hint="eastAsia" w:cs="宋体"/>
                <w:color w:val="auto"/>
                <w:szCs w:val="24"/>
                <w:highlight w:val="none"/>
              </w:rPr>
              <w:t>3.本项目的特定资格要求：</w:t>
            </w:r>
            <w:r>
              <w:rPr>
                <w:rFonts w:hint="eastAsia" w:cs="宋体"/>
                <w:color w:val="auto"/>
                <w:szCs w:val="24"/>
                <w:highlight w:val="none"/>
                <w:lang w:eastAsia="zh-CN"/>
              </w:rPr>
              <w:t>所投产品属于第二类医疗器械的，需提供有效的行政主管部门颁发的医疗器械经营备案凭证或医疗器械生产许可证；所投产品属于第三类医疗器械的，需提供有效的行政主管部门颁发的医疗器械生产许可证或医疗器械经营许可证；</w:t>
            </w:r>
          </w:p>
          <w:p w14:paraId="6A4F5F6C">
            <w:pPr>
              <w:pStyle w:val="52"/>
              <w:spacing w:line="360" w:lineRule="auto"/>
              <w:rPr>
                <w:rFonts w:cs="宋体"/>
                <w:color w:val="auto"/>
                <w:szCs w:val="24"/>
                <w:highlight w:val="none"/>
              </w:rPr>
            </w:pPr>
            <w:r>
              <w:rPr>
                <w:rFonts w:hint="eastAsia" w:cs="宋体"/>
                <w:color w:val="auto"/>
                <w:szCs w:val="24"/>
                <w:highlight w:val="none"/>
              </w:rPr>
              <w:t>4. 其他资格要求：</w:t>
            </w:r>
          </w:p>
          <w:p w14:paraId="5C9066B6">
            <w:pPr>
              <w:pStyle w:val="52"/>
              <w:spacing w:line="360" w:lineRule="auto"/>
              <w:rPr>
                <w:rFonts w:cs="宋体"/>
                <w:color w:val="auto"/>
                <w:szCs w:val="24"/>
                <w:highlight w:val="none"/>
              </w:rPr>
            </w:pPr>
            <w:r>
              <w:rPr>
                <w:rFonts w:hint="eastAsia" w:cs="宋体"/>
                <w:color w:val="auto"/>
                <w:szCs w:val="24"/>
                <w:highlight w:val="none"/>
              </w:rPr>
              <w:t>（1）法定代表人或单位负责人为同一人或者存在直接控股、管理关系的不同供应商，不得参加同一合同项下的政府采购活动。</w:t>
            </w:r>
          </w:p>
          <w:p w14:paraId="35E515EE">
            <w:pPr>
              <w:pStyle w:val="52"/>
              <w:spacing w:line="360" w:lineRule="auto"/>
              <w:rPr>
                <w:rFonts w:cs="宋体"/>
                <w:color w:val="auto"/>
                <w:szCs w:val="24"/>
                <w:highlight w:val="none"/>
              </w:rPr>
            </w:pPr>
            <w:r>
              <w:rPr>
                <w:rFonts w:hint="eastAsia" w:cs="宋体"/>
                <w:color w:val="auto"/>
                <w:szCs w:val="24"/>
                <w:highlight w:val="none"/>
              </w:rPr>
              <w:t>（2）除单一来源采购项目外，为采购项目提供整体设计、规范编制或者项目管理、监理、检测等服务的供应商，不得再参加该采购项目的其他采购活动。</w:t>
            </w:r>
          </w:p>
          <w:p w14:paraId="0315980C">
            <w:pPr>
              <w:pStyle w:val="52"/>
              <w:spacing w:line="360" w:lineRule="auto"/>
              <w:rPr>
                <w:rFonts w:cs="宋体"/>
                <w:color w:val="auto"/>
                <w:szCs w:val="24"/>
                <w:highlight w:val="none"/>
              </w:rPr>
            </w:pPr>
            <w:r>
              <w:rPr>
                <w:rFonts w:cs="宋体"/>
                <w:color w:val="auto"/>
                <w:szCs w:val="24"/>
                <w:highlight w:val="none"/>
              </w:rPr>
              <w:t>（</w:t>
            </w:r>
            <w:r>
              <w:rPr>
                <w:rFonts w:hint="eastAsia" w:cs="宋体"/>
                <w:color w:val="auto"/>
                <w:szCs w:val="24"/>
                <w:highlight w:val="none"/>
              </w:rPr>
              <w:t>4</w:t>
            </w:r>
            <w:r>
              <w:rPr>
                <w:rFonts w:cs="宋体"/>
                <w:color w:val="auto"/>
                <w:szCs w:val="24"/>
                <w:highlight w:val="none"/>
              </w:rPr>
              <w:t>）本项目不接受联合体投标。</w:t>
            </w:r>
          </w:p>
        </w:tc>
      </w:tr>
      <w:tr w14:paraId="39B007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68" w:hRule="atLeast"/>
        </w:trPr>
        <w:tc>
          <w:tcPr>
            <w:tcW w:w="970" w:type="dxa"/>
            <w:vAlign w:val="center"/>
          </w:tcPr>
          <w:p w14:paraId="4150A963">
            <w:pPr>
              <w:pStyle w:val="52"/>
              <w:jc w:val="center"/>
              <w:rPr>
                <w:rFonts w:cs="宋体"/>
                <w:color w:val="auto"/>
                <w:szCs w:val="24"/>
                <w:highlight w:val="none"/>
              </w:rPr>
            </w:pPr>
            <w:r>
              <w:rPr>
                <w:rFonts w:hint="eastAsia" w:cs="宋体"/>
                <w:color w:val="auto"/>
                <w:szCs w:val="24"/>
                <w:highlight w:val="none"/>
              </w:rPr>
              <w:t>9.1</w:t>
            </w:r>
          </w:p>
        </w:tc>
        <w:tc>
          <w:tcPr>
            <w:tcW w:w="1738" w:type="dxa"/>
            <w:vAlign w:val="center"/>
          </w:tcPr>
          <w:p w14:paraId="11D65852">
            <w:pPr>
              <w:pStyle w:val="52"/>
              <w:rPr>
                <w:rFonts w:cs="宋体"/>
                <w:color w:val="auto"/>
                <w:szCs w:val="24"/>
                <w:highlight w:val="none"/>
              </w:rPr>
            </w:pPr>
            <w:bookmarkStart w:id="133" w:name="_Hlk143529175"/>
            <w:r>
              <w:rPr>
                <w:rFonts w:hint="eastAsia" w:cs="宋体"/>
                <w:color w:val="auto"/>
                <w:szCs w:val="24"/>
                <w:highlight w:val="none"/>
              </w:rPr>
              <w:t>现场考察</w:t>
            </w:r>
            <w:bookmarkEnd w:id="133"/>
          </w:p>
        </w:tc>
        <w:tc>
          <w:tcPr>
            <w:tcW w:w="6700" w:type="dxa"/>
            <w:vAlign w:val="center"/>
          </w:tcPr>
          <w:p w14:paraId="35365A4A">
            <w:pPr>
              <w:pStyle w:val="52"/>
              <w:spacing w:line="360" w:lineRule="auto"/>
              <w:rPr>
                <w:rFonts w:cs="宋体"/>
                <w:color w:val="auto"/>
                <w:szCs w:val="24"/>
                <w:highlight w:val="none"/>
              </w:rPr>
            </w:pPr>
            <w:r>
              <w:rPr>
                <w:rFonts w:hint="eastAsia" w:cs="宋体"/>
                <w:color w:val="auto"/>
                <w:szCs w:val="24"/>
                <w:highlight w:val="none"/>
              </w:rPr>
              <w:sym w:font="Wingdings" w:char="00FE"/>
            </w:r>
            <w:r>
              <w:rPr>
                <w:rFonts w:hint="eastAsia" w:cs="宋体"/>
                <w:color w:val="auto"/>
                <w:szCs w:val="24"/>
                <w:highlight w:val="none"/>
              </w:rPr>
              <w:t>不组织，投标人自行前往。</w:t>
            </w:r>
          </w:p>
          <w:p w14:paraId="5ACD5804">
            <w:pPr>
              <w:pStyle w:val="52"/>
              <w:spacing w:line="360" w:lineRule="auto"/>
              <w:rPr>
                <w:rFonts w:cs="宋体"/>
                <w:color w:val="auto"/>
                <w:szCs w:val="24"/>
                <w:highlight w:val="none"/>
              </w:rPr>
            </w:pPr>
            <w:r>
              <w:rPr>
                <w:rFonts w:hint="eastAsia" w:cs="宋体"/>
                <w:color w:val="auto"/>
                <w:szCs w:val="24"/>
                <w:highlight w:val="none"/>
              </w:rPr>
              <w:sym w:font="Wingdings" w:char="00A8"/>
            </w:r>
            <w:r>
              <w:rPr>
                <w:rFonts w:hint="eastAsia" w:cs="宋体"/>
                <w:color w:val="auto"/>
                <w:szCs w:val="24"/>
                <w:highlight w:val="none"/>
              </w:rPr>
              <w:t>组织</w:t>
            </w:r>
          </w:p>
          <w:p w14:paraId="12582ACC">
            <w:pPr>
              <w:pStyle w:val="52"/>
              <w:spacing w:line="360" w:lineRule="auto"/>
              <w:ind w:firstLine="240" w:firstLineChars="100"/>
              <w:rPr>
                <w:rFonts w:cs="宋体"/>
                <w:color w:val="auto"/>
                <w:szCs w:val="24"/>
                <w:highlight w:val="none"/>
              </w:rPr>
            </w:pPr>
            <w:r>
              <w:rPr>
                <w:rFonts w:hint="eastAsia" w:cs="宋体"/>
                <w:color w:val="auto"/>
                <w:szCs w:val="24"/>
                <w:highlight w:val="none"/>
              </w:rPr>
              <w:t>时间：</w:t>
            </w:r>
            <w:r>
              <w:rPr>
                <w:rFonts w:hint="eastAsia" w:cs="宋体"/>
                <w:color w:val="auto"/>
                <w:szCs w:val="24"/>
                <w:highlight w:val="none"/>
                <w:u w:val="single"/>
              </w:rPr>
              <w:t xml:space="preserve">  / </w:t>
            </w:r>
            <w:r>
              <w:rPr>
                <w:rFonts w:hint="eastAsia" w:cs="宋体"/>
                <w:color w:val="auto"/>
                <w:szCs w:val="24"/>
                <w:highlight w:val="none"/>
              </w:rPr>
              <w:t>。</w:t>
            </w:r>
          </w:p>
          <w:p w14:paraId="4D5D5BD9">
            <w:pPr>
              <w:pStyle w:val="52"/>
              <w:spacing w:line="360" w:lineRule="auto"/>
              <w:ind w:firstLine="240" w:firstLineChars="100"/>
              <w:rPr>
                <w:rFonts w:cs="宋体"/>
                <w:color w:val="auto"/>
                <w:szCs w:val="24"/>
                <w:highlight w:val="none"/>
              </w:rPr>
            </w:pPr>
            <w:r>
              <w:rPr>
                <w:rFonts w:hint="eastAsia" w:cs="宋体"/>
                <w:color w:val="auto"/>
                <w:szCs w:val="24"/>
                <w:highlight w:val="none"/>
              </w:rPr>
              <w:t>地点：</w:t>
            </w:r>
            <w:r>
              <w:rPr>
                <w:rFonts w:hint="eastAsia" w:cs="宋体"/>
                <w:color w:val="auto"/>
                <w:szCs w:val="24"/>
                <w:highlight w:val="none"/>
                <w:u w:val="single"/>
              </w:rPr>
              <w:t xml:space="preserve">  /  </w:t>
            </w:r>
            <w:r>
              <w:rPr>
                <w:rFonts w:hint="eastAsia" w:cs="宋体"/>
                <w:color w:val="auto"/>
                <w:szCs w:val="24"/>
                <w:highlight w:val="none"/>
              </w:rPr>
              <w:t>。</w:t>
            </w:r>
          </w:p>
        </w:tc>
      </w:tr>
      <w:tr w14:paraId="67555E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35" w:hRule="atLeast"/>
        </w:trPr>
        <w:tc>
          <w:tcPr>
            <w:tcW w:w="970" w:type="dxa"/>
            <w:vAlign w:val="center"/>
          </w:tcPr>
          <w:p w14:paraId="129C33AE">
            <w:pPr>
              <w:pStyle w:val="52"/>
              <w:jc w:val="center"/>
              <w:rPr>
                <w:rFonts w:cs="宋体"/>
                <w:color w:val="auto"/>
                <w:szCs w:val="24"/>
                <w:highlight w:val="none"/>
              </w:rPr>
            </w:pPr>
            <w:r>
              <w:rPr>
                <w:rFonts w:hint="eastAsia" w:cs="宋体"/>
                <w:color w:val="auto"/>
                <w:szCs w:val="24"/>
                <w:highlight w:val="none"/>
              </w:rPr>
              <w:t>9.5</w:t>
            </w:r>
          </w:p>
        </w:tc>
        <w:tc>
          <w:tcPr>
            <w:tcW w:w="1738" w:type="dxa"/>
            <w:vAlign w:val="center"/>
          </w:tcPr>
          <w:p w14:paraId="12F748B9">
            <w:pPr>
              <w:pStyle w:val="52"/>
              <w:rPr>
                <w:rFonts w:cs="宋体"/>
                <w:color w:val="auto"/>
                <w:szCs w:val="24"/>
                <w:highlight w:val="none"/>
              </w:rPr>
            </w:pPr>
            <w:r>
              <w:rPr>
                <w:rFonts w:hint="eastAsia" w:cs="宋体"/>
                <w:color w:val="auto"/>
                <w:szCs w:val="24"/>
                <w:highlight w:val="none"/>
              </w:rPr>
              <w:t>答疑会</w:t>
            </w:r>
          </w:p>
        </w:tc>
        <w:tc>
          <w:tcPr>
            <w:tcW w:w="6700" w:type="dxa"/>
            <w:vAlign w:val="center"/>
          </w:tcPr>
          <w:p w14:paraId="0C8A69B7">
            <w:pPr>
              <w:pStyle w:val="52"/>
              <w:spacing w:line="360" w:lineRule="auto"/>
              <w:rPr>
                <w:rFonts w:cs="宋体"/>
                <w:color w:val="auto"/>
                <w:szCs w:val="24"/>
                <w:highlight w:val="none"/>
              </w:rPr>
            </w:pPr>
            <w:r>
              <w:rPr>
                <w:rFonts w:hint="eastAsia" w:cs="宋体"/>
                <w:color w:val="auto"/>
                <w:szCs w:val="24"/>
                <w:highlight w:val="none"/>
              </w:rPr>
              <w:sym w:font="Wingdings" w:char="00FE"/>
            </w:r>
            <w:r>
              <w:rPr>
                <w:rFonts w:hint="eastAsia" w:cs="宋体"/>
                <w:color w:val="auto"/>
                <w:szCs w:val="24"/>
                <w:highlight w:val="none"/>
              </w:rPr>
              <w:t>不组织</w:t>
            </w:r>
          </w:p>
          <w:p w14:paraId="78F6A49A">
            <w:pPr>
              <w:pStyle w:val="52"/>
              <w:spacing w:line="360" w:lineRule="auto"/>
              <w:rPr>
                <w:rFonts w:cs="宋体"/>
                <w:color w:val="auto"/>
                <w:szCs w:val="24"/>
                <w:highlight w:val="none"/>
              </w:rPr>
            </w:pPr>
            <w:r>
              <w:rPr>
                <w:rFonts w:hint="eastAsia" w:cs="宋体"/>
                <w:color w:val="auto"/>
                <w:szCs w:val="24"/>
                <w:highlight w:val="none"/>
              </w:rPr>
              <w:sym w:font="Wingdings" w:char="00A8"/>
            </w:r>
            <w:r>
              <w:rPr>
                <w:rFonts w:hint="eastAsia" w:cs="宋体"/>
                <w:color w:val="auto"/>
                <w:szCs w:val="24"/>
                <w:highlight w:val="none"/>
              </w:rPr>
              <w:t>组织</w:t>
            </w:r>
          </w:p>
          <w:p w14:paraId="4DE0CF31">
            <w:pPr>
              <w:pStyle w:val="52"/>
              <w:spacing w:line="360" w:lineRule="auto"/>
              <w:ind w:firstLine="240" w:firstLineChars="100"/>
              <w:rPr>
                <w:rFonts w:cs="宋体"/>
                <w:color w:val="auto"/>
                <w:szCs w:val="24"/>
                <w:highlight w:val="none"/>
              </w:rPr>
            </w:pPr>
            <w:r>
              <w:rPr>
                <w:rFonts w:hint="eastAsia" w:cs="宋体"/>
                <w:color w:val="auto"/>
                <w:szCs w:val="24"/>
                <w:highlight w:val="none"/>
              </w:rPr>
              <w:t>时间：</w:t>
            </w:r>
            <w:r>
              <w:rPr>
                <w:rFonts w:hint="eastAsia" w:cs="宋体"/>
                <w:color w:val="auto"/>
                <w:szCs w:val="24"/>
                <w:highlight w:val="none"/>
                <w:u w:val="single"/>
              </w:rPr>
              <w:t xml:space="preserve"> /  </w:t>
            </w:r>
            <w:r>
              <w:rPr>
                <w:rFonts w:hint="eastAsia" w:cs="宋体"/>
                <w:color w:val="auto"/>
                <w:szCs w:val="24"/>
                <w:highlight w:val="none"/>
              </w:rPr>
              <w:t>。</w:t>
            </w:r>
          </w:p>
          <w:p w14:paraId="7A0D044D">
            <w:pPr>
              <w:pStyle w:val="52"/>
              <w:spacing w:line="360" w:lineRule="auto"/>
              <w:ind w:firstLine="240" w:firstLineChars="100"/>
              <w:rPr>
                <w:rFonts w:cs="宋体"/>
                <w:color w:val="auto"/>
                <w:szCs w:val="24"/>
                <w:highlight w:val="none"/>
              </w:rPr>
            </w:pPr>
            <w:r>
              <w:rPr>
                <w:rFonts w:hint="eastAsia" w:cs="宋体"/>
                <w:color w:val="auto"/>
                <w:szCs w:val="24"/>
                <w:highlight w:val="none"/>
              </w:rPr>
              <w:t>地点：</w:t>
            </w:r>
            <w:r>
              <w:rPr>
                <w:rFonts w:hint="eastAsia" w:cs="宋体"/>
                <w:color w:val="auto"/>
                <w:szCs w:val="24"/>
                <w:highlight w:val="none"/>
                <w:u w:val="single"/>
              </w:rPr>
              <w:t xml:space="preserve"> /  </w:t>
            </w:r>
            <w:r>
              <w:rPr>
                <w:rFonts w:hint="eastAsia" w:cs="宋体"/>
                <w:color w:val="auto"/>
                <w:szCs w:val="24"/>
                <w:highlight w:val="none"/>
              </w:rPr>
              <w:t>。</w:t>
            </w:r>
          </w:p>
        </w:tc>
      </w:tr>
      <w:tr w14:paraId="0207E3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173BDE25">
            <w:pPr>
              <w:pStyle w:val="52"/>
              <w:jc w:val="center"/>
              <w:rPr>
                <w:rFonts w:cs="宋体"/>
                <w:color w:val="auto"/>
                <w:szCs w:val="24"/>
                <w:highlight w:val="none"/>
              </w:rPr>
            </w:pPr>
            <w:r>
              <w:rPr>
                <w:rFonts w:hint="eastAsia" w:cs="宋体"/>
                <w:color w:val="auto"/>
                <w:szCs w:val="24"/>
                <w:highlight w:val="none"/>
              </w:rPr>
              <w:t>12.1</w:t>
            </w:r>
          </w:p>
        </w:tc>
        <w:tc>
          <w:tcPr>
            <w:tcW w:w="1738" w:type="dxa"/>
            <w:vAlign w:val="center"/>
          </w:tcPr>
          <w:p w14:paraId="6D231E58">
            <w:pPr>
              <w:pStyle w:val="52"/>
              <w:rPr>
                <w:color w:val="auto"/>
                <w:szCs w:val="24"/>
                <w:highlight w:val="none"/>
              </w:rPr>
            </w:pPr>
            <w:r>
              <w:rPr>
                <w:rFonts w:hint="eastAsia"/>
                <w:color w:val="auto"/>
                <w:szCs w:val="24"/>
                <w:highlight w:val="none"/>
              </w:rPr>
              <w:t>询问</w:t>
            </w:r>
          </w:p>
        </w:tc>
        <w:tc>
          <w:tcPr>
            <w:tcW w:w="6700" w:type="dxa"/>
            <w:vAlign w:val="center"/>
          </w:tcPr>
          <w:p w14:paraId="75EC6AD7">
            <w:pPr>
              <w:pStyle w:val="52"/>
              <w:spacing w:line="360" w:lineRule="auto"/>
              <w:rPr>
                <w:color w:val="auto"/>
                <w:szCs w:val="24"/>
                <w:highlight w:val="none"/>
              </w:rPr>
            </w:pPr>
            <w:r>
              <w:rPr>
                <w:rFonts w:hint="eastAsia"/>
                <w:color w:val="auto"/>
                <w:szCs w:val="24"/>
                <w:highlight w:val="none"/>
              </w:rPr>
              <w:t>1.方式：在投标人客户端中按照格式填写询问函，并在生成询问函后加盖电子印章提交；其他询问方式：</w:t>
            </w:r>
            <w:r>
              <w:rPr>
                <w:rFonts w:hint="eastAsia"/>
                <w:color w:val="auto"/>
                <w:szCs w:val="24"/>
                <w:highlight w:val="none"/>
                <w:u w:val="single"/>
              </w:rPr>
              <w:t xml:space="preserve"> 电话咨询</w:t>
            </w:r>
            <w:r>
              <w:rPr>
                <w:rFonts w:hint="eastAsia"/>
                <w:color w:val="auto"/>
                <w:szCs w:val="24"/>
                <w:highlight w:val="none"/>
              </w:rPr>
              <w:t>。</w:t>
            </w:r>
          </w:p>
          <w:p w14:paraId="688F5DBE">
            <w:pPr>
              <w:pStyle w:val="52"/>
              <w:spacing w:line="360" w:lineRule="auto"/>
              <w:rPr>
                <w:color w:val="auto"/>
                <w:szCs w:val="24"/>
                <w:highlight w:val="none"/>
              </w:rPr>
            </w:pPr>
            <w:r>
              <w:rPr>
                <w:rFonts w:hint="eastAsia"/>
                <w:color w:val="auto"/>
                <w:szCs w:val="24"/>
                <w:highlight w:val="none"/>
              </w:rPr>
              <w:t>2.时间要求： 每天上午10:00 至13:30，下午15:30至19:00（北京时间，法定节假日除外）  。</w:t>
            </w:r>
          </w:p>
        </w:tc>
      </w:tr>
      <w:tr w14:paraId="072140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405B3710">
            <w:pPr>
              <w:pStyle w:val="52"/>
              <w:jc w:val="center"/>
              <w:rPr>
                <w:rFonts w:cs="宋体"/>
                <w:color w:val="auto"/>
                <w:szCs w:val="24"/>
                <w:highlight w:val="none"/>
              </w:rPr>
            </w:pPr>
            <w:r>
              <w:rPr>
                <w:rFonts w:hint="eastAsia" w:cs="宋体"/>
                <w:color w:val="auto"/>
                <w:szCs w:val="24"/>
                <w:highlight w:val="none"/>
              </w:rPr>
              <w:t>14.6</w:t>
            </w:r>
          </w:p>
        </w:tc>
        <w:tc>
          <w:tcPr>
            <w:tcW w:w="1738" w:type="dxa"/>
            <w:vAlign w:val="center"/>
          </w:tcPr>
          <w:p w14:paraId="64DEA0DB">
            <w:pPr>
              <w:pStyle w:val="52"/>
              <w:rPr>
                <w:color w:val="auto"/>
                <w:szCs w:val="24"/>
                <w:highlight w:val="none"/>
              </w:rPr>
            </w:pPr>
            <w:r>
              <w:rPr>
                <w:rFonts w:hint="eastAsia"/>
                <w:color w:val="auto"/>
                <w:szCs w:val="24"/>
                <w:highlight w:val="none"/>
              </w:rPr>
              <w:t>采购预算（最高限价）</w:t>
            </w:r>
          </w:p>
        </w:tc>
        <w:tc>
          <w:tcPr>
            <w:tcW w:w="6700" w:type="dxa"/>
            <w:vAlign w:val="center"/>
          </w:tcPr>
          <w:p w14:paraId="2200C2BF">
            <w:pPr>
              <w:pStyle w:val="52"/>
              <w:spacing w:line="360" w:lineRule="auto"/>
              <w:rPr>
                <w:color w:val="auto"/>
                <w:szCs w:val="24"/>
                <w:highlight w:val="none"/>
              </w:rPr>
            </w:pPr>
            <w:r>
              <w:rPr>
                <w:rFonts w:hint="eastAsia"/>
                <w:color w:val="auto"/>
                <w:szCs w:val="24"/>
                <w:highlight w:val="none"/>
              </w:rPr>
              <w:t>采购预算（最高限价）：</w:t>
            </w:r>
            <w:r>
              <w:rPr>
                <w:rFonts w:hint="eastAsia"/>
                <w:color w:val="auto"/>
                <w:szCs w:val="24"/>
                <w:highlight w:val="none"/>
                <w:lang w:val="en-US" w:eastAsia="zh-CN"/>
              </w:rPr>
              <w:t>350万</w:t>
            </w:r>
            <w:r>
              <w:rPr>
                <w:color w:val="auto"/>
                <w:szCs w:val="24"/>
                <w:highlight w:val="none"/>
              </w:rPr>
              <w:t>元</w:t>
            </w:r>
          </w:p>
          <w:p w14:paraId="60EA67E6">
            <w:pPr>
              <w:pStyle w:val="52"/>
              <w:spacing w:line="360" w:lineRule="auto"/>
              <w:rPr>
                <w:color w:val="auto"/>
                <w:szCs w:val="24"/>
                <w:highlight w:val="none"/>
              </w:rPr>
            </w:pPr>
            <w:r>
              <w:rPr>
                <w:rFonts w:hint="eastAsia" w:cs="宋体"/>
                <w:color w:val="auto"/>
                <w:highlight w:val="none"/>
              </w:rPr>
              <w:t>供应商报价应为包括但不限于全部货品价、税费、包装费、运输、调试、安装费、装卸费、必不可少的部件等费用，以及已支付或将支付的增值税和其它税费等所有费用。</w:t>
            </w:r>
          </w:p>
        </w:tc>
      </w:tr>
      <w:tr w14:paraId="5E5FB6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7C362D35">
            <w:pPr>
              <w:pStyle w:val="52"/>
              <w:jc w:val="center"/>
              <w:rPr>
                <w:rFonts w:cs="宋体"/>
                <w:color w:val="auto"/>
                <w:szCs w:val="24"/>
                <w:highlight w:val="none"/>
              </w:rPr>
            </w:pPr>
            <w:r>
              <w:rPr>
                <w:rFonts w:hint="eastAsia" w:cs="宋体"/>
                <w:color w:val="auto"/>
                <w:szCs w:val="24"/>
                <w:highlight w:val="none"/>
              </w:rPr>
              <w:t>15.1</w:t>
            </w:r>
          </w:p>
        </w:tc>
        <w:tc>
          <w:tcPr>
            <w:tcW w:w="1738" w:type="dxa"/>
            <w:vAlign w:val="center"/>
          </w:tcPr>
          <w:p w14:paraId="08544B7E">
            <w:pPr>
              <w:pStyle w:val="52"/>
              <w:rPr>
                <w:rFonts w:cs="宋体"/>
                <w:color w:val="auto"/>
                <w:szCs w:val="24"/>
                <w:highlight w:val="none"/>
              </w:rPr>
            </w:pPr>
            <w:r>
              <w:rPr>
                <w:rFonts w:hint="eastAsia" w:cs="宋体"/>
                <w:color w:val="auto"/>
                <w:szCs w:val="24"/>
                <w:highlight w:val="none"/>
              </w:rPr>
              <w:t>投标有效期</w:t>
            </w:r>
          </w:p>
        </w:tc>
        <w:tc>
          <w:tcPr>
            <w:tcW w:w="6700" w:type="dxa"/>
            <w:vAlign w:val="center"/>
          </w:tcPr>
          <w:p w14:paraId="5E5D203A">
            <w:pPr>
              <w:pStyle w:val="52"/>
              <w:spacing w:line="360" w:lineRule="auto"/>
              <w:rPr>
                <w:rFonts w:cs="宋体"/>
                <w:color w:val="auto"/>
                <w:szCs w:val="24"/>
                <w:highlight w:val="none"/>
              </w:rPr>
            </w:pPr>
            <w:r>
              <w:rPr>
                <w:rFonts w:hint="eastAsia" w:cs="宋体"/>
                <w:color w:val="auto"/>
                <w:szCs w:val="24"/>
                <w:highlight w:val="none"/>
              </w:rPr>
              <w:t>投标截止时间后</w:t>
            </w:r>
            <w:r>
              <w:rPr>
                <w:rFonts w:hint="eastAsia" w:cs="宋体"/>
                <w:color w:val="auto"/>
                <w:szCs w:val="24"/>
                <w:highlight w:val="none"/>
                <w:u w:val="single"/>
              </w:rPr>
              <w:t>90</w:t>
            </w:r>
            <w:r>
              <w:rPr>
                <w:rFonts w:hint="eastAsia" w:cs="宋体"/>
                <w:color w:val="auto"/>
                <w:szCs w:val="24"/>
                <w:highlight w:val="none"/>
              </w:rPr>
              <w:t>日历日。</w:t>
            </w:r>
          </w:p>
        </w:tc>
      </w:tr>
      <w:tr w14:paraId="3793BD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2BA2A842">
            <w:pPr>
              <w:pStyle w:val="52"/>
              <w:jc w:val="center"/>
              <w:rPr>
                <w:rFonts w:hint="eastAsia" w:cs="宋体"/>
                <w:color w:val="auto"/>
                <w:szCs w:val="24"/>
                <w:highlight w:val="none"/>
              </w:rPr>
            </w:pPr>
            <w:r>
              <w:rPr>
                <w:rFonts w:hint="eastAsia" w:cs="宋体"/>
                <w:color w:val="auto"/>
                <w:szCs w:val="24"/>
                <w:highlight w:val="none"/>
              </w:rPr>
              <w:t>1</w:t>
            </w:r>
            <w:r>
              <w:rPr>
                <w:rFonts w:cs="宋体"/>
                <w:color w:val="auto"/>
                <w:szCs w:val="24"/>
                <w:highlight w:val="none"/>
              </w:rPr>
              <w:t>6.3</w:t>
            </w:r>
          </w:p>
        </w:tc>
        <w:tc>
          <w:tcPr>
            <w:tcW w:w="1738" w:type="dxa"/>
            <w:vAlign w:val="center"/>
          </w:tcPr>
          <w:p w14:paraId="01B8E813">
            <w:pPr>
              <w:pStyle w:val="52"/>
              <w:rPr>
                <w:rFonts w:hint="eastAsia" w:cs="宋体"/>
                <w:color w:val="auto"/>
                <w:szCs w:val="24"/>
                <w:highlight w:val="none"/>
              </w:rPr>
            </w:pPr>
            <w:r>
              <w:rPr>
                <w:rFonts w:hint="eastAsia" w:cs="宋体"/>
                <w:color w:val="auto"/>
                <w:szCs w:val="24"/>
                <w:highlight w:val="none"/>
              </w:rPr>
              <w:t>招标文件实质性要求的标识及非实质性要求的偏离要求</w:t>
            </w:r>
          </w:p>
        </w:tc>
        <w:tc>
          <w:tcPr>
            <w:tcW w:w="6700" w:type="dxa"/>
            <w:vAlign w:val="center"/>
          </w:tcPr>
          <w:p w14:paraId="152066B8">
            <w:pPr>
              <w:pStyle w:val="52"/>
              <w:spacing w:line="360" w:lineRule="auto"/>
              <w:rPr>
                <w:rFonts w:cs="宋体"/>
                <w:color w:val="auto"/>
                <w:szCs w:val="24"/>
                <w:highlight w:val="none"/>
              </w:rPr>
            </w:pPr>
            <w:r>
              <w:rPr>
                <w:rFonts w:hint="eastAsia" w:cs="宋体"/>
                <w:color w:val="auto"/>
                <w:szCs w:val="24"/>
                <w:highlight w:val="none"/>
              </w:rPr>
              <w:t>（</w:t>
            </w:r>
            <w:r>
              <w:rPr>
                <w:rFonts w:cs="宋体"/>
                <w:color w:val="auto"/>
                <w:szCs w:val="24"/>
                <w:highlight w:val="none"/>
              </w:rPr>
              <w:t>1）招标文件中标识“（</w:t>
            </w:r>
            <w:r>
              <w:rPr>
                <w:rFonts w:hint="eastAsia" w:ascii="宋体" w:hAnsi="宋体" w:eastAsia="宋体"/>
                <w:snapToGrid w:val="0"/>
                <w:color w:val="auto"/>
                <w:sz w:val="24"/>
                <w:szCs w:val="24"/>
                <w:highlight w:val="none"/>
                <w:lang w:val="zh-CN" w:eastAsia="zh-CN"/>
              </w:rPr>
              <w:t>★</w:t>
            </w:r>
            <w:r>
              <w:rPr>
                <w:rFonts w:cs="宋体"/>
                <w:color w:val="auto"/>
                <w:szCs w:val="24"/>
                <w:highlight w:val="none"/>
              </w:rPr>
              <w:t>”的条款，均为实质性条款，投标人任何不满足实质性条款的投标均将被否决。</w:t>
            </w:r>
          </w:p>
          <w:p w14:paraId="11E8AE45">
            <w:pPr>
              <w:pStyle w:val="52"/>
              <w:spacing w:line="360" w:lineRule="auto"/>
              <w:rPr>
                <w:rFonts w:hint="eastAsia" w:cs="宋体"/>
                <w:color w:val="auto"/>
                <w:szCs w:val="24"/>
                <w:highlight w:val="none"/>
              </w:rPr>
            </w:pPr>
            <w:r>
              <w:rPr>
                <w:rFonts w:hint="eastAsia" w:cs="宋体"/>
                <w:color w:val="auto"/>
                <w:szCs w:val="24"/>
                <w:highlight w:val="none"/>
              </w:rPr>
              <w:t>（</w:t>
            </w:r>
            <w:r>
              <w:rPr>
                <w:rFonts w:cs="宋体"/>
                <w:color w:val="auto"/>
                <w:szCs w:val="24"/>
                <w:highlight w:val="none"/>
              </w:rPr>
              <w:t>2）非实质性要求的偏离要求：技术参数中重要参数（标记“</w:t>
            </w:r>
            <w:r>
              <w:rPr>
                <w:rFonts w:hint="eastAsia" w:cs="宋体"/>
                <w:color w:val="auto"/>
                <w:szCs w:val="24"/>
                <w:highlight w:val="none"/>
              </w:rPr>
              <w:t>▲</w:t>
            </w:r>
            <w:r>
              <w:rPr>
                <w:rFonts w:cs="宋体"/>
                <w:color w:val="auto"/>
                <w:szCs w:val="24"/>
                <w:highlight w:val="none"/>
              </w:rPr>
              <w:t>”）允许最大偏离项为</w:t>
            </w:r>
            <w:r>
              <w:rPr>
                <w:rFonts w:hint="eastAsia" w:cs="宋体"/>
                <w:color w:val="auto"/>
                <w:szCs w:val="24"/>
                <w:highlight w:val="none"/>
                <w:u w:val="single"/>
              </w:rPr>
              <w:t xml:space="preserve"> </w:t>
            </w:r>
            <w:r>
              <w:rPr>
                <w:rFonts w:hint="eastAsia" w:cs="宋体"/>
                <w:color w:val="auto"/>
                <w:szCs w:val="24"/>
                <w:highlight w:val="none"/>
                <w:u w:val="single"/>
                <w:lang w:val="en-US" w:eastAsia="zh-CN"/>
              </w:rPr>
              <w:t>/</w:t>
            </w:r>
            <w:r>
              <w:rPr>
                <w:rFonts w:cs="宋体"/>
                <w:color w:val="auto"/>
                <w:szCs w:val="24"/>
                <w:highlight w:val="none"/>
              </w:rPr>
              <w:t>项，一般参数（无标记）允许最大偏离项为</w:t>
            </w:r>
            <w:r>
              <w:rPr>
                <w:rFonts w:hint="eastAsia" w:cs="宋体"/>
                <w:color w:val="auto"/>
                <w:szCs w:val="24"/>
                <w:highlight w:val="none"/>
                <w:u w:val="single"/>
              </w:rPr>
              <w:t xml:space="preserve"> </w:t>
            </w:r>
            <w:r>
              <w:rPr>
                <w:rFonts w:hint="eastAsia" w:cs="宋体"/>
                <w:color w:val="auto"/>
                <w:szCs w:val="24"/>
                <w:highlight w:val="none"/>
                <w:u w:val="single"/>
                <w:lang w:val="en-US" w:eastAsia="zh-CN"/>
              </w:rPr>
              <w:t>/</w:t>
            </w:r>
            <w:r>
              <w:rPr>
                <w:rFonts w:cs="宋体"/>
                <w:color w:val="auto"/>
                <w:szCs w:val="24"/>
                <w:highlight w:val="none"/>
              </w:rPr>
              <w:t>项，超过最大偏离项的，视为重大偏差，投标无效。</w:t>
            </w:r>
          </w:p>
        </w:tc>
      </w:tr>
      <w:tr w14:paraId="10F968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78" w:hRule="atLeast"/>
        </w:trPr>
        <w:tc>
          <w:tcPr>
            <w:tcW w:w="970" w:type="dxa"/>
            <w:vAlign w:val="center"/>
          </w:tcPr>
          <w:p w14:paraId="3F90EFBC">
            <w:pPr>
              <w:pStyle w:val="52"/>
              <w:jc w:val="center"/>
              <w:rPr>
                <w:rFonts w:cs="宋体"/>
                <w:color w:val="auto"/>
                <w:szCs w:val="24"/>
                <w:highlight w:val="none"/>
              </w:rPr>
            </w:pPr>
            <w:r>
              <w:rPr>
                <w:rFonts w:hint="eastAsia" w:cs="宋体"/>
                <w:color w:val="auto"/>
                <w:szCs w:val="24"/>
                <w:highlight w:val="none"/>
              </w:rPr>
              <w:t>17.1</w:t>
            </w:r>
          </w:p>
        </w:tc>
        <w:tc>
          <w:tcPr>
            <w:tcW w:w="1738" w:type="dxa"/>
            <w:vAlign w:val="center"/>
          </w:tcPr>
          <w:p w14:paraId="5C923823">
            <w:pPr>
              <w:pStyle w:val="52"/>
              <w:rPr>
                <w:rFonts w:cs="宋体"/>
                <w:color w:val="auto"/>
                <w:szCs w:val="24"/>
                <w:highlight w:val="none"/>
              </w:rPr>
            </w:pPr>
            <w:r>
              <w:rPr>
                <w:rFonts w:hint="eastAsia" w:cs="宋体"/>
                <w:color w:val="auto"/>
                <w:szCs w:val="24"/>
                <w:highlight w:val="none"/>
              </w:rPr>
              <w:t>投标保证金</w:t>
            </w:r>
          </w:p>
        </w:tc>
        <w:tc>
          <w:tcPr>
            <w:tcW w:w="6700" w:type="dxa"/>
            <w:vAlign w:val="center"/>
          </w:tcPr>
          <w:p w14:paraId="7B1ADF7D">
            <w:pPr>
              <w:pStyle w:val="56"/>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1.金额：</w:t>
            </w:r>
          </w:p>
          <w:p w14:paraId="6CA43496">
            <w:pPr>
              <w:pStyle w:val="56"/>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□免收</w:t>
            </w:r>
          </w:p>
          <w:p w14:paraId="2C42DF56">
            <w:pPr>
              <w:pStyle w:val="56"/>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□预算金额的   %。</w:t>
            </w:r>
          </w:p>
          <w:p w14:paraId="1298D964">
            <w:pPr>
              <w:pStyle w:val="56"/>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☑定额收取：人民币</w:t>
            </w:r>
            <w:r>
              <w:rPr>
                <w:rFonts w:hint="eastAsia" w:ascii="宋体" w:hAnsi="宋体" w:cs="宋体"/>
                <w:color w:val="auto"/>
                <w:sz w:val="24"/>
                <w:szCs w:val="24"/>
                <w:highlight w:val="none"/>
                <w:lang w:val="en-US" w:eastAsia="zh-CN"/>
              </w:rPr>
              <w:t>25000</w:t>
            </w:r>
            <w:r>
              <w:rPr>
                <w:rFonts w:hint="eastAsia" w:ascii="宋体" w:hAnsi="宋体" w:cs="宋体"/>
                <w:color w:val="auto"/>
                <w:sz w:val="24"/>
                <w:szCs w:val="24"/>
                <w:highlight w:val="none"/>
              </w:rPr>
              <w:t>元。</w:t>
            </w:r>
          </w:p>
          <w:p w14:paraId="68F1D1AA">
            <w:pPr>
              <w:pStyle w:val="56"/>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2.支付方式：</w:t>
            </w:r>
          </w:p>
          <w:p w14:paraId="460B1F78">
            <w:pPr>
              <w:pStyle w:val="56"/>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包括在中国注册的银行出具的银行保函、银行汇款、支票、汇票以及其他在中国注册的机构依法出具的投标保函、保险等，以银行汇款、支票、汇票等形式提交的投标保证金应当从投标人基本账户转出。</w:t>
            </w:r>
          </w:p>
          <w:p w14:paraId="71AC3E99">
            <w:pPr>
              <w:pStyle w:val="56"/>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3.收取单位：</w:t>
            </w:r>
            <w:r>
              <w:rPr>
                <w:rFonts w:hint="eastAsia" w:ascii="宋体" w:hAnsi="宋体" w:cs="宋体"/>
                <w:color w:val="auto"/>
                <w:sz w:val="24"/>
                <w:szCs w:val="24"/>
                <w:highlight w:val="none"/>
                <w:lang w:eastAsia="zh-CN"/>
              </w:rPr>
              <w:t>中招国际招标有限公司</w:t>
            </w:r>
            <w:r>
              <w:rPr>
                <w:rFonts w:ascii="宋体" w:hAnsi="宋体" w:cs="宋体"/>
                <w:color w:val="auto"/>
                <w:sz w:val="24"/>
                <w:szCs w:val="24"/>
                <w:highlight w:val="none"/>
              </w:rPr>
              <w:t xml:space="preserve">新疆分公司                            </w:t>
            </w:r>
          </w:p>
          <w:p w14:paraId="2A8C9BA1">
            <w:pPr>
              <w:pStyle w:val="56"/>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4.收取账号：</w:t>
            </w:r>
            <w:r>
              <w:rPr>
                <w:rFonts w:hint="eastAsia" w:ascii="宋体" w:hAnsi="宋体" w:cs="宋体"/>
                <w:color w:val="auto"/>
                <w:kern w:val="0"/>
                <w:sz w:val="24"/>
                <w:szCs w:val="24"/>
                <w:highlight w:val="none"/>
              </w:rPr>
              <w:t>3002 0128 1910 0057 504</w:t>
            </w:r>
          </w:p>
          <w:p w14:paraId="4471117C">
            <w:pPr>
              <w:pStyle w:val="56"/>
              <w:spacing w:line="360" w:lineRule="auto"/>
              <w:ind w:firstLine="480" w:firstLineChars="200"/>
              <w:rPr>
                <w:rFonts w:hint="eastAsia" w:ascii="宋体" w:hAnsi="宋体" w:cs="宋体"/>
                <w:color w:val="auto"/>
                <w:kern w:val="0"/>
                <w:sz w:val="24"/>
                <w:szCs w:val="24"/>
                <w:highlight w:val="none"/>
              </w:rPr>
            </w:pPr>
            <w:r>
              <w:rPr>
                <w:rFonts w:ascii="宋体" w:hAnsi="宋体" w:cs="宋体"/>
                <w:color w:val="auto"/>
                <w:sz w:val="24"/>
                <w:szCs w:val="24"/>
                <w:highlight w:val="none"/>
              </w:rPr>
              <w:t>5.开户行：</w:t>
            </w:r>
            <w:r>
              <w:rPr>
                <w:rFonts w:hint="eastAsia" w:ascii="宋体" w:hAnsi="宋体" w:cs="宋体"/>
                <w:color w:val="auto"/>
                <w:kern w:val="0"/>
                <w:sz w:val="24"/>
                <w:szCs w:val="24"/>
                <w:highlight w:val="none"/>
              </w:rPr>
              <w:t>中国工商银行股份有限公司南湖北路支行</w:t>
            </w:r>
          </w:p>
          <w:p w14:paraId="0841F3D2">
            <w:pPr>
              <w:pStyle w:val="56"/>
              <w:spacing w:line="360" w:lineRule="auto"/>
              <w:ind w:firstLine="480" w:firstLineChars="200"/>
              <w:rPr>
                <w:rFonts w:ascii="宋体" w:hAnsi="宋体" w:cs="宋体"/>
                <w:color w:val="auto"/>
                <w:sz w:val="24"/>
                <w:szCs w:val="24"/>
                <w:highlight w:val="none"/>
              </w:rPr>
            </w:pPr>
            <w:r>
              <w:rPr>
                <w:rFonts w:hint="eastAsia" w:ascii="宋体" w:hAnsi="宋体" w:cs="宋体"/>
                <w:color w:val="auto"/>
                <w:kern w:val="0"/>
                <w:sz w:val="24"/>
                <w:szCs w:val="24"/>
                <w:highlight w:val="none"/>
                <w:lang w:val="en-US" w:eastAsia="zh-CN"/>
              </w:rPr>
              <w:t>6.行号：102881001281</w:t>
            </w:r>
            <w:r>
              <w:rPr>
                <w:rFonts w:ascii="宋体" w:hAnsi="宋体" w:cs="宋体"/>
                <w:color w:val="auto"/>
                <w:sz w:val="24"/>
                <w:szCs w:val="24"/>
                <w:highlight w:val="none"/>
              </w:rPr>
              <w:t xml:space="preserve"> </w:t>
            </w:r>
          </w:p>
          <w:p w14:paraId="125CE555">
            <w:pPr>
              <w:pStyle w:val="56"/>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注意事项：</w:t>
            </w:r>
          </w:p>
          <w:p w14:paraId="0C2B2AE9">
            <w:pPr>
              <w:pStyle w:val="56"/>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1.采用电汇或转账时，需附注：（项目编号+保证金），</w:t>
            </w:r>
            <w:r>
              <w:rPr>
                <w:rFonts w:hint="eastAsia" w:ascii="宋体" w:hAnsi="宋体" w:cs="宋体"/>
                <w:color w:val="auto"/>
                <w:sz w:val="24"/>
                <w:szCs w:val="24"/>
                <w:highlight w:val="none"/>
              </w:rPr>
              <w:t>并于投标文件截止时间之前缴纳并到账，投标保证金单位名称必须与投标人登记的单位名称一致，不得以分公司、办事处或其他机构名义递交。（投标人须充分考虑投标保证金汇（转）出手续办理时间、在途时间、资金到账时间等，准确有效安排投标保证金提交，确保投标保证金准时或提前到达指定投标保证金账户。）</w:t>
            </w:r>
          </w:p>
          <w:p w14:paraId="7F328391">
            <w:pPr>
              <w:pStyle w:val="56"/>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2.为支持和促进中小企业发展，进一步发挥政府采购政策功能，本采购项目适用于政府采购融资优惠、政采贷、电子保函相关政策，鼓励供应商使用电子保函代替现金缴纳各类保证金，在线完成保函的申请、审核、开票、出函等环节，投标企业注意区分办理保函类型，并确认投标有效期，供应商若想了解或使用相关金融服务，可登录【政府采购网】-顶部通栏【信用融资】、【办事指南】模块查看。</w:t>
            </w:r>
          </w:p>
          <w:p w14:paraId="24BDCBB5">
            <w:pPr>
              <w:pStyle w:val="56"/>
              <w:spacing w:line="360" w:lineRule="auto"/>
              <w:ind w:firstLine="240" w:firstLineChars="100"/>
              <w:rPr>
                <w:rFonts w:ascii="宋体" w:hAnsi="宋体" w:cs="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.以上各类机构出具的以担保函、保证保险承担责任的方式均须满足无条件见索即付条件。</w:t>
            </w:r>
          </w:p>
          <w:p w14:paraId="6EE3A27A">
            <w:pPr>
              <w:pStyle w:val="56"/>
              <w:spacing w:line="360" w:lineRule="auto"/>
              <w:ind w:firstLine="240" w:firstLineChars="100"/>
              <w:rPr>
                <w:rFonts w:ascii="宋体" w:hAnsi="宋体" w:cs="宋体"/>
                <w:color w:val="auto"/>
                <w:sz w:val="24"/>
                <w:szCs w:val="24"/>
                <w:highlight w:val="none"/>
              </w:rPr>
            </w:pPr>
            <w:r>
              <w:rPr>
                <w:rFonts w:ascii="宋体" w:hAnsi="宋体" w:cs="宋体"/>
                <w:color w:val="auto"/>
                <w:sz w:val="24"/>
                <w:szCs w:val="24"/>
                <w:highlight w:val="none"/>
              </w:rPr>
              <w:t>4</w:t>
            </w:r>
            <w:r>
              <w:rPr>
                <w:rFonts w:hint="eastAsia" w:ascii="宋体" w:hAnsi="宋体" w:cs="宋体"/>
                <w:color w:val="auto"/>
                <w:sz w:val="24"/>
                <w:szCs w:val="24"/>
                <w:highlight w:val="none"/>
              </w:rPr>
              <w:t>.以担保函、保证保险形式缴纳投标保证金的，受益人和收取单位须为采购人。</w:t>
            </w:r>
          </w:p>
        </w:tc>
      </w:tr>
      <w:tr w14:paraId="130519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603" w:hRule="atLeast"/>
        </w:trPr>
        <w:tc>
          <w:tcPr>
            <w:tcW w:w="970" w:type="dxa"/>
            <w:vAlign w:val="center"/>
          </w:tcPr>
          <w:p w14:paraId="4D9C8831">
            <w:pPr>
              <w:pStyle w:val="52"/>
              <w:jc w:val="center"/>
              <w:rPr>
                <w:rFonts w:cs="宋体"/>
                <w:color w:val="auto"/>
                <w:szCs w:val="24"/>
                <w:highlight w:val="none"/>
              </w:rPr>
            </w:pPr>
            <w:r>
              <w:rPr>
                <w:rFonts w:hint="eastAsia" w:cs="宋体"/>
                <w:color w:val="auto"/>
                <w:szCs w:val="24"/>
                <w:highlight w:val="none"/>
              </w:rPr>
              <w:t>22</w:t>
            </w:r>
          </w:p>
        </w:tc>
        <w:tc>
          <w:tcPr>
            <w:tcW w:w="1738" w:type="dxa"/>
            <w:vAlign w:val="center"/>
          </w:tcPr>
          <w:p w14:paraId="7C5C6A51">
            <w:pPr>
              <w:pStyle w:val="52"/>
              <w:rPr>
                <w:rFonts w:cs="宋体"/>
                <w:color w:val="auto"/>
                <w:szCs w:val="24"/>
                <w:highlight w:val="none"/>
              </w:rPr>
            </w:pPr>
            <w:r>
              <w:rPr>
                <w:rFonts w:hint="eastAsia" w:cs="宋体"/>
                <w:color w:val="auto"/>
                <w:szCs w:val="24"/>
                <w:highlight w:val="none"/>
              </w:rPr>
              <w:t>实物样品</w:t>
            </w:r>
          </w:p>
        </w:tc>
        <w:tc>
          <w:tcPr>
            <w:tcW w:w="6700" w:type="dxa"/>
            <w:vAlign w:val="center"/>
          </w:tcPr>
          <w:p w14:paraId="4CB3C459">
            <w:pPr>
              <w:pStyle w:val="52"/>
              <w:spacing w:line="360" w:lineRule="auto"/>
              <w:rPr>
                <w:rFonts w:cs="宋体"/>
                <w:color w:val="auto"/>
                <w:szCs w:val="24"/>
                <w:highlight w:val="none"/>
              </w:rPr>
            </w:pPr>
            <w:r>
              <w:rPr>
                <w:rFonts w:hint="eastAsia" w:cs="宋体"/>
                <w:color w:val="auto"/>
                <w:szCs w:val="24"/>
                <w:highlight w:val="none"/>
              </w:rPr>
              <w:t xml:space="preserve">投标样品递交： </w:t>
            </w:r>
          </w:p>
          <w:p w14:paraId="0E5AA0C8">
            <w:pPr>
              <w:pStyle w:val="52"/>
              <w:spacing w:line="360" w:lineRule="auto"/>
              <w:rPr>
                <w:rFonts w:cs="宋体"/>
                <w:color w:val="auto"/>
                <w:szCs w:val="24"/>
                <w:highlight w:val="none"/>
              </w:rPr>
            </w:pPr>
            <w:r>
              <w:rPr>
                <w:rFonts w:hint="eastAsia" w:cs="宋体"/>
                <w:color w:val="auto"/>
                <w:szCs w:val="24"/>
                <w:highlight w:val="none"/>
              </w:rPr>
              <w:t xml:space="preserve">☑不需要 </w:t>
            </w:r>
          </w:p>
          <w:p w14:paraId="23CBCD6B">
            <w:pPr>
              <w:pStyle w:val="52"/>
              <w:spacing w:line="360" w:lineRule="auto"/>
              <w:rPr>
                <w:rFonts w:cs="宋体"/>
                <w:color w:val="auto"/>
                <w:szCs w:val="24"/>
                <w:highlight w:val="none"/>
              </w:rPr>
            </w:pPr>
            <w:r>
              <w:rPr>
                <w:rFonts w:hint="eastAsia" w:cs="宋体"/>
                <w:color w:val="auto"/>
                <w:szCs w:val="24"/>
                <w:highlight w:val="none"/>
              </w:rPr>
              <w:t xml:space="preserve">□需要，具体要求如下： </w:t>
            </w:r>
          </w:p>
          <w:p w14:paraId="634789A7">
            <w:pPr>
              <w:pStyle w:val="52"/>
              <w:spacing w:line="360" w:lineRule="auto"/>
              <w:rPr>
                <w:rFonts w:cs="宋体"/>
                <w:color w:val="auto"/>
                <w:szCs w:val="24"/>
                <w:highlight w:val="none"/>
              </w:rPr>
            </w:pPr>
            <w:r>
              <w:rPr>
                <w:rFonts w:hint="eastAsia" w:cs="宋体"/>
                <w:color w:val="auto"/>
                <w:szCs w:val="24"/>
                <w:highlight w:val="none"/>
              </w:rPr>
              <w:t xml:space="preserve">  1.样品制作的标准和要求：</w:t>
            </w:r>
            <w:r>
              <w:rPr>
                <w:rFonts w:hint="eastAsia" w:cs="宋体"/>
                <w:color w:val="auto"/>
                <w:szCs w:val="24"/>
                <w:highlight w:val="none"/>
                <w:u w:val="single"/>
              </w:rPr>
              <w:t>/</w:t>
            </w:r>
            <w:r>
              <w:rPr>
                <w:rFonts w:hint="eastAsia" w:cs="宋体"/>
                <w:color w:val="auto"/>
                <w:szCs w:val="24"/>
                <w:highlight w:val="none"/>
              </w:rPr>
              <w:t xml:space="preserve">； </w:t>
            </w:r>
          </w:p>
          <w:p w14:paraId="49558625">
            <w:pPr>
              <w:pStyle w:val="52"/>
              <w:spacing w:line="360" w:lineRule="auto"/>
              <w:rPr>
                <w:rFonts w:cs="宋体"/>
                <w:color w:val="auto"/>
                <w:szCs w:val="24"/>
                <w:highlight w:val="none"/>
              </w:rPr>
            </w:pPr>
            <w:r>
              <w:rPr>
                <w:rFonts w:hint="eastAsia" w:cs="宋体"/>
                <w:color w:val="auto"/>
                <w:szCs w:val="24"/>
                <w:highlight w:val="none"/>
              </w:rPr>
              <w:t xml:space="preserve">  2.是否需要随样品提交相关检测报告： </w:t>
            </w:r>
          </w:p>
          <w:p w14:paraId="352958BE">
            <w:pPr>
              <w:pStyle w:val="52"/>
              <w:spacing w:line="360" w:lineRule="auto"/>
              <w:ind w:firstLine="480" w:firstLineChars="200"/>
              <w:rPr>
                <w:rFonts w:cs="宋体"/>
                <w:color w:val="auto"/>
                <w:szCs w:val="24"/>
                <w:highlight w:val="none"/>
              </w:rPr>
            </w:pPr>
            <w:r>
              <w:rPr>
                <w:rFonts w:hint="eastAsia" w:cs="宋体"/>
                <w:color w:val="auto"/>
                <w:szCs w:val="24"/>
                <w:highlight w:val="none"/>
              </w:rPr>
              <w:t xml:space="preserve">□不需要 </w:t>
            </w:r>
          </w:p>
          <w:p w14:paraId="51B0E1D5">
            <w:pPr>
              <w:pStyle w:val="52"/>
              <w:spacing w:line="360" w:lineRule="auto"/>
              <w:ind w:firstLine="480" w:firstLineChars="200"/>
              <w:rPr>
                <w:rFonts w:cs="宋体"/>
                <w:color w:val="auto"/>
                <w:szCs w:val="24"/>
                <w:highlight w:val="none"/>
              </w:rPr>
            </w:pPr>
            <w:r>
              <w:rPr>
                <w:rFonts w:hint="eastAsia" w:cs="宋体"/>
                <w:color w:val="auto"/>
                <w:szCs w:val="24"/>
                <w:highlight w:val="none"/>
              </w:rPr>
              <w:t xml:space="preserve">□需要 </w:t>
            </w:r>
          </w:p>
          <w:p w14:paraId="74C5BB86">
            <w:pPr>
              <w:pStyle w:val="52"/>
              <w:spacing w:line="360" w:lineRule="auto"/>
              <w:ind w:firstLine="240" w:firstLineChars="100"/>
              <w:rPr>
                <w:rFonts w:cs="宋体"/>
                <w:color w:val="auto"/>
                <w:szCs w:val="24"/>
                <w:highlight w:val="none"/>
              </w:rPr>
            </w:pPr>
            <w:r>
              <w:rPr>
                <w:rFonts w:hint="eastAsia" w:cs="宋体"/>
                <w:color w:val="auto"/>
                <w:szCs w:val="24"/>
                <w:highlight w:val="none"/>
              </w:rPr>
              <w:t>3.样品递交要求：递交时间：</w:t>
            </w:r>
            <w:r>
              <w:rPr>
                <w:rFonts w:hint="eastAsia" w:cs="宋体"/>
                <w:color w:val="auto"/>
                <w:szCs w:val="24"/>
                <w:highlight w:val="none"/>
                <w:u w:val="single"/>
              </w:rPr>
              <w:t xml:space="preserve">  /  </w:t>
            </w:r>
            <w:r>
              <w:rPr>
                <w:rFonts w:hint="eastAsia" w:cs="宋体"/>
                <w:color w:val="auto"/>
                <w:szCs w:val="24"/>
                <w:highlight w:val="none"/>
              </w:rPr>
              <w:t xml:space="preserve"> ，</w:t>
            </w:r>
          </w:p>
          <w:p w14:paraId="13DC32CC">
            <w:pPr>
              <w:pStyle w:val="52"/>
              <w:spacing w:line="360" w:lineRule="auto"/>
              <w:rPr>
                <w:rFonts w:cs="宋体"/>
                <w:color w:val="auto"/>
                <w:szCs w:val="24"/>
                <w:highlight w:val="none"/>
              </w:rPr>
            </w:pPr>
            <w:r>
              <w:rPr>
                <w:rFonts w:hint="eastAsia" w:cs="宋体"/>
                <w:color w:val="auto"/>
                <w:szCs w:val="24"/>
                <w:highlight w:val="none"/>
              </w:rPr>
              <w:t>递交地点：</w:t>
            </w:r>
            <w:r>
              <w:rPr>
                <w:rFonts w:hint="eastAsia" w:cs="宋体"/>
                <w:color w:val="auto"/>
                <w:szCs w:val="24"/>
                <w:highlight w:val="none"/>
                <w:u w:val="single"/>
              </w:rPr>
              <w:t xml:space="preserve">   /   </w:t>
            </w:r>
            <w:r>
              <w:rPr>
                <w:rFonts w:hint="eastAsia" w:cs="宋体"/>
                <w:color w:val="auto"/>
                <w:szCs w:val="24"/>
                <w:highlight w:val="none"/>
              </w:rPr>
              <w:t xml:space="preserve">，逾期提供的样品将不予接受。 </w:t>
            </w:r>
          </w:p>
          <w:p w14:paraId="16BB4815">
            <w:pPr>
              <w:pStyle w:val="52"/>
              <w:spacing w:line="360" w:lineRule="auto"/>
              <w:rPr>
                <w:rFonts w:cs="宋体"/>
                <w:color w:val="auto"/>
                <w:szCs w:val="24"/>
                <w:highlight w:val="none"/>
              </w:rPr>
            </w:pPr>
            <w:r>
              <w:rPr>
                <w:rFonts w:hint="eastAsia" w:cs="宋体"/>
                <w:color w:val="auto"/>
                <w:szCs w:val="24"/>
                <w:highlight w:val="none"/>
              </w:rPr>
              <w:t xml:space="preserve">  4.未中标人样品退还：</w:t>
            </w:r>
            <w:r>
              <w:rPr>
                <w:rFonts w:hint="eastAsia" w:cs="宋体"/>
                <w:color w:val="auto"/>
                <w:szCs w:val="24"/>
                <w:highlight w:val="none"/>
                <w:u w:val="single"/>
              </w:rPr>
              <w:t xml:space="preserve">/ </w:t>
            </w:r>
            <w:r>
              <w:rPr>
                <w:rFonts w:hint="eastAsia" w:cs="宋体"/>
                <w:color w:val="auto"/>
                <w:szCs w:val="24"/>
                <w:highlight w:val="none"/>
              </w:rPr>
              <w:t xml:space="preserve">； </w:t>
            </w:r>
          </w:p>
          <w:p w14:paraId="4292DCCC">
            <w:pPr>
              <w:pStyle w:val="52"/>
              <w:spacing w:line="360" w:lineRule="auto"/>
              <w:rPr>
                <w:rFonts w:cs="宋体"/>
                <w:color w:val="auto"/>
                <w:szCs w:val="24"/>
                <w:highlight w:val="none"/>
              </w:rPr>
            </w:pPr>
            <w:r>
              <w:rPr>
                <w:rFonts w:hint="eastAsia" w:cs="宋体"/>
                <w:color w:val="auto"/>
                <w:szCs w:val="24"/>
                <w:highlight w:val="none"/>
              </w:rPr>
              <w:t xml:space="preserve">  5.中标人样品保管、封存及退还：</w:t>
            </w:r>
            <w:r>
              <w:rPr>
                <w:rFonts w:hint="eastAsia" w:cs="宋体"/>
                <w:color w:val="auto"/>
                <w:szCs w:val="24"/>
                <w:highlight w:val="none"/>
                <w:u w:val="single"/>
              </w:rPr>
              <w:t>/</w:t>
            </w:r>
            <w:r>
              <w:rPr>
                <w:rFonts w:hint="eastAsia" w:cs="宋体"/>
                <w:color w:val="auto"/>
                <w:szCs w:val="24"/>
                <w:highlight w:val="none"/>
              </w:rPr>
              <w:t xml:space="preserve">； </w:t>
            </w:r>
          </w:p>
          <w:p w14:paraId="64AF60E7">
            <w:pPr>
              <w:pStyle w:val="52"/>
              <w:spacing w:line="360" w:lineRule="auto"/>
              <w:rPr>
                <w:rFonts w:cs="宋体"/>
                <w:color w:val="auto"/>
                <w:szCs w:val="24"/>
                <w:highlight w:val="none"/>
              </w:rPr>
            </w:pPr>
            <w:r>
              <w:rPr>
                <w:rFonts w:hint="eastAsia" w:cs="宋体"/>
                <w:color w:val="auto"/>
                <w:szCs w:val="24"/>
                <w:highlight w:val="none"/>
              </w:rPr>
              <w:t xml:space="preserve">  6.其他要求（如有）：_</w:t>
            </w:r>
            <w:r>
              <w:rPr>
                <w:rFonts w:hint="eastAsia" w:cs="宋体"/>
                <w:color w:val="auto"/>
                <w:szCs w:val="24"/>
                <w:highlight w:val="none"/>
                <w:u w:val="single"/>
              </w:rPr>
              <w:t>/</w:t>
            </w:r>
            <w:r>
              <w:rPr>
                <w:rFonts w:hint="eastAsia" w:cs="宋体"/>
                <w:color w:val="auto"/>
                <w:szCs w:val="24"/>
                <w:highlight w:val="none"/>
              </w:rPr>
              <w:t xml:space="preserve">_。 </w:t>
            </w:r>
          </w:p>
        </w:tc>
      </w:tr>
      <w:tr w14:paraId="010218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40D41AC8">
            <w:pPr>
              <w:pStyle w:val="52"/>
              <w:jc w:val="center"/>
              <w:rPr>
                <w:rFonts w:cs="宋体"/>
                <w:color w:val="auto"/>
                <w:szCs w:val="24"/>
                <w:highlight w:val="none"/>
              </w:rPr>
            </w:pPr>
            <w:r>
              <w:rPr>
                <w:rFonts w:hint="eastAsia" w:cs="宋体"/>
                <w:color w:val="auto"/>
                <w:szCs w:val="24"/>
                <w:highlight w:val="none"/>
              </w:rPr>
              <w:t>23.1</w:t>
            </w:r>
          </w:p>
        </w:tc>
        <w:tc>
          <w:tcPr>
            <w:tcW w:w="1738" w:type="dxa"/>
            <w:vAlign w:val="center"/>
          </w:tcPr>
          <w:p w14:paraId="5A88EC22">
            <w:pPr>
              <w:pStyle w:val="52"/>
              <w:rPr>
                <w:rFonts w:cs="宋体"/>
                <w:color w:val="auto"/>
                <w:szCs w:val="24"/>
                <w:highlight w:val="none"/>
              </w:rPr>
            </w:pPr>
            <w:r>
              <w:rPr>
                <w:rFonts w:hint="eastAsia" w:cs="宋体"/>
                <w:color w:val="auto"/>
                <w:szCs w:val="24"/>
                <w:highlight w:val="none"/>
              </w:rPr>
              <w:t>演示</w:t>
            </w:r>
          </w:p>
        </w:tc>
        <w:tc>
          <w:tcPr>
            <w:tcW w:w="6700" w:type="dxa"/>
            <w:vAlign w:val="center"/>
          </w:tcPr>
          <w:p w14:paraId="31A9ABD6">
            <w:pPr>
              <w:pStyle w:val="52"/>
              <w:spacing w:line="360" w:lineRule="auto"/>
              <w:rPr>
                <w:rFonts w:cs="宋体"/>
                <w:color w:val="auto"/>
                <w:szCs w:val="24"/>
                <w:highlight w:val="none"/>
              </w:rPr>
            </w:pPr>
            <w:r>
              <w:rPr>
                <w:rFonts w:hint="eastAsia" w:cs="宋体"/>
                <w:color w:val="auto"/>
                <w:szCs w:val="24"/>
                <w:highlight w:val="none"/>
              </w:rPr>
              <w:sym w:font="Wingdings" w:char="00FE"/>
            </w:r>
            <w:r>
              <w:rPr>
                <w:rFonts w:hint="eastAsia" w:cs="宋体"/>
                <w:color w:val="auto"/>
                <w:szCs w:val="24"/>
                <w:highlight w:val="none"/>
              </w:rPr>
              <w:t>不进行</w:t>
            </w:r>
          </w:p>
          <w:p w14:paraId="4C2E55D2">
            <w:pPr>
              <w:pStyle w:val="52"/>
              <w:spacing w:line="360" w:lineRule="auto"/>
              <w:rPr>
                <w:rFonts w:cs="宋体"/>
                <w:color w:val="auto"/>
                <w:szCs w:val="24"/>
                <w:highlight w:val="none"/>
              </w:rPr>
            </w:pPr>
            <w:r>
              <w:rPr>
                <w:rFonts w:hint="eastAsia" w:cs="宋体"/>
                <w:color w:val="auto"/>
                <w:szCs w:val="24"/>
                <w:highlight w:val="none"/>
              </w:rPr>
              <w:sym w:font="Wingdings" w:char="00A8"/>
            </w:r>
            <w:r>
              <w:rPr>
                <w:rFonts w:hint="eastAsia" w:cs="宋体"/>
                <w:color w:val="auto"/>
                <w:szCs w:val="24"/>
                <w:highlight w:val="none"/>
              </w:rPr>
              <w:t>进行，远程线上演示/现场演示</w:t>
            </w:r>
          </w:p>
          <w:p w14:paraId="00718354">
            <w:pPr>
              <w:pStyle w:val="52"/>
              <w:spacing w:line="360" w:lineRule="auto"/>
              <w:ind w:firstLine="240" w:firstLineChars="100"/>
              <w:rPr>
                <w:rFonts w:cs="宋体"/>
                <w:color w:val="auto"/>
                <w:szCs w:val="24"/>
                <w:highlight w:val="none"/>
              </w:rPr>
            </w:pPr>
            <w:r>
              <w:rPr>
                <w:rFonts w:hint="eastAsia" w:cs="宋体"/>
                <w:color w:val="auto"/>
                <w:szCs w:val="24"/>
                <w:highlight w:val="none"/>
              </w:rPr>
              <w:t>1.演示时间不得超过</w:t>
            </w:r>
            <w:r>
              <w:rPr>
                <w:rFonts w:hint="eastAsia" w:cs="宋体"/>
                <w:color w:val="auto"/>
                <w:szCs w:val="24"/>
                <w:highlight w:val="none"/>
                <w:u w:val="single"/>
              </w:rPr>
              <w:t xml:space="preserve">   </w:t>
            </w:r>
            <w:r>
              <w:rPr>
                <w:rFonts w:hint="eastAsia" w:cs="宋体"/>
                <w:color w:val="auto"/>
                <w:szCs w:val="24"/>
                <w:highlight w:val="none"/>
              </w:rPr>
              <w:t>分钟；</w:t>
            </w:r>
          </w:p>
          <w:p w14:paraId="38A7E239">
            <w:pPr>
              <w:pStyle w:val="52"/>
              <w:spacing w:line="360" w:lineRule="auto"/>
              <w:ind w:firstLine="240" w:firstLineChars="100"/>
              <w:rPr>
                <w:rFonts w:cs="宋体"/>
                <w:color w:val="auto"/>
                <w:szCs w:val="24"/>
                <w:highlight w:val="none"/>
              </w:rPr>
            </w:pPr>
            <w:r>
              <w:rPr>
                <w:rFonts w:hint="eastAsia" w:cs="宋体"/>
                <w:color w:val="auto"/>
                <w:szCs w:val="24"/>
                <w:highlight w:val="none"/>
              </w:rPr>
              <w:t>2.进行远程线上演示的，投标人应提前自行准备好演示的软硬配置环境和网络环境，做好演示的各项准备工作。因投标人自身原因无法演示或者演示效果不理想的，导致的后果由投标人自行承担；</w:t>
            </w:r>
          </w:p>
          <w:p w14:paraId="53B6D050">
            <w:pPr>
              <w:pStyle w:val="52"/>
              <w:spacing w:line="360" w:lineRule="auto"/>
              <w:ind w:firstLine="240" w:firstLineChars="100"/>
              <w:rPr>
                <w:rFonts w:cs="宋体"/>
                <w:color w:val="auto"/>
                <w:szCs w:val="24"/>
                <w:highlight w:val="none"/>
              </w:rPr>
            </w:pPr>
            <w:r>
              <w:rPr>
                <w:rFonts w:hint="eastAsia" w:cs="宋体"/>
                <w:color w:val="auto"/>
                <w:szCs w:val="24"/>
                <w:highlight w:val="none"/>
              </w:rPr>
              <w:t>3.进行现场演示的，演示人员不得超过</w:t>
            </w:r>
            <w:r>
              <w:rPr>
                <w:rFonts w:hint="eastAsia" w:cs="宋体"/>
                <w:color w:val="auto"/>
                <w:szCs w:val="24"/>
                <w:highlight w:val="none"/>
                <w:u w:val="single"/>
              </w:rPr>
              <w:t xml:space="preserve">  </w:t>
            </w:r>
            <w:r>
              <w:rPr>
                <w:rFonts w:hint="eastAsia" w:cs="宋体"/>
                <w:color w:val="auto"/>
                <w:szCs w:val="24"/>
                <w:highlight w:val="none"/>
              </w:rPr>
              <w:t>人，演示现场提供</w:t>
            </w:r>
            <w:r>
              <w:rPr>
                <w:rFonts w:hint="eastAsia" w:cs="宋体"/>
                <w:color w:val="auto"/>
                <w:szCs w:val="24"/>
                <w:highlight w:val="none"/>
                <w:u w:val="single"/>
              </w:rPr>
              <w:t xml:space="preserve">       </w:t>
            </w:r>
            <w:r>
              <w:rPr>
                <w:rFonts w:hint="eastAsia" w:cs="宋体"/>
                <w:color w:val="auto"/>
                <w:szCs w:val="24"/>
                <w:highlight w:val="none"/>
              </w:rPr>
              <w:t>。</w:t>
            </w:r>
          </w:p>
        </w:tc>
      </w:tr>
      <w:tr w14:paraId="7EF133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3" w:hRule="atLeast"/>
        </w:trPr>
        <w:tc>
          <w:tcPr>
            <w:tcW w:w="970" w:type="dxa"/>
            <w:vAlign w:val="center"/>
          </w:tcPr>
          <w:p w14:paraId="45A4F1B0">
            <w:pPr>
              <w:pStyle w:val="52"/>
              <w:jc w:val="center"/>
              <w:rPr>
                <w:rFonts w:cs="宋体"/>
                <w:color w:val="auto"/>
                <w:szCs w:val="24"/>
                <w:highlight w:val="none"/>
              </w:rPr>
            </w:pPr>
            <w:r>
              <w:rPr>
                <w:rFonts w:hint="eastAsia" w:cs="宋体"/>
                <w:color w:val="auto"/>
                <w:szCs w:val="24"/>
                <w:highlight w:val="none"/>
              </w:rPr>
              <w:t>25.3</w:t>
            </w:r>
          </w:p>
        </w:tc>
        <w:tc>
          <w:tcPr>
            <w:tcW w:w="1738" w:type="dxa"/>
            <w:vAlign w:val="center"/>
          </w:tcPr>
          <w:p w14:paraId="105D1141">
            <w:pPr>
              <w:pStyle w:val="52"/>
              <w:rPr>
                <w:rFonts w:cs="宋体"/>
                <w:color w:val="auto"/>
                <w:szCs w:val="24"/>
                <w:highlight w:val="none"/>
              </w:rPr>
            </w:pPr>
            <w:r>
              <w:rPr>
                <w:rFonts w:hint="eastAsia" w:cs="宋体"/>
                <w:color w:val="auto"/>
                <w:szCs w:val="24"/>
                <w:highlight w:val="none"/>
              </w:rPr>
              <w:t>解密投标文件的时限</w:t>
            </w:r>
          </w:p>
        </w:tc>
        <w:tc>
          <w:tcPr>
            <w:tcW w:w="6700" w:type="dxa"/>
            <w:vAlign w:val="center"/>
          </w:tcPr>
          <w:p w14:paraId="744A47F2">
            <w:pPr>
              <w:pStyle w:val="52"/>
              <w:spacing w:line="360" w:lineRule="auto"/>
              <w:rPr>
                <w:rFonts w:cs="宋体"/>
                <w:color w:val="auto"/>
                <w:szCs w:val="24"/>
                <w:highlight w:val="none"/>
              </w:rPr>
            </w:pPr>
            <w:r>
              <w:rPr>
                <w:rFonts w:hint="eastAsia" w:cs="宋体"/>
                <w:color w:val="auto"/>
                <w:szCs w:val="24"/>
                <w:highlight w:val="none"/>
              </w:rPr>
              <w:t>不见面开标默认解密时长：</w:t>
            </w:r>
            <w:r>
              <w:rPr>
                <w:rFonts w:hint="eastAsia" w:cs="宋体"/>
                <w:color w:val="auto"/>
                <w:szCs w:val="24"/>
                <w:highlight w:val="none"/>
                <w:u w:val="single"/>
              </w:rPr>
              <w:t xml:space="preserve">  30</w:t>
            </w:r>
            <w:r>
              <w:rPr>
                <w:rFonts w:hint="eastAsia" w:cs="宋体"/>
                <w:color w:val="auto"/>
                <w:szCs w:val="24"/>
                <w:highlight w:val="none"/>
              </w:rPr>
              <w:t xml:space="preserve">分钟。 </w:t>
            </w:r>
          </w:p>
          <w:p w14:paraId="51FD79B2">
            <w:pPr>
              <w:pStyle w:val="52"/>
              <w:spacing w:line="360" w:lineRule="auto"/>
              <w:rPr>
                <w:rFonts w:cs="宋体"/>
                <w:color w:val="auto"/>
                <w:szCs w:val="24"/>
                <w:highlight w:val="none"/>
              </w:rPr>
            </w:pPr>
            <w:r>
              <w:rPr>
                <w:rFonts w:hint="eastAsia" w:cs="宋体"/>
                <w:color w:val="auto"/>
                <w:szCs w:val="24"/>
                <w:highlight w:val="none"/>
              </w:rPr>
              <w:t>除因交易平台发生故障导致投标文件无法按时解密外，投标文件未按时解密的，视为未按规定提交投标文件。</w:t>
            </w:r>
          </w:p>
        </w:tc>
      </w:tr>
      <w:tr w14:paraId="1F5C46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77" w:hRule="atLeast"/>
        </w:trPr>
        <w:tc>
          <w:tcPr>
            <w:tcW w:w="970" w:type="dxa"/>
            <w:vAlign w:val="center"/>
          </w:tcPr>
          <w:p w14:paraId="195DC716">
            <w:pPr>
              <w:pStyle w:val="52"/>
              <w:jc w:val="center"/>
              <w:rPr>
                <w:rFonts w:cs="宋体"/>
                <w:color w:val="auto"/>
                <w:szCs w:val="24"/>
                <w:highlight w:val="none"/>
              </w:rPr>
            </w:pPr>
            <w:r>
              <w:rPr>
                <w:rFonts w:hint="eastAsia" w:cs="宋体"/>
                <w:color w:val="auto"/>
                <w:szCs w:val="24"/>
                <w:highlight w:val="none"/>
              </w:rPr>
              <w:t>29.1</w:t>
            </w:r>
          </w:p>
        </w:tc>
        <w:tc>
          <w:tcPr>
            <w:tcW w:w="1738" w:type="dxa"/>
            <w:vAlign w:val="center"/>
          </w:tcPr>
          <w:p w14:paraId="6222EE11">
            <w:pPr>
              <w:pStyle w:val="52"/>
              <w:rPr>
                <w:rFonts w:cs="宋体"/>
                <w:color w:val="auto"/>
                <w:szCs w:val="24"/>
                <w:highlight w:val="none"/>
              </w:rPr>
            </w:pPr>
            <w:r>
              <w:rPr>
                <w:rFonts w:hint="eastAsia" w:cs="宋体"/>
                <w:color w:val="auto"/>
                <w:szCs w:val="24"/>
                <w:highlight w:val="none"/>
              </w:rPr>
              <w:t>评标方法</w:t>
            </w:r>
          </w:p>
        </w:tc>
        <w:tc>
          <w:tcPr>
            <w:tcW w:w="6700" w:type="dxa"/>
            <w:vAlign w:val="center"/>
          </w:tcPr>
          <w:p w14:paraId="3AC27BA8">
            <w:pPr>
              <w:pStyle w:val="52"/>
              <w:spacing w:line="360" w:lineRule="auto"/>
              <w:rPr>
                <w:rFonts w:cs="宋体"/>
                <w:color w:val="auto"/>
                <w:szCs w:val="24"/>
                <w:highlight w:val="none"/>
              </w:rPr>
            </w:pPr>
            <w:r>
              <w:rPr>
                <w:rFonts w:hint="eastAsia" w:cs="宋体"/>
                <w:color w:val="auto"/>
                <w:szCs w:val="24"/>
                <w:highlight w:val="none"/>
              </w:rPr>
              <w:sym w:font="Wingdings" w:char="00FE"/>
            </w:r>
            <w:r>
              <w:rPr>
                <w:rFonts w:hint="eastAsia" w:cs="宋体"/>
                <w:color w:val="auto"/>
                <w:szCs w:val="24"/>
                <w:highlight w:val="none"/>
              </w:rPr>
              <w:t>综合评分法</w:t>
            </w:r>
          </w:p>
          <w:p w14:paraId="2646368E">
            <w:pPr>
              <w:pStyle w:val="52"/>
              <w:spacing w:line="360" w:lineRule="auto"/>
              <w:rPr>
                <w:rFonts w:cs="宋体"/>
                <w:color w:val="auto"/>
                <w:szCs w:val="24"/>
                <w:highlight w:val="none"/>
              </w:rPr>
            </w:pPr>
            <w:r>
              <w:rPr>
                <w:rFonts w:hint="eastAsia" w:cs="宋体"/>
                <w:color w:val="auto"/>
                <w:szCs w:val="24"/>
                <w:highlight w:val="none"/>
              </w:rPr>
              <w:sym w:font="Wingdings" w:char="00A8"/>
            </w:r>
            <w:r>
              <w:rPr>
                <w:rFonts w:hint="eastAsia" w:cs="宋体"/>
                <w:color w:val="auto"/>
                <w:szCs w:val="24"/>
                <w:highlight w:val="none"/>
              </w:rPr>
              <w:t>最低评标价法</w:t>
            </w:r>
          </w:p>
        </w:tc>
      </w:tr>
      <w:tr w14:paraId="1DA91E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5" w:hRule="atLeast"/>
        </w:trPr>
        <w:tc>
          <w:tcPr>
            <w:tcW w:w="970" w:type="dxa"/>
            <w:vAlign w:val="center"/>
          </w:tcPr>
          <w:p w14:paraId="2D4CA6D2">
            <w:pPr>
              <w:pStyle w:val="52"/>
              <w:jc w:val="center"/>
              <w:rPr>
                <w:rFonts w:cs="宋体"/>
                <w:color w:val="auto"/>
                <w:szCs w:val="24"/>
                <w:highlight w:val="none"/>
              </w:rPr>
            </w:pPr>
            <w:r>
              <w:rPr>
                <w:rFonts w:hint="eastAsia" w:cs="宋体"/>
                <w:color w:val="auto"/>
                <w:szCs w:val="24"/>
                <w:highlight w:val="none"/>
              </w:rPr>
              <w:t>29.3</w:t>
            </w:r>
          </w:p>
        </w:tc>
        <w:tc>
          <w:tcPr>
            <w:tcW w:w="1738" w:type="dxa"/>
            <w:vAlign w:val="center"/>
          </w:tcPr>
          <w:p w14:paraId="7DC46F8E">
            <w:pPr>
              <w:pStyle w:val="52"/>
              <w:rPr>
                <w:rFonts w:cs="宋体"/>
                <w:color w:val="auto"/>
                <w:szCs w:val="24"/>
                <w:highlight w:val="none"/>
              </w:rPr>
            </w:pPr>
            <w:r>
              <w:rPr>
                <w:rFonts w:hint="eastAsia" w:cs="宋体"/>
                <w:color w:val="auto"/>
                <w:szCs w:val="24"/>
                <w:highlight w:val="none"/>
              </w:rPr>
              <w:t>推荐中标候选人</w:t>
            </w:r>
          </w:p>
        </w:tc>
        <w:tc>
          <w:tcPr>
            <w:tcW w:w="6700" w:type="dxa"/>
            <w:vAlign w:val="center"/>
          </w:tcPr>
          <w:p w14:paraId="67E4C347">
            <w:pPr>
              <w:pStyle w:val="52"/>
              <w:spacing w:line="360" w:lineRule="auto"/>
              <w:rPr>
                <w:rFonts w:cs="宋体"/>
                <w:color w:val="auto"/>
                <w:szCs w:val="24"/>
                <w:highlight w:val="none"/>
              </w:rPr>
            </w:pPr>
            <w:r>
              <w:rPr>
                <w:rFonts w:hint="eastAsia" w:cs="宋体"/>
                <w:color w:val="auto"/>
                <w:szCs w:val="24"/>
                <w:highlight w:val="none"/>
              </w:rPr>
              <w:t>中标候选人数量</w:t>
            </w:r>
            <w:r>
              <w:rPr>
                <w:rFonts w:hint="eastAsia" w:cs="宋体"/>
                <w:color w:val="auto"/>
                <w:szCs w:val="24"/>
                <w:highlight w:val="none"/>
                <w:u w:val="single"/>
              </w:rPr>
              <w:t xml:space="preserve">  3 </w:t>
            </w:r>
            <w:r>
              <w:rPr>
                <w:rFonts w:hint="eastAsia" w:cs="宋体"/>
                <w:color w:val="auto"/>
                <w:szCs w:val="24"/>
                <w:highlight w:val="none"/>
              </w:rPr>
              <w:t>家</w:t>
            </w:r>
          </w:p>
        </w:tc>
      </w:tr>
      <w:tr w14:paraId="475C66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13" w:hRule="atLeast"/>
        </w:trPr>
        <w:tc>
          <w:tcPr>
            <w:tcW w:w="970" w:type="dxa"/>
            <w:vAlign w:val="center"/>
          </w:tcPr>
          <w:p w14:paraId="49D50CE1">
            <w:pPr>
              <w:pStyle w:val="52"/>
              <w:jc w:val="center"/>
              <w:rPr>
                <w:rFonts w:cs="宋体"/>
                <w:color w:val="auto"/>
                <w:szCs w:val="24"/>
                <w:highlight w:val="none"/>
              </w:rPr>
            </w:pPr>
            <w:r>
              <w:rPr>
                <w:rFonts w:hint="eastAsia" w:cs="宋体"/>
                <w:color w:val="auto"/>
                <w:szCs w:val="24"/>
                <w:highlight w:val="none"/>
              </w:rPr>
              <w:t>30.1</w:t>
            </w:r>
          </w:p>
        </w:tc>
        <w:tc>
          <w:tcPr>
            <w:tcW w:w="1738" w:type="dxa"/>
            <w:vAlign w:val="center"/>
          </w:tcPr>
          <w:p w14:paraId="7CDF38DA">
            <w:pPr>
              <w:pStyle w:val="52"/>
              <w:rPr>
                <w:rFonts w:cs="宋体"/>
                <w:color w:val="auto"/>
                <w:szCs w:val="24"/>
                <w:highlight w:val="none"/>
              </w:rPr>
            </w:pPr>
            <w:r>
              <w:rPr>
                <w:rFonts w:hint="eastAsia" w:cs="宋体"/>
                <w:color w:val="auto"/>
                <w:szCs w:val="24"/>
                <w:highlight w:val="none"/>
              </w:rPr>
              <w:t>确定中标人</w:t>
            </w:r>
          </w:p>
        </w:tc>
        <w:tc>
          <w:tcPr>
            <w:tcW w:w="6700" w:type="dxa"/>
            <w:vAlign w:val="center"/>
          </w:tcPr>
          <w:p w14:paraId="43177C05">
            <w:pPr>
              <w:pStyle w:val="52"/>
              <w:spacing w:line="360" w:lineRule="auto"/>
              <w:rPr>
                <w:rFonts w:cs="宋体"/>
                <w:color w:val="auto"/>
                <w:szCs w:val="24"/>
                <w:highlight w:val="none"/>
              </w:rPr>
            </w:pPr>
            <w:r>
              <w:rPr>
                <w:rFonts w:hint="eastAsia" w:cs="宋体"/>
                <w:color w:val="auto"/>
                <w:szCs w:val="24"/>
                <w:highlight w:val="none"/>
              </w:rPr>
              <w:sym w:font="Wingdings" w:char="00FE"/>
            </w:r>
            <w:r>
              <w:rPr>
                <w:rFonts w:hint="eastAsia" w:cs="宋体"/>
                <w:color w:val="auto"/>
                <w:szCs w:val="24"/>
                <w:highlight w:val="none"/>
              </w:rPr>
              <w:t>采购人按评审报告中推荐的中标候选人排序确定中标人。</w:t>
            </w:r>
          </w:p>
          <w:p w14:paraId="745615DC">
            <w:pPr>
              <w:pStyle w:val="52"/>
              <w:spacing w:line="360" w:lineRule="auto"/>
              <w:rPr>
                <w:rFonts w:cs="宋体"/>
                <w:color w:val="auto"/>
                <w:szCs w:val="24"/>
                <w:highlight w:val="none"/>
              </w:rPr>
            </w:pPr>
            <w:r>
              <w:rPr>
                <w:rFonts w:hint="eastAsia" w:cs="宋体"/>
                <w:color w:val="auto"/>
                <w:szCs w:val="24"/>
                <w:highlight w:val="none"/>
              </w:rPr>
              <w:sym w:font="Wingdings" w:char="00A8"/>
            </w:r>
            <w:r>
              <w:rPr>
                <w:rFonts w:hint="eastAsia" w:cs="宋体"/>
                <w:color w:val="auto"/>
                <w:szCs w:val="24"/>
                <w:highlight w:val="none"/>
              </w:rPr>
              <w:t>采购人委托评标委员会直接确定中标人。</w:t>
            </w:r>
          </w:p>
        </w:tc>
      </w:tr>
      <w:tr w14:paraId="01ADC2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1" w:hRule="atLeast"/>
        </w:trPr>
        <w:tc>
          <w:tcPr>
            <w:tcW w:w="970" w:type="dxa"/>
            <w:vAlign w:val="center"/>
          </w:tcPr>
          <w:p w14:paraId="691D93D1">
            <w:pPr>
              <w:pStyle w:val="52"/>
              <w:jc w:val="center"/>
              <w:rPr>
                <w:rFonts w:cs="宋体"/>
                <w:color w:val="auto"/>
                <w:szCs w:val="24"/>
                <w:highlight w:val="none"/>
              </w:rPr>
            </w:pPr>
            <w:r>
              <w:rPr>
                <w:rFonts w:hint="eastAsia" w:cs="宋体"/>
                <w:color w:val="auto"/>
                <w:szCs w:val="24"/>
                <w:highlight w:val="none"/>
              </w:rPr>
              <w:t>30.2</w:t>
            </w:r>
          </w:p>
          <w:p w14:paraId="1FFF0746">
            <w:pPr>
              <w:pStyle w:val="52"/>
              <w:jc w:val="center"/>
              <w:rPr>
                <w:rFonts w:cs="宋体"/>
                <w:color w:val="auto"/>
                <w:szCs w:val="24"/>
                <w:highlight w:val="none"/>
              </w:rPr>
            </w:pPr>
            <w:r>
              <w:rPr>
                <w:rFonts w:hint="eastAsia" w:cs="宋体"/>
                <w:color w:val="auto"/>
                <w:szCs w:val="24"/>
                <w:highlight w:val="none"/>
              </w:rPr>
              <w:t>30.3</w:t>
            </w:r>
          </w:p>
        </w:tc>
        <w:tc>
          <w:tcPr>
            <w:tcW w:w="1738" w:type="dxa"/>
            <w:vAlign w:val="center"/>
          </w:tcPr>
          <w:p w14:paraId="268DC48A">
            <w:pPr>
              <w:pStyle w:val="52"/>
              <w:rPr>
                <w:rFonts w:cs="宋体"/>
                <w:color w:val="auto"/>
                <w:szCs w:val="24"/>
                <w:highlight w:val="none"/>
              </w:rPr>
            </w:pPr>
            <w:r>
              <w:rPr>
                <w:rFonts w:hint="eastAsia" w:cs="宋体"/>
                <w:color w:val="auto"/>
                <w:kern w:val="0"/>
                <w:szCs w:val="24"/>
                <w:highlight w:val="none"/>
                <w:lang w:bidi="ar"/>
              </w:rPr>
              <w:t>提供相同品牌产品的不同投标人确定中标候选人的规定</w:t>
            </w:r>
          </w:p>
        </w:tc>
        <w:tc>
          <w:tcPr>
            <w:tcW w:w="6700" w:type="dxa"/>
            <w:vAlign w:val="center"/>
          </w:tcPr>
          <w:p w14:paraId="07DC5965">
            <w:pPr>
              <w:pStyle w:val="52"/>
              <w:spacing w:line="360" w:lineRule="auto"/>
              <w:ind w:firstLine="480" w:firstLineChars="200"/>
              <w:rPr>
                <w:rFonts w:cs="宋体"/>
                <w:color w:val="auto"/>
                <w:kern w:val="0"/>
                <w:szCs w:val="24"/>
                <w:highlight w:val="none"/>
                <w:lang w:bidi="ar"/>
              </w:rPr>
            </w:pPr>
            <w:r>
              <w:rPr>
                <w:rFonts w:hint="eastAsia" w:cs="宋体"/>
                <w:color w:val="auto"/>
                <w:szCs w:val="24"/>
                <w:highlight w:val="none"/>
              </w:rPr>
              <w:sym w:font="Wingdings" w:char="00FE"/>
            </w:r>
            <w:r>
              <w:rPr>
                <w:rFonts w:hint="eastAsia" w:cs="宋体"/>
                <w:color w:val="auto"/>
                <w:kern w:val="0"/>
                <w:szCs w:val="24"/>
                <w:highlight w:val="none"/>
                <w:lang w:bidi="ar"/>
              </w:rPr>
              <w:t>综合评分法的采购项目，提供相同品牌产品且通过资格审查、符合性审查的不同投标人参加同一合同项下投标的，按一家投标人计算，评审后得分相同的，按照</w:t>
            </w:r>
            <w:r>
              <w:rPr>
                <w:rFonts w:hint="eastAsia" w:cs="宋体"/>
                <w:color w:val="auto"/>
                <w:kern w:val="0"/>
                <w:szCs w:val="24"/>
                <w:highlight w:val="none"/>
                <w:u w:val="single"/>
                <w:lang w:bidi="ar"/>
              </w:rPr>
              <w:t xml:space="preserve"> 报价最低的 </w:t>
            </w:r>
            <w:r>
              <w:rPr>
                <w:rFonts w:hint="eastAsia" w:cs="宋体"/>
                <w:color w:val="auto"/>
                <w:kern w:val="0"/>
                <w:szCs w:val="24"/>
                <w:highlight w:val="none"/>
                <w:lang w:bidi="ar"/>
              </w:rPr>
              <w:t>方式确定一个投标人获得中标人推荐资格，其他同品牌投标人不作为中标候选人。</w:t>
            </w:r>
          </w:p>
        </w:tc>
      </w:tr>
      <w:tr w14:paraId="3878D0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534" w:hRule="atLeast"/>
        </w:trPr>
        <w:tc>
          <w:tcPr>
            <w:tcW w:w="970" w:type="dxa"/>
            <w:vAlign w:val="center"/>
          </w:tcPr>
          <w:p w14:paraId="78FB60B8">
            <w:pPr>
              <w:pStyle w:val="52"/>
              <w:jc w:val="center"/>
              <w:rPr>
                <w:rFonts w:cs="宋体"/>
                <w:color w:val="auto"/>
                <w:szCs w:val="24"/>
                <w:highlight w:val="none"/>
              </w:rPr>
            </w:pPr>
            <w:r>
              <w:rPr>
                <w:rFonts w:hint="eastAsia" w:cs="宋体"/>
                <w:color w:val="auto"/>
                <w:szCs w:val="24"/>
                <w:highlight w:val="none"/>
              </w:rPr>
              <w:t>33.1</w:t>
            </w:r>
          </w:p>
        </w:tc>
        <w:tc>
          <w:tcPr>
            <w:tcW w:w="1738" w:type="dxa"/>
            <w:vAlign w:val="center"/>
          </w:tcPr>
          <w:p w14:paraId="0C0710ED">
            <w:pPr>
              <w:pStyle w:val="52"/>
              <w:rPr>
                <w:rFonts w:cs="宋体"/>
                <w:color w:val="auto"/>
                <w:szCs w:val="24"/>
                <w:highlight w:val="none"/>
              </w:rPr>
            </w:pPr>
            <w:r>
              <w:rPr>
                <w:rFonts w:hint="eastAsia" w:cs="宋体"/>
                <w:color w:val="auto"/>
                <w:szCs w:val="24"/>
                <w:highlight w:val="none"/>
              </w:rPr>
              <w:t>履约保证金</w:t>
            </w:r>
          </w:p>
        </w:tc>
        <w:tc>
          <w:tcPr>
            <w:tcW w:w="6700" w:type="dxa"/>
            <w:vAlign w:val="center"/>
          </w:tcPr>
          <w:p w14:paraId="36EA057C">
            <w:pPr>
              <w:pStyle w:val="52"/>
              <w:spacing w:line="360" w:lineRule="auto"/>
              <w:rPr>
                <w:rFonts w:cs="宋体"/>
                <w:color w:val="auto"/>
                <w:szCs w:val="24"/>
                <w:highlight w:val="none"/>
              </w:rPr>
            </w:pPr>
            <w:r>
              <w:rPr>
                <w:rFonts w:hint="eastAsia" w:cs="宋体"/>
                <w:color w:val="auto"/>
                <w:szCs w:val="24"/>
                <w:highlight w:val="none"/>
              </w:rPr>
              <w:t xml:space="preserve"> 1.金额：</w:t>
            </w:r>
          </w:p>
          <w:p w14:paraId="5CCCDB8B">
            <w:pPr>
              <w:pStyle w:val="52"/>
              <w:spacing w:line="360" w:lineRule="auto"/>
              <w:ind w:firstLine="480" w:firstLineChars="200"/>
              <w:rPr>
                <w:rFonts w:cs="宋体"/>
                <w:color w:val="auto"/>
                <w:szCs w:val="24"/>
                <w:highlight w:val="none"/>
              </w:rPr>
            </w:pPr>
            <w:r>
              <w:rPr>
                <w:rFonts w:hint="eastAsia" w:cs="宋体"/>
                <w:color w:val="auto"/>
                <w:szCs w:val="24"/>
                <w:highlight w:val="none"/>
                <w:lang w:eastAsia="zh-CN"/>
              </w:rPr>
              <w:t>□</w:t>
            </w:r>
            <w:r>
              <w:rPr>
                <w:rFonts w:hint="eastAsia" w:cs="宋体"/>
                <w:color w:val="auto"/>
                <w:szCs w:val="24"/>
                <w:highlight w:val="none"/>
              </w:rPr>
              <w:t>免收</w:t>
            </w:r>
          </w:p>
          <w:p w14:paraId="3D6A2886">
            <w:pPr>
              <w:pStyle w:val="52"/>
              <w:spacing w:line="360" w:lineRule="auto"/>
              <w:ind w:firstLine="480" w:firstLineChars="200"/>
              <w:rPr>
                <w:rFonts w:cs="宋体"/>
                <w:color w:val="auto"/>
                <w:szCs w:val="24"/>
                <w:highlight w:val="none"/>
              </w:rPr>
            </w:pPr>
            <w:r>
              <w:rPr>
                <w:rFonts w:hint="eastAsia" w:cs="宋体"/>
                <w:color w:val="auto"/>
                <w:szCs w:val="24"/>
                <w:highlight w:val="none"/>
                <w:lang w:eastAsia="zh-CN"/>
              </w:rPr>
              <w:t>☑</w:t>
            </w:r>
            <w:r>
              <w:rPr>
                <w:rFonts w:hint="eastAsia" w:cs="宋体"/>
                <w:color w:val="auto"/>
                <w:szCs w:val="24"/>
                <w:highlight w:val="none"/>
              </w:rPr>
              <w:t xml:space="preserve">合同价的 </w:t>
            </w:r>
            <w:r>
              <w:rPr>
                <w:rFonts w:hint="eastAsia" w:cs="宋体"/>
                <w:color w:val="auto"/>
                <w:szCs w:val="24"/>
                <w:highlight w:val="none"/>
                <w:u w:val="single"/>
                <w:lang w:val="en-US" w:eastAsia="zh-CN"/>
              </w:rPr>
              <w:t>10</w:t>
            </w:r>
            <w:r>
              <w:rPr>
                <w:rFonts w:hint="eastAsia" w:cs="宋体"/>
                <w:color w:val="auto"/>
                <w:szCs w:val="24"/>
                <w:highlight w:val="none"/>
              </w:rPr>
              <w:t>%</w:t>
            </w:r>
          </w:p>
          <w:p w14:paraId="2E992456">
            <w:pPr>
              <w:pStyle w:val="52"/>
              <w:spacing w:line="360" w:lineRule="auto"/>
              <w:ind w:firstLine="480" w:firstLineChars="200"/>
              <w:rPr>
                <w:rFonts w:cs="宋体"/>
                <w:color w:val="auto"/>
                <w:szCs w:val="24"/>
                <w:highlight w:val="none"/>
              </w:rPr>
            </w:pPr>
            <w:r>
              <w:rPr>
                <w:rFonts w:hint="eastAsia" w:cs="宋体"/>
                <w:color w:val="auto"/>
                <w:szCs w:val="24"/>
                <w:highlight w:val="none"/>
              </w:rPr>
              <w:t>□定额收取：人民币</w:t>
            </w:r>
            <w:r>
              <w:rPr>
                <w:rFonts w:hint="eastAsia" w:cs="宋体"/>
                <w:color w:val="auto"/>
                <w:szCs w:val="24"/>
                <w:highlight w:val="none"/>
                <w:u w:val="single"/>
              </w:rPr>
              <w:t>/</w:t>
            </w:r>
            <w:r>
              <w:rPr>
                <w:rFonts w:hint="eastAsia" w:cs="宋体"/>
                <w:color w:val="auto"/>
                <w:szCs w:val="24"/>
                <w:highlight w:val="none"/>
              </w:rPr>
              <w:t>元</w:t>
            </w:r>
          </w:p>
          <w:p w14:paraId="4683120F">
            <w:pPr>
              <w:pStyle w:val="52"/>
              <w:spacing w:line="360" w:lineRule="auto"/>
              <w:rPr>
                <w:rFonts w:cs="宋体"/>
                <w:color w:val="auto"/>
                <w:szCs w:val="24"/>
                <w:highlight w:val="none"/>
              </w:rPr>
            </w:pPr>
            <w:r>
              <w:rPr>
                <w:rFonts w:hint="eastAsia" w:cs="宋体"/>
                <w:color w:val="auto"/>
                <w:szCs w:val="24"/>
                <w:highlight w:val="none"/>
              </w:rPr>
              <w:t xml:space="preserve"> 2.支付</w:t>
            </w:r>
            <w:r>
              <w:rPr>
                <w:rFonts w:hint="eastAsia" w:cs="宋体"/>
                <w:color w:val="auto"/>
                <w:szCs w:val="24"/>
                <w:highlight w:val="none"/>
                <w:lang w:val="en-US" w:eastAsia="zh-CN"/>
              </w:rPr>
              <w:t>形式</w:t>
            </w:r>
            <w:r>
              <w:rPr>
                <w:rFonts w:hint="eastAsia" w:cs="宋体"/>
                <w:color w:val="auto"/>
                <w:szCs w:val="24"/>
                <w:highlight w:val="none"/>
              </w:rPr>
              <w:t>：</w:t>
            </w:r>
            <w:r>
              <w:rPr>
                <w:rFonts w:hint="eastAsia" w:ascii="Calibri Light" w:hAnsi="Calibri Light" w:cs="Calibri Light"/>
                <w:color w:val="auto"/>
                <w:sz w:val="24"/>
                <w:highlight w:val="none"/>
              </w:rPr>
              <w:t>履约保证金采取以下形式提交：由采购人认可的金融机构、担保机构开具的、以采购人为受益人的、不可撤销的见索即付独立保函，保函格式须经采购人事先书面确认，保函有效期应持续至本项目采购合同项下全部货物最终验收合格且质量保证期届满后 30 日。</w:t>
            </w:r>
            <w:r>
              <w:rPr>
                <w:rFonts w:hint="eastAsia" w:cs="宋体"/>
                <w:color w:val="auto"/>
                <w:szCs w:val="24"/>
                <w:highlight w:val="none"/>
              </w:rPr>
              <w:t xml:space="preserve">  </w:t>
            </w:r>
          </w:p>
          <w:p w14:paraId="7FB13DCC">
            <w:pPr>
              <w:pStyle w:val="52"/>
              <w:spacing w:line="360" w:lineRule="auto"/>
              <w:rPr>
                <w:rFonts w:hint="eastAsia" w:ascii="Calibri Light" w:hAnsi="Calibri Light" w:cs="Calibri Light"/>
                <w:color w:val="auto"/>
                <w:sz w:val="24"/>
                <w:highlight w:val="none"/>
              </w:rPr>
            </w:pPr>
            <w:r>
              <w:rPr>
                <w:rFonts w:hint="eastAsia" w:cs="宋体"/>
                <w:color w:val="auto"/>
                <w:szCs w:val="24"/>
                <w:highlight w:val="none"/>
                <w:lang w:val="en-US" w:eastAsia="zh-CN"/>
              </w:rPr>
              <w:t>3</w:t>
            </w:r>
            <w:r>
              <w:rPr>
                <w:rFonts w:hint="eastAsia" w:cs="宋体"/>
                <w:color w:val="auto"/>
                <w:szCs w:val="24"/>
                <w:highlight w:val="none"/>
              </w:rPr>
              <w:t>.缴纳时间：</w:t>
            </w:r>
            <w:r>
              <w:rPr>
                <w:rFonts w:hint="eastAsia" w:ascii="Calibri Light" w:hAnsi="Calibri Light" w:cs="Calibri Light"/>
                <w:color w:val="auto"/>
                <w:sz w:val="24"/>
                <w:highlight w:val="none"/>
              </w:rPr>
              <w:t>应于中标通知书发布之日起10日内，向采购人提交金额为合同总价款 10% 的履约保函。</w:t>
            </w:r>
          </w:p>
          <w:p w14:paraId="4C336DC3">
            <w:pPr>
              <w:pStyle w:val="52"/>
              <w:spacing w:line="360" w:lineRule="auto"/>
              <w:rPr>
                <w:rFonts w:cs="宋体"/>
                <w:color w:val="auto"/>
                <w:szCs w:val="24"/>
                <w:highlight w:val="none"/>
              </w:rPr>
            </w:pPr>
            <w:r>
              <w:rPr>
                <w:rFonts w:hint="eastAsia" w:cs="宋体"/>
                <w:color w:val="auto"/>
                <w:szCs w:val="24"/>
                <w:highlight w:val="none"/>
                <w:lang w:val="en-US" w:eastAsia="zh-CN"/>
              </w:rPr>
              <w:t>4</w:t>
            </w:r>
            <w:r>
              <w:rPr>
                <w:rFonts w:hint="eastAsia" w:cs="宋体"/>
                <w:color w:val="auto"/>
                <w:szCs w:val="24"/>
                <w:highlight w:val="none"/>
              </w:rPr>
              <w:t xml:space="preserve">.退还时间：中标或成交供应商合同主要义务履行完毕后，采购人按合同约定及时退还 </w:t>
            </w:r>
          </w:p>
          <w:p w14:paraId="13E5BF0B">
            <w:pPr>
              <w:pStyle w:val="52"/>
              <w:spacing w:line="360" w:lineRule="auto"/>
              <w:rPr>
                <w:rFonts w:cs="宋体"/>
                <w:color w:val="auto"/>
                <w:szCs w:val="24"/>
                <w:highlight w:val="none"/>
              </w:rPr>
            </w:pPr>
            <w:r>
              <w:rPr>
                <w:rFonts w:hint="eastAsia" w:cs="宋体"/>
                <w:color w:val="auto"/>
                <w:szCs w:val="24"/>
                <w:highlight w:val="none"/>
              </w:rPr>
              <w:t xml:space="preserve">             </w:t>
            </w:r>
          </w:p>
          <w:p w14:paraId="624E2509">
            <w:pPr>
              <w:pStyle w:val="52"/>
              <w:spacing w:line="360" w:lineRule="auto"/>
              <w:rPr>
                <w:rFonts w:cs="宋体"/>
                <w:b/>
                <w:bCs/>
                <w:color w:val="auto"/>
                <w:szCs w:val="24"/>
                <w:highlight w:val="none"/>
              </w:rPr>
            </w:pPr>
            <w:r>
              <w:rPr>
                <w:rFonts w:hint="eastAsia" w:cs="宋体"/>
                <w:b/>
                <w:bCs/>
                <w:color w:val="auto"/>
                <w:szCs w:val="24"/>
                <w:highlight w:val="none"/>
              </w:rPr>
              <w:t>注意事项：</w:t>
            </w:r>
          </w:p>
          <w:p w14:paraId="149C1F21">
            <w:pPr>
              <w:pStyle w:val="52"/>
              <w:spacing w:line="360" w:lineRule="auto"/>
              <w:rPr>
                <w:rFonts w:cs="宋体"/>
                <w:color w:val="auto"/>
                <w:szCs w:val="24"/>
                <w:highlight w:val="none"/>
              </w:rPr>
            </w:pPr>
            <w:r>
              <w:rPr>
                <w:rFonts w:hint="eastAsia" w:cs="宋体"/>
                <w:color w:val="auto"/>
                <w:szCs w:val="24"/>
                <w:highlight w:val="none"/>
              </w:rPr>
              <w:t xml:space="preserve">  1.以上各类机构出具的以担保函、保证保险承担责任的方式均须满足无条件见索即付条件。</w:t>
            </w:r>
          </w:p>
          <w:p w14:paraId="1E94E3FE">
            <w:pPr>
              <w:pStyle w:val="52"/>
              <w:spacing w:line="360" w:lineRule="auto"/>
              <w:rPr>
                <w:rFonts w:cs="宋体"/>
                <w:color w:val="auto"/>
                <w:szCs w:val="24"/>
                <w:highlight w:val="none"/>
              </w:rPr>
            </w:pPr>
            <w:r>
              <w:rPr>
                <w:rFonts w:hint="eastAsia" w:cs="宋体"/>
                <w:color w:val="auto"/>
                <w:szCs w:val="24"/>
                <w:highlight w:val="none"/>
              </w:rPr>
              <w:t xml:space="preserve">  2.以担保函、保证保险形式缴纳履约保证金的，受益人和收取单位须为采购人。</w:t>
            </w:r>
          </w:p>
          <w:p w14:paraId="577FBD2F">
            <w:pPr>
              <w:pStyle w:val="52"/>
              <w:spacing w:line="360" w:lineRule="auto"/>
              <w:rPr>
                <w:rFonts w:cs="宋体"/>
                <w:color w:val="auto"/>
                <w:szCs w:val="24"/>
                <w:highlight w:val="none"/>
              </w:rPr>
            </w:pPr>
          </w:p>
          <w:p w14:paraId="3D5E25E0">
            <w:pPr>
              <w:pStyle w:val="52"/>
              <w:spacing w:line="360" w:lineRule="auto"/>
              <w:rPr>
                <w:rFonts w:cs="宋体"/>
                <w:color w:val="auto"/>
                <w:szCs w:val="24"/>
                <w:highlight w:val="none"/>
              </w:rPr>
            </w:pPr>
            <w:r>
              <w:rPr>
                <w:rFonts w:hint="eastAsia" w:cs="宋体"/>
                <w:color w:val="auto"/>
                <w:szCs w:val="24"/>
                <w:highlight w:val="none"/>
              </w:rPr>
              <w:t>在中标投标人与采购人签订合同前递交，中标投标人可以支票、汇票、本票或保险公司、担保公司等金融机构出具的电子保函等非现金形式提交，建议优先使用政采云电子保函，具体办理流程详见新疆政府采购网《新疆维吾尔自治区政府采购电子保函工作方案》。投标人以电子保函形式缴纳履约保证金的，应通过“新疆政府采购网”的“电子保函”模块申请购买。</w:t>
            </w:r>
          </w:p>
        </w:tc>
      </w:tr>
      <w:tr w14:paraId="20BE15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3" w:hRule="atLeast"/>
        </w:trPr>
        <w:tc>
          <w:tcPr>
            <w:tcW w:w="970" w:type="dxa"/>
            <w:vAlign w:val="center"/>
          </w:tcPr>
          <w:p w14:paraId="31755313">
            <w:pPr>
              <w:pStyle w:val="52"/>
              <w:jc w:val="center"/>
              <w:rPr>
                <w:rFonts w:cs="宋体"/>
                <w:color w:val="auto"/>
                <w:szCs w:val="24"/>
                <w:highlight w:val="none"/>
              </w:rPr>
            </w:pPr>
            <w:r>
              <w:rPr>
                <w:rFonts w:hint="eastAsia" w:cs="宋体"/>
                <w:color w:val="auto"/>
                <w:szCs w:val="24"/>
                <w:highlight w:val="none"/>
              </w:rPr>
              <w:t>34.5</w:t>
            </w:r>
          </w:p>
        </w:tc>
        <w:tc>
          <w:tcPr>
            <w:tcW w:w="1738" w:type="dxa"/>
            <w:vAlign w:val="center"/>
          </w:tcPr>
          <w:p w14:paraId="2D36DDB4">
            <w:pPr>
              <w:pStyle w:val="52"/>
              <w:rPr>
                <w:rFonts w:cs="宋体"/>
                <w:color w:val="auto"/>
                <w:szCs w:val="24"/>
                <w:highlight w:val="none"/>
              </w:rPr>
            </w:pPr>
            <w:r>
              <w:rPr>
                <w:rFonts w:hint="eastAsia" w:cs="宋体"/>
                <w:color w:val="auto"/>
                <w:szCs w:val="24"/>
                <w:highlight w:val="none"/>
              </w:rPr>
              <w:t>中标后分包</w:t>
            </w:r>
          </w:p>
        </w:tc>
        <w:tc>
          <w:tcPr>
            <w:tcW w:w="6700" w:type="dxa"/>
            <w:vAlign w:val="center"/>
          </w:tcPr>
          <w:p w14:paraId="0AAA31E1">
            <w:pPr>
              <w:pStyle w:val="52"/>
              <w:spacing w:line="360" w:lineRule="auto"/>
              <w:rPr>
                <w:rFonts w:cs="宋体"/>
                <w:color w:val="auto"/>
                <w:szCs w:val="24"/>
                <w:highlight w:val="none"/>
              </w:rPr>
            </w:pPr>
            <w:r>
              <w:rPr>
                <w:rFonts w:hint="eastAsia" w:cs="宋体"/>
                <w:color w:val="auto"/>
                <w:szCs w:val="24"/>
                <w:highlight w:val="none"/>
              </w:rPr>
              <w:t xml:space="preserve">本项目的非主体、非关键性工作是否允许分包： </w:t>
            </w:r>
          </w:p>
          <w:p w14:paraId="744C569C">
            <w:pPr>
              <w:pStyle w:val="52"/>
              <w:spacing w:line="360" w:lineRule="auto"/>
              <w:ind w:firstLine="480" w:firstLineChars="200"/>
              <w:rPr>
                <w:rFonts w:cs="宋体"/>
                <w:color w:val="auto"/>
                <w:szCs w:val="24"/>
                <w:highlight w:val="none"/>
              </w:rPr>
            </w:pPr>
            <w:r>
              <w:rPr>
                <w:rFonts w:hint="eastAsia" w:cs="宋体"/>
                <w:color w:val="auto"/>
                <w:szCs w:val="24"/>
                <w:highlight w:val="none"/>
              </w:rPr>
              <w:t xml:space="preserve">☑不允许 </w:t>
            </w:r>
          </w:p>
          <w:p w14:paraId="64D1F4D5">
            <w:pPr>
              <w:pStyle w:val="52"/>
              <w:spacing w:line="360" w:lineRule="auto"/>
              <w:ind w:firstLine="480" w:firstLineChars="200"/>
              <w:rPr>
                <w:rFonts w:cs="宋体"/>
                <w:color w:val="auto"/>
                <w:szCs w:val="24"/>
                <w:highlight w:val="none"/>
              </w:rPr>
            </w:pPr>
            <w:r>
              <w:rPr>
                <w:rFonts w:hint="eastAsia" w:cs="宋体"/>
                <w:color w:val="auto"/>
                <w:szCs w:val="24"/>
                <w:highlight w:val="none"/>
              </w:rPr>
              <w:t xml:space="preserve">□允许，具体要求： </w:t>
            </w:r>
          </w:p>
          <w:p w14:paraId="60104EE9">
            <w:pPr>
              <w:pStyle w:val="52"/>
              <w:spacing w:line="360" w:lineRule="auto"/>
              <w:rPr>
                <w:rFonts w:cs="宋体"/>
                <w:color w:val="auto"/>
                <w:szCs w:val="24"/>
                <w:highlight w:val="none"/>
              </w:rPr>
            </w:pPr>
            <w:r>
              <w:rPr>
                <w:rFonts w:hint="eastAsia" w:cs="宋体"/>
                <w:color w:val="auto"/>
                <w:szCs w:val="24"/>
                <w:highlight w:val="none"/>
              </w:rPr>
              <w:t xml:space="preserve">     1.可以分包履行的具体内容：_</w:t>
            </w:r>
            <w:r>
              <w:rPr>
                <w:rFonts w:hint="eastAsia" w:cs="宋体"/>
                <w:color w:val="auto"/>
                <w:szCs w:val="24"/>
                <w:highlight w:val="none"/>
                <w:u w:val="single"/>
              </w:rPr>
              <w:t>/</w:t>
            </w:r>
            <w:r>
              <w:rPr>
                <w:rFonts w:hint="eastAsia" w:cs="宋体"/>
                <w:color w:val="auto"/>
                <w:szCs w:val="24"/>
                <w:highlight w:val="none"/>
              </w:rPr>
              <w:t xml:space="preserve">__； </w:t>
            </w:r>
          </w:p>
          <w:p w14:paraId="57109BF7">
            <w:pPr>
              <w:pStyle w:val="52"/>
              <w:spacing w:line="360" w:lineRule="auto"/>
              <w:rPr>
                <w:rFonts w:cs="宋体"/>
                <w:color w:val="auto"/>
                <w:szCs w:val="24"/>
                <w:highlight w:val="none"/>
              </w:rPr>
            </w:pPr>
            <w:r>
              <w:rPr>
                <w:rFonts w:hint="eastAsia" w:cs="宋体"/>
                <w:color w:val="auto"/>
                <w:szCs w:val="24"/>
                <w:highlight w:val="none"/>
              </w:rPr>
              <w:t xml:space="preserve">     2.允许分包的金额或者比例：_</w:t>
            </w:r>
            <w:r>
              <w:rPr>
                <w:rFonts w:hint="eastAsia" w:cs="宋体"/>
                <w:color w:val="auto"/>
                <w:szCs w:val="24"/>
                <w:highlight w:val="none"/>
                <w:u w:val="single"/>
              </w:rPr>
              <w:t>/</w:t>
            </w:r>
            <w:r>
              <w:rPr>
                <w:rFonts w:hint="eastAsia" w:cs="宋体"/>
                <w:color w:val="auto"/>
                <w:szCs w:val="24"/>
                <w:highlight w:val="none"/>
              </w:rPr>
              <w:t xml:space="preserve">__； </w:t>
            </w:r>
          </w:p>
          <w:p w14:paraId="191A8908">
            <w:pPr>
              <w:pStyle w:val="52"/>
              <w:spacing w:line="360" w:lineRule="auto"/>
              <w:rPr>
                <w:rFonts w:cs="宋体"/>
                <w:color w:val="auto"/>
                <w:szCs w:val="24"/>
                <w:highlight w:val="none"/>
              </w:rPr>
            </w:pPr>
            <w:r>
              <w:rPr>
                <w:rFonts w:hint="eastAsia" w:cs="宋体"/>
                <w:color w:val="auto"/>
                <w:szCs w:val="24"/>
                <w:highlight w:val="none"/>
              </w:rPr>
              <w:t xml:space="preserve">     3.其他要求：_</w:t>
            </w:r>
            <w:r>
              <w:rPr>
                <w:rFonts w:hint="eastAsia" w:cs="宋体"/>
                <w:color w:val="auto"/>
                <w:szCs w:val="24"/>
                <w:highlight w:val="none"/>
                <w:u w:val="single"/>
              </w:rPr>
              <w:t>/</w:t>
            </w:r>
            <w:r>
              <w:rPr>
                <w:rFonts w:hint="eastAsia" w:cs="宋体"/>
                <w:color w:val="auto"/>
                <w:szCs w:val="24"/>
                <w:highlight w:val="none"/>
              </w:rPr>
              <w:t xml:space="preserve">_。 </w:t>
            </w:r>
          </w:p>
        </w:tc>
      </w:tr>
      <w:tr w14:paraId="7170DA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63912FF0">
            <w:pPr>
              <w:pStyle w:val="52"/>
              <w:jc w:val="center"/>
              <w:rPr>
                <w:rFonts w:cs="宋体"/>
                <w:color w:val="auto"/>
                <w:szCs w:val="24"/>
                <w:highlight w:val="none"/>
              </w:rPr>
            </w:pPr>
            <w:r>
              <w:rPr>
                <w:rFonts w:hint="eastAsia" w:cs="宋体"/>
                <w:color w:val="auto"/>
                <w:szCs w:val="24"/>
                <w:highlight w:val="none"/>
              </w:rPr>
              <w:t>35.1</w:t>
            </w:r>
          </w:p>
        </w:tc>
        <w:tc>
          <w:tcPr>
            <w:tcW w:w="1738" w:type="dxa"/>
            <w:vAlign w:val="center"/>
          </w:tcPr>
          <w:p w14:paraId="5BC1D41A">
            <w:pPr>
              <w:pStyle w:val="52"/>
              <w:rPr>
                <w:color w:val="auto"/>
                <w:szCs w:val="24"/>
                <w:highlight w:val="none"/>
              </w:rPr>
            </w:pPr>
            <w:r>
              <w:rPr>
                <w:rFonts w:hint="eastAsia"/>
                <w:color w:val="auto"/>
                <w:szCs w:val="24"/>
                <w:highlight w:val="none"/>
              </w:rPr>
              <w:t>质疑</w:t>
            </w:r>
          </w:p>
        </w:tc>
        <w:tc>
          <w:tcPr>
            <w:tcW w:w="6700" w:type="dxa"/>
            <w:vAlign w:val="center"/>
          </w:tcPr>
          <w:p w14:paraId="7B11FD0C">
            <w:pPr>
              <w:pStyle w:val="60"/>
              <w:autoSpaceDE w:val="0"/>
              <w:autoSpaceDN w:val="0"/>
              <w:adjustRightInd w:val="0"/>
              <w:spacing w:line="360" w:lineRule="auto"/>
              <w:jc w:val="left"/>
              <w:rPr>
                <w:rFonts w:ascii="宋体" w:hAnsi="宋体" w:cs="宋体"/>
                <w:color w:val="auto"/>
                <w:sz w:val="24"/>
                <w:highlight w:val="none"/>
                <w:lang w:val="zh-CN"/>
              </w:rPr>
            </w:pPr>
            <w:r>
              <w:rPr>
                <w:rFonts w:hint="eastAsia" w:ascii="宋体" w:hAnsi="宋体" w:cs="宋体"/>
                <w:color w:val="auto"/>
                <w:sz w:val="24"/>
                <w:highlight w:val="none"/>
                <w:lang w:val="zh-CN"/>
              </w:rPr>
              <w:t>递交方式：</w:t>
            </w:r>
            <w:r>
              <w:rPr>
                <w:rFonts w:hint="eastAsia" w:ascii="宋体" w:hAnsi="宋体" w:cs="宋体"/>
                <w:color w:val="auto"/>
                <w:sz w:val="24"/>
                <w:highlight w:val="none"/>
              </w:rPr>
              <w:t>纸质版盖章质疑函原件递交至采购代理公司</w:t>
            </w:r>
            <w:r>
              <w:rPr>
                <w:rFonts w:hint="eastAsia" w:ascii="宋体" w:hAnsi="宋体" w:cs="宋体"/>
                <w:color w:val="auto"/>
                <w:sz w:val="24"/>
                <w:highlight w:val="none"/>
                <w:lang w:val="zh-CN"/>
              </w:rPr>
              <w:t xml:space="preserve">              </w:t>
            </w:r>
          </w:p>
          <w:p w14:paraId="77044A56">
            <w:pPr>
              <w:pStyle w:val="60"/>
              <w:autoSpaceDE w:val="0"/>
              <w:autoSpaceDN w:val="0"/>
              <w:adjustRightInd w:val="0"/>
              <w:spacing w:line="360" w:lineRule="auto"/>
              <w:jc w:val="left"/>
              <w:rPr>
                <w:rFonts w:ascii="宋体" w:hAnsi="宋体" w:cs="宋体"/>
                <w:color w:val="auto"/>
                <w:sz w:val="24"/>
                <w:highlight w:val="none"/>
                <w:lang w:val="zh-CN"/>
              </w:rPr>
            </w:pPr>
            <w:r>
              <w:rPr>
                <w:rFonts w:hint="eastAsia" w:ascii="宋体" w:hAnsi="宋体" w:cs="宋体"/>
                <w:color w:val="auto"/>
                <w:sz w:val="24"/>
                <w:highlight w:val="none"/>
                <w:lang w:val="zh-CN"/>
              </w:rPr>
              <w:t>接收部门：</w:t>
            </w:r>
            <w:r>
              <w:rPr>
                <w:rFonts w:hint="eastAsia" w:ascii="宋体" w:hAnsi="宋体" w:cs="宋体"/>
                <w:color w:val="auto"/>
                <w:sz w:val="24"/>
                <w:highlight w:val="none"/>
                <w:lang w:eastAsia="zh-CN"/>
              </w:rPr>
              <w:t>中招国际招标有限公司</w:t>
            </w:r>
            <w:r>
              <w:rPr>
                <w:rFonts w:hint="eastAsia" w:ascii="宋体" w:hAnsi="宋体" w:cs="宋体"/>
                <w:color w:val="auto"/>
                <w:sz w:val="24"/>
                <w:highlight w:val="none"/>
              </w:rPr>
              <w:t>新疆分公司</w:t>
            </w:r>
          </w:p>
          <w:p w14:paraId="02367F85">
            <w:pPr>
              <w:pStyle w:val="60"/>
              <w:autoSpaceDE w:val="0"/>
              <w:autoSpaceDN w:val="0"/>
              <w:adjustRightInd w:val="0"/>
              <w:spacing w:line="360" w:lineRule="auto"/>
              <w:jc w:val="left"/>
              <w:rPr>
                <w:rFonts w:hint="eastAsia" w:ascii="宋体" w:hAnsi="宋体" w:eastAsia="宋体" w:cs="宋体"/>
                <w:color w:val="auto"/>
                <w:sz w:val="24"/>
                <w:highlight w:val="none"/>
                <w:lang w:val="zh-CN" w:eastAsia="zh-CN"/>
              </w:rPr>
            </w:pPr>
            <w:r>
              <w:rPr>
                <w:rFonts w:hint="eastAsia" w:ascii="宋体" w:hAnsi="宋体" w:cs="宋体"/>
                <w:color w:val="auto"/>
                <w:sz w:val="24"/>
                <w:highlight w:val="none"/>
                <w:lang w:val="zh-CN"/>
              </w:rPr>
              <w:t>联系电话：</w:t>
            </w:r>
            <w:r>
              <w:rPr>
                <w:rFonts w:hint="eastAsia" w:ascii="宋体" w:hAnsi="宋体" w:cs="宋体"/>
                <w:color w:val="auto"/>
                <w:sz w:val="24"/>
                <w:highlight w:val="none"/>
                <w:lang w:eastAsia="zh-CN"/>
              </w:rPr>
              <w:t>19990606127</w:t>
            </w:r>
          </w:p>
          <w:p w14:paraId="219AB6B0">
            <w:pPr>
              <w:pStyle w:val="60"/>
              <w:autoSpaceDE w:val="0"/>
              <w:autoSpaceDN w:val="0"/>
              <w:adjustRightInd w:val="0"/>
              <w:spacing w:line="360" w:lineRule="auto"/>
              <w:jc w:val="left"/>
              <w:rPr>
                <w:rFonts w:hint="eastAsia" w:ascii="宋体" w:hAnsi="宋体" w:eastAsia="宋体" w:cs="宋体"/>
                <w:color w:val="auto"/>
                <w:kern w:val="0"/>
                <w:sz w:val="24"/>
                <w:highlight w:val="none"/>
                <w:lang w:eastAsia="zh-CN"/>
              </w:rPr>
            </w:pPr>
            <w:r>
              <w:rPr>
                <w:rFonts w:hint="eastAsia" w:ascii="宋体" w:hAnsi="宋体" w:cs="宋体"/>
                <w:color w:val="auto"/>
                <w:sz w:val="24"/>
                <w:highlight w:val="none"/>
                <w:lang w:val="zh-CN"/>
              </w:rPr>
              <w:t>通讯地址：</w:t>
            </w:r>
            <w:r>
              <w:rPr>
                <w:rFonts w:hint="eastAsia" w:ascii="宋体" w:hAnsi="宋体" w:cs="宋体"/>
                <w:color w:val="auto"/>
                <w:kern w:val="0"/>
                <w:sz w:val="24"/>
                <w:highlight w:val="none"/>
                <w:lang w:eastAsia="zh-CN"/>
              </w:rPr>
              <w:t>新疆乌鲁木齐市486号南湖明珠大厦8楼</w:t>
            </w:r>
          </w:p>
          <w:p w14:paraId="4B12A613">
            <w:pPr>
              <w:pStyle w:val="60"/>
              <w:autoSpaceDE w:val="0"/>
              <w:autoSpaceDN w:val="0"/>
              <w:adjustRightInd w:val="0"/>
              <w:spacing w:line="360" w:lineRule="auto"/>
              <w:jc w:val="left"/>
              <w:rPr>
                <w:rFonts w:ascii="宋体" w:hAnsi="宋体" w:cs="宋体"/>
                <w:color w:val="auto"/>
                <w:sz w:val="24"/>
                <w:highlight w:val="none"/>
                <w:lang w:val="zh-CN"/>
              </w:rPr>
            </w:pPr>
            <w:r>
              <w:rPr>
                <w:rFonts w:hint="eastAsia" w:ascii="宋体" w:hAnsi="宋体" w:cs="宋体"/>
                <w:color w:val="auto"/>
                <w:sz w:val="24"/>
                <w:highlight w:val="none"/>
                <w:lang w:val="zh-CN"/>
              </w:rPr>
              <w:t>供应商提出质疑时，应提交质疑函和必要的证明材料，供应商在法定质疑期内应一次性提出针对同一采购程序环节的质疑。</w:t>
            </w:r>
          </w:p>
        </w:tc>
      </w:tr>
      <w:tr w14:paraId="1015A5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4" w:hRule="atLeast"/>
        </w:trPr>
        <w:tc>
          <w:tcPr>
            <w:tcW w:w="970" w:type="dxa"/>
            <w:vAlign w:val="center"/>
          </w:tcPr>
          <w:p w14:paraId="79A69CB5">
            <w:pPr>
              <w:pStyle w:val="52"/>
              <w:jc w:val="center"/>
              <w:rPr>
                <w:rFonts w:cs="宋体"/>
                <w:color w:val="auto"/>
                <w:szCs w:val="24"/>
                <w:highlight w:val="none"/>
              </w:rPr>
            </w:pPr>
            <w:r>
              <w:rPr>
                <w:rFonts w:hint="eastAsia" w:cs="宋体"/>
                <w:color w:val="auto"/>
                <w:szCs w:val="24"/>
                <w:highlight w:val="none"/>
              </w:rPr>
              <w:t>38.1</w:t>
            </w:r>
          </w:p>
        </w:tc>
        <w:tc>
          <w:tcPr>
            <w:tcW w:w="1738" w:type="dxa"/>
            <w:vAlign w:val="center"/>
          </w:tcPr>
          <w:p w14:paraId="1BB56B5B">
            <w:pPr>
              <w:pStyle w:val="52"/>
              <w:rPr>
                <w:color w:val="auto"/>
                <w:szCs w:val="24"/>
                <w:highlight w:val="none"/>
              </w:rPr>
            </w:pPr>
            <w:r>
              <w:rPr>
                <w:rFonts w:hint="eastAsia"/>
                <w:color w:val="auto"/>
                <w:szCs w:val="24"/>
                <w:highlight w:val="none"/>
              </w:rPr>
              <w:t>采购代理服务费</w:t>
            </w:r>
          </w:p>
        </w:tc>
        <w:tc>
          <w:tcPr>
            <w:tcW w:w="6700" w:type="dxa"/>
            <w:vAlign w:val="center"/>
          </w:tcPr>
          <w:p w14:paraId="361D5D58">
            <w:pPr>
              <w:spacing w:line="360" w:lineRule="auto"/>
              <w:rPr>
                <w:color w:val="auto"/>
                <w:szCs w:val="24"/>
                <w:highlight w:val="none"/>
              </w:rPr>
            </w:pPr>
            <w:r>
              <w:rPr>
                <w:rFonts w:hint="eastAsia"/>
                <w:color w:val="auto"/>
                <w:szCs w:val="24"/>
                <w:highlight w:val="none"/>
              </w:rPr>
              <w:t>一、代理服务费</w:t>
            </w:r>
          </w:p>
          <w:p w14:paraId="4E7FC4BC">
            <w:pPr>
              <w:spacing w:line="360" w:lineRule="auto"/>
              <w:rPr>
                <w:color w:val="auto"/>
                <w:szCs w:val="24"/>
                <w:highlight w:val="none"/>
              </w:rPr>
            </w:pPr>
            <w:r>
              <w:rPr>
                <w:rFonts w:hint="eastAsia"/>
                <w:color w:val="auto"/>
                <w:szCs w:val="24"/>
                <w:highlight w:val="none"/>
              </w:rPr>
              <w:t>1、本项目招标代理服务费</w:t>
            </w:r>
            <w:r>
              <w:rPr>
                <w:rFonts w:hint="eastAsia"/>
                <w:color w:val="auto"/>
                <w:szCs w:val="24"/>
                <w:highlight w:val="none"/>
                <w:lang w:val="en-US" w:eastAsia="zh-CN"/>
              </w:rPr>
              <w:t>参照</w:t>
            </w:r>
            <w:r>
              <w:rPr>
                <w:rFonts w:hint="eastAsia"/>
                <w:color w:val="auto"/>
                <w:szCs w:val="24"/>
                <w:highlight w:val="none"/>
              </w:rPr>
              <w:t>《招标代理服务收费管理暂行办法》计价格[2002]1980号文件（发改办价格[2003]857号文件）及财库[2018]2号文件计算的招标代理服务费下浮50%由中标人向招标代理支付。</w:t>
            </w:r>
          </w:p>
          <w:p w14:paraId="02AD5013">
            <w:pPr>
              <w:spacing w:line="360" w:lineRule="auto"/>
              <w:rPr>
                <w:color w:val="auto"/>
                <w:szCs w:val="24"/>
                <w:highlight w:val="none"/>
              </w:rPr>
            </w:pPr>
            <w:r>
              <w:rPr>
                <w:rFonts w:hint="eastAsia"/>
                <w:color w:val="auto"/>
                <w:szCs w:val="24"/>
                <w:highlight w:val="none"/>
              </w:rPr>
              <w:t>2、招标代理服务费按照中标总价为基数计取，中标人不再支付其他任何费用和款项。</w:t>
            </w:r>
          </w:p>
          <w:p w14:paraId="08D85517">
            <w:pPr>
              <w:spacing w:line="360" w:lineRule="auto"/>
              <w:rPr>
                <w:color w:val="auto"/>
                <w:szCs w:val="24"/>
                <w:highlight w:val="none"/>
              </w:rPr>
            </w:pPr>
            <w:r>
              <w:rPr>
                <w:rFonts w:hint="eastAsia"/>
                <w:color w:val="auto"/>
                <w:szCs w:val="24"/>
                <w:highlight w:val="none"/>
              </w:rPr>
              <w:t>3、具体费用详见本项目中标结果公告中第六条“代理服务收费标准及金额”</w:t>
            </w:r>
          </w:p>
          <w:p w14:paraId="10C87E72">
            <w:pPr>
              <w:spacing w:line="360" w:lineRule="auto"/>
              <w:rPr>
                <w:color w:val="auto"/>
                <w:szCs w:val="24"/>
                <w:highlight w:val="none"/>
              </w:rPr>
            </w:pPr>
            <w:r>
              <w:rPr>
                <w:rFonts w:hint="eastAsia"/>
                <w:color w:val="auto"/>
                <w:szCs w:val="24"/>
                <w:highlight w:val="none"/>
              </w:rPr>
              <w:t>二、付款方式</w:t>
            </w:r>
          </w:p>
          <w:p w14:paraId="10470338">
            <w:pPr>
              <w:spacing w:line="360" w:lineRule="auto"/>
              <w:rPr>
                <w:color w:val="auto"/>
                <w:szCs w:val="24"/>
                <w:highlight w:val="none"/>
              </w:rPr>
            </w:pPr>
            <w:r>
              <w:rPr>
                <w:rFonts w:hint="eastAsia"/>
                <w:color w:val="auto"/>
                <w:szCs w:val="24"/>
                <w:highlight w:val="none"/>
              </w:rPr>
              <w:t>1、根据国家发改委《关于招标代理服务费有关问题的通知》（发改办[2003]857号文件）第二条，将计价格[2002]1980号第十条中“招标代理服务实行谁委托谁付费”，修改为“招标代理服务费就由招标人支付”，招标人、招标代理机构与投标人另有约定的，根据财库[2018]2号文件从其约定的要求，经各方一致同意，招标代理服务费由中标人向招标代理支付，采购人不承担付款义务。</w:t>
            </w:r>
          </w:p>
          <w:p w14:paraId="5399BC2E">
            <w:pPr>
              <w:spacing w:line="360" w:lineRule="auto"/>
              <w:rPr>
                <w:color w:val="auto"/>
                <w:szCs w:val="24"/>
                <w:highlight w:val="none"/>
              </w:rPr>
            </w:pPr>
            <w:r>
              <w:rPr>
                <w:rFonts w:hint="eastAsia"/>
                <w:color w:val="auto"/>
                <w:szCs w:val="24"/>
                <w:highlight w:val="none"/>
              </w:rPr>
              <w:t>2、中标人于中标公示发布后7个工作日内一次性向招标代理公司支付代理服务费。</w:t>
            </w:r>
          </w:p>
          <w:p w14:paraId="1BF8A5C2">
            <w:pPr>
              <w:spacing w:line="360" w:lineRule="auto"/>
              <w:rPr>
                <w:color w:val="auto"/>
                <w:szCs w:val="24"/>
                <w:highlight w:val="none"/>
              </w:rPr>
            </w:pPr>
            <w:r>
              <w:rPr>
                <w:rFonts w:hint="eastAsia"/>
                <w:color w:val="auto"/>
                <w:szCs w:val="24"/>
                <w:highlight w:val="none"/>
              </w:rPr>
              <w:t>三、责任认定</w:t>
            </w:r>
          </w:p>
          <w:p w14:paraId="0A0BD554">
            <w:pPr>
              <w:spacing w:line="360" w:lineRule="auto"/>
              <w:rPr>
                <w:color w:val="auto"/>
                <w:szCs w:val="24"/>
                <w:highlight w:val="none"/>
              </w:rPr>
            </w:pPr>
            <w:r>
              <w:rPr>
                <w:rFonts w:hint="eastAsia"/>
                <w:color w:val="auto"/>
                <w:szCs w:val="24"/>
                <w:highlight w:val="none"/>
              </w:rPr>
              <w:t>1、中标人应如实向招标代理公司履行付款义务，中标人的付款金额以前款约定的协议金额为限；因中标人不能向招标代理公司按时付款所发生的一切法律纠纷均与采购人无关，如因此导致采购人承担责任或造成损失，采购人有权向其全额追偿。</w:t>
            </w:r>
          </w:p>
          <w:p w14:paraId="4B9C62D7">
            <w:pPr>
              <w:spacing w:line="360" w:lineRule="auto"/>
              <w:rPr>
                <w:color w:val="auto"/>
                <w:szCs w:val="24"/>
                <w:highlight w:val="none"/>
              </w:rPr>
            </w:pPr>
            <w:r>
              <w:rPr>
                <w:rFonts w:hint="eastAsia"/>
                <w:color w:val="auto"/>
                <w:szCs w:val="24"/>
                <w:highlight w:val="none"/>
              </w:rPr>
              <w:t>2、协议履行过程中，招标代理公司不得以中标人未支付本协议约定的招标代理费用为由，拒绝向中标人发放中标通知书，在协议履行期间因此产生的法律纠纷及争议均由招标代理公司与中标人自行解决，与采购人无关。</w:t>
            </w:r>
          </w:p>
        </w:tc>
      </w:tr>
      <w:tr w14:paraId="760E9B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27" w:hRule="atLeast"/>
        </w:trPr>
        <w:tc>
          <w:tcPr>
            <w:tcW w:w="970" w:type="dxa"/>
            <w:vAlign w:val="center"/>
          </w:tcPr>
          <w:p w14:paraId="68900850">
            <w:pPr>
              <w:pStyle w:val="52"/>
              <w:jc w:val="center"/>
              <w:rPr>
                <w:rFonts w:cs="宋体"/>
                <w:color w:val="auto"/>
                <w:szCs w:val="24"/>
                <w:highlight w:val="none"/>
              </w:rPr>
            </w:pPr>
            <w:r>
              <w:rPr>
                <w:rFonts w:hint="eastAsia" w:cs="宋体"/>
                <w:color w:val="auto"/>
                <w:szCs w:val="24"/>
                <w:highlight w:val="none"/>
              </w:rPr>
              <w:t>41.1</w:t>
            </w:r>
          </w:p>
        </w:tc>
        <w:tc>
          <w:tcPr>
            <w:tcW w:w="1738" w:type="dxa"/>
            <w:vAlign w:val="center"/>
          </w:tcPr>
          <w:p w14:paraId="2552D26A">
            <w:pPr>
              <w:pStyle w:val="52"/>
              <w:jc w:val="center"/>
              <w:rPr>
                <w:rFonts w:cs="宋体"/>
                <w:color w:val="auto"/>
                <w:szCs w:val="24"/>
                <w:highlight w:val="none"/>
              </w:rPr>
            </w:pPr>
            <w:r>
              <w:rPr>
                <w:rFonts w:hint="eastAsia" w:cs="宋体"/>
                <w:color w:val="auto"/>
                <w:szCs w:val="24"/>
                <w:highlight w:val="none"/>
              </w:rPr>
              <w:t>支持本国产品政策</w:t>
            </w:r>
          </w:p>
        </w:tc>
        <w:tc>
          <w:tcPr>
            <w:tcW w:w="6700" w:type="dxa"/>
            <w:vAlign w:val="center"/>
          </w:tcPr>
          <w:p w14:paraId="6DDB71CD">
            <w:pPr>
              <w:widowControl w:val="0"/>
              <w:spacing w:line="360" w:lineRule="auto"/>
              <w:jc w:val="both"/>
              <w:rPr>
                <w:rFonts w:ascii="Calibri" w:hAnsi="Calibri" w:cs="Times New Roman"/>
                <w:color w:val="auto"/>
                <w:szCs w:val="24"/>
                <w:highlight w:val="none"/>
              </w:rPr>
            </w:pPr>
            <w:r>
              <w:rPr>
                <w:rFonts w:hint="eastAsia" w:ascii="Calibri" w:hAnsi="Calibri" w:cs="Times New Roman"/>
                <w:color w:val="auto"/>
                <w:szCs w:val="24"/>
                <w:highlight w:val="none"/>
              </w:rPr>
              <w:t>1</w:t>
            </w:r>
            <w:r>
              <w:rPr>
                <w:rFonts w:ascii="Calibri" w:hAnsi="Calibri" w:cs="Times New Roman"/>
                <w:color w:val="auto"/>
                <w:szCs w:val="24"/>
                <w:highlight w:val="none"/>
              </w:rPr>
              <w:t>.</w:t>
            </w:r>
            <w:r>
              <w:rPr>
                <w:rFonts w:hint="eastAsia" w:ascii="Calibri" w:hAnsi="Calibri" w:cs="Times New Roman"/>
                <w:color w:val="auto"/>
                <w:szCs w:val="24"/>
                <w:highlight w:val="none"/>
              </w:rPr>
              <w:t>支持本国产品：</w:t>
            </w:r>
          </w:p>
          <w:p w14:paraId="5D1D7B94">
            <w:pPr>
              <w:widowControl w:val="0"/>
              <w:spacing w:line="360" w:lineRule="auto"/>
              <w:jc w:val="both"/>
              <w:rPr>
                <w:rFonts w:ascii="Calibri" w:hAnsi="Calibri" w:cs="Times New Roman"/>
                <w:color w:val="auto"/>
                <w:szCs w:val="24"/>
                <w:highlight w:val="none"/>
              </w:rPr>
            </w:pPr>
            <w:r>
              <w:rPr>
                <w:rFonts w:hint="eastAsia" w:cs="宋体"/>
                <w:color w:val="auto"/>
                <w:szCs w:val="24"/>
                <w:highlight w:val="none"/>
              </w:rPr>
              <w:sym w:font="Wingdings" w:char="00FE"/>
            </w:r>
            <w:r>
              <w:rPr>
                <w:rFonts w:hint="eastAsia" w:ascii="Calibri" w:hAnsi="Calibri" w:cs="Times New Roman"/>
                <w:color w:val="auto"/>
                <w:szCs w:val="24"/>
                <w:highlight w:val="none"/>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B21EDC6">
            <w:pPr>
              <w:widowControl w:val="0"/>
              <w:spacing w:line="360" w:lineRule="auto"/>
              <w:jc w:val="both"/>
              <w:rPr>
                <w:rFonts w:ascii="Calibri" w:hAnsi="Calibri" w:cs="Times New Roman"/>
                <w:color w:val="auto"/>
                <w:szCs w:val="24"/>
                <w:highlight w:val="none"/>
              </w:rPr>
            </w:pPr>
            <w:r>
              <w:rPr>
                <w:rFonts w:hint="eastAsia" w:ascii="Calibri" w:hAnsi="Calibri" w:cs="Times New Roman"/>
                <w:color w:val="auto"/>
                <w:szCs w:val="24"/>
                <w:highlight w:val="none"/>
              </w:rPr>
              <w:t>□不适用</w:t>
            </w:r>
          </w:p>
          <w:p w14:paraId="45A4A122">
            <w:pPr>
              <w:widowControl w:val="0"/>
              <w:spacing w:line="360" w:lineRule="auto"/>
              <w:jc w:val="both"/>
              <w:rPr>
                <w:color w:val="auto"/>
                <w:highlight w:val="none"/>
              </w:rPr>
            </w:pPr>
            <w:r>
              <w:rPr>
                <w:rFonts w:hint="eastAsia" w:ascii="Calibri" w:hAnsi="Calibri" w:cs="Times New Roman"/>
                <w:color w:val="auto"/>
                <w:szCs w:val="24"/>
                <w:highlight w:val="none"/>
              </w:rPr>
              <w:t>2</w:t>
            </w:r>
            <w:r>
              <w:rPr>
                <w:rFonts w:ascii="Calibri" w:hAnsi="Calibri" w:cs="Times New Roman"/>
                <w:color w:val="auto"/>
                <w:szCs w:val="24"/>
                <w:highlight w:val="none"/>
              </w:rPr>
              <w:t>.</w:t>
            </w:r>
            <w:r>
              <w:rPr>
                <w:rFonts w:hint="eastAsia"/>
                <w:color w:val="auto"/>
                <w:highlight w:val="none"/>
              </w:rPr>
              <w:t xml:space="preserve"> 政策使用情形：</w:t>
            </w:r>
          </w:p>
          <w:p w14:paraId="648CDE54">
            <w:pPr>
              <w:widowControl w:val="0"/>
              <w:spacing w:line="360" w:lineRule="auto"/>
              <w:jc w:val="both"/>
              <w:rPr>
                <w:color w:val="auto"/>
                <w:szCs w:val="24"/>
                <w:highlight w:val="none"/>
              </w:rPr>
            </w:pPr>
            <w:r>
              <w:rPr>
                <w:rFonts w:hint="eastAsia" w:ascii="Calibri" w:hAnsi="Calibri" w:cs="Times New Roman"/>
                <w:color w:val="auto"/>
                <w:szCs w:val="24"/>
                <w:highlight w:val="none"/>
              </w:rPr>
              <w:t>根据国务院办公厅关于在政府采购中实施本国产品标准及相关政策的通知（国办发〔</w:t>
            </w:r>
            <w:r>
              <w:rPr>
                <w:rFonts w:ascii="Calibri" w:hAnsi="Calibri" w:cs="Times New Roman"/>
                <w:color w:val="auto"/>
                <w:szCs w:val="24"/>
                <w:highlight w:val="none"/>
              </w:rPr>
              <w:t>2025〕34号）要求，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w:t>
            </w:r>
            <w:r>
              <w:rPr>
                <w:rFonts w:hint="eastAsia" w:ascii="Calibri" w:hAnsi="Calibri" w:cs="Times New Roman"/>
                <w:color w:val="auto"/>
                <w:szCs w:val="24"/>
                <w:highlight w:val="none"/>
              </w:rPr>
              <w:t>价格参与评审。供应商对其提供的产品出具《关于符合本国产品标准的声明函》（格式详见第七章</w:t>
            </w:r>
            <w:r>
              <w:rPr>
                <w:rFonts w:ascii="Calibri" w:hAnsi="Calibri" w:cs="Times New Roman"/>
                <w:color w:val="auto"/>
                <w:szCs w:val="24"/>
                <w:highlight w:val="none"/>
              </w:rPr>
              <w:t xml:space="preserve"> 投标文件格式）或财政部会同有关部门规定的有关证明文件，《声明函》或有关证明文件符合要求的，该产品视为本国产品。</w:t>
            </w:r>
          </w:p>
        </w:tc>
      </w:tr>
      <w:tr w14:paraId="6FD466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42" w:hRule="atLeast"/>
        </w:trPr>
        <w:tc>
          <w:tcPr>
            <w:tcW w:w="970" w:type="dxa"/>
            <w:vAlign w:val="center"/>
          </w:tcPr>
          <w:p w14:paraId="7C5F14B0">
            <w:pPr>
              <w:pStyle w:val="52"/>
              <w:jc w:val="center"/>
              <w:rPr>
                <w:rFonts w:cs="宋体"/>
                <w:color w:val="auto"/>
                <w:szCs w:val="24"/>
                <w:highlight w:val="none"/>
              </w:rPr>
            </w:pPr>
            <w:r>
              <w:rPr>
                <w:rFonts w:hint="eastAsia" w:cs="宋体"/>
                <w:color w:val="auto"/>
                <w:szCs w:val="24"/>
                <w:highlight w:val="none"/>
              </w:rPr>
              <w:t>41.2</w:t>
            </w:r>
          </w:p>
        </w:tc>
        <w:tc>
          <w:tcPr>
            <w:tcW w:w="1738" w:type="dxa"/>
            <w:vAlign w:val="center"/>
          </w:tcPr>
          <w:p w14:paraId="5F946EA4">
            <w:pPr>
              <w:pStyle w:val="52"/>
              <w:rPr>
                <w:rFonts w:cs="宋体"/>
                <w:color w:val="auto"/>
                <w:szCs w:val="24"/>
                <w:highlight w:val="none"/>
              </w:rPr>
            </w:pPr>
            <w:r>
              <w:rPr>
                <w:rFonts w:hint="eastAsia" w:cs="宋体"/>
                <w:color w:val="auto"/>
                <w:szCs w:val="24"/>
                <w:highlight w:val="none"/>
                <w:lang w:val="zh-CN"/>
              </w:rPr>
              <w:t>是否接受进口产品</w:t>
            </w:r>
          </w:p>
        </w:tc>
        <w:tc>
          <w:tcPr>
            <w:tcW w:w="6700" w:type="dxa"/>
            <w:vAlign w:val="center"/>
          </w:tcPr>
          <w:p w14:paraId="2C57F2A8">
            <w:pPr>
              <w:pStyle w:val="52"/>
              <w:spacing w:line="360" w:lineRule="auto"/>
              <w:rPr>
                <w:rFonts w:cs="宋体"/>
                <w:color w:val="auto"/>
                <w:szCs w:val="24"/>
                <w:highlight w:val="none"/>
              </w:rPr>
            </w:pPr>
            <w:r>
              <w:rPr>
                <w:rFonts w:hint="eastAsia" w:cs="宋体"/>
                <w:color w:val="auto"/>
                <w:szCs w:val="24"/>
                <w:highlight w:val="none"/>
              </w:rPr>
              <w:sym w:font="Wingdings" w:char="00FE"/>
            </w:r>
            <w:r>
              <w:rPr>
                <w:rFonts w:hint="eastAsia" w:cs="宋体"/>
                <w:color w:val="auto"/>
                <w:szCs w:val="24"/>
                <w:highlight w:val="none"/>
              </w:rPr>
              <w:t>不接受</w:t>
            </w:r>
          </w:p>
          <w:p w14:paraId="2D57EBCB">
            <w:pPr>
              <w:pStyle w:val="52"/>
              <w:spacing w:line="360" w:lineRule="auto"/>
              <w:rPr>
                <w:rFonts w:cs="宋体"/>
                <w:color w:val="auto"/>
                <w:szCs w:val="24"/>
                <w:highlight w:val="none"/>
              </w:rPr>
            </w:pPr>
            <w:r>
              <w:rPr>
                <w:rFonts w:hint="eastAsia" w:cs="宋体"/>
                <w:color w:val="auto"/>
                <w:szCs w:val="24"/>
                <w:highlight w:val="none"/>
              </w:rPr>
              <w:sym w:font="Wingdings" w:char="00A8"/>
            </w:r>
            <w:r>
              <w:rPr>
                <w:rFonts w:hint="eastAsia" w:cs="宋体"/>
                <w:color w:val="auto"/>
                <w:szCs w:val="24"/>
                <w:highlight w:val="none"/>
                <w:lang w:val="zh-CN"/>
              </w:rPr>
              <w:t>接受</w:t>
            </w:r>
          </w:p>
        </w:tc>
      </w:tr>
      <w:tr w14:paraId="5EA0A2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trPr>
        <w:tc>
          <w:tcPr>
            <w:tcW w:w="970" w:type="dxa"/>
            <w:shd w:val="clear" w:color="auto" w:fill="auto"/>
            <w:vAlign w:val="center"/>
          </w:tcPr>
          <w:p w14:paraId="69C1F9DE">
            <w:pPr>
              <w:pStyle w:val="52"/>
              <w:jc w:val="center"/>
              <w:rPr>
                <w:rFonts w:cs="宋体"/>
                <w:color w:val="auto"/>
                <w:szCs w:val="24"/>
                <w:highlight w:val="none"/>
              </w:rPr>
            </w:pPr>
            <w:r>
              <w:rPr>
                <w:rFonts w:hint="eastAsia" w:cs="宋体"/>
                <w:color w:val="auto"/>
                <w:szCs w:val="24"/>
                <w:highlight w:val="none"/>
              </w:rPr>
              <w:t>42</w:t>
            </w:r>
          </w:p>
        </w:tc>
        <w:tc>
          <w:tcPr>
            <w:tcW w:w="1738" w:type="dxa"/>
            <w:shd w:val="clear" w:color="auto" w:fill="auto"/>
            <w:vAlign w:val="center"/>
          </w:tcPr>
          <w:p w14:paraId="17634ECE">
            <w:pPr>
              <w:pStyle w:val="52"/>
              <w:rPr>
                <w:color w:val="auto"/>
                <w:szCs w:val="24"/>
                <w:highlight w:val="none"/>
              </w:rPr>
            </w:pPr>
            <w:r>
              <w:rPr>
                <w:rFonts w:hint="eastAsia"/>
                <w:color w:val="auto"/>
                <w:szCs w:val="24"/>
                <w:highlight w:val="none"/>
              </w:rPr>
              <w:t>支持中小企业政策</w:t>
            </w:r>
            <w:r>
              <w:rPr>
                <w:rStyle w:val="35"/>
                <w:rFonts w:hint="eastAsia" w:cs="宋体"/>
                <w:color w:val="auto"/>
                <w:szCs w:val="24"/>
                <w:highlight w:val="none"/>
              </w:rPr>
              <w:t>（非专门面向中小企业采购项目适用）</w:t>
            </w:r>
          </w:p>
        </w:tc>
        <w:tc>
          <w:tcPr>
            <w:tcW w:w="6700" w:type="dxa"/>
            <w:shd w:val="clear" w:color="auto" w:fill="auto"/>
            <w:vAlign w:val="center"/>
          </w:tcPr>
          <w:p w14:paraId="09409F70">
            <w:pPr>
              <w:pStyle w:val="73"/>
              <w:spacing w:before="0" w:beforeAutospacing="0" w:after="0" w:afterAutospacing="0" w:line="360" w:lineRule="auto"/>
              <w:jc w:val="left"/>
              <w:rPr>
                <w:b w:val="0"/>
                <w:color w:val="auto"/>
                <w:sz w:val="24"/>
                <w:szCs w:val="24"/>
                <w:highlight w:val="none"/>
              </w:rPr>
            </w:pPr>
            <w:r>
              <w:rPr>
                <w:rFonts w:hint="eastAsia"/>
                <w:b w:val="0"/>
                <w:color w:val="auto"/>
                <w:sz w:val="24"/>
                <w:szCs w:val="24"/>
                <w:highlight w:val="none"/>
              </w:rPr>
              <w:t>1.小型和微型企业价格扣除：</w:t>
            </w:r>
            <w:r>
              <w:rPr>
                <w:rFonts w:hint="eastAsia"/>
                <w:b w:val="0"/>
                <w:color w:val="auto"/>
                <w:sz w:val="24"/>
                <w:szCs w:val="24"/>
                <w:highlight w:val="none"/>
                <w:u w:val="single"/>
              </w:rPr>
              <w:t xml:space="preserve">  </w:t>
            </w:r>
            <w:r>
              <w:rPr>
                <w:rFonts w:hint="eastAsia"/>
                <w:b w:val="0"/>
                <w:color w:val="auto"/>
                <w:sz w:val="24"/>
                <w:szCs w:val="24"/>
                <w:highlight w:val="none"/>
                <w:u w:val="single"/>
                <w:lang w:val="en-US" w:eastAsia="zh-CN"/>
              </w:rPr>
              <w:t>10%</w:t>
            </w:r>
            <w:r>
              <w:rPr>
                <w:rFonts w:hint="eastAsia"/>
                <w:b w:val="0"/>
                <w:color w:val="auto"/>
                <w:sz w:val="24"/>
                <w:szCs w:val="24"/>
                <w:highlight w:val="none"/>
                <w:u w:val="single"/>
              </w:rPr>
              <w:t xml:space="preserve">   </w:t>
            </w:r>
            <w:r>
              <w:rPr>
                <w:rFonts w:hint="eastAsia"/>
                <w:b w:val="0"/>
                <w:color w:val="auto"/>
                <w:sz w:val="24"/>
                <w:szCs w:val="24"/>
                <w:highlight w:val="none"/>
              </w:rPr>
              <w:t>。</w:t>
            </w:r>
          </w:p>
          <w:p w14:paraId="561D38EB">
            <w:pPr>
              <w:pStyle w:val="73"/>
              <w:spacing w:before="0" w:beforeAutospacing="0" w:after="0" w:afterAutospacing="0" w:line="360" w:lineRule="auto"/>
              <w:jc w:val="left"/>
              <w:rPr>
                <w:b w:val="0"/>
                <w:color w:val="auto"/>
                <w:sz w:val="24"/>
                <w:szCs w:val="24"/>
                <w:highlight w:val="none"/>
              </w:rPr>
            </w:pPr>
            <w:r>
              <w:rPr>
                <w:rFonts w:hint="eastAsia"/>
                <w:b w:val="0"/>
                <w:color w:val="auto"/>
                <w:sz w:val="24"/>
                <w:szCs w:val="24"/>
                <w:highlight w:val="none"/>
              </w:rPr>
              <w:t>2.监狱企业价格扣除：同小型和微型企业。</w:t>
            </w:r>
          </w:p>
          <w:p w14:paraId="1BF41D27">
            <w:pPr>
              <w:pStyle w:val="73"/>
              <w:spacing w:before="0" w:beforeAutospacing="0" w:after="0" w:afterAutospacing="0" w:line="360" w:lineRule="auto"/>
              <w:jc w:val="left"/>
              <w:rPr>
                <w:b w:val="0"/>
                <w:color w:val="auto"/>
                <w:sz w:val="24"/>
                <w:szCs w:val="24"/>
                <w:highlight w:val="none"/>
              </w:rPr>
            </w:pPr>
            <w:r>
              <w:rPr>
                <w:rFonts w:hint="eastAsia"/>
                <w:b w:val="0"/>
                <w:color w:val="auto"/>
                <w:sz w:val="24"/>
                <w:szCs w:val="24"/>
                <w:highlight w:val="none"/>
              </w:rPr>
              <w:t>3.残疾人福利性单位价格扣除：同小型和微型企业。</w:t>
            </w:r>
          </w:p>
          <w:p w14:paraId="0E8C0ECA">
            <w:pPr>
              <w:pStyle w:val="73"/>
              <w:spacing w:before="0" w:beforeAutospacing="0" w:after="0" w:afterAutospacing="0" w:line="360" w:lineRule="auto"/>
              <w:jc w:val="left"/>
              <w:rPr>
                <w:b w:val="0"/>
                <w:color w:val="auto"/>
                <w:sz w:val="24"/>
                <w:szCs w:val="24"/>
                <w:highlight w:val="none"/>
              </w:rPr>
            </w:pPr>
            <w:r>
              <w:rPr>
                <w:rFonts w:hint="eastAsia"/>
                <w:b w:val="0"/>
                <w:color w:val="auto"/>
                <w:sz w:val="24"/>
                <w:szCs w:val="24"/>
                <w:highlight w:val="none"/>
              </w:rPr>
              <w:t>4.符合条件的联合体价格扣除：</w:t>
            </w:r>
            <w:r>
              <w:rPr>
                <w:rFonts w:hint="eastAsia"/>
                <w:b w:val="0"/>
                <w:color w:val="auto"/>
                <w:sz w:val="24"/>
                <w:szCs w:val="24"/>
                <w:highlight w:val="none"/>
                <w:u w:val="single"/>
              </w:rPr>
              <w:t xml:space="preserve">  /  </w:t>
            </w:r>
            <w:r>
              <w:rPr>
                <w:rFonts w:hint="eastAsia"/>
                <w:b w:val="0"/>
                <w:color w:val="auto"/>
                <w:sz w:val="24"/>
                <w:szCs w:val="24"/>
                <w:highlight w:val="none"/>
              </w:rPr>
              <w:t xml:space="preserve"> 。</w:t>
            </w:r>
          </w:p>
          <w:p w14:paraId="4F90C8AD">
            <w:pPr>
              <w:pStyle w:val="73"/>
              <w:spacing w:before="0" w:beforeAutospacing="0" w:after="0" w:afterAutospacing="0" w:line="360" w:lineRule="auto"/>
              <w:jc w:val="left"/>
              <w:rPr>
                <w:b w:val="0"/>
                <w:color w:val="auto"/>
                <w:sz w:val="24"/>
                <w:szCs w:val="24"/>
                <w:highlight w:val="none"/>
              </w:rPr>
            </w:pPr>
            <w:r>
              <w:rPr>
                <w:rFonts w:hint="eastAsia"/>
                <w:b w:val="0"/>
                <w:color w:val="auto"/>
                <w:sz w:val="24"/>
                <w:szCs w:val="24"/>
                <w:highlight w:val="none"/>
              </w:rPr>
              <w:t>5.符合条件的向小微企业分包的大中型企业价格扣除：</w:t>
            </w:r>
            <w:r>
              <w:rPr>
                <w:rFonts w:hint="eastAsia"/>
                <w:b w:val="0"/>
                <w:color w:val="auto"/>
                <w:sz w:val="24"/>
                <w:szCs w:val="24"/>
                <w:highlight w:val="none"/>
                <w:u w:val="single"/>
              </w:rPr>
              <w:t>/</w:t>
            </w:r>
            <w:r>
              <w:rPr>
                <w:rFonts w:hint="eastAsia"/>
                <w:b w:val="0"/>
                <w:color w:val="auto"/>
                <w:sz w:val="24"/>
                <w:szCs w:val="24"/>
                <w:highlight w:val="none"/>
              </w:rPr>
              <w:t>。（允许大中型企业向小微企业分包的项目适用）</w:t>
            </w:r>
          </w:p>
        </w:tc>
      </w:tr>
      <w:tr w14:paraId="381BB6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trPr>
        <w:tc>
          <w:tcPr>
            <w:tcW w:w="970" w:type="dxa"/>
            <w:shd w:val="clear" w:color="auto" w:fill="auto"/>
            <w:vAlign w:val="center"/>
          </w:tcPr>
          <w:p w14:paraId="11D3FF9E">
            <w:pPr>
              <w:pStyle w:val="52"/>
              <w:jc w:val="center"/>
              <w:rPr>
                <w:rFonts w:cs="宋体"/>
                <w:color w:val="auto"/>
                <w:szCs w:val="24"/>
                <w:highlight w:val="none"/>
              </w:rPr>
            </w:pPr>
            <w:r>
              <w:rPr>
                <w:rFonts w:hint="eastAsia" w:cs="宋体"/>
                <w:color w:val="auto"/>
                <w:szCs w:val="24"/>
                <w:highlight w:val="none"/>
              </w:rPr>
              <w:t>42.5</w:t>
            </w:r>
          </w:p>
        </w:tc>
        <w:tc>
          <w:tcPr>
            <w:tcW w:w="1738" w:type="dxa"/>
            <w:shd w:val="clear" w:color="auto" w:fill="auto"/>
            <w:vAlign w:val="center"/>
          </w:tcPr>
          <w:p w14:paraId="777C4BFD">
            <w:pPr>
              <w:pStyle w:val="52"/>
              <w:rPr>
                <w:color w:val="auto"/>
                <w:szCs w:val="24"/>
                <w:highlight w:val="none"/>
              </w:rPr>
            </w:pPr>
            <w:r>
              <w:rPr>
                <w:rFonts w:hint="eastAsia"/>
                <w:color w:val="auto"/>
                <w:szCs w:val="24"/>
                <w:highlight w:val="none"/>
              </w:rPr>
              <w:t>标的所属行业</w:t>
            </w:r>
          </w:p>
          <w:p w14:paraId="7EC16BD3">
            <w:pPr>
              <w:pStyle w:val="52"/>
              <w:rPr>
                <w:color w:val="auto"/>
                <w:szCs w:val="24"/>
                <w:highlight w:val="none"/>
              </w:rPr>
            </w:pPr>
            <w:r>
              <w:rPr>
                <w:rStyle w:val="35"/>
                <w:rFonts w:hint="eastAsia" w:cs="宋体"/>
                <w:color w:val="auto"/>
                <w:szCs w:val="24"/>
                <w:highlight w:val="none"/>
              </w:rPr>
              <w:t>参照后附《工信部联企业〔2011〕300号》</w:t>
            </w:r>
          </w:p>
        </w:tc>
        <w:tc>
          <w:tcPr>
            <w:tcW w:w="6700" w:type="dxa"/>
            <w:shd w:val="clear" w:color="auto" w:fill="auto"/>
            <w:vAlign w:val="center"/>
          </w:tcPr>
          <w:p w14:paraId="46088759">
            <w:pPr>
              <w:spacing w:line="360" w:lineRule="auto"/>
              <w:rPr>
                <w:color w:val="auto"/>
                <w:szCs w:val="24"/>
                <w:highlight w:val="none"/>
              </w:rPr>
            </w:pPr>
            <w:r>
              <w:rPr>
                <w:rFonts w:hint="eastAsia"/>
                <w:color w:val="auto"/>
                <w:szCs w:val="24"/>
                <w:highlight w:val="none"/>
                <w:lang w:bidi="ar"/>
              </w:rPr>
              <w:t xml:space="preserve">本项目采购标的对应的中小企业划分标准所属行业： </w:t>
            </w:r>
          </w:p>
          <w:tbl>
            <w:tblPr>
              <w:tblStyle w:val="33"/>
              <w:tblW w:w="6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824"/>
              <w:gridCol w:w="3245"/>
            </w:tblGrid>
            <w:tr w14:paraId="13C6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6C9427F2">
                  <w:pPr>
                    <w:spacing w:line="360" w:lineRule="auto"/>
                    <w:rPr>
                      <w:color w:val="auto"/>
                      <w:szCs w:val="24"/>
                      <w:highlight w:val="none"/>
                      <w:lang w:bidi="ar"/>
                    </w:rPr>
                  </w:pPr>
                  <w:r>
                    <w:rPr>
                      <w:rFonts w:hint="eastAsia"/>
                      <w:color w:val="auto"/>
                      <w:szCs w:val="24"/>
                      <w:highlight w:val="none"/>
                      <w:lang w:bidi="ar"/>
                    </w:rPr>
                    <w:t>包号</w:t>
                  </w:r>
                </w:p>
              </w:tc>
              <w:tc>
                <w:tcPr>
                  <w:tcW w:w="1824" w:type="dxa"/>
                  <w:vAlign w:val="center"/>
                </w:tcPr>
                <w:p w14:paraId="16F1AD06">
                  <w:pPr>
                    <w:spacing w:line="360" w:lineRule="auto"/>
                    <w:rPr>
                      <w:color w:val="auto"/>
                      <w:szCs w:val="24"/>
                      <w:highlight w:val="none"/>
                      <w:lang w:bidi="ar"/>
                    </w:rPr>
                  </w:pPr>
                  <w:r>
                    <w:rPr>
                      <w:rFonts w:hint="eastAsia"/>
                      <w:color w:val="auto"/>
                      <w:szCs w:val="24"/>
                      <w:highlight w:val="none"/>
                      <w:lang w:bidi="ar"/>
                    </w:rPr>
                    <w:t>标的名称</w:t>
                  </w:r>
                </w:p>
              </w:tc>
              <w:tc>
                <w:tcPr>
                  <w:tcW w:w="3245" w:type="dxa"/>
                  <w:vAlign w:val="center"/>
                </w:tcPr>
                <w:p w14:paraId="00EDA547">
                  <w:pPr>
                    <w:spacing w:line="360" w:lineRule="auto"/>
                    <w:rPr>
                      <w:color w:val="auto"/>
                      <w:szCs w:val="24"/>
                      <w:highlight w:val="none"/>
                      <w:lang w:bidi="ar"/>
                    </w:rPr>
                  </w:pPr>
                  <w:r>
                    <w:rPr>
                      <w:rFonts w:hint="eastAsia"/>
                      <w:color w:val="auto"/>
                      <w:szCs w:val="24"/>
                      <w:highlight w:val="none"/>
                      <w:lang w:bidi="ar"/>
                    </w:rPr>
                    <w:t>中小企业划分标准所属行业</w:t>
                  </w:r>
                </w:p>
              </w:tc>
            </w:tr>
            <w:tr w14:paraId="4D178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76786C21">
                  <w:pPr>
                    <w:spacing w:line="360" w:lineRule="auto"/>
                    <w:rPr>
                      <w:color w:val="auto"/>
                      <w:szCs w:val="24"/>
                      <w:highlight w:val="none"/>
                      <w:lang w:bidi="ar"/>
                    </w:rPr>
                  </w:pPr>
                  <w:r>
                    <w:rPr>
                      <w:rFonts w:hint="eastAsia"/>
                      <w:color w:val="auto"/>
                      <w:szCs w:val="24"/>
                      <w:highlight w:val="none"/>
                      <w:lang w:bidi="ar"/>
                    </w:rPr>
                    <w:t>/</w:t>
                  </w:r>
                </w:p>
              </w:tc>
              <w:tc>
                <w:tcPr>
                  <w:tcW w:w="1824" w:type="dxa"/>
                  <w:vAlign w:val="center"/>
                </w:tcPr>
                <w:p w14:paraId="4DE13AC9">
                  <w:pPr>
                    <w:spacing w:line="360" w:lineRule="auto"/>
                    <w:rPr>
                      <w:color w:val="auto"/>
                      <w:szCs w:val="24"/>
                      <w:highlight w:val="none"/>
                      <w:lang w:bidi="ar"/>
                    </w:rPr>
                  </w:pPr>
                  <w:r>
                    <w:rPr>
                      <w:rFonts w:hint="eastAsia"/>
                      <w:color w:val="auto"/>
                      <w:szCs w:val="24"/>
                      <w:highlight w:val="none"/>
                      <w:lang w:bidi="ar"/>
                    </w:rPr>
                    <w:t>支气管镜导航系统</w:t>
                  </w:r>
                </w:p>
              </w:tc>
              <w:tc>
                <w:tcPr>
                  <w:tcW w:w="3245" w:type="dxa"/>
                  <w:vAlign w:val="center"/>
                </w:tcPr>
                <w:p w14:paraId="7AD21999">
                  <w:pPr>
                    <w:spacing w:line="360" w:lineRule="auto"/>
                    <w:jc w:val="center"/>
                    <w:rPr>
                      <w:color w:val="auto"/>
                      <w:szCs w:val="24"/>
                      <w:highlight w:val="none"/>
                      <w:lang w:bidi="ar"/>
                    </w:rPr>
                  </w:pPr>
                  <w:r>
                    <w:rPr>
                      <w:rFonts w:hint="eastAsia"/>
                      <w:color w:val="auto"/>
                      <w:szCs w:val="24"/>
                      <w:highlight w:val="none"/>
                      <w:lang w:bidi="ar"/>
                    </w:rPr>
                    <w:t>工业</w:t>
                  </w:r>
                </w:p>
              </w:tc>
            </w:tr>
          </w:tbl>
          <w:p w14:paraId="055CD7FD">
            <w:pPr>
              <w:autoSpaceDE w:val="0"/>
              <w:autoSpaceDN w:val="0"/>
              <w:adjustRightInd w:val="0"/>
              <w:spacing w:line="360" w:lineRule="auto"/>
              <w:textAlignment w:val="baseline"/>
              <w:rPr>
                <w:rFonts w:cs="Times New Roman"/>
                <w:color w:val="auto"/>
                <w:kern w:val="0"/>
                <w:szCs w:val="24"/>
                <w:highlight w:val="none"/>
              </w:rPr>
            </w:pPr>
            <w:r>
              <w:rPr>
                <w:rFonts w:cs="Times New Roman"/>
                <w:color w:val="auto"/>
                <w:kern w:val="0"/>
                <w:szCs w:val="24"/>
                <w:highlight w:val="none"/>
              </w:rPr>
              <w:t>本项目采购标的属于</w:t>
            </w:r>
            <w:r>
              <w:rPr>
                <w:rFonts w:hint="eastAsia" w:cs="Times New Roman"/>
                <w:color w:val="auto"/>
                <w:kern w:val="0"/>
                <w:szCs w:val="24"/>
                <w:highlight w:val="none"/>
              </w:rPr>
              <w:t>工业</w:t>
            </w:r>
            <w:r>
              <w:rPr>
                <w:rFonts w:cs="Times New Roman"/>
                <w:color w:val="auto"/>
                <w:kern w:val="0"/>
                <w:sz w:val="32"/>
                <w:szCs w:val="24"/>
                <w:highlight w:val="none"/>
              </w:rPr>
              <w:t>。</w:t>
            </w:r>
            <w:r>
              <w:rPr>
                <w:rFonts w:hint="eastAsia" w:cs="Times New Roman"/>
                <w:color w:val="auto"/>
                <w:kern w:val="0"/>
                <w:szCs w:val="24"/>
                <w:highlight w:val="none"/>
              </w:rPr>
              <w:t>企业规模类型根据《中小企业划型标准规定》（工信部联企业[2011]300号）确定：</w:t>
            </w:r>
          </w:p>
          <w:p w14:paraId="56C18FFA">
            <w:pPr>
              <w:autoSpaceDE w:val="0"/>
              <w:autoSpaceDN w:val="0"/>
              <w:adjustRightInd w:val="0"/>
              <w:spacing w:line="360" w:lineRule="auto"/>
              <w:textAlignment w:val="baseline"/>
              <w:rPr>
                <w:rFonts w:cs="Times New Roman"/>
                <w:color w:val="auto"/>
                <w:kern w:val="0"/>
                <w:szCs w:val="24"/>
                <w:highlight w:val="none"/>
              </w:rPr>
            </w:pPr>
            <w:r>
              <w:rPr>
                <w:color w:val="auto"/>
                <w:highlight w:val="none"/>
              </w:rPr>
              <w:t>（二）工业。从业人员 1000 人以下或营业收入 40000 万元以下的为中小微型企业。其中，从业人员 300 人及以上，且营业收入 2000 万元及以上的为中型企业；从业人员 20 人及以上，且营业收入 300 万元及以上的为小型企业；从业人员 20 人以下或营业收入 300 万元以下的为微型企业。</w:t>
            </w:r>
          </w:p>
          <w:p w14:paraId="54BC1CFB">
            <w:pPr>
              <w:spacing w:line="360" w:lineRule="auto"/>
              <w:rPr>
                <w:rFonts w:cs="Times New Roman"/>
                <w:color w:val="auto"/>
                <w:szCs w:val="24"/>
                <w:highlight w:val="none"/>
              </w:rPr>
            </w:pPr>
            <w:r>
              <w:rPr>
                <w:rFonts w:hint="eastAsia" w:cs="Times New Roman"/>
                <w:color w:val="auto"/>
                <w:szCs w:val="24"/>
                <w:highlight w:val="none"/>
              </w:rPr>
              <w:t>温馨提示：</w:t>
            </w:r>
          </w:p>
          <w:p w14:paraId="24D5553F">
            <w:pPr>
              <w:spacing w:line="360" w:lineRule="auto"/>
              <w:rPr>
                <w:color w:val="auto"/>
                <w:highlight w:val="none"/>
              </w:rPr>
            </w:pPr>
            <w:r>
              <w:rPr>
                <w:rFonts w:hint="eastAsia" w:cs="Times New Roman"/>
                <w:bCs/>
                <w:color w:val="auto"/>
                <w:szCs w:val="24"/>
                <w:highlight w:val="none"/>
              </w:rPr>
              <w:t>1、为方便广大中小企业识别企业规模类型，</w:t>
            </w:r>
            <w:r>
              <w:rPr>
                <w:rFonts w:hint="eastAsia" w:cs="Times New Roman"/>
                <w:bCs/>
                <w:color w:val="auto"/>
                <w:szCs w:val="24"/>
                <w:highlight w:val="none"/>
                <w:u w:val="single"/>
              </w:rPr>
              <w:t>工业和信息化部组织开发了中小企业规模类型自测小程序，在国务院客户端和工业和信息化部网站上均有链接，</w:t>
            </w:r>
            <w:r>
              <w:rPr>
                <w:rFonts w:hint="eastAsia" w:cs="Times New Roman"/>
                <w:bCs/>
                <w:color w:val="auto"/>
                <w:szCs w:val="24"/>
                <w:highlight w:val="none"/>
              </w:rPr>
              <w:t>供应商填写所属的行业和指标数据可自动生成企业规模类型测试结果</w:t>
            </w:r>
            <w:r>
              <w:rPr>
                <w:rFonts w:hint="eastAsia" w:cs="Times New Roman"/>
                <w:b/>
                <w:bCs/>
                <w:color w:val="auto"/>
                <w:szCs w:val="24"/>
                <w:highlight w:val="none"/>
              </w:rPr>
              <w:t>。</w:t>
            </w:r>
          </w:p>
        </w:tc>
      </w:tr>
      <w:tr w14:paraId="69D6A9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25" w:hRule="atLeast"/>
        </w:trPr>
        <w:tc>
          <w:tcPr>
            <w:tcW w:w="970" w:type="dxa"/>
            <w:shd w:val="clear" w:color="auto" w:fill="auto"/>
            <w:vAlign w:val="center"/>
          </w:tcPr>
          <w:p w14:paraId="6E1C1A4F">
            <w:pPr>
              <w:pStyle w:val="52"/>
              <w:jc w:val="center"/>
              <w:rPr>
                <w:rFonts w:cs="宋体"/>
                <w:color w:val="auto"/>
                <w:szCs w:val="24"/>
                <w:highlight w:val="none"/>
              </w:rPr>
            </w:pPr>
            <w:r>
              <w:rPr>
                <w:rFonts w:hint="eastAsia" w:cs="宋体"/>
                <w:color w:val="auto"/>
                <w:szCs w:val="24"/>
                <w:highlight w:val="none"/>
              </w:rPr>
              <w:t>43.5</w:t>
            </w:r>
          </w:p>
        </w:tc>
        <w:tc>
          <w:tcPr>
            <w:tcW w:w="1738" w:type="dxa"/>
            <w:shd w:val="clear" w:color="auto" w:fill="auto"/>
            <w:vAlign w:val="center"/>
          </w:tcPr>
          <w:p w14:paraId="3A5545E6">
            <w:pPr>
              <w:pStyle w:val="52"/>
              <w:rPr>
                <w:rFonts w:cs="宋体"/>
                <w:color w:val="auto"/>
                <w:szCs w:val="24"/>
                <w:highlight w:val="none"/>
              </w:rPr>
            </w:pPr>
            <w:r>
              <w:rPr>
                <w:rFonts w:hint="eastAsia" w:cs="宋体"/>
                <w:color w:val="auto"/>
                <w:szCs w:val="24"/>
                <w:highlight w:val="none"/>
              </w:rPr>
              <w:t>优先采购创新节能环保产品</w:t>
            </w:r>
          </w:p>
        </w:tc>
        <w:tc>
          <w:tcPr>
            <w:tcW w:w="6700" w:type="dxa"/>
            <w:shd w:val="clear" w:color="auto" w:fill="auto"/>
            <w:vAlign w:val="center"/>
          </w:tcPr>
          <w:p w14:paraId="101FC5C1">
            <w:pPr>
              <w:pStyle w:val="52"/>
              <w:spacing w:line="360" w:lineRule="auto"/>
              <w:rPr>
                <w:rFonts w:cs="宋体"/>
                <w:color w:val="auto"/>
                <w:szCs w:val="24"/>
                <w:highlight w:val="none"/>
              </w:rPr>
            </w:pPr>
            <w:r>
              <w:rPr>
                <w:rFonts w:hint="eastAsia" w:cs="宋体"/>
                <w:color w:val="auto"/>
                <w:szCs w:val="24"/>
                <w:highlight w:val="none"/>
              </w:rPr>
              <w:t>所投产品纳入创新产品应用示范推荐目录内企业、所投产品获得节能产品或环境标志产品认证证书的供应商给予</w:t>
            </w:r>
            <w:r>
              <w:rPr>
                <w:rFonts w:hint="eastAsia" w:cs="宋体"/>
                <w:color w:val="auto"/>
                <w:szCs w:val="24"/>
                <w:highlight w:val="none"/>
                <w:u w:val="single"/>
              </w:rPr>
              <w:t xml:space="preserve">  /  </w:t>
            </w:r>
            <w:r>
              <w:rPr>
                <w:rFonts w:hint="eastAsia" w:cs="宋体"/>
                <w:color w:val="auto"/>
                <w:szCs w:val="24"/>
                <w:highlight w:val="none"/>
              </w:rPr>
              <w:t>评审优惠。</w:t>
            </w:r>
          </w:p>
        </w:tc>
      </w:tr>
      <w:tr w14:paraId="4EA587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379" w:hRule="atLeast"/>
        </w:trPr>
        <w:tc>
          <w:tcPr>
            <w:tcW w:w="970" w:type="dxa"/>
            <w:tcBorders>
              <w:right w:val="single" w:color="auto" w:sz="4" w:space="0"/>
            </w:tcBorders>
            <w:vAlign w:val="center"/>
          </w:tcPr>
          <w:p w14:paraId="5226D8C3">
            <w:pPr>
              <w:pStyle w:val="52"/>
              <w:jc w:val="center"/>
              <w:rPr>
                <w:rFonts w:cs="宋体"/>
                <w:color w:val="auto"/>
                <w:szCs w:val="24"/>
                <w:highlight w:val="none"/>
              </w:rPr>
            </w:pPr>
            <w:r>
              <w:rPr>
                <w:rFonts w:hint="eastAsia" w:cs="宋体"/>
                <w:color w:val="auto"/>
                <w:szCs w:val="24"/>
                <w:highlight w:val="none"/>
              </w:rPr>
              <w:t>47.1</w:t>
            </w:r>
          </w:p>
        </w:tc>
        <w:tc>
          <w:tcPr>
            <w:tcW w:w="1738" w:type="dxa"/>
            <w:tcBorders>
              <w:left w:val="single" w:color="auto" w:sz="4" w:space="0"/>
              <w:right w:val="single" w:color="auto" w:sz="4" w:space="0"/>
            </w:tcBorders>
            <w:vAlign w:val="center"/>
          </w:tcPr>
          <w:p w14:paraId="73FC670C">
            <w:pPr>
              <w:pStyle w:val="52"/>
              <w:rPr>
                <w:rFonts w:cs="宋体"/>
                <w:color w:val="auto"/>
                <w:szCs w:val="24"/>
                <w:highlight w:val="none"/>
              </w:rPr>
            </w:pPr>
            <w:r>
              <w:rPr>
                <w:rFonts w:hint="eastAsia" w:cs="宋体"/>
                <w:color w:val="auto"/>
                <w:szCs w:val="24"/>
                <w:highlight w:val="none"/>
              </w:rPr>
              <w:t>政府采购</w:t>
            </w:r>
          </w:p>
          <w:p w14:paraId="0B1AD946">
            <w:pPr>
              <w:pStyle w:val="52"/>
              <w:rPr>
                <w:rFonts w:cs="宋体"/>
                <w:color w:val="auto"/>
                <w:szCs w:val="24"/>
                <w:highlight w:val="none"/>
              </w:rPr>
            </w:pPr>
            <w:r>
              <w:rPr>
                <w:rFonts w:hint="eastAsia" w:cs="宋体"/>
                <w:color w:val="auto"/>
                <w:szCs w:val="24"/>
                <w:highlight w:val="none"/>
              </w:rPr>
              <w:t>合同融资政策</w:t>
            </w:r>
          </w:p>
        </w:tc>
        <w:tc>
          <w:tcPr>
            <w:tcW w:w="6700" w:type="dxa"/>
            <w:tcBorders>
              <w:left w:val="single" w:color="auto" w:sz="4" w:space="0"/>
            </w:tcBorders>
            <w:vAlign w:val="center"/>
          </w:tcPr>
          <w:p w14:paraId="1066B343">
            <w:pPr>
              <w:pStyle w:val="52"/>
              <w:spacing w:line="360" w:lineRule="auto"/>
              <w:rPr>
                <w:rFonts w:cs="宋体"/>
                <w:color w:val="auto"/>
                <w:szCs w:val="24"/>
                <w:highlight w:val="none"/>
              </w:rPr>
            </w:pPr>
            <w:r>
              <w:rPr>
                <w:rFonts w:hint="eastAsia" w:cs="宋体"/>
                <w:color w:val="auto"/>
                <w:szCs w:val="24"/>
                <w:highlight w:val="none"/>
              </w:rPr>
              <w:t xml:space="preserve">  1.有融资需求的成交人在获得政府采购成交通知书后，即可向开展“政采贷”业务的金融机构提出申请，金融机构依据政府采购成交通知书和政府采购合同，为中小微企业提供融资服务。</w:t>
            </w:r>
          </w:p>
          <w:p w14:paraId="6DE1787D">
            <w:pPr>
              <w:pStyle w:val="52"/>
              <w:spacing w:line="360" w:lineRule="auto"/>
              <w:rPr>
                <w:rFonts w:cs="宋体"/>
                <w:color w:val="auto"/>
                <w:szCs w:val="24"/>
                <w:highlight w:val="none"/>
              </w:rPr>
            </w:pPr>
            <w:r>
              <w:rPr>
                <w:rFonts w:hint="eastAsia" w:cs="宋体"/>
                <w:color w:val="auto"/>
                <w:szCs w:val="24"/>
                <w:highlight w:val="none"/>
              </w:rPr>
              <w:t>渠道和方式：详见新疆政府采购网。</w:t>
            </w:r>
          </w:p>
          <w:p w14:paraId="4AD9D965">
            <w:pPr>
              <w:pStyle w:val="52"/>
              <w:spacing w:line="360" w:lineRule="auto"/>
              <w:ind w:firstLine="240" w:firstLineChars="100"/>
              <w:rPr>
                <w:rFonts w:cs="宋体"/>
                <w:color w:val="auto"/>
                <w:szCs w:val="24"/>
                <w:highlight w:val="none"/>
              </w:rPr>
            </w:pPr>
            <w:r>
              <w:rPr>
                <w:rFonts w:hint="eastAsia" w:cs="宋体"/>
                <w:color w:val="auto"/>
                <w:szCs w:val="24"/>
                <w:highlight w:val="none"/>
              </w:rPr>
              <w:t>2.为支持和促进中小企业发展，进一步发挥政府采购政策功能，本采购项目适用于政府采购融资优惠、政采贷、电子保函相关政策，鼓励投标人使用电子保函代替现金缴纳各类保证金，在线完成保函的申请、审核、开票、出函等环节，投标企业注意区分办理保函类型，并确认投标有效期，投标人若想了解或使用相关金融服务，可登录【政府采购网】-顶部通栏【信用融资】、【办事指南】模块查看。</w:t>
            </w:r>
          </w:p>
        </w:tc>
      </w:tr>
      <w:tr w14:paraId="1D2E35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vMerge w:val="restart"/>
            <w:tcBorders>
              <w:right w:val="single" w:color="auto" w:sz="4" w:space="0"/>
            </w:tcBorders>
            <w:vAlign w:val="center"/>
          </w:tcPr>
          <w:p w14:paraId="7919FDDD">
            <w:pPr>
              <w:pStyle w:val="52"/>
              <w:jc w:val="center"/>
              <w:rPr>
                <w:rFonts w:cs="宋体"/>
                <w:color w:val="auto"/>
                <w:szCs w:val="24"/>
                <w:highlight w:val="none"/>
              </w:rPr>
            </w:pPr>
            <w:r>
              <w:rPr>
                <w:rFonts w:hint="eastAsia" w:cs="宋体"/>
                <w:color w:val="auto"/>
                <w:szCs w:val="24"/>
                <w:highlight w:val="none"/>
              </w:rPr>
              <w:t>48.1</w:t>
            </w:r>
          </w:p>
        </w:tc>
        <w:tc>
          <w:tcPr>
            <w:tcW w:w="1738" w:type="dxa"/>
            <w:vMerge w:val="restart"/>
            <w:tcBorders>
              <w:right w:val="single" w:color="auto" w:sz="4" w:space="0"/>
            </w:tcBorders>
            <w:vAlign w:val="center"/>
          </w:tcPr>
          <w:p w14:paraId="496AB0CB">
            <w:pPr>
              <w:pStyle w:val="52"/>
              <w:rPr>
                <w:rFonts w:cs="宋体"/>
                <w:color w:val="auto"/>
                <w:szCs w:val="24"/>
                <w:highlight w:val="none"/>
              </w:rPr>
            </w:pPr>
            <w:r>
              <w:rPr>
                <w:rFonts w:hint="eastAsia" w:cs="宋体"/>
                <w:color w:val="auto"/>
                <w:szCs w:val="24"/>
                <w:highlight w:val="none"/>
              </w:rPr>
              <w:t>需要补充的其他内容</w:t>
            </w:r>
          </w:p>
        </w:tc>
        <w:tc>
          <w:tcPr>
            <w:tcW w:w="6700" w:type="dxa"/>
            <w:tcBorders>
              <w:left w:val="single" w:color="auto" w:sz="4" w:space="0"/>
            </w:tcBorders>
            <w:vAlign w:val="center"/>
          </w:tcPr>
          <w:p w14:paraId="289CE0C3">
            <w:pPr>
              <w:pStyle w:val="52"/>
              <w:spacing w:line="360" w:lineRule="auto"/>
              <w:rPr>
                <w:color w:val="auto"/>
                <w:szCs w:val="24"/>
                <w:highlight w:val="none"/>
              </w:rPr>
            </w:pPr>
            <w:r>
              <w:rPr>
                <w:rFonts w:hint="eastAsia" w:cs="宋体"/>
                <w:color w:val="auto"/>
                <w:szCs w:val="24"/>
                <w:highlight w:val="none"/>
              </w:rPr>
              <w:t>1.在开标截止时间后，采购人/采购代理机构将通过信用中国、中国政府采购网查询各供应商的信誉情况，对严重失信主体、列入失信被执行人、重大税收违法失信主体、政府采购严重违法失信行为记录名单及其他不符合《中华人民共和国政府采购法》第二十二条规定条件的供应商，其投标文件将被拒绝。</w:t>
            </w:r>
          </w:p>
        </w:tc>
      </w:tr>
      <w:tr w14:paraId="61E0E5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vMerge w:val="continue"/>
            <w:tcBorders>
              <w:right w:val="single" w:color="auto" w:sz="4" w:space="0"/>
            </w:tcBorders>
            <w:vAlign w:val="center"/>
          </w:tcPr>
          <w:p w14:paraId="5860F790">
            <w:pPr>
              <w:pStyle w:val="52"/>
              <w:jc w:val="center"/>
              <w:rPr>
                <w:rFonts w:cs="宋体"/>
                <w:color w:val="auto"/>
                <w:szCs w:val="24"/>
                <w:highlight w:val="none"/>
              </w:rPr>
            </w:pPr>
          </w:p>
        </w:tc>
        <w:tc>
          <w:tcPr>
            <w:tcW w:w="1738" w:type="dxa"/>
            <w:vMerge w:val="continue"/>
            <w:tcBorders>
              <w:right w:val="single" w:color="auto" w:sz="4" w:space="0"/>
            </w:tcBorders>
            <w:vAlign w:val="center"/>
          </w:tcPr>
          <w:p w14:paraId="052D808B">
            <w:pPr>
              <w:pStyle w:val="52"/>
              <w:rPr>
                <w:rFonts w:cs="宋体"/>
                <w:color w:val="auto"/>
                <w:szCs w:val="24"/>
                <w:highlight w:val="none"/>
              </w:rPr>
            </w:pPr>
          </w:p>
        </w:tc>
        <w:tc>
          <w:tcPr>
            <w:tcW w:w="6700" w:type="dxa"/>
            <w:tcBorders>
              <w:left w:val="single" w:color="auto" w:sz="4" w:space="0"/>
            </w:tcBorders>
            <w:vAlign w:val="center"/>
          </w:tcPr>
          <w:p w14:paraId="52F4C6FC">
            <w:pPr>
              <w:pStyle w:val="52"/>
              <w:spacing w:line="360" w:lineRule="auto"/>
              <w:rPr>
                <w:rFonts w:cs="宋体"/>
                <w:color w:val="auto"/>
                <w:szCs w:val="24"/>
                <w:highlight w:val="none"/>
              </w:rPr>
            </w:pPr>
            <w:r>
              <w:rPr>
                <w:rFonts w:hint="eastAsia" w:cs="宋体"/>
                <w:color w:val="auto"/>
                <w:szCs w:val="24"/>
                <w:highlight w:val="none"/>
              </w:rPr>
              <w:t>2.异常低价情形认定</w:t>
            </w:r>
          </w:p>
          <w:p w14:paraId="466DD8E8">
            <w:pPr>
              <w:pStyle w:val="52"/>
              <w:spacing w:line="360" w:lineRule="auto"/>
              <w:rPr>
                <w:rFonts w:cs="宋体"/>
                <w:color w:val="auto"/>
                <w:szCs w:val="24"/>
                <w:highlight w:val="none"/>
              </w:rPr>
            </w:pPr>
            <w:r>
              <w:rPr>
                <w:rFonts w:hint="eastAsia" w:cs="宋体"/>
                <w:color w:val="auto"/>
                <w:szCs w:val="24"/>
                <w:highlight w:val="none"/>
              </w:rPr>
              <w:t>政府采购评审中出现下列情形之一的，评审委员会应当启动异常低价投标（响应）审查程序：</w:t>
            </w:r>
          </w:p>
          <w:p w14:paraId="7C80F847">
            <w:pPr>
              <w:pStyle w:val="52"/>
              <w:spacing w:line="360" w:lineRule="auto"/>
              <w:rPr>
                <w:rFonts w:cs="宋体"/>
                <w:color w:val="auto"/>
                <w:szCs w:val="24"/>
                <w:highlight w:val="none"/>
              </w:rPr>
            </w:pPr>
            <w:r>
              <w:rPr>
                <w:rFonts w:hint="eastAsia" w:cs="宋体"/>
                <w:color w:val="auto"/>
                <w:szCs w:val="24"/>
                <w:highlight w:val="none"/>
              </w:rPr>
              <w:t>（1）投标（响应）报价低于全部通过符合性审查供应商投标（响应）报价平均值50%的，即投标（响应）报价&lt;全部通过符合性审查供应商投标（响应）报价平均值×50%；</w:t>
            </w:r>
          </w:p>
          <w:p w14:paraId="0FFA9217">
            <w:pPr>
              <w:pStyle w:val="52"/>
              <w:spacing w:line="360" w:lineRule="auto"/>
              <w:rPr>
                <w:rFonts w:cs="宋体"/>
                <w:color w:val="auto"/>
                <w:szCs w:val="24"/>
                <w:highlight w:val="none"/>
              </w:rPr>
            </w:pPr>
            <w:r>
              <w:rPr>
                <w:rFonts w:hint="eastAsia" w:cs="宋体"/>
                <w:color w:val="auto"/>
                <w:szCs w:val="24"/>
                <w:highlight w:val="none"/>
              </w:rPr>
              <w:t>（2）投标（响应）报价低于通过符合性审查的次低报价供应商投标（响应）报价50%的，即投标（响应）报价&lt;通过符合性审查的次低报价供应商投标（响应）报价×50%；</w:t>
            </w:r>
          </w:p>
          <w:p w14:paraId="53744D67">
            <w:pPr>
              <w:pStyle w:val="52"/>
              <w:spacing w:line="360" w:lineRule="auto"/>
              <w:rPr>
                <w:rFonts w:cs="宋体"/>
                <w:color w:val="auto"/>
                <w:szCs w:val="24"/>
                <w:highlight w:val="none"/>
              </w:rPr>
            </w:pPr>
            <w:r>
              <w:rPr>
                <w:rFonts w:hint="eastAsia" w:cs="宋体"/>
                <w:color w:val="auto"/>
                <w:szCs w:val="24"/>
                <w:highlight w:val="none"/>
              </w:rPr>
              <w:t>（3）投标（响应）报价低于采购项目最高限价45%的，即投标（响应）报价&lt;采购项目最高限价×45%；</w:t>
            </w:r>
          </w:p>
          <w:p w14:paraId="12FCBEDC">
            <w:pPr>
              <w:pStyle w:val="52"/>
              <w:spacing w:line="360" w:lineRule="auto"/>
              <w:rPr>
                <w:rFonts w:cs="宋体"/>
                <w:color w:val="auto"/>
                <w:szCs w:val="24"/>
                <w:highlight w:val="none"/>
              </w:rPr>
            </w:pPr>
            <w:r>
              <w:rPr>
                <w:rFonts w:hint="eastAsia" w:cs="宋体"/>
                <w:color w:val="auto"/>
                <w:szCs w:val="24"/>
                <w:highlight w:val="none"/>
              </w:rPr>
              <w:t>（4）评审委员会基于专业判断，认为供应商报价过低，有可能影响产品质量或者不能诚信履约的其他情形。</w:t>
            </w:r>
          </w:p>
          <w:p w14:paraId="7E1BD0AD">
            <w:pPr>
              <w:spacing w:line="440" w:lineRule="exact"/>
              <w:ind w:firstLine="480" w:firstLineChars="200"/>
              <w:rPr>
                <w:rFonts w:hint="default"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采购人可以结合具体项目实际情况，提高上述第（1）项至第（3）项中启动异常低价投标（响应）审查的数值标准，但最高不得超过65%。</w:t>
            </w:r>
          </w:p>
          <w:p w14:paraId="057BC455">
            <w:pPr>
              <w:rPr>
                <w:rFonts w:hint="eastAsia" w:cs="宋体"/>
                <w:color w:val="auto"/>
                <w:szCs w:val="24"/>
                <w:highlight w:val="none"/>
              </w:rPr>
            </w:pPr>
            <w:r>
              <w:rPr>
                <w:rFonts w:hint="eastAsia"/>
                <w:color w:val="auto"/>
                <w:highlight w:val="none"/>
                <w:lang w:val="en-US" w:eastAsia="zh-CN"/>
              </w:rPr>
              <w:t xml:space="preserve">  </w:t>
            </w:r>
            <w:r>
              <w:rPr>
                <w:rFonts w:hint="eastAsia"/>
                <w:b w:val="0"/>
                <w:bCs w:val="0"/>
                <w:color w:val="auto"/>
                <w:highlight w:val="none"/>
                <w:lang w:val="en-US" w:eastAsia="zh-CN"/>
              </w:rPr>
              <w:t xml:space="preserve"> </w:t>
            </w:r>
            <w:r>
              <w:rPr>
                <w:rFonts w:cs="宋体"/>
                <w:b/>
                <w:bCs/>
                <w:color w:val="auto"/>
                <w:highlight w:val="none"/>
              </w:rPr>
              <w:t>本项目启动异常低价投标（响应）审查的数值标准详见以上描述。</w:t>
            </w:r>
          </w:p>
        </w:tc>
      </w:tr>
      <w:tr w14:paraId="5A6085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vMerge w:val="continue"/>
            <w:tcBorders>
              <w:right w:val="single" w:color="auto" w:sz="4" w:space="0"/>
            </w:tcBorders>
            <w:vAlign w:val="center"/>
          </w:tcPr>
          <w:p w14:paraId="2E6452A4">
            <w:pPr>
              <w:pStyle w:val="52"/>
              <w:jc w:val="center"/>
              <w:rPr>
                <w:rFonts w:cs="宋体"/>
                <w:color w:val="auto"/>
                <w:szCs w:val="24"/>
                <w:highlight w:val="none"/>
              </w:rPr>
            </w:pPr>
          </w:p>
        </w:tc>
        <w:tc>
          <w:tcPr>
            <w:tcW w:w="1738" w:type="dxa"/>
            <w:vMerge w:val="continue"/>
            <w:tcBorders>
              <w:right w:val="single" w:color="auto" w:sz="4" w:space="0"/>
            </w:tcBorders>
            <w:vAlign w:val="center"/>
          </w:tcPr>
          <w:p w14:paraId="47D9EEB3">
            <w:pPr>
              <w:pStyle w:val="52"/>
              <w:rPr>
                <w:rFonts w:cs="宋体"/>
                <w:color w:val="auto"/>
                <w:szCs w:val="24"/>
                <w:highlight w:val="none"/>
              </w:rPr>
            </w:pPr>
          </w:p>
        </w:tc>
        <w:tc>
          <w:tcPr>
            <w:tcW w:w="6700" w:type="dxa"/>
            <w:tcBorders>
              <w:left w:val="single" w:color="auto" w:sz="4" w:space="0"/>
            </w:tcBorders>
            <w:shd w:val="clear" w:color="auto" w:fill="auto"/>
            <w:vAlign w:val="center"/>
          </w:tcPr>
          <w:p w14:paraId="3820EB5F">
            <w:pPr>
              <w:pStyle w:val="77"/>
              <w:spacing w:line="360" w:lineRule="auto"/>
              <w:rPr>
                <w:rFonts w:ascii="宋体" w:hAnsi="宋体"/>
                <w:color w:val="auto"/>
                <w:sz w:val="24"/>
                <w:szCs w:val="24"/>
                <w:highlight w:val="none"/>
              </w:rPr>
            </w:pPr>
            <w:r>
              <w:rPr>
                <w:rFonts w:hint="eastAsia" w:ascii="宋体" w:hAnsi="宋体"/>
                <w:color w:val="auto"/>
                <w:sz w:val="24"/>
                <w:szCs w:val="24"/>
                <w:highlight w:val="none"/>
              </w:rPr>
              <w:t>3.注意事项：</w:t>
            </w:r>
          </w:p>
          <w:p w14:paraId="1FA9AEEF">
            <w:pPr>
              <w:pStyle w:val="77"/>
              <w:spacing w:line="360" w:lineRule="auto"/>
              <w:rPr>
                <w:rFonts w:ascii="宋体" w:hAnsi="宋体"/>
                <w:color w:val="auto"/>
                <w:sz w:val="24"/>
                <w:szCs w:val="24"/>
                <w:highlight w:val="none"/>
              </w:rPr>
            </w:pPr>
            <w:r>
              <w:rPr>
                <w:rFonts w:hint="eastAsia" w:ascii="宋体" w:hAnsi="宋体"/>
                <w:color w:val="auto"/>
                <w:sz w:val="24"/>
                <w:szCs w:val="24"/>
                <w:highlight w:val="none"/>
              </w:rPr>
              <w:t>电子标书加盖印章的两种方式:一种为电子章；另一种为纸质版盖章后扫描，两种方式的任意一种在评审时均予认可。</w:t>
            </w:r>
          </w:p>
          <w:p w14:paraId="2B15E0CA">
            <w:pPr>
              <w:pStyle w:val="52"/>
              <w:spacing w:line="360" w:lineRule="auto"/>
              <w:rPr>
                <w:rFonts w:cs="宋体"/>
                <w:b/>
                <w:bCs/>
                <w:color w:val="auto"/>
                <w:szCs w:val="24"/>
                <w:highlight w:val="none"/>
              </w:rPr>
            </w:pPr>
            <w:r>
              <w:rPr>
                <w:rFonts w:hint="eastAsia" w:cs="宋体"/>
                <w:bCs/>
                <w:color w:val="auto"/>
                <w:szCs w:val="24"/>
                <w:highlight w:val="none"/>
              </w:rPr>
              <w:t>供应商在上传电子响应文件时，需在“商务技术响应文件”中按响应文件格式要求上传完整的响应文件（从封面开始至最后一页）。</w:t>
            </w:r>
          </w:p>
        </w:tc>
      </w:tr>
      <w:tr w14:paraId="15B4C3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408" w:type="dxa"/>
            <w:gridSpan w:val="3"/>
            <w:vAlign w:val="center"/>
          </w:tcPr>
          <w:p w14:paraId="544D926E">
            <w:pPr>
              <w:pStyle w:val="52"/>
              <w:rPr>
                <w:rFonts w:cs="宋体"/>
                <w:color w:val="auto"/>
                <w:szCs w:val="24"/>
                <w:highlight w:val="none"/>
              </w:rPr>
            </w:pPr>
            <w:r>
              <w:rPr>
                <w:rFonts w:hint="eastAsia" w:cs="宋体"/>
                <w:color w:val="auto"/>
                <w:szCs w:val="24"/>
                <w:highlight w:val="none"/>
              </w:rPr>
              <w:t>备注：</w:t>
            </w:r>
          </w:p>
          <w:p w14:paraId="59EFE088">
            <w:pPr>
              <w:pStyle w:val="52"/>
              <w:rPr>
                <w:rFonts w:cs="宋体"/>
                <w:color w:val="auto"/>
                <w:szCs w:val="24"/>
                <w:highlight w:val="none"/>
              </w:rPr>
            </w:pPr>
            <w:r>
              <w:rPr>
                <w:rFonts w:hint="eastAsia" w:cs="宋体"/>
                <w:color w:val="auto"/>
                <w:szCs w:val="24"/>
                <w:highlight w:val="none"/>
              </w:rPr>
              <w:t>1. 除本招标文件另有规定外，招标文件中出现的类似于“近三年”或“前三年”、“近五年”或“前五年”均指递交投标文件截止时间之前三年或前五年，以此类推。如：递交投标文件时间为  年  月  日，则“近三年”是指  年  月  日至  年  月  日。</w:t>
            </w:r>
          </w:p>
          <w:p w14:paraId="4DC98103">
            <w:pPr>
              <w:pStyle w:val="52"/>
              <w:rPr>
                <w:rFonts w:cs="宋体"/>
                <w:color w:val="auto"/>
                <w:szCs w:val="24"/>
                <w:highlight w:val="none"/>
              </w:rPr>
            </w:pPr>
            <w:r>
              <w:rPr>
                <w:rFonts w:hint="eastAsia" w:cs="宋体"/>
                <w:color w:val="auto"/>
                <w:szCs w:val="24"/>
                <w:highlight w:val="none"/>
              </w:rPr>
              <w:t>2. 本招标文件所称的“以上”、“以下”、“内”、“以内”，包括本数；所称的“不足”，不包括本数。</w:t>
            </w:r>
          </w:p>
        </w:tc>
      </w:tr>
    </w:tbl>
    <w:p w14:paraId="2105CF4A">
      <w:pPr>
        <w:rPr>
          <w:color w:val="auto"/>
          <w:highlight w:val="none"/>
        </w:rPr>
      </w:pPr>
      <w:r>
        <w:rPr>
          <w:color w:val="auto"/>
          <w:highlight w:val="none"/>
        </w:rPr>
        <w:br w:type="page"/>
      </w:r>
    </w:p>
    <w:p w14:paraId="532920A5">
      <w:pPr>
        <w:pStyle w:val="3"/>
        <w:rPr>
          <w:color w:val="auto"/>
          <w:highlight w:val="none"/>
        </w:rPr>
      </w:pPr>
      <w:bookmarkStart w:id="134" w:name="_Toc163492821"/>
      <w:bookmarkStart w:id="135" w:name="_Toc23095"/>
      <w:bookmarkStart w:id="136" w:name="_Toc155185869"/>
      <w:r>
        <w:rPr>
          <w:rFonts w:hint="eastAsia"/>
          <w:color w:val="auto"/>
          <w:highlight w:val="none"/>
        </w:rPr>
        <w:t>二、投标人须知</w:t>
      </w:r>
      <w:bookmarkEnd w:id="134"/>
      <w:bookmarkEnd w:id="135"/>
      <w:bookmarkEnd w:id="136"/>
    </w:p>
    <w:p w14:paraId="376B3BDD">
      <w:pPr>
        <w:pStyle w:val="4"/>
        <w:rPr>
          <w:color w:val="auto"/>
          <w:highlight w:val="none"/>
        </w:rPr>
      </w:pPr>
      <w:bookmarkStart w:id="137" w:name="_Toc163492822"/>
      <w:bookmarkStart w:id="138" w:name="_Toc155185870"/>
      <w:r>
        <w:rPr>
          <w:rFonts w:hint="eastAsia"/>
          <w:color w:val="auto"/>
          <w:highlight w:val="none"/>
        </w:rPr>
        <w:t>（一）总则</w:t>
      </w:r>
      <w:bookmarkEnd w:id="137"/>
      <w:bookmarkEnd w:id="138"/>
    </w:p>
    <w:p w14:paraId="30513768">
      <w:pPr>
        <w:pStyle w:val="5"/>
        <w:spacing w:line="360" w:lineRule="auto"/>
        <w:rPr>
          <w:color w:val="auto"/>
          <w:highlight w:val="none"/>
        </w:rPr>
      </w:pPr>
      <w:bookmarkStart w:id="139" w:name="_Toc109899631"/>
      <w:bookmarkStart w:id="140" w:name="_Toc109900050"/>
      <w:bookmarkStart w:id="141" w:name="_Toc163492823"/>
      <w:bookmarkStart w:id="142" w:name="_Toc109900469"/>
      <w:bookmarkStart w:id="143" w:name="_Toc109897532"/>
      <w:bookmarkStart w:id="144" w:name="_Toc155095689"/>
      <w:bookmarkStart w:id="145" w:name="_Toc31233"/>
      <w:r>
        <w:rPr>
          <w:rFonts w:hint="eastAsia"/>
          <w:color w:val="auto"/>
          <w:highlight w:val="none"/>
        </w:rPr>
        <w:t>1.适用范围</w:t>
      </w:r>
      <w:bookmarkEnd w:id="139"/>
      <w:bookmarkEnd w:id="140"/>
      <w:bookmarkEnd w:id="141"/>
      <w:bookmarkEnd w:id="142"/>
      <w:bookmarkEnd w:id="143"/>
      <w:bookmarkEnd w:id="144"/>
      <w:bookmarkEnd w:id="145"/>
    </w:p>
    <w:p w14:paraId="2FFB3688">
      <w:pPr>
        <w:pStyle w:val="40"/>
        <w:spacing w:line="360" w:lineRule="auto"/>
        <w:rPr>
          <w:snapToGrid w:val="0"/>
          <w:color w:val="auto"/>
          <w:highlight w:val="none"/>
        </w:rPr>
      </w:pPr>
      <w:r>
        <w:rPr>
          <w:rFonts w:hint="eastAsia"/>
          <w:snapToGrid w:val="0"/>
          <w:color w:val="auto"/>
          <w:highlight w:val="none"/>
        </w:rPr>
        <w:t>1.1本招标文件仅适用于本项目的采购活动。</w:t>
      </w:r>
    </w:p>
    <w:p w14:paraId="378DABC2">
      <w:pPr>
        <w:pStyle w:val="5"/>
        <w:spacing w:line="360" w:lineRule="auto"/>
        <w:rPr>
          <w:color w:val="auto"/>
          <w:highlight w:val="none"/>
        </w:rPr>
      </w:pPr>
      <w:bookmarkStart w:id="146" w:name="_Toc163492824"/>
      <w:r>
        <w:rPr>
          <w:rFonts w:hint="eastAsia"/>
          <w:color w:val="auto"/>
          <w:highlight w:val="none"/>
        </w:rPr>
        <w:t>2.基本定义</w:t>
      </w:r>
      <w:bookmarkEnd w:id="146"/>
    </w:p>
    <w:p w14:paraId="2BEBB0FF">
      <w:pPr>
        <w:pStyle w:val="40"/>
        <w:spacing w:line="360" w:lineRule="auto"/>
        <w:rPr>
          <w:color w:val="auto"/>
          <w:highlight w:val="none"/>
        </w:rPr>
      </w:pPr>
      <w:r>
        <w:rPr>
          <w:rFonts w:hint="eastAsia"/>
          <w:color w:val="auto"/>
          <w:highlight w:val="none"/>
        </w:rPr>
        <w:t>根据《中华人民共和国政府采购法》及其实施条例等有关法律、法规和规章的规定，制定本招标文件。</w:t>
      </w:r>
    </w:p>
    <w:p w14:paraId="2FF70D3B">
      <w:pPr>
        <w:pStyle w:val="40"/>
        <w:spacing w:line="360" w:lineRule="auto"/>
        <w:rPr>
          <w:color w:val="auto"/>
          <w:highlight w:val="none"/>
        </w:rPr>
      </w:pPr>
      <w:r>
        <w:rPr>
          <w:rFonts w:hint="eastAsia"/>
          <w:color w:val="auto"/>
          <w:highlight w:val="none"/>
        </w:rPr>
        <w:t>2.1项目名称及编号：</w:t>
      </w:r>
      <w:r>
        <w:rPr>
          <w:rFonts w:hint="eastAsia"/>
          <w:color w:val="auto"/>
          <w:highlight w:val="none"/>
          <w:lang w:val="en-US"/>
        </w:rPr>
        <w:t>见</w:t>
      </w:r>
      <w:r>
        <w:rPr>
          <w:rFonts w:hint="eastAsia"/>
          <w:color w:val="auto"/>
          <w:highlight w:val="none"/>
        </w:rPr>
        <w:t>“投标人须知前附表”</w:t>
      </w:r>
      <w:r>
        <w:rPr>
          <w:rFonts w:hint="eastAsia"/>
          <w:color w:val="auto"/>
          <w:highlight w:val="none"/>
          <w:lang w:val="en-US"/>
        </w:rPr>
        <w:t>。</w:t>
      </w:r>
    </w:p>
    <w:p w14:paraId="567EBD87">
      <w:pPr>
        <w:spacing w:line="360" w:lineRule="auto"/>
        <w:ind w:firstLine="480" w:firstLineChars="200"/>
        <w:rPr>
          <w:color w:val="auto"/>
          <w:highlight w:val="none"/>
        </w:rPr>
      </w:pPr>
      <w:r>
        <w:rPr>
          <w:rFonts w:hint="eastAsia"/>
          <w:color w:val="auto"/>
          <w:highlight w:val="none"/>
        </w:rPr>
        <w:t>2.2采购人：</w:t>
      </w:r>
      <w:r>
        <w:rPr>
          <w:rFonts w:hint="eastAsia"/>
          <w:color w:val="auto"/>
          <w:highlight w:val="none"/>
          <w:lang w:bidi="ar"/>
        </w:rPr>
        <w:t>指依法进行政府采购的国家机关、事业单位、团体组织</w:t>
      </w:r>
      <w:r>
        <w:rPr>
          <w:rFonts w:hint="eastAsia"/>
          <w:color w:val="auto"/>
          <w:highlight w:val="none"/>
        </w:rPr>
        <w:t>。</w:t>
      </w:r>
    </w:p>
    <w:p w14:paraId="6D2F020A">
      <w:pPr>
        <w:spacing w:line="360" w:lineRule="auto"/>
        <w:ind w:firstLine="480" w:firstLineChars="200"/>
        <w:rPr>
          <w:color w:val="auto"/>
          <w:highlight w:val="none"/>
        </w:rPr>
      </w:pPr>
      <w:r>
        <w:rPr>
          <w:rFonts w:hint="eastAsia"/>
          <w:color w:val="auto"/>
          <w:highlight w:val="none"/>
        </w:rPr>
        <w:t>2.3采购代理机构：</w:t>
      </w:r>
      <w:r>
        <w:rPr>
          <w:rFonts w:hint="eastAsia"/>
          <w:color w:val="auto"/>
          <w:highlight w:val="none"/>
          <w:lang w:bidi="ar"/>
        </w:rPr>
        <w:t>指依法进行政府采购的国家机关、事业单位、团体组织</w:t>
      </w:r>
      <w:r>
        <w:rPr>
          <w:rFonts w:hint="eastAsia"/>
          <w:color w:val="auto"/>
          <w:highlight w:val="none"/>
        </w:rPr>
        <w:t>委托的采购代理机构。</w:t>
      </w:r>
    </w:p>
    <w:p w14:paraId="78A6D9A0">
      <w:pPr>
        <w:pStyle w:val="40"/>
        <w:spacing w:line="360" w:lineRule="auto"/>
        <w:rPr>
          <w:color w:val="auto"/>
          <w:highlight w:val="none"/>
        </w:rPr>
      </w:pPr>
      <w:r>
        <w:rPr>
          <w:rFonts w:hint="eastAsia"/>
          <w:color w:val="auto"/>
          <w:highlight w:val="none"/>
        </w:rPr>
        <w:t>2.4</w:t>
      </w:r>
      <w:r>
        <w:rPr>
          <w:color w:val="auto"/>
          <w:highlight w:val="none"/>
          <w:lang w:val="en-US"/>
        </w:rPr>
        <w:t>项目概况：</w:t>
      </w:r>
      <w:r>
        <w:rPr>
          <w:rFonts w:hint="eastAsia"/>
          <w:color w:val="auto"/>
          <w:highlight w:val="none"/>
          <w:lang w:val="en-US"/>
        </w:rPr>
        <w:t>见</w:t>
      </w:r>
      <w:r>
        <w:rPr>
          <w:rFonts w:hint="eastAsia"/>
          <w:color w:val="auto"/>
          <w:highlight w:val="none"/>
        </w:rPr>
        <w:t>“投标人须知前附表”</w:t>
      </w:r>
    </w:p>
    <w:p w14:paraId="28B6793D">
      <w:pPr>
        <w:pStyle w:val="40"/>
        <w:spacing w:line="360" w:lineRule="auto"/>
        <w:rPr>
          <w:color w:val="auto"/>
          <w:highlight w:val="none"/>
          <w:lang w:val="en-US"/>
        </w:rPr>
      </w:pPr>
      <w:r>
        <w:rPr>
          <w:rFonts w:hint="eastAsia"/>
          <w:color w:val="auto"/>
          <w:highlight w:val="none"/>
          <w:lang w:val="en-US"/>
        </w:rPr>
        <w:t>2.5</w:t>
      </w:r>
      <w:r>
        <w:rPr>
          <w:rFonts w:hint="eastAsia"/>
          <w:color w:val="auto"/>
          <w:highlight w:val="none"/>
        </w:rPr>
        <w:t>政府采购监督管理部门：各级人民政府财政部门是负责政府采购监督管理的部门，依法履行对政府采购活动的监督管理职责。各级人民政府其他有关部门依法履行与政府采购活动有关的监督管理职责。</w:t>
      </w:r>
    </w:p>
    <w:p w14:paraId="074EBFA0">
      <w:pPr>
        <w:pStyle w:val="40"/>
        <w:spacing w:line="360" w:lineRule="auto"/>
        <w:rPr>
          <w:color w:val="auto"/>
          <w:highlight w:val="none"/>
        </w:rPr>
      </w:pPr>
      <w:r>
        <w:rPr>
          <w:rFonts w:hint="eastAsia"/>
          <w:color w:val="auto"/>
          <w:highlight w:val="none"/>
        </w:rPr>
        <w:t>2.6核心产品见“投标人须知前附表”。</w:t>
      </w:r>
    </w:p>
    <w:p w14:paraId="113D8B38">
      <w:pPr>
        <w:pStyle w:val="40"/>
        <w:spacing w:line="360" w:lineRule="auto"/>
        <w:rPr>
          <w:color w:val="auto"/>
          <w:highlight w:val="none"/>
        </w:rPr>
      </w:pPr>
      <w:r>
        <w:rPr>
          <w:rFonts w:hint="eastAsia"/>
          <w:color w:val="auto"/>
          <w:highlight w:val="none"/>
        </w:rPr>
        <w:t>2</w:t>
      </w:r>
      <w:r>
        <w:rPr>
          <w:color w:val="auto"/>
          <w:highlight w:val="none"/>
        </w:rPr>
        <w:t>.7</w:t>
      </w:r>
      <w:r>
        <w:rPr>
          <w:rFonts w:hint="eastAsia"/>
          <w:color w:val="auto"/>
          <w:highlight w:val="none"/>
        </w:rPr>
        <w:t>是否属于</w:t>
      </w:r>
      <w:r>
        <w:rPr>
          <w:rFonts w:ascii="FZShuSong-Z01" w:hAnsi="FZShuSong-Z01" w:cs="FZShuSong-Z01"/>
          <w:color w:val="auto"/>
          <w:kern w:val="0"/>
          <w:szCs w:val="24"/>
          <w:highlight w:val="none"/>
          <w:lang w:bidi="ar"/>
        </w:rPr>
        <w:t>科研仪器设备</w:t>
      </w:r>
      <w:r>
        <w:rPr>
          <w:rFonts w:hint="eastAsia" w:ascii="FZShuSong-Z01" w:hAnsi="FZShuSong-Z01" w:cs="FZShuSong-Z01"/>
          <w:color w:val="auto"/>
          <w:kern w:val="0"/>
          <w:szCs w:val="24"/>
          <w:highlight w:val="none"/>
          <w:lang w:bidi="ar"/>
        </w:rPr>
        <w:t>采购</w:t>
      </w:r>
      <w:r>
        <w:rPr>
          <w:rFonts w:hint="eastAsia"/>
          <w:color w:val="auto"/>
          <w:highlight w:val="none"/>
        </w:rPr>
        <w:t>见“投标人须知前附表”。</w:t>
      </w:r>
    </w:p>
    <w:p w14:paraId="5066B80F">
      <w:pPr>
        <w:pStyle w:val="40"/>
        <w:spacing w:line="360" w:lineRule="auto"/>
        <w:rPr>
          <w:color w:val="auto"/>
          <w:highlight w:val="none"/>
        </w:rPr>
      </w:pPr>
      <w:r>
        <w:rPr>
          <w:rFonts w:hint="eastAsia"/>
          <w:iCs w:val="0"/>
          <w:color w:val="auto"/>
          <w:highlight w:val="none"/>
        </w:rPr>
        <w:t>2.</w:t>
      </w:r>
      <w:r>
        <w:rPr>
          <w:iCs w:val="0"/>
          <w:color w:val="auto"/>
          <w:highlight w:val="none"/>
        </w:rPr>
        <w:t>8</w:t>
      </w:r>
      <w:r>
        <w:rPr>
          <w:rFonts w:hint="eastAsia"/>
          <w:color w:val="auto"/>
          <w:highlight w:val="none"/>
        </w:rPr>
        <w:t>投标人</w:t>
      </w:r>
      <w:r>
        <w:rPr>
          <w:rFonts w:hint="eastAsia"/>
          <w:iCs w:val="0"/>
          <w:color w:val="auto"/>
          <w:highlight w:val="none"/>
        </w:rPr>
        <w:t>（也称“供应商”、“申请人”）：指向采购人提供货物、工程或者服务的法人、其他组织或者自然人。</w:t>
      </w:r>
      <w:r>
        <w:rPr>
          <w:rFonts w:hint="eastAsia"/>
          <w:color w:val="auto"/>
          <w:highlight w:val="none"/>
        </w:rPr>
        <w:t>分支机构不得参加政府采购活动，但银行、保险、石油石化、电力、电信等有行业特殊情况的除外。</w:t>
      </w:r>
      <w:r>
        <w:rPr>
          <w:color w:val="auto"/>
          <w:highlight w:val="none"/>
        </w:rPr>
        <w:t>本项目的投标人须满足以下条件：</w:t>
      </w:r>
    </w:p>
    <w:p w14:paraId="6578A58D">
      <w:pPr>
        <w:pStyle w:val="40"/>
        <w:spacing w:line="360" w:lineRule="auto"/>
        <w:rPr>
          <w:color w:val="auto"/>
          <w:highlight w:val="none"/>
        </w:rPr>
      </w:pPr>
      <w:r>
        <w:rPr>
          <w:rFonts w:hint="eastAsia"/>
          <w:color w:val="auto"/>
          <w:highlight w:val="none"/>
        </w:rPr>
        <w:t>2.</w:t>
      </w:r>
      <w:r>
        <w:rPr>
          <w:color w:val="auto"/>
          <w:highlight w:val="none"/>
        </w:rPr>
        <w:t>8.</w:t>
      </w:r>
      <w:r>
        <w:rPr>
          <w:rFonts w:hint="eastAsia"/>
          <w:color w:val="auto"/>
          <w:highlight w:val="none"/>
        </w:rPr>
        <w:t>1</w:t>
      </w:r>
      <w:r>
        <w:rPr>
          <w:color w:val="auto"/>
          <w:highlight w:val="none"/>
        </w:rPr>
        <w:t>具备《中华人民共和国政府采购法》第二十二条规定的</w:t>
      </w:r>
      <w:r>
        <w:rPr>
          <w:rFonts w:hint="eastAsia"/>
          <w:color w:val="auto"/>
          <w:highlight w:val="none"/>
        </w:rPr>
        <w:t>条件</w:t>
      </w:r>
      <w:r>
        <w:rPr>
          <w:color w:val="auto"/>
          <w:highlight w:val="none"/>
        </w:rPr>
        <w:t>，遵守本项目采购人本级和上级财政部门政府采购的有关规定。</w:t>
      </w:r>
    </w:p>
    <w:p w14:paraId="3D848FC8">
      <w:pPr>
        <w:pStyle w:val="40"/>
        <w:spacing w:line="360" w:lineRule="auto"/>
        <w:rPr>
          <w:color w:val="auto"/>
          <w:highlight w:val="none"/>
        </w:rPr>
      </w:pPr>
      <w:r>
        <w:rPr>
          <w:rFonts w:hint="eastAsia"/>
          <w:color w:val="auto"/>
          <w:highlight w:val="none"/>
        </w:rPr>
        <w:t>2.</w:t>
      </w:r>
      <w:r>
        <w:rPr>
          <w:color w:val="auto"/>
          <w:highlight w:val="none"/>
        </w:rPr>
        <w:t>8</w:t>
      </w:r>
      <w:r>
        <w:rPr>
          <w:rFonts w:hint="eastAsia"/>
          <w:color w:val="auto"/>
          <w:highlight w:val="none"/>
        </w:rPr>
        <w:t>.2以招标公告中发布的方式依法获得了本项目的招标文件。</w:t>
      </w:r>
    </w:p>
    <w:p w14:paraId="609AC2D7">
      <w:pPr>
        <w:pStyle w:val="40"/>
        <w:spacing w:line="360" w:lineRule="auto"/>
        <w:rPr>
          <w:color w:val="auto"/>
          <w:highlight w:val="none"/>
        </w:rPr>
      </w:pPr>
      <w:r>
        <w:rPr>
          <w:rFonts w:hint="eastAsia"/>
          <w:color w:val="auto"/>
          <w:highlight w:val="none"/>
        </w:rPr>
        <w:t>2.</w:t>
      </w:r>
      <w:r>
        <w:rPr>
          <w:color w:val="auto"/>
          <w:highlight w:val="none"/>
        </w:rPr>
        <w:t>8</w:t>
      </w:r>
      <w:r>
        <w:rPr>
          <w:rFonts w:hint="eastAsia"/>
          <w:color w:val="auto"/>
          <w:highlight w:val="none"/>
        </w:rPr>
        <w:t>.3符合本招标文件规定并参加投标的供应商。</w:t>
      </w:r>
    </w:p>
    <w:p w14:paraId="6D71ABFF">
      <w:pPr>
        <w:pStyle w:val="40"/>
        <w:spacing w:line="360" w:lineRule="auto"/>
        <w:rPr>
          <w:color w:val="auto"/>
          <w:highlight w:val="none"/>
        </w:rPr>
      </w:pPr>
      <w:r>
        <w:rPr>
          <w:rFonts w:hint="eastAsia"/>
          <w:color w:val="auto"/>
          <w:highlight w:val="none"/>
        </w:rPr>
        <w:t>2.</w:t>
      </w:r>
      <w:r>
        <w:rPr>
          <w:color w:val="auto"/>
          <w:highlight w:val="none"/>
        </w:rPr>
        <w:t>9</w:t>
      </w:r>
      <w:r>
        <w:rPr>
          <w:rFonts w:hint="eastAsia"/>
          <w:iCs w:val="0"/>
          <w:color w:val="auto"/>
          <w:highlight w:val="none"/>
        </w:rPr>
        <w:t>潜在</w:t>
      </w:r>
      <w:r>
        <w:rPr>
          <w:rFonts w:hint="eastAsia"/>
          <w:color w:val="auto"/>
          <w:highlight w:val="none"/>
        </w:rPr>
        <w:t>投标人</w:t>
      </w:r>
      <w:r>
        <w:rPr>
          <w:rFonts w:hint="eastAsia"/>
          <w:iCs w:val="0"/>
          <w:color w:val="auto"/>
          <w:highlight w:val="none"/>
        </w:rPr>
        <w:t>、潜在供应商：指</w:t>
      </w:r>
      <w:r>
        <w:rPr>
          <w:rFonts w:hint="eastAsia"/>
          <w:color w:val="auto"/>
          <w:highlight w:val="none"/>
        </w:rPr>
        <w:t>符合本招标文件规定的供应商。</w:t>
      </w:r>
    </w:p>
    <w:p w14:paraId="28E92832">
      <w:pPr>
        <w:pStyle w:val="5"/>
        <w:spacing w:line="360" w:lineRule="auto"/>
        <w:rPr>
          <w:color w:val="auto"/>
          <w:highlight w:val="none"/>
        </w:rPr>
      </w:pPr>
      <w:bookmarkStart w:id="147" w:name="_Toc163492825"/>
      <w:bookmarkStart w:id="148" w:name="_Toc140132758"/>
      <w:r>
        <w:rPr>
          <w:rFonts w:hint="eastAsia"/>
          <w:color w:val="auto"/>
          <w:highlight w:val="none"/>
        </w:rPr>
        <w:t>3.资金来源</w:t>
      </w:r>
      <w:bookmarkEnd w:id="147"/>
      <w:bookmarkEnd w:id="148"/>
    </w:p>
    <w:p w14:paraId="48DCDB73">
      <w:pPr>
        <w:pStyle w:val="40"/>
        <w:spacing w:line="360" w:lineRule="auto"/>
        <w:rPr>
          <w:color w:val="auto"/>
          <w:highlight w:val="none"/>
        </w:rPr>
      </w:pPr>
      <w:r>
        <w:rPr>
          <w:rFonts w:hint="eastAsia"/>
          <w:color w:val="auto"/>
          <w:highlight w:val="none"/>
        </w:rPr>
        <w:t>3.1资金来源：</w:t>
      </w:r>
      <w:r>
        <w:rPr>
          <w:rFonts w:hint="eastAsia"/>
          <w:color w:val="auto"/>
          <w:highlight w:val="none"/>
          <w:lang w:val="en-US"/>
        </w:rPr>
        <w:t>为财政性资金即</w:t>
      </w:r>
      <w:r>
        <w:rPr>
          <w:rFonts w:hint="eastAsia"/>
          <w:color w:val="auto"/>
          <w:highlight w:val="none"/>
        </w:rPr>
        <w:t>纳入预算管理的资金。以财政性资金作为还款来源的借贷资金，视同财政性资金。财政性资金与非财政性资金无法分割采购的，统一适用《中华人民共和国政府采购法》及其实施条例。</w:t>
      </w:r>
    </w:p>
    <w:p w14:paraId="334E212E">
      <w:pPr>
        <w:pStyle w:val="5"/>
        <w:spacing w:line="360" w:lineRule="auto"/>
        <w:rPr>
          <w:color w:val="auto"/>
          <w:highlight w:val="none"/>
        </w:rPr>
      </w:pPr>
      <w:bookmarkStart w:id="149" w:name="_Toc163492826"/>
      <w:bookmarkStart w:id="150" w:name="_Toc140132760"/>
      <w:r>
        <w:rPr>
          <w:rFonts w:hint="eastAsia"/>
          <w:color w:val="auto"/>
          <w:highlight w:val="none"/>
        </w:rPr>
        <w:t>4.投标人资格要求</w:t>
      </w:r>
      <w:bookmarkEnd w:id="149"/>
      <w:bookmarkEnd w:id="150"/>
    </w:p>
    <w:p w14:paraId="2F0C370C">
      <w:pPr>
        <w:pStyle w:val="40"/>
        <w:spacing w:line="360" w:lineRule="auto"/>
        <w:rPr>
          <w:color w:val="auto"/>
          <w:highlight w:val="none"/>
        </w:rPr>
      </w:pPr>
      <w:r>
        <w:rPr>
          <w:rFonts w:hint="eastAsia"/>
          <w:color w:val="auto"/>
          <w:highlight w:val="none"/>
        </w:rPr>
        <w:t>4.1投标人资格要求：见“</w:t>
      </w:r>
      <w:r>
        <w:rPr>
          <w:rFonts w:hint="eastAsia"/>
          <w:color w:val="auto"/>
          <w:highlight w:val="none"/>
          <w:lang w:val="en-US"/>
        </w:rPr>
        <w:t>第一章 招标公告</w:t>
      </w:r>
      <w:r>
        <w:rPr>
          <w:rFonts w:hint="eastAsia"/>
          <w:color w:val="auto"/>
          <w:highlight w:val="none"/>
        </w:rPr>
        <w:t>”；</w:t>
      </w:r>
    </w:p>
    <w:p w14:paraId="65F8D197">
      <w:pPr>
        <w:pStyle w:val="40"/>
        <w:spacing w:line="360" w:lineRule="auto"/>
        <w:rPr>
          <w:color w:val="auto"/>
          <w:highlight w:val="none"/>
        </w:rPr>
      </w:pPr>
      <w:r>
        <w:rPr>
          <w:rFonts w:hint="eastAsia"/>
          <w:color w:val="auto"/>
          <w:highlight w:val="none"/>
          <w:lang w:val="en-US"/>
        </w:rPr>
        <w:t>4</w:t>
      </w:r>
      <w:r>
        <w:rPr>
          <w:rFonts w:hint="eastAsia"/>
          <w:color w:val="auto"/>
          <w:highlight w:val="none"/>
        </w:rPr>
        <w:t>.</w:t>
      </w:r>
      <w:r>
        <w:rPr>
          <w:rFonts w:hint="eastAsia"/>
          <w:color w:val="auto"/>
          <w:highlight w:val="none"/>
          <w:lang w:val="en-US"/>
        </w:rPr>
        <w:t>2</w:t>
      </w:r>
      <w:r>
        <w:rPr>
          <w:rFonts w:hint="eastAsia"/>
          <w:color w:val="auto"/>
          <w:highlight w:val="none"/>
        </w:rPr>
        <w:t>“</w:t>
      </w:r>
      <w:r>
        <w:rPr>
          <w:rFonts w:hint="eastAsia"/>
          <w:color w:val="auto"/>
          <w:highlight w:val="none"/>
          <w:lang w:val="en-US"/>
        </w:rPr>
        <w:t>第一章 招标公告</w:t>
      </w:r>
      <w:r>
        <w:rPr>
          <w:rFonts w:hint="eastAsia"/>
          <w:color w:val="auto"/>
          <w:highlight w:val="none"/>
        </w:rPr>
        <w:t>”规定接受联合体投标的，还应遵守以下规定：</w:t>
      </w:r>
    </w:p>
    <w:p w14:paraId="18993FC9">
      <w:pPr>
        <w:pStyle w:val="40"/>
        <w:spacing w:line="360" w:lineRule="auto"/>
        <w:rPr>
          <w:color w:val="auto"/>
          <w:highlight w:val="none"/>
        </w:rPr>
      </w:pPr>
      <w:r>
        <w:rPr>
          <w:rFonts w:hint="eastAsia"/>
          <w:color w:val="auto"/>
          <w:highlight w:val="none"/>
          <w:lang w:val="en-US"/>
        </w:rPr>
        <w:t>4</w:t>
      </w:r>
      <w:r>
        <w:rPr>
          <w:rFonts w:hint="eastAsia"/>
          <w:color w:val="auto"/>
          <w:highlight w:val="none"/>
        </w:rPr>
        <w:t>.</w:t>
      </w:r>
      <w:r>
        <w:rPr>
          <w:rFonts w:hint="eastAsia"/>
          <w:color w:val="auto"/>
          <w:highlight w:val="none"/>
          <w:lang w:val="en-US"/>
        </w:rPr>
        <w:t>2.</w:t>
      </w:r>
      <w:r>
        <w:rPr>
          <w:rFonts w:hint="eastAsia"/>
          <w:color w:val="auto"/>
          <w:highlight w:val="none"/>
        </w:rPr>
        <w:t>1两个以上的自然人、法人或者其他组织可以组成一个联合体，以一个</w:t>
      </w:r>
      <w:r>
        <w:rPr>
          <w:rFonts w:hint="eastAsia"/>
          <w:color w:val="auto"/>
          <w:highlight w:val="none"/>
          <w:lang w:val="en-US"/>
        </w:rPr>
        <w:t>投标人</w:t>
      </w:r>
      <w:r>
        <w:rPr>
          <w:rFonts w:hint="eastAsia"/>
          <w:color w:val="auto"/>
          <w:highlight w:val="none"/>
        </w:rPr>
        <w:t>的身份共同参加政府采购。以联合体形式进行政府采购的，参加联合体的供应商均应当具备《中华人民共和国政府采购法》第二十二条规定的条件。</w:t>
      </w:r>
    </w:p>
    <w:p w14:paraId="065B00CF">
      <w:pPr>
        <w:pStyle w:val="40"/>
        <w:spacing w:line="360" w:lineRule="auto"/>
        <w:rPr>
          <w:color w:val="auto"/>
          <w:highlight w:val="none"/>
        </w:rPr>
      </w:pPr>
      <w:r>
        <w:rPr>
          <w:rFonts w:hint="eastAsia"/>
          <w:color w:val="auto"/>
          <w:highlight w:val="none"/>
          <w:lang w:val="en-US"/>
        </w:rPr>
        <w:t>4</w:t>
      </w:r>
      <w:r>
        <w:rPr>
          <w:rFonts w:hint="eastAsia"/>
          <w:color w:val="auto"/>
          <w:highlight w:val="none"/>
        </w:rPr>
        <w:t>.</w:t>
      </w:r>
      <w:r>
        <w:rPr>
          <w:rFonts w:hint="eastAsia"/>
          <w:color w:val="auto"/>
          <w:highlight w:val="none"/>
          <w:lang w:val="en-US"/>
        </w:rPr>
        <w:t>2.2</w:t>
      </w:r>
      <w:r>
        <w:rPr>
          <w:rFonts w:hint="eastAsia"/>
          <w:color w:val="auto"/>
          <w:highlight w:val="none"/>
        </w:rPr>
        <w:t>联合体各方应按招标文件提供的格式签订联合</w:t>
      </w:r>
      <w:r>
        <w:rPr>
          <w:rFonts w:hint="eastAsia"/>
          <w:color w:val="auto"/>
          <w:highlight w:val="none"/>
          <w:lang w:val="en-US"/>
        </w:rPr>
        <w:t>体</w:t>
      </w:r>
      <w:r>
        <w:rPr>
          <w:rFonts w:hint="eastAsia"/>
          <w:color w:val="auto"/>
          <w:highlight w:val="none"/>
        </w:rPr>
        <w:t>协议</w:t>
      </w:r>
      <w:r>
        <w:rPr>
          <w:rFonts w:hint="eastAsia"/>
          <w:color w:val="auto"/>
          <w:highlight w:val="none"/>
          <w:lang w:val="en-US"/>
        </w:rPr>
        <w:t>书</w:t>
      </w:r>
      <w:r>
        <w:rPr>
          <w:rFonts w:hint="eastAsia"/>
          <w:color w:val="auto"/>
          <w:highlight w:val="none"/>
        </w:rPr>
        <w:t>，明确约定联合体各方承担的工作和相应的责任，并将联合</w:t>
      </w:r>
      <w:r>
        <w:rPr>
          <w:rFonts w:hint="eastAsia"/>
          <w:color w:val="auto"/>
          <w:highlight w:val="none"/>
          <w:lang w:val="en-US"/>
        </w:rPr>
        <w:t>体</w:t>
      </w:r>
      <w:r>
        <w:rPr>
          <w:rFonts w:hint="eastAsia"/>
          <w:color w:val="auto"/>
          <w:highlight w:val="none"/>
        </w:rPr>
        <w:t>协议</w:t>
      </w:r>
      <w:r>
        <w:rPr>
          <w:rFonts w:hint="eastAsia"/>
          <w:color w:val="auto"/>
          <w:highlight w:val="none"/>
          <w:lang w:val="en-US"/>
        </w:rPr>
        <w:t>书</w:t>
      </w:r>
      <w:r>
        <w:rPr>
          <w:rFonts w:hint="eastAsia"/>
          <w:color w:val="auto"/>
          <w:highlight w:val="none"/>
        </w:rPr>
        <w:t>作为投标文件的一部分提交，该协议书对联合</w:t>
      </w:r>
      <w:r>
        <w:rPr>
          <w:rFonts w:hint="eastAsia"/>
          <w:color w:val="auto"/>
          <w:highlight w:val="none"/>
          <w:lang w:val="en-US"/>
        </w:rPr>
        <w:t>体所有成员</w:t>
      </w:r>
      <w:r>
        <w:rPr>
          <w:rFonts w:hint="eastAsia"/>
          <w:color w:val="auto"/>
          <w:highlight w:val="none"/>
        </w:rPr>
        <w:t>均具有法律约束力。</w:t>
      </w:r>
    </w:p>
    <w:p w14:paraId="39CBE78E">
      <w:pPr>
        <w:pStyle w:val="40"/>
        <w:spacing w:line="360" w:lineRule="auto"/>
        <w:rPr>
          <w:color w:val="auto"/>
          <w:highlight w:val="none"/>
        </w:rPr>
      </w:pPr>
      <w:r>
        <w:rPr>
          <w:rFonts w:hint="eastAsia"/>
          <w:color w:val="auto"/>
          <w:highlight w:val="none"/>
          <w:lang w:val="en-US"/>
        </w:rPr>
        <w:t>4.2.3</w:t>
      </w:r>
      <w:r>
        <w:rPr>
          <w:rFonts w:hint="eastAsia"/>
          <w:color w:val="auto"/>
          <w:highlight w:val="none"/>
        </w:rPr>
        <w:t>联合体中有同类资质的供应商按照联合体分工承担相同工作的，应当按照资质等级较低的供应商确定资质等级。</w:t>
      </w:r>
    </w:p>
    <w:p w14:paraId="453E5465">
      <w:pPr>
        <w:pStyle w:val="40"/>
        <w:spacing w:line="360" w:lineRule="auto"/>
        <w:rPr>
          <w:color w:val="auto"/>
          <w:highlight w:val="none"/>
        </w:rPr>
      </w:pPr>
      <w:r>
        <w:rPr>
          <w:rFonts w:hint="eastAsia"/>
          <w:color w:val="auto"/>
          <w:highlight w:val="none"/>
          <w:lang w:val="en-US"/>
        </w:rPr>
        <w:t>4.2</w:t>
      </w:r>
      <w:r>
        <w:rPr>
          <w:rFonts w:hint="eastAsia"/>
          <w:color w:val="auto"/>
          <w:highlight w:val="none"/>
        </w:rPr>
        <w:t>.</w:t>
      </w:r>
      <w:r>
        <w:rPr>
          <w:rFonts w:hint="eastAsia"/>
          <w:color w:val="auto"/>
          <w:highlight w:val="none"/>
          <w:lang w:val="en-US"/>
        </w:rPr>
        <w:t>4</w:t>
      </w:r>
      <w:r>
        <w:rPr>
          <w:rFonts w:hint="eastAsia"/>
          <w:color w:val="auto"/>
          <w:highlight w:val="none"/>
        </w:rPr>
        <w:t>以联合体形式参加政府采购活动的，联合体各方不得再单独参加或者与其他供应商另外组成联合体参加</w:t>
      </w:r>
      <w:r>
        <w:rPr>
          <w:rFonts w:hint="eastAsia"/>
          <w:color w:val="auto"/>
          <w:highlight w:val="none"/>
          <w:lang w:val="en-US"/>
        </w:rPr>
        <w:t>同一合同项下的</w:t>
      </w:r>
      <w:r>
        <w:rPr>
          <w:rFonts w:hint="eastAsia"/>
          <w:color w:val="auto"/>
          <w:highlight w:val="none"/>
        </w:rPr>
        <w:t>投标，否则相关投标将被认定为</w:t>
      </w:r>
      <w:r>
        <w:rPr>
          <w:rFonts w:hint="eastAsia"/>
          <w:b/>
          <w:bCs/>
          <w:color w:val="auto"/>
          <w:highlight w:val="none"/>
        </w:rPr>
        <w:t>投标无效</w:t>
      </w:r>
      <w:r>
        <w:rPr>
          <w:rFonts w:hint="eastAsia"/>
          <w:color w:val="auto"/>
          <w:highlight w:val="none"/>
        </w:rPr>
        <w:t>。</w:t>
      </w:r>
    </w:p>
    <w:p w14:paraId="7E0F5A64">
      <w:pPr>
        <w:pStyle w:val="40"/>
        <w:spacing w:line="360" w:lineRule="auto"/>
        <w:rPr>
          <w:color w:val="auto"/>
          <w:highlight w:val="none"/>
        </w:rPr>
      </w:pPr>
      <w:r>
        <w:rPr>
          <w:rFonts w:hint="eastAsia"/>
          <w:color w:val="auto"/>
          <w:highlight w:val="none"/>
          <w:lang w:val="en-US"/>
        </w:rPr>
        <w:t>4.2</w:t>
      </w:r>
      <w:r>
        <w:rPr>
          <w:rFonts w:hint="eastAsia"/>
          <w:color w:val="auto"/>
          <w:highlight w:val="none"/>
        </w:rPr>
        <w:t>.5大中型企业、其他自然人、法人或者非法人组织与小型、微型企业组成联合体共同参加投标</w:t>
      </w:r>
      <w:r>
        <w:rPr>
          <w:rFonts w:hint="eastAsia"/>
          <w:color w:val="auto"/>
          <w:highlight w:val="none"/>
          <w:lang w:val="en-US"/>
        </w:rPr>
        <w:t>的</w:t>
      </w:r>
      <w:r>
        <w:rPr>
          <w:rFonts w:hint="eastAsia"/>
          <w:color w:val="auto"/>
          <w:highlight w:val="none"/>
        </w:rPr>
        <w:t>，联合</w:t>
      </w:r>
      <w:r>
        <w:rPr>
          <w:rFonts w:hint="eastAsia"/>
          <w:color w:val="auto"/>
          <w:highlight w:val="none"/>
          <w:lang w:val="en-US"/>
        </w:rPr>
        <w:t>体</w:t>
      </w:r>
      <w:r>
        <w:rPr>
          <w:rFonts w:hint="eastAsia"/>
          <w:color w:val="auto"/>
          <w:highlight w:val="none"/>
        </w:rPr>
        <w:t>协议</w:t>
      </w:r>
      <w:r>
        <w:rPr>
          <w:rFonts w:hint="eastAsia"/>
          <w:color w:val="auto"/>
          <w:highlight w:val="none"/>
          <w:lang w:val="en-US"/>
        </w:rPr>
        <w:t>书</w:t>
      </w:r>
      <w:r>
        <w:rPr>
          <w:rFonts w:hint="eastAsia"/>
          <w:color w:val="auto"/>
          <w:highlight w:val="none"/>
        </w:rPr>
        <w:t>中应写明小型、微型企业的合同金额占到联合</w:t>
      </w:r>
      <w:r>
        <w:rPr>
          <w:rFonts w:hint="eastAsia"/>
          <w:color w:val="auto"/>
          <w:highlight w:val="none"/>
          <w:lang w:val="en-US"/>
        </w:rPr>
        <w:t>体</w:t>
      </w:r>
      <w:r>
        <w:rPr>
          <w:rFonts w:hint="eastAsia"/>
          <w:color w:val="auto"/>
          <w:highlight w:val="none"/>
        </w:rPr>
        <w:t>投标</w:t>
      </w:r>
      <w:r>
        <w:rPr>
          <w:rFonts w:hint="eastAsia"/>
          <w:color w:val="auto"/>
          <w:highlight w:val="none"/>
          <w:lang w:val="en-US"/>
        </w:rPr>
        <w:t>合同</w:t>
      </w:r>
      <w:r>
        <w:rPr>
          <w:rFonts w:hint="eastAsia"/>
          <w:color w:val="auto"/>
          <w:highlight w:val="none"/>
        </w:rPr>
        <w:t>总金额的比例。</w:t>
      </w:r>
    </w:p>
    <w:p w14:paraId="4CC06AC7">
      <w:pPr>
        <w:pStyle w:val="40"/>
        <w:spacing w:line="360" w:lineRule="auto"/>
        <w:rPr>
          <w:color w:val="auto"/>
          <w:highlight w:val="none"/>
        </w:rPr>
      </w:pPr>
      <w:r>
        <w:rPr>
          <w:rFonts w:hint="eastAsia"/>
          <w:color w:val="auto"/>
          <w:highlight w:val="none"/>
        </w:rPr>
        <w:t>4.2</w:t>
      </w:r>
      <w:r>
        <w:rPr>
          <w:rFonts w:hint="eastAsia"/>
          <w:color w:val="auto"/>
          <w:highlight w:val="none"/>
          <w:lang w:val="en-US"/>
        </w:rPr>
        <w:t>.6</w:t>
      </w:r>
      <w:r>
        <w:rPr>
          <w:rFonts w:hint="eastAsia"/>
          <w:color w:val="auto"/>
          <w:highlight w:val="none"/>
        </w:rPr>
        <w:t>联合体中标</w:t>
      </w:r>
      <w:r>
        <w:rPr>
          <w:rFonts w:hint="eastAsia"/>
          <w:color w:val="auto"/>
          <w:highlight w:val="none"/>
          <w:lang w:val="en-US"/>
        </w:rPr>
        <w:t>的</w:t>
      </w:r>
      <w:r>
        <w:rPr>
          <w:rFonts w:hint="eastAsia"/>
          <w:color w:val="auto"/>
          <w:highlight w:val="none"/>
        </w:rPr>
        <w:t>，</w:t>
      </w:r>
      <w:r>
        <w:rPr>
          <w:rFonts w:hint="eastAsia"/>
          <w:color w:val="auto"/>
          <w:highlight w:val="none"/>
          <w:lang w:val="en-US"/>
        </w:rPr>
        <w:t>采购</w:t>
      </w:r>
      <w:r>
        <w:rPr>
          <w:rFonts w:hint="eastAsia"/>
          <w:color w:val="auto"/>
          <w:highlight w:val="none"/>
        </w:rPr>
        <w:t>合同应由</w:t>
      </w:r>
      <w:r>
        <w:rPr>
          <w:rFonts w:hint="eastAsia"/>
          <w:color w:val="auto"/>
          <w:highlight w:val="none"/>
          <w:lang w:val="en-US"/>
        </w:rPr>
        <w:t>联合体</w:t>
      </w:r>
      <w:r>
        <w:rPr>
          <w:rFonts w:hint="eastAsia"/>
          <w:color w:val="auto"/>
          <w:highlight w:val="none"/>
        </w:rPr>
        <w:t>各成员的合法授权代表签字</w:t>
      </w:r>
      <w:r>
        <w:rPr>
          <w:rFonts w:hint="eastAsia"/>
          <w:color w:val="auto"/>
          <w:highlight w:val="none"/>
          <w:lang w:val="en-US"/>
        </w:rPr>
        <w:t>及</w:t>
      </w:r>
      <w:r>
        <w:rPr>
          <w:rFonts w:hint="eastAsia"/>
          <w:color w:val="auto"/>
          <w:highlight w:val="none"/>
        </w:rPr>
        <w:t>加盖</w:t>
      </w:r>
      <w:r>
        <w:rPr>
          <w:rFonts w:hint="eastAsia"/>
          <w:color w:val="auto"/>
          <w:highlight w:val="none"/>
          <w:lang w:val="en-US"/>
        </w:rPr>
        <w:t>联合体</w:t>
      </w:r>
      <w:r>
        <w:rPr>
          <w:rFonts w:hint="eastAsia"/>
          <w:color w:val="auto"/>
          <w:highlight w:val="none"/>
        </w:rPr>
        <w:t>各成员公章，</w:t>
      </w:r>
      <w:r>
        <w:rPr>
          <w:rFonts w:hint="eastAsia"/>
          <w:color w:val="auto"/>
          <w:highlight w:val="none"/>
          <w:lang w:val="en-US"/>
        </w:rPr>
        <w:t>并</w:t>
      </w:r>
      <w:r>
        <w:rPr>
          <w:rFonts w:hint="eastAsia"/>
          <w:color w:val="auto"/>
          <w:highlight w:val="none"/>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566ADA33">
      <w:pPr>
        <w:pStyle w:val="40"/>
        <w:spacing w:line="360" w:lineRule="auto"/>
        <w:rPr>
          <w:color w:val="auto"/>
          <w:highlight w:val="none"/>
        </w:rPr>
      </w:pPr>
      <w:r>
        <w:rPr>
          <w:rFonts w:hint="eastAsia"/>
          <w:color w:val="auto"/>
          <w:highlight w:val="none"/>
        </w:rPr>
        <w:t>4.2</w:t>
      </w:r>
      <w:r>
        <w:rPr>
          <w:rFonts w:hint="eastAsia"/>
          <w:color w:val="auto"/>
          <w:highlight w:val="none"/>
          <w:lang w:val="en-US"/>
        </w:rPr>
        <w:t>.7</w:t>
      </w:r>
      <w:r>
        <w:rPr>
          <w:rFonts w:hint="eastAsia"/>
          <w:color w:val="auto"/>
          <w:highlight w:val="none"/>
        </w:rPr>
        <w:t>联合体或其成员不得将其在合同项下的权利或义务全部或部分转让给第三人，有关分包事项须事先取得采购</w:t>
      </w:r>
      <w:r>
        <w:rPr>
          <w:rFonts w:hint="eastAsia"/>
          <w:color w:val="auto"/>
          <w:highlight w:val="none"/>
          <w:lang w:val="en-US"/>
        </w:rPr>
        <w:t>人</w:t>
      </w:r>
      <w:r>
        <w:rPr>
          <w:rFonts w:hint="eastAsia"/>
          <w:color w:val="auto"/>
          <w:highlight w:val="none"/>
        </w:rPr>
        <w:t>书面同意并且须遵守相关法律、法规、本次招标的全部相关规定。</w:t>
      </w:r>
    </w:p>
    <w:p w14:paraId="042694E8">
      <w:pPr>
        <w:pStyle w:val="40"/>
        <w:spacing w:line="360" w:lineRule="auto"/>
        <w:rPr>
          <w:color w:val="auto"/>
          <w:highlight w:val="none"/>
        </w:rPr>
      </w:pPr>
      <w:r>
        <w:rPr>
          <w:rFonts w:hint="eastAsia"/>
          <w:color w:val="auto"/>
          <w:highlight w:val="none"/>
        </w:rPr>
        <w:t>4.2.8对联合体投标的其他资格要求见“第一章 招标公告”中的“二、申请人的资格要求”。</w:t>
      </w:r>
    </w:p>
    <w:p w14:paraId="5C63122A">
      <w:pPr>
        <w:pStyle w:val="5"/>
        <w:spacing w:line="360" w:lineRule="auto"/>
        <w:rPr>
          <w:color w:val="auto"/>
          <w:highlight w:val="none"/>
        </w:rPr>
      </w:pPr>
      <w:bookmarkStart w:id="151" w:name="_Toc163492827"/>
      <w:r>
        <w:rPr>
          <w:rFonts w:hint="eastAsia"/>
          <w:color w:val="auto"/>
          <w:highlight w:val="none"/>
        </w:rPr>
        <w:t>5.费用承担</w:t>
      </w:r>
      <w:bookmarkEnd w:id="151"/>
    </w:p>
    <w:p w14:paraId="184F0B89">
      <w:pPr>
        <w:pStyle w:val="40"/>
        <w:spacing w:line="360" w:lineRule="auto"/>
        <w:rPr>
          <w:color w:val="auto"/>
          <w:highlight w:val="none"/>
        </w:rPr>
      </w:pPr>
      <w:r>
        <w:rPr>
          <w:rFonts w:hint="eastAsia"/>
          <w:color w:val="auto"/>
          <w:highlight w:val="none"/>
        </w:rPr>
        <w:t>5.1不论投标的结果如何，投标人应承担所有与准备和参加投标有关的费用。</w:t>
      </w:r>
    </w:p>
    <w:p w14:paraId="42FF5542">
      <w:pPr>
        <w:pStyle w:val="5"/>
        <w:spacing w:line="360" w:lineRule="auto"/>
        <w:rPr>
          <w:color w:val="auto"/>
          <w:highlight w:val="none"/>
        </w:rPr>
      </w:pPr>
      <w:bookmarkStart w:id="152" w:name="_Toc140132761"/>
      <w:bookmarkStart w:id="153" w:name="_Toc163492828"/>
      <w:r>
        <w:rPr>
          <w:rFonts w:hint="eastAsia"/>
          <w:color w:val="auto"/>
          <w:highlight w:val="none"/>
        </w:rPr>
        <w:t>6.保密</w:t>
      </w:r>
      <w:bookmarkEnd w:id="152"/>
      <w:bookmarkEnd w:id="153"/>
    </w:p>
    <w:p w14:paraId="289B1652">
      <w:pPr>
        <w:pStyle w:val="40"/>
        <w:spacing w:line="360" w:lineRule="auto"/>
        <w:rPr>
          <w:color w:val="auto"/>
          <w:highlight w:val="none"/>
        </w:rPr>
      </w:pPr>
      <w:r>
        <w:rPr>
          <w:rFonts w:hint="eastAsia"/>
          <w:color w:val="auto"/>
          <w:highlight w:val="none"/>
        </w:rPr>
        <w:t>6.1</w:t>
      </w:r>
      <w:r>
        <w:rPr>
          <w:rFonts w:hint="eastAsia"/>
          <w:color w:val="auto"/>
          <w:highlight w:val="none"/>
          <w:lang w:val="en-US"/>
        </w:rPr>
        <w:t xml:space="preserve"> </w:t>
      </w:r>
      <w:r>
        <w:rPr>
          <w:rFonts w:hint="eastAsia"/>
          <w:color w:val="auto"/>
          <w:highlight w:val="none"/>
        </w:rPr>
        <w:t>参与招标投标活动的各方应对招标文件和投标文件中的商业和技术等秘密保密，否则应承担相应的法律责任。</w:t>
      </w:r>
    </w:p>
    <w:p w14:paraId="10353F2F">
      <w:pPr>
        <w:pStyle w:val="57"/>
        <w:spacing w:line="360" w:lineRule="auto"/>
        <w:ind w:firstLine="480" w:firstLineChars="200"/>
        <w:rPr>
          <w:rFonts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6.2 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41114CBF">
      <w:pPr>
        <w:pStyle w:val="57"/>
        <w:spacing w:line="360" w:lineRule="auto"/>
        <w:ind w:firstLine="480" w:firstLineChars="200"/>
        <w:rPr>
          <w:rFonts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6.3 采购代理机构有权将投标人提供的所有资料向有关政府部门或评审投标文件的有关人员披露。</w:t>
      </w:r>
    </w:p>
    <w:p w14:paraId="7085D295">
      <w:pPr>
        <w:pStyle w:val="57"/>
        <w:spacing w:line="360" w:lineRule="auto"/>
        <w:ind w:firstLine="480" w:firstLineChars="200"/>
        <w:rPr>
          <w:rFonts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6.4 各级人民政府财政部门对政府采购活动进行监督检查，有权查阅、复制有关文件、资料，相关单位和人员应当予以配合。</w:t>
      </w:r>
    </w:p>
    <w:p w14:paraId="4B263593">
      <w:pPr>
        <w:pStyle w:val="5"/>
        <w:spacing w:line="360" w:lineRule="auto"/>
        <w:rPr>
          <w:color w:val="auto"/>
          <w:highlight w:val="none"/>
        </w:rPr>
      </w:pPr>
      <w:bookmarkStart w:id="154" w:name="_Toc163492829"/>
      <w:bookmarkStart w:id="155" w:name="_Toc140132762"/>
      <w:r>
        <w:rPr>
          <w:rFonts w:hint="eastAsia"/>
          <w:color w:val="auto"/>
          <w:highlight w:val="none"/>
        </w:rPr>
        <w:t>7.语言文字</w:t>
      </w:r>
      <w:bookmarkEnd w:id="154"/>
      <w:bookmarkEnd w:id="155"/>
    </w:p>
    <w:p w14:paraId="481820A6">
      <w:pPr>
        <w:pStyle w:val="40"/>
        <w:spacing w:line="360" w:lineRule="auto"/>
        <w:rPr>
          <w:color w:val="auto"/>
          <w:highlight w:val="none"/>
        </w:rPr>
      </w:pPr>
      <w:r>
        <w:rPr>
          <w:rFonts w:hint="eastAsia"/>
          <w:color w:val="auto"/>
          <w:highlight w:val="none"/>
        </w:rPr>
        <w:t>7.1招标投标过程文件使用的语言文字为中文。专用术语使用外文的，应附有中文注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00C54D9D">
      <w:pPr>
        <w:pStyle w:val="5"/>
        <w:spacing w:line="360" w:lineRule="auto"/>
        <w:rPr>
          <w:color w:val="auto"/>
          <w:highlight w:val="none"/>
        </w:rPr>
      </w:pPr>
      <w:bookmarkStart w:id="156" w:name="_Toc140132763"/>
      <w:bookmarkStart w:id="157" w:name="_Toc163492830"/>
      <w:r>
        <w:rPr>
          <w:rFonts w:hint="eastAsia"/>
          <w:color w:val="auto"/>
          <w:highlight w:val="none"/>
        </w:rPr>
        <w:t>8.计量单位</w:t>
      </w:r>
      <w:bookmarkEnd w:id="156"/>
      <w:bookmarkEnd w:id="157"/>
    </w:p>
    <w:p w14:paraId="41CACAEA">
      <w:pPr>
        <w:pStyle w:val="40"/>
        <w:spacing w:line="360" w:lineRule="auto"/>
        <w:rPr>
          <w:color w:val="auto"/>
          <w:highlight w:val="none"/>
        </w:rPr>
      </w:pPr>
      <w:r>
        <w:rPr>
          <w:rFonts w:hint="eastAsia"/>
          <w:color w:val="auto"/>
          <w:highlight w:val="none"/>
        </w:rPr>
        <w:t>8.1所有计量均采用中华人民共和国法定计量单位。</w:t>
      </w:r>
    </w:p>
    <w:p w14:paraId="0381B1E1">
      <w:pPr>
        <w:pStyle w:val="5"/>
        <w:spacing w:line="360" w:lineRule="auto"/>
        <w:rPr>
          <w:color w:val="auto"/>
          <w:highlight w:val="none"/>
        </w:rPr>
      </w:pPr>
      <w:bookmarkStart w:id="158" w:name="_Toc163492831"/>
      <w:bookmarkStart w:id="159" w:name="_Toc140132764"/>
      <w:r>
        <w:rPr>
          <w:rFonts w:hint="eastAsia"/>
          <w:color w:val="auto"/>
          <w:highlight w:val="none"/>
        </w:rPr>
        <w:t>9.现场考察和答疑会</w:t>
      </w:r>
      <w:bookmarkEnd w:id="158"/>
      <w:bookmarkEnd w:id="159"/>
    </w:p>
    <w:p w14:paraId="2FE73B58">
      <w:pPr>
        <w:pStyle w:val="40"/>
        <w:spacing w:line="360" w:lineRule="auto"/>
        <w:rPr>
          <w:color w:val="auto"/>
          <w:highlight w:val="none"/>
        </w:rPr>
      </w:pPr>
      <w:bookmarkStart w:id="160" w:name="_Hlk143529198"/>
      <w:r>
        <w:rPr>
          <w:rFonts w:hint="eastAsia"/>
          <w:color w:val="auto"/>
          <w:highlight w:val="none"/>
        </w:rPr>
        <w:t xml:space="preserve">9.1 “投标人须知前附表”规定组织现场考察的，采购代理机构按“投标人须知前附表”规定的时间、地点组织投标人项目现场考察。 </w:t>
      </w:r>
    </w:p>
    <w:p w14:paraId="664261B9">
      <w:pPr>
        <w:pStyle w:val="40"/>
        <w:spacing w:line="360" w:lineRule="auto"/>
        <w:rPr>
          <w:color w:val="auto"/>
          <w:highlight w:val="none"/>
        </w:rPr>
      </w:pPr>
      <w:r>
        <w:rPr>
          <w:rFonts w:hint="eastAsia"/>
          <w:color w:val="auto"/>
          <w:highlight w:val="none"/>
        </w:rPr>
        <w:t>9.2 投标人现场考察发生的费用自理。</w:t>
      </w:r>
    </w:p>
    <w:p w14:paraId="7914A851">
      <w:pPr>
        <w:pStyle w:val="40"/>
        <w:spacing w:line="360" w:lineRule="auto"/>
        <w:rPr>
          <w:color w:val="auto"/>
          <w:highlight w:val="none"/>
        </w:rPr>
      </w:pPr>
      <w:r>
        <w:rPr>
          <w:rFonts w:hint="eastAsia"/>
          <w:color w:val="auto"/>
          <w:highlight w:val="none"/>
        </w:rPr>
        <w:t>9.3 在现场考察中，因投标人自身原因发生的人员伤亡和财产损失，由投标人自行负责。</w:t>
      </w:r>
    </w:p>
    <w:p w14:paraId="19BB3215">
      <w:pPr>
        <w:pStyle w:val="40"/>
        <w:spacing w:line="360" w:lineRule="auto"/>
        <w:rPr>
          <w:color w:val="auto"/>
          <w:highlight w:val="none"/>
        </w:rPr>
      </w:pPr>
      <w:r>
        <w:rPr>
          <w:rFonts w:hint="eastAsia"/>
          <w:color w:val="auto"/>
          <w:highlight w:val="none"/>
        </w:rPr>
        <w:t>9.4 采购人在现场考察中介绍的项目场地和相关的周边环境情况，仅供投标人在编制投标文件时参考，采购人和采购代理机构不对投标人据此作出的判断和决策负责。</w:t>
      </w:r>
    </w:p>
    <w:p w14:paraId="7B0ADBA3">
      <w:pPr>
        <w:pStyle w:val="40"/>
        <w:spacing w:line="360" w:lineRule="auto"/>
        <w:rPr>
          <w:color w:val="auto"/>
          <w:highlight w:val="none"/>
        </w:rPr>
      </w:pPr>
      <w:r>
        <w:rPr>
          <w:rFonts w:hint="eastAsia"/>
          <w:color w:val="auto"/>
          <w:highlight w:val="none"/>
        </w:rPr>
        <w:t>9.5 “投标人须知前附表”规定召开答疑会的，采购代理机构按“投标人须知前附表”规定的时间和地点召开答疑会，澄清投标人提出的问题。</w:t>
      </w:r>
    </w:p>
    <w:p w14:paraId="147EFB95">
      <w:pPr>
        <w:pStyle w:val="40"/>
        <w:spacing w:line="360" w:lineRule="auto"/>
        <w:rPr>
          <w:color w:val="auto"/>
          <w:highlight w:val="none"/>
        </w:rPr>
      </w:pPr>
      <w:r>
        <w:rPr>
          <w:rFonts w:hint="eastAsia"/>
          <w:color w:val="auto"/>
          <w:highlight w:val="none"/>
        </w:rPr>
        <w:t>9.6 由于未参加现场考察或未参加标前答疑会而导致对项目实际情况不了解，影响投标文件编制、投标报价准确性、综合因素响应不全面等问题的，由投标人自行承担不利评审后果。</w:t>
      </w:r>
    </w:p>
    <w:bookmarkEnd w:id="160"/>
    <w:p w14:paraId="06630811">
      <w:pPr>
        <w:pStyle w:val="5"/>
        <w:spacing w:line="360" w:lineRule="auto"/>
        <w:rPr>
          <w:color w:val="auto"/>
          <w:highlight w:val="none"/>
        </w:rPr>
      </w:pPr>
      <w:bookmarkStart w:id="161" w:name="_Toc163492833"/>
      <w:bookmarkStart w:id="162" w:name="_Toc155185858"/>
      <w:bookmarkStart w:id="163" w:name="_Toc155185871"/>
      <w:r>
        <w:rPr>
          <w:rFonts w:hint="eastAsia"/>
          <w:color w:val="auto"/>
          <w:highlight w:val="none"/>
        </w:rPr>
        <w:t>10.电子投标说明</w:t>
      </w:r>
      <w:bookmarkEnd w:id="161"/>
      <w:bookmarkEnd w:id="162"/>
      <w:r>
        <w:rPr>
          <w:rFonts w:hint="eastAsia"/>
          <w:color w:val="auto"/>
          <w:highlight w:val="none"/>
        </w:rPr>
        <w:t xml:space="preserve">   </w:t>
      </w:r>
    </w:p>
    <w:p w14:paraId="2D05E7D1">
      <w:pPr>
        <w:pStyle w:val="40"/>
        <w:spacing w:line="360" w:lineRule="auto"/>
        <w:rPr>
          <w:color w:val="auto"/>
          <w:highlight w:val="none"/>
          <w:lang w:val="en-US"/>
        </w:rPr>
      </w:pPr>
      <w:r>
        <w:rPr>
          <w:rFonts w:hint="eastAsia"/>
          <w:color w:val="auto"/>
          <w:highlight w:val="none"/>
          <w:lang w:val="en-US"/>
        </w:rPr>
        <w:t xml:space="preserve">10.1 </w:t>
      </w:r>
      <w:r>
        <w:rPr>
          <w:rFonts w:hint="eastAsia"/>
          <w:color w:val="auto"/>
          <w:highlight w:val="none"/>
        </w:rPr>
        <w:t>本次采购采用电子交易方式</w:t>
      </w:r>
      <w:r>
        <w:rPr>
          <w:rFonts w:hint="eastAsia"/>
          <w:color w:val="auto"/>
          <w:highlight w:val="none"/>
          <w:lang w:val="en-US"/>
        </w:rPr>
        <w:t>，</w:t>
      </w:r>
      <w:r>
        <w:rPr>
          <w:rFonts w:hint="eastAsia"/>
          <w:color w:val="auto"/>
          <w:highlight w:val="none"/>
        </w:rPr>
        <w:t>电子交易平台为</w:t>
      </w:r>
      <w:r>
        <w:rPr>
          <w:rFonts w:hint="eastAsia"/>
          <w:color w:val="auto"/>
          <w:highlight w:val="none"/>
          <w:lang w:val="en-US"/>
        </w:rPr>
        <w:t>新疆政府采购电子交易云</w:t>
      </w:r>
      <w:r>
        <w:rPr>
          <w:rFonts w:hint="eastAsia"/>
          <w:color w:val="auto"/>
          <w:highlight w:val="none"/>
        </w:rPr>
        <w:t>平台</w:t>
      </w:r>
      <w:r>
        <w:rPr>
          <w:rFonts w:hint="eastAsia"/>
          <w:color w:val="auto"/>
          <w:highlight w:val="none"/>
          <w:lang w:val="hr-HR"/>
        </w:rPr>
        <w:t>（</w:t>
      </w:r>
      <w:r>
        <w:rPr>
          <w:rFonts w:hint="eastAsia"/>
          <w:color w:val="auto"/>
          <w:highlight w:val="none"/>
        </w:rPr>
        <w:t>网址</w:t>
      </w:r>
      <w:r>
        <w:rPr>
          <w:rFonts w:hint="eastAsia"/>
          <w:color w:val="auto"/>
          <w:highlight w:val="none"/>
          <w:lang w:val="hr-HR"/>
        </w:rPr>
        <w:t>：https://www.zcygov.cn/）</w:t>
      </w:r>
      <w:r>
        <w:rPr>
          <w:rFonts w:hint="eastAsia"/>
          <w:color w:val="auto"/>
          <w:highlight w:val="none"/>
        </w:rPr>
        <w:t>。投标人参与本项目电子交易活动前，应</w:t>
      </w:r>
      <w:r>
        <w:rPr>
          <w:rFonts w:hint="eastAsia"/>
          <w:color w:val="auto"/>
          <w:highlight w:val="none"/>
          <w:lang w:val="en-US"/>
        </w:rPr>
        <w:t>在</w:t>
      </w:r>
      <w:r>
        <w:rPr>
          <w:rFonts w:hint="eastAsia"/>
          <w:color w:val="auto"/>
          <w:highlight w:val="none"/>
        </w:rPr>
        <w:t>政</w:t>
      </w:r>
      <w:r>
        <w:rPr>
          <w:rFonts w:hint="eastAsia"/>
          <w:color w:val="auto"/>
          <w:highlight w:val="none"/>
          <w:lang w:val="en-US"/>
        </w:rPr>
        <w:t>采云</w:t>
      </w:r>
      <w:r>
        <w:rPr>
          <w:rFonts w:hint="eastAsia"/>
          <w:color w:val="auto"/>
          <w:highlight w:val="none"/>
        </w:rPr>
        <w:t>平台</w:t>
      </w:r>
      <w:r>
        <w:rPr>
          <w:rFonts w:hint="eastAsia"/>
          <w:color w:val="auto"/>
          <w:highlight w:val="none"/>
          <w:lang w:val="en-US"/>
        </w:rPr>
        <w:t>上</w:t>
      </w:r>
      <w:r>
        <w:rPr>
          <w:rFonts w:hint="eastAsia"/>
          <w:color w:val="auto"/>
          <w:highlight w:val="none"/>
        </w:rPr>
        <w:t>注册</w:t>
      </w:r>
      <w:r>
        <w:rPr>
          <w:rFonts w:hint="eastAsia"/>
          <w:color w:val="auto"/>
          <w:highlight w:val="none"/>
          <w:lang w:val="en-US"/>
        </w:rPr>
        <w:t>供应商账号</w:t>
      </w:r>
      <w:r>
        <w:rPr>
          <w:rFonts w:hint="eastAsia"/>
          <w:color w:val="auto"/>
          <w:highlight w:val="none"/>
        </w:rPr>
        <w:t>。编制电子</w:t>
      </w:r>
      <w:r>
        <w:rPr>
          <w:rFonts w:hint="eastAsia"/>
          <w:color w:val="auto"/>
          <w:highlight w:val="none"/>
          <w:lang w:val="en-US"/>
        </w:rPr>
        <w:t>投标</w:t>
      </w:r>
      <w:r>
        <w:rPr>
          <w:rFonts w:hint="eastAsia"/>
          <w:color w:val="auto"/>
          <w:highlight w:val="none"/>
        </w:rPr>
        <w:t>文件前还需</w:t>
      </w:r>
      <w:r>
        <w:rPr>
          <w:rFonts w:hint="eastAsia"/>
          <w:color w:val="auto"/>
          <w:highlight w:val="none"/>
          <w:lang w:val="en-US"/>
        </w:rPr>
        <w:t>申领CA证书并绑定账号。投标人应充分考虑完成平台注册、申领CA证书等所需的时间。</w:t>
      </w:r>
      <w:r>
        <w:rPr>
          <w:rFonts w:hint="eastAsia"/>
          <w:color w:val="auto"/>
          <w:highlight w:val="none"/>
        </w:rPr>
        <w:t>潜在投标人领取文件须提前完成注册、CA证书和电子签章申领和绑定、下载“投标客户端”。因未办理CA数字证书、CA证书故障、操作不当等原因造成无法投标或投标失败等后果由投标人自行承担。</w:t>
      </w:r>
      <w:r>
        <w:rPr>
          <w:rFonts w:hint="eastAsia"/>
          <w:color w:val="auto"/>
          <w:highlight w:val="none"/>
          <w:lang w:val="en-US"/>
        </w:rPr>
        <w:t>投标人</w:t>
      </w:r>
      <w:r>
        <w:rPr>
          <w:rFonts w:hint="eastAsia"/>
          <w:color w:val="auto"/>
          <w:highlight w:val="none"/>
        </w:rPr>
        <w:t>登录新疆政府采购网“供应商注册”—“新疆生产建设新疆政府采购供应商入驻登记”—“立即登记”进行自助注册绑定。</w:t>
      </w:r>
    </w:p>
    <w:p w14:paraId="1D1BFF87">
      <w:pPr>
        <w:pStyle w:val="40"/>
        <w:spacing w:line="360" w:lineRule="auto"/>
        <w:rPr>
          <w:color w:val="auto"/>
          <w:highlight w:val="none"/>
        </w:rPr>
      </w:pPr>
      <w:r>
        <w:rPr>
          <w:rFonts w:hint="eastAsia"/>
          <w:color w:val="auto"/>
          <w:highlight w:val="none"/>
          <w:lang w:val="en-US"/>
        </w:rPr>
        <w:t>10.</w:t>
      </w:r>
      <w:r>
        <w:rPr>
          <w:rFonts w:hint="eastAsia"/>
          <w:color w:val="auto"/>
          <w:highlight w:val="none"/>
        </w:rPr>
        <w:t>2</w:t>
      </w:r>
      <w:r>
        <w:rPr>
          <w:rFonts w:hint="eastAsia"/>
          <w:color w:val="auto"/>
          <w:highlight w:val="none"/>
          <w:lang w:val="en-US"/>
        </w:rPr>
        <w:t xml:space="preserve"> </w:t>
      </w:r>
      <w:r>
        <w:rPr>
          <w:rFonts w:hint="eastAsia"/>
          <w:color w:val="auto"/>
          <w:highlight w:val="none"/>
        </w:rPr>
        <w:t>投标人将</w:t>
      </w:r>
      <w:r>
        <w:rPr>
          <w:rFonts w:hint="eastAsia"/>
          <w:color w:val="auto"/>
          <w:highlight w:val="none"/>
          <w:lang w:val="en-US"/>
        </w:rPr>
        <w:t>新疆政府采购电子交易云</w:t>
      </w:r>
      <w:r>
        <w:rPr>
          <w:rFonts w:hint="eastAsia"/>
          <w:color w:val="auto"/>
          <w:highlight w:val="none"/>
        </w:rPr>
        <w:t>平台电子交易客户端下载、安装完成后，可通过账号密码或CA登录客户端进行投标文件制作。在使用政采云“投标客户端”时，建议使用WIN7及以上操作系统。</w:t>
      </w:r>
      <w:r>
        <w:rPr>
          <w:rFonts w:hint="eastAsia"/>
          <w:color w:val="auto"/>
          <w:highlight w:val="none"/>
          <w:lang w:val="en-US"/>
        </w:rPr>
        <w:t>投标人</w:t>
      </w:r>
      <w:r>
        <w:rPr>
          <w:rFonts w:hint="eastAsia"/>
          <w:color w:val="auto"/>
          <w:highlight w:val="none"/>
        </w:rPr>
        <w:t>登录新疆政府采购网“下载专区”—“电子招投标客户端下载”下载相关客户端，如有问题可拨打政采云客户服务热线95763进行咨询。</w:t>
      </w:r>
    </w:p>
    <w:p w14:paraId="0A2786AF">
      <w:pPr>
        <w:pStyle w:val="40"/>
        <w:spacing w:line="360" w:lineRule="auto"/>
        <w:rPr>
          <w:color w:val="auto"/>
          <w:highlight w:val="none"/>
        </w:rPr>
      </w:pPr>
      <w:r>
        <w:rPr>
          <w:rFonts w:hint="eastAsia"/>
          <w:color w:val="auto"/>
          <w:highlight w:val="none"/>
          <w:lang w:val="en-US"/>
        </w:rPr>
        <w:t>10.</w:t>
      </w:r>
      <w:r>
        <w:rPr>
          <w:rFonts w:hint="eastAsia"/>
          <w:color w:val="auto"/>
          <w:highlight w:val="none"/>
        </w:rPr>
        <w:t>3</w:t>
      </w:r>
      <w:r>
        <w:rPr>
          <w:rFonts w:hint="eastAsia"/>
          <w:color w:val="auto"/>
          <w:highlight w:val="none"/>
          <w:lang w:val="en-US"/>
        </w:rPr>
        <w:t xml:space="preserve"> </w:t>
      </w:r>
      <w:r>
        <w:rPr>
          <w:rFonts w:hint="eastAsia"/>
          <w:color w:val="auto"/>
          <w:highlight w:val="none"/>
        </w:rPr>
        <w:t>加密的电子投标文件应在投标文件递交截止时间前通过政采云平台上传完成。逾期上传或者未上传指定地点的投标文件，不予受理。</w:t>
      </w:r>
    </w:p>
    <w:p w14:paraId="12CB84F0">
      <w:pPr>
        <w:pStyle w:val="40"/>
        <w:spacing w:line="360" w:lineRule="auto"/>
        <w:rPr>
          <w:color w:val="auto"/>
          <w:highlight w:val="none"/>
        </w:rPr>
      </w:pPr>
      <w:r>
        <w:rPr>
          <w:rFonts w:hint="eastAsia"/>
          <w:color w:val="auto"/>
          <w:highlight w:val="none"/>
          <w:lang w:val="en-US"/>
        </w:rPr>
        <w:t>10.</w:t>
      </w:r>
      <w:r>
        <w:rPr>
          <w:rFonts w:hint="eastAsia"/>
          <w:color w:val="auto"/>
          <w:highlight w:val="none"/>
        </w:rPr>
        <w:t>4</w:t>
      </w:r>
      <w:r>
        <w:rPr>
          <w:rFonts w:hint="eastAsia"/>
          <w:color w:val="auto"/>
          <w:highlight w:val="none"/>
          <w:lang w:val="en-US"/>
        </w:rPr>
        <w:t xml:space="preserve"> </w:t>
      </w:r>
      <w:r>
        <w:rPr>
          <w:rFonts w:hint="eastAsia"/>
          <w:color w:val="auto"/>
          <w:highlight w:val="none"/>
        </w:rPr>
        <w:t>投标人在开标前须提前配置好电脑</w:t>
      </w:r>
      <w:r>
        <w:rPr>
          <w:rFonts w:hint="eastAsia"/>
          <w:color w:val="auto"/>
          <w:highlight w:val="none"/>
          <w:lang w:val="en-US"/>
        </w:rPr>
        <w:t>及</w:t>
      </w:r>
      <w:r>
        <w:rPr>
          <w:rFonts w:hint="eastAsia"/>
          <w:color w:val="auto"/>
          <w:highlight w:val="none"/>
        </w:rPr>
        <w:t>浏览器，开标时请使用制作加密电子投标文件的CA锁进行解密及报价确认。本项目投标文件解密时间</w:t>
      </w:r>
      <w:r>
        <w:rPr>
          <w:rFonts w:hint="eastAsia"/>
          <w:color w:val="auto"/>
          <w:highlight w:val="none"/>
          <w:lang w:val="en-US"/>
        </w:rPr>
        <w:t>详见“投标人须知前附表”</w:t>
      </w:r>
      <w:r>
        <w:rPr>
          <w:rFonts w:hint="eastAsia"/>
          <w:color w:val="auto"/>
          <w:highlight w:val="none"/>
        </w:rPr>
        <w:t>，如因自身原因导致无法正常解密，后果由投标人自行承担。</w:t>
      </w:r>
    </w:p>
    <w:p w14:paraId="77552B0E">
      <w:pPr>
        <w:pStyle w:val="40"/>
        <w:spacing w:line="360" w:lineRule="auto"/>
        <w:rPr>
          <w:color w:val="auto"/>
          <w:highlight w:val="none"/>
        </w:rPr>
      </w:pPr>
      <w:r>
        <w:rPr>
          <w:rFonts w:hint="eastAsia"/>
          <w:color w:val="auto"/>
          <w:highlight w:val="none"/>
          <w:lang w:val="en-US"/>
        </w:rPr>
        <w:t>10.</w:t>
      </w:r>
      <w:r>
        <w:rPr>
          <w:rFonts w:hint="eastAsia"/>
          <w:color w:val="auto"/>
          <w:highlight w:val="none"/>
        </w:rPr>
        <w:t>5</w:t>
      </w:r>
      <w:r>
        <w:rPr>
          <w:rFonts w:hint="eastAsia"/>
          <w:color w:val="auto"/>
          <w:highlight w:val="none"/>
          <w:lang w:val="en-US"/>
        </w:rPr>
        <w:t xml:space="preserve"> </w:t>
      </w:r>
      <w:r>
        <w:rPr>
          <w:rFonts w:hint="eastAsia"/>
          <w:color w:val="auto"/>
          <w:highlight w:val="none"/>
        </w:rPr>
        <w:t>如遇“</w:t>
      </w:r>
      <w:r>
        <w:rPr>
          <w:rFonts w:hint="eastAsia"/>
          <w:color w:val="auto"/>
          <w:highlight w:val="none"/>
          <w:lang w:val="en-US"/>
        </w:rPr>
        <w:t>新疆政府采购电子交易云</w:t>
      </w:r>
      <w:r>
        <w:rPr>
          <w:rFonts w:hint="eastAsia"/>
          <w:color w:val="auto"/>
          <w:highlight w:val="none"/>
        </w:rPr>
        <w:t>平台</w:t>
      </w:r>
      <w:r>
        <w:rPr>
          <w:rFonts w:hint="eastAsia"/>
          <w:color w:val="auto"/>
          <w:highlight w:val="none"/>
          <w:lang w:val="hr-HR"/>
        </w:rPr>
        <w:t>（</w:t>
      </w:r>
      <w:r>
        <w:rPr>
          <w:rFonts w:hint="eastAsia"/>
          <w:color w:val="auto"/>
          <w:highlight w:val="none"/>
        </w:rPr>
        <w:t>网址</w:t>
      </w:r>
      <w:r>
        <w:rPr>
          <w:rFonts w:hint="eastAsia"/>
          <w:color w:val="auto"/>
          <w:highlight w:val="none"/>
          <w:lang w:val="hr-HR"/>
        </w:rPr>
        <w:t>：https://www.zcygov.cn/）</w:t>
      </w:r>
      <w:r>
        <w:rPr>
          <w:rFonts w:hint="eastAsia"/>
          <w:color w:val="auto"/>
          <w:highlight w:val="none"/>
        </w:rPr>
        <w:t>”电子交易规则调整，以最新要求为准。</w:t>
      </w:r>
    </w:p>
    <w:p w14:paraId="1A8A4157">
      <w:pPr>
        <w:pStyle w:val="40"/>
        <w:spacing w:line="360" w:lineRule="auto"/>
        <w:rPr>
          <w:color w:val="auto"/>
          <w:highlight w:val="none"/>
        </w:rPr>
      </w:pPr>
      <w:r>
        <w:rPr>
          <w:rFonts w:hint="eastAsia"/>
          <w:color w:val="auto"/>
          <w:highlight w:val="none"/>
        </w:rPr>
        <w:t>10.6 电子交易系统咨询：投标人应当充分考虑到电子投标可能会发生的各种问题和风险，特别是投标文件签署、提交等问题，可按照“第一章 招标公告”的联系方式咨询相关人员。</w:t>
      </w:r>
    </w:p>
    <w:p w14:paraId="489235D3">
      <w:pPr>
        <w:pStyle w:val="40"/>
        <w:spacing w:line="360" w:lineRule="auto"/>
        <w:rPr>
          <w:color w:val="auto"/>
          <w:highlight w:val="none"/>
        </w:rPr>
      </w:pPr>
      <w:r>
        <w:rPr>
          <w:rFonts w:hint="eastAsia"/>
          <w:color w:val="auto"/>
          <w:highlight w:val="none"/>
        </w:rPr>
        <w:t>10.7 由于本项目采用电子招标方式，潜在投标人的名单将在提交投标文件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7F64E669">
      <w:pPr>
        <w:pStyle w:val="4"/>
        <w:spacing w:line="360" w:lineRule="auto"/>
        <w:rPr>
          <w:color w:val="auto"/>
          <w:highlight w:val="none"/>
        </w:rPr>
      </w:pPr>
      <w:bookmarkStart w:id="164" w:name="_Toc163492834"/>
      <w:r>
        <w:rPr>
          <w:rFonts w:hint="eastAsia"/>
          <w:color w:val="auto"/>
          <w:highlight w:val="none"/>
        </w:rPr>
        <w:t>（二）招标文件</w:t>
      </w:r>
      <w:bookmarkEnd w:id="163"/>
      <w:bookmarkEnd w:id="164"/>
    </w:p>
    <w:p w14:paraId="07A61E2E">
      <w:pPr>
        <w:pStyle w:val="5"/>
        <w:spacing w:line="360" w:lineRule="auto"/>
        <w:rPr>
          <w:color w:val="auto"/>
          <w:highlight w:val="none"/>
        </w:rPr>
      </w:pPr>
      <w:bookmarkStart w:id="165" w:name="_Toc163492835"/>
      <w:bookmarkStart w:id="166" w:name="_Toc140132768"/>
      <w:r>
        <w:rPr>
          <w:rFonts w:hint="eastAsia"/>
          <w:color w:val="auto"/>
          <w:highlight w:val="none"/>
        </w:rPr>
        <w:t>11.招标文件的组成</w:t>
      </w:r>
      <w:bookmarkEnd w:id="165"/>
      <w:bookmarkEnd w:id="166"/>
    </w:p>
    <w:p w14:paraId="3D51E763">
      <w:pPr>
        <w:pStyle w:val="40"/>
        <w:spacing w:line="360" w:lineRule="auto"/>
        <w:rPr>
          <w:color w:val="auto"/>
          <w:highlight w:val="none"/>
        </w:rPr>
      </w:pPr>
      <w:r>
        <w:rPr>
          <w:color w:val="auto"/>
          <w:highlight w:val="none"/>
        </w:rPr>
        <w:t>1</w:t>
      </w:r>
      <w:r>
        <w:rPr>
          <w:rFonts w:hint="eastAsia"/>
          <w:color w:val="auto"/>
          <w:highlight w:val="none"/>
        </w:rPr>
        <w:t>1.1本招标文件包括下列文件及根据本章第9款、第</w:t>
      </w:r>
      <w:r>
        <w:rPr>
          <w:color w:val="auto"/>
          <w:highlight w:val="none"/>
        </w:rPr>
        <w:t>1</w:t>
      </w:r>
      <w:r>
        <w:rPr>
          <w:rFonts w:hint="eastAsia"/>
          <w:color w:val="auto"/>
          <w:highlight w:val="none"/>
        </w:rPr>
        <w:t>2款对招标文件所作的澄清或者修改。</w:t>
      </w:r>
    </w:p>
    <w:p w14:paraId="6C1A2ED1">
      <w:pPr>
        <w:spacing w:line="360" w:lineRule="auto"/>
        <w:rPr>
          <w:color w:val="auto"/>
          <w:highlight w:val="none"/>
        </w:rPr>
      </w:pPr>
      <w:r>
        <w:rPr>
          <w:rFonts w:hint="eastAsia"/>
          <w:color w:val="auto"/>
          <w:highlight w:val="none"/>
        </w:rPr>
        <w:t>第一章 招标公告</w:t>
      </w:r>
    </w:p>
    <w:p w14:paraId="08D66AA9">
      <w:pPr>
        <w:spacing w:line="360" w:lineRule="auto"/>
        <w:rPr>
          <w:color w:val="auto"/>
          <w:highlight w:val="none"/>
        </w:rPr>
      </w:pPr>
      <w:r>
        <w:rPr>
          <w:rFonts w:hint="eastAsia"/>
          <w:color w:val="auto"/>
          <w:highlight w:val="none"/>
        </w:rPr>
        <w:t>第二章 投标人须知</w:t>
      </w:r>
    </w:p>
    <w:p w14:paraId="40E53460">
      <w:pPr>
        <w:spacing w:line="360" w:lineRule="auto"/>
        <w:rPr>
          <w:color w:val="auto"/>
          <w:highlight w:val="none"/>
        </w:rPr>
      </w:pPr>
      <w:r>
        <w:rPr>
          <w:rFonts w:hint="eastAsia"/>
          <w:color w:val="auto"/>
          <w:highlight w:val="none"/>
        </w:rPr>
        <w:t>第三章 采购需求</w:t>
      </w:r>
    </w:p>
    <w:p w14:paraId="1AE33EBF">
      <w:pPr>
        <w:spacing w:line="360" w:lineRule="auto"/>
        <w:rPr>
          <w:color w:val="auto"/>
          <w:highlight w:val="none"/>
        </w:rPr>
      </w:pPr>
      <w:r>
        <w:rPr>
          <w:rFonts w:hint="eastAsia"/>
          <w:color w:val="auto"/>
          <w:highlight w:val="none"/>
        </w:rPr>
        <w:t>第四章 资格审查</w:t>
      </w:r>
    </w:p>
    <w:p w14:paraId="203AA081">
      <w:pPr>
        <w:spacing w:line="360" w:lineRule="auto"/>
        <w:rPr>
          <w:color w:val="auto"/>
          <w:highlight w:val="none"/>
        </w:rPr>
      </w:pPr>
      <w:r>
        <w:rPr>
          <w:rFonts w:hint="eastAsia"/>
          <w:color w:val="auto"/>
          <w:highlight w:val="none"/>
        </w:rPr>
        <w:t>第五章 评标方法及标准</w:t>
      </w:r>
    </w:p>
    <w:p w14:paraId="031F8E72">
      <w:pPr>
        <w:spacing w:line="360" w:lineRule="auto"/>
        <w:rPr>
          <w:color w:val="auto"/>
          <w:highlight w:val="none"/>
        </w:rPr>
      </w:pPr>
      <w:r>
        <w:rPr>
          <w:rFonts w:hint="eastAsia"/>
          <w:color w:val="auto"/>
          <w:highlight w:val="none"/>
        </w:rPr>
        <w:t>第六章 合同草案</w:t>
      </w:r>
    </w:p>
    <w:p w14:paraId="77B378BC">
      <w:pPr>
        <w:spacing w:line="360" w:lineRule="auto"/>
        <w:rPr>
          <w:color w:val="auto"/>
          <w:highlight w:val="none"/>
        </w:rPr>
      </w:pPr>
      <w:r>
        <w:rPr>
          <w:rFonts w:hint="eastAsia"/>
          <w:color w:val="auto"/>
          <w:highlight w:val="none"/>
        </w:rPr>
        <w:t>第七章 投标文件的格式</w:t>
      </w:r>
    </w:p>
    <w:p w14:paraId="4605559C">
      <w:pPr>
        <w:pStyle w:val="5"/>
        <w:spacing w:line="360" w:lineRule="auto"/>
        <w:rPr>
          <w:color w:val="auto"/>
          <w:highlight w:val="none"/>
        </w:rPr>
      </w:pPr>
      <w:bookmarkStart w:id="167" w:name="_Toc163492836"/>
      <w:bookmarkStart w:id="168" w:name="_Toc140132769"/>
      <w:r>
        <w:rPr>
          <w:rFonts w:hint="eastAsia"/>
          <w:color w:val="auto"/>
          <w:highlight w:val="none"/>
        </w:rPr>
        <w:t>12.招标文件的询问、澄清或者修改</w:t>
      </w:r>
      <w:bookmarkEnd w:id="167"/>
      <w:bookmarkEnd w:id="168"/>
    </w:p>
    <w:p w14:paraId="4C62CFC4">
      <w:pPr>
        <w:pStyle w:val="40"/>
        <w:spacing w:line="360" w:lineRule="auto"/>
        <w:rPr>
          <w:color w:val="auto"/>
          <w:highlight w:val="none"/>
        </w:rPr>
      </w:pPr>
      <w:r>
        <w:rPr>
          <w:rFonts w:hint="eastAsia"/>
          <w:color w:val="auto"/>
          <w:highlight w:val="none"/>
        </w:rPr>
        <w:t>12</w:t>
      </w:r>
      <w:r>
        <w:rPr>
          <w:color w:val="auto"/>
          <w:highlight w:val="none"/>
        </w:rPr>
        <w:t>.</w:t>
      </w:r>
      <w:r>
        <w:rPr>
          <w:rFonts w:hint="eastAsia"/>
          <w:color w:val="auto"/>
          <w:highlight w:val="none"/>
        </w:rPr>
        <w:t>1</w:t>
      </w:r>
      <w:r>
        <w:rPr>
          <w:color w:val="auto"/>
          <w:highlight w:val="none"/>
        </w:rPr>
        <w:t>投标人如对招标文件内容有疑问，须在</w:t>
      </w:r>
      <w:r>
        <w:rPr>
          <w:rFonts w:hint="eastAsia"/>
          <w:color w:val="auto"/>
          <w:highlight w:val="none"/>
        </w:rPr>
        <w:t>“</w:t>
      </w:r>
      <w:r>
        <w:rPr>
          <w:color w:val="auto"/>
          <w:highlight w:val="none"/>
        </w:rPr>
        <w:t>投标人须知前附表</w:t>
      </w:r>
      <w:r>
        <w:rPr>
          <w:rFonts w:hint="eastAsia"/>
          <w:color w:val="auto"/>
          <w:highlight w:val="none"/>
        </w:rPr>
        <w:t>”</w:t>
      </w:r>
      <w:r>
        <w:rPr>
          <w:color w:val="auto"/>
          <w:highlight w:val="none"/>
        </w:rPr>
        <w:t>规定的</w:t>
      </w:r>
      <w:r>
        <w:rPr>
          <w:rFonts w:hint="eastAsia"/>
          <w:color w:val="auto"/>
          <w:highlight w:val="none"/>
        </w:rPr>
        <w:t>询问方式和</w:t>
      </w:r>
      <w:r>
        <w:rPr>
          <w:color w:val="auto"/>
          <w:highlight w:val="none"/>
        </w:rPr>
        <w:t>时间提交给</w:t>
      </w:r>
      <w:r>
        <w:rPr>
          <w:rFonts w:hint="eastAsia"/>
          <w:color w:val="auto"/>
          <w:highlight w:val="none"/>
        </w:rPr>
        <w:t>采购人或</w:t>
      </w:r>
      <w:r>
        <w:rPr>
          <w:color w:val="auto"/>
          <w:highlight w:val="none"/>
        </w:rPr>
        <w:t>采购代理机构。</w:t>
      </w:r>
    </w:p>
    <w:p w14:paraId="31DAA440">
      <w:pPr>
        <w:pStyle w:val="40"/>
        <w:spacing w:line="360" w:lineRule="auto"/>
        <w:rPr>
          <w:color w:val="auto"/>
          <w:highlight w:val="none"/>
        </w:rPr>
      </w:pPr>
      <w:r>
        <w:rPr>
          <w:rFonts w:hint="eastAsia"/>
          <w:color w:val="auto"/>
          <w:highlight w:val="none"/>
        </w:rPr>
        <w:t>12</w:t>
      </w:r>
      <w:r>
        <w:rPr>
          <w:color w:val="auto"/>
          <w:highlight w:val="none"/>
        </w:rPr>
        <w:t>.</w:t>
      </w:r>
      <w:r>
        <w:rPr>
          <w:rFonts w:hint="eastAsia"/>
          <w:color w:val="auto"/>
          <w:highlight w:val="none"/>
        </w:rPr>
        <w:t>2采购人可主动地或在答复投标人提出的询问时对招标文件进行澄清与修改。</w:t>
      </w:r>
      <w:r>
        <w:rPr>
          <w:color w:val="auto"/>
          <w:highlight w:val="none"/>
        </w:rPr>
        <w:t>采购代理机构将</w:t>
      </w:r>
      <w:r>
        <w:rPr>
          <w:rFonts w:hint="eastAsia"/>
          <w:color w:val="auto"/>
          <w:highlight w:val="none"/>
        </w:rPr>
        <w:t>在新疆政府采购云平台以发布更正公告的方式澄清或修改招标文件，更正公告的</w:t>
      </w:r>
      <w:r>
        <w:rPr>
          <w:color w:val="auto"/>
          <w:highlight w:val="none"/>
        </w:rPr>
        <w:t>内容</w:t>
      </w:r>
      <w:r>
        <w:rPr>
          <w:rFonts w:hint="eastAsia"/>
          <w:color w:val="auto"/>
          <w:highlight w:val="none"/>
        </w:rPr>
        <w:t>作</w:t>
      </w:r>
      <w:r>
        <w:rPr>
          <w:color w:val="auto"/>
          <w:highlight w:val="none"/>
        </w:rPr>
        <w:t>为招标文件</w:t>
      </w:r>
      <w:r>
        <w:rPr>
          <w:rFonts w:hint="eastAsia"/>
          <w:color w:val="auto"/>
          <w:highlight w:val="none"/>
        </w:rPr>
        <w:t>的</w:t>
      </w:r>
      <w:r>
        <w:rPr>
          <w:color w:val="auto"/>
          <w:highlight w:val="none"/>
        </w:rPr>
        <w:t>组成部分，对投标人起约束作用</w:t>
      </w:r>
      <w:r>
        <w:rPr>
          <w:rFonts w:hint="eastAsia"/>
          <w:color w:val="auto"/>
          <w:highlight w:val="none"/>
        </w:rPr>
        <w:t>。投标人应主动上网查询。采购代理机构不承担投标人未及时关注相关信息引发的相关责任。</w:t>
      </w:r>
    </w:p>
    <w:p w14:paraId="5DB0EBEF">
      <w:pPr>
        <w:pStyle w:val="40"/>
        <w:spacing w:line="360" w:lineRule="auto"/>
        <w:rPr>
          <w:color w:val="auto"/>
          <w:highlight w:val="none"/>
        </w:rPr>
      </w:pPr>
      <w:r>
        <w:rPr>
          <w:color w:val="auto"/>
          <w:highlight w:val="none"/>
        </w:rPr>
        <w:t>1</w:t>
      </w:r>
      <w:r>
        <w:rPr>
          <w:rFonts w:hint="eastAsia"/>
          <w:color w:val="auto"/>
          <w:highlight w:val="none"/>
        </w:rPr>
        <w:t>2.3 招标文件的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75B280B7">
      <w:pPr>
        <w:pStyle w:val="40"/>
        <w:spacing w:line="360" w:lineRule="auto"/>
        <w:rPr>
          <w:color w:val="auto"/>
          <w:highlight w:val="none"/>
        </w:rPr>
      </w:pPr>
      <w:r>
        <w:rPr>
          <w:rFonts w:hint="eastAsia"/>
          <w:color w:val="auto"/>
          <w:highlight w:val="none"/>
        </w:rPr>
        <w:t>12.4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771A610E">
      <w:pPr>
        <w:pStyle w:val="40"/>
        <w:spacing w:line="360" w:lineRule="auto"/>
        <w:rPr>
          <w:color w:val="auto"/>
          <w:highlight w:val="none"/>
        </w:rPr>
      </w:pPr>
      <w:r>
        <w:rPr>
          <w:rFonts w:hint="eastAsia"/>
          <w:color w:val="auto"/>
          <w:highlight w:val="none"/>
        </w:rPr>
        <w:t>12.5</w:t>
      </w:r>
      <w:r>
        <w:rPr>
          <w:color w:val="auto"/>
          <w:highlight w:val="none"/>
        </w:rPr>
        <w:t>对于没有提出</w:t>
      </w:r>
      <w:r>
        <w:rPr>
          <w:rFonts w:hint="eastAsia"/>
          <w:color w:val="auto"/>
          <w:highlight w:val="none"/>
        </w:rPr>
        <w:t>疑问</w:t>
      </w:r>
      <w:r>
        <w:rPr>
          <w:color w:val="auto"/>
          <w:highlight w:val="none"/>
        </w:rPr>
        <w:t>又参与了</w:t>
      </w:r>
      <w:r>
        <w:rPr>
          <w:rFonts w:hint="eastAsia"/>
          <w:color w:val="auto"/>
          <w:highlight w:val="none"/>
        </w:rPr>
        <w:t>本</w:t>
      </w:r>
      <w:r>
        <w:rPr>
          <w:color w:val="auto"/>
          <w:highlight w:val="none"/>
        </w:rPr>
        <w:t>项目投标的</w:t>
      </w:r>
      <w:r>
        <w:rPr>
          <w:rFonts w:hint="eastAsia"/>
          <w:color w:val="auto"/>
          <w:highlight w:val="none"/>
        </w:rPr>
        <w:t>投标人</w:t>
      </w:r>
      <w:r>
        <w:rPr>
          <w:color w:val="auto"/>
          <w:highlight w:val="none"/>
        </w:rPr>
        <w:t>将被视为完全认同</w:t>
      </w:r>
      <w:r>
        <w:rPr>
          <w:rFonts w:hint="eastAsia"/>
          <w:color w:val="auto"/>
          <w:highlight w:val="none"/>
        </w:rPr>
        <w:t>本</w:t>
      </w:r>
      <w:r>
        <w:rPr>
          <w:color w:val="auto"/>
          <w:highlight w:val="none"/>
        </w:rPr>
        <w:t>招标文件（含</w:t>
      </w:r>
      <w:r>
        <w:rPr>
          <w:rFonts w:hint="eastAsia"/>
          <w:color w:val="auto"/>
          <w:highlight w:val="none"/>
        </w:rPr>
        <w:t>更正公告的</w:t>
      </w:r>
      <w:r>
        <w:rPr>
          <w:color w:val="auto"/>
          <w:highlight w:val="none"/>
        </w:rPr>
        <w:t>内容）</w:t>
      </w:r>
      <w:r>
        <w:rPr>
          <w:rFonts w:hint="eastAsia"/>
          <w:color w:val="auto"/>
          <w:highlight w:val="none"/>
        </w:rPr>
        <w:t>。</w:t>
      </w:r>
    </w:p>
    <w:p w14:paraId="58D4E7C1">
      <w:pPr>
        <w:pStyle w:val="40"/>
        <w:spacing w:line="360" w:lineRule="auto"/>
        <w:rPr>
          <w:color w:val="auto"/>
          <w:highlight w:val="none"/>
        </w:rPr>
      </w:pPr>
      <w:r>
        <w:rPr>
          <w:color w:val="auto"/>
          <w:highlight w:val="none"/>
        </w:rPr>
        <w:t>1</w:t>
      </w:r>
      <w:r>
        <w:rPr>
          <w:rFonts w:hint="eastAsia"/>
          <w:color w:val="auto"/>
          <w:highlight w:val="none"/>
          <w:lang w:val="en-US"/>
        </w:rPr>
        <w:t>2</w:t>
      </w:r>
      <w:r>
        <w:rPr>
          <w:color w:val="auto"/>
          <w:highlight w:val="none"/>
        </w:rPr>
        <w:t>.</w:t>
      </w:r>
      <w:r>
        <w:rPr>
          <w:rFonts w:hint="eastAsia"/>
          <w:color w:val="auto"/>
          <w:highlight w:val="none"/>
          <w:lang w:val="en-US"/>
        </w:rPr>
        <w:t>6</w:t>
      </w:r>
      <w:r>
        <w:rPr>
          <w:rFonts w:hint="eastAsia"/>
          <w:color w:val="auto"/>
          <w:highlight w:val="none"/>
        </w:rPr>
        <w:t xml:space="preserve"> </w:t>
      </w:r>
      <w:r>
        <w:rPr>
          <w:rFonts w:hint="eastAsia" w:cs="仿宋_GB2312"/>
          <w:color w:val="auto"/>
          <w:szCs w:val="24"/>
          <w:highlight w:val="none"/>
          <w:lang w:val="en-US"/>
        </w:rPr>
        <w:t>“</w:t>
      </w:r>
      <w:r>
        <w:rPr>
          <w:rFonts w:hint="eastAsia" w:cs="仿宋_GB2312"/>
          <w:color w:val="auto"/>
          <w:szCs w:val="24"/>
          <w:highlight w:val="none"/>
        </w:rPr>
        <w:t>投标人须知”所称“</w:t>
      </w:r>
      <w:r>
        <w:rPr>
          <w:rFonts w:hint="eastAsia"/>
          <w:color w:val="auto"/>
          <w:highlight w:val="none"/>
        </w:rPr>
        <w:t>书面形式</w:t>
      </w:r>
      <w:r>
        <w:rPr>
          <w:rFonts w:hint="eastAsia" w:cs="仿宋_GB2312"/>
          <w:color w:val="auto"/>
          <w:szCs w:val="24"/>
          <w:highlight w:val="none"/>
        </w:rPr>
        <w:t>”</w:t>
      </w:r>
      <w:r>
        <w:rPr>
          <w:rFonts w:hint="eastAsia"/>
          <w:color w:val="auto"/>
          <w:highlight w:val="none"/>
        </w:rPr>
        <w:t>包括系统消息、政府采购</w:t>
      </w:r>
      <w:r>
        <w:rPr>
          <w:rFonts w:hint="eastAsia"/>
          <w:color w:val="auto"/>
          <w:highlight w:val="none"/>
          <w:lang w:val="en-US"/>
        </w:rPr>
        <w:t>云平台</w:t>
      </w:r>
      <w:r>
        <w:rPr>
          <w:rFonts w:hint="eastAsia"/>
          <w:color w:val="auto"/>
          <w:highlight w:val="none"/>
        </w:rPr>
        <w:t>发布的公告。</w:t>
      </w:r>
    </w:p>
    <w:p w14:paraId="72C94645">
      <w:pPr>
        <w:pStyle w:val="57"/>
        <w:spacing w:line="360" w:lineRule="auto"/>
        <w:ind w:firstLine="480" w:firstLineChars="200"/>
        <w:rPr>
          <w:rFonts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12.7当招标文件的澄清、修改及其他答复等就同一内容的表述不一致时，以最后发布的内容为准。</w:t>
      </w:r>
    </w:p>
    <w:p w14:paraId="15FC14C0">
      <w:pPr>
        <w:pStyle w:val="4"/>
        <w:spacing w:line="360" w:lineRule="auto"/>
        <w:rPr>
          <w:color w:val="auto"/>
          <w:highlight w:val="none"/>
        </w:rPr>
      </w:pPr>
      <w:bookmarkStart w:id="169" w:name="_Toc163492837"/>
      <w:bookmarkStart w:id="170" w:name="_Toc155185872"/>
      <w:r>
        <w:rPr>
          <w:rFonts w:hint="eastAsia"/>
          <w:color w:val="auto"/>
          <w:highlight w:val="none"/>
        </w:rPr>
        <w:t>（三）投标文件</w:t>
      </w:r>
      <w:bookmarkEnd w:id="169"/>
      <w:bookmarkEnd w:id="170"/>
    </w:p>
    <w:p w14:paraId="7612ED20">
      <w:pPr>
        <w:pStyle w:val="5"/>
        <w:spacing w:line="360" w:lineRule="auto"/>
        <w:rPr>
          <w:color w:val="auto"/>
          <w:highlight w:val="none"/>
        </w:rPr>
      </w:pPr>
      <w:bookmarkStart w:id="171" w:name="_Toc163492838"/>
      <w:r>
        <w:rPr>
          <w:rFonts w:hint="eastAsia"/>
          <w:color w:val="auto"/>
          <w:highlight w:val="none"/>
        </w:rPr>
        <w:t>13.投标文件的组成</w:t>
      </w:r>
      <w:bookmarkEnd w:id="171"/>
    </w:p>
    <w:p w14:paraId="137027A3">
      <w:pPr>
        <w:pStyle w:val="57"/>
        <w:spacing w:line="360" w:lineRule="auto"/>
        <w:ind w:firstLine="480" w:firstLineChars="200"/>
        <w:rPr>
          <w:rFonts w:ascii="宋体" w:hAnsi="宋体" w:eastAsia="宋体" w:cs="宋体"/>
          <w:color w:val="auto"/>
          <w:kern w:val="2"/>
          <w:sz w:val="24"/>
          <w:szCs w:val="22"/>
          <w:highlight w:val="none"/>
        </w:rPr>
      </w:pPr>
      <w:bookmarkStart w:id="172" w:name="_Toc140132772"/>
      <w:bookmarkStart w:id="173" w:name="_Toc163492839"/>
      <w:r>
        <w:rPr>
          <w:rFonts w:hint="eastAsia" w:ascii="宋体" w:hAnsi="宋体" w:eastAsia="宋体" w:cs="宋体"/>
          <w:color w:val="auto"/>
          <w:kern w:val="2"/>
          <w:sz w:val="24"/>
          <w:szCs w:val="22"/>
          <w:highlight w:val="none"/>
        </w:rPr>
        <w:t>13.1投标人应完整地按招标文件提供的投标文件格式及要求编写投标文件，具体内容详见“第七章 投标文件格式”的相关内容。</w:t>
      </w:r>
    </w:p>
    <w:p w14:paraId="23E267D0">
      <w:pPr>
        <w:pStyle w:val="57"/>
        <w:spacing w:line="360" w:lineRule="auto"/>
        <w:ind w:firstLine="480" w:firstLineChars="200"/>
        <w:rPr>
          <w:rFonts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13.2投标人应提交招标文件要求的证明文件，证明其投标内容符合招标文件规定，该证明文件是投标文件的一部分。证明文件形式可以是文字资料、图纸和数据</w:t>
      </w:r>
      <w:bookmarkStart w:id="174" w:name="_Hlk11703583"/>
      <w:r>
        <w:rPr>
          <w:rFonts w:hint="eastAsia" w:ascii="宋体" w:hAnsi="宋体" w:eastAsia="宋体" w:cs="宋体"/>
          <w:color w:val="auto"/>
          <w:kern w:val="2"/>
          <w:sz w:val="24"/>
          <w:szCs w:val="22"/>
          <w:highlight w:val="none"/>
        </w:rPr>
        <w:t>等。</w:t>
      </w:r>
    </w:p>
    <w:bookmarkEnd w:id="174"/>
    <w:p w14:paraId="24215B86">
      <w:pPr>
        <w:pStyle w:val="57"/>
        <w:spacing w:line="360" w:lineRule="auto"/>
        <w:ind w:firstLine="480" w:firstLineChars="200"/>
        <w:rPr>
          <w:rFonts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13.3为保证公平公正，除非本招标文件另有规定或说明，投标人对同一项目投标时，不得同时提供备选投标方案。</w:t>
      </w:r>
    </w:p>
    <w:p w14:paraId="78EDC3FD">
      <w:pPr>
        <w:pStyle w:val="5"/>
        <w:spacing w:line="360" w:lineRule="auto"/>
        <w:rPr>
          <w:color w:val="auto"/>
          <w:highlight w:val="none"/>
        </w:rPr>
      </w:pPr>
      <w:r>
        <w:rPr>
          <w:rFonts w:hint="eastAsia"/>
          <w:color w:val="auto"/>
          <w:highlight w:val="none"/>
        </w:rPr>
        <w:t>14.投标报价</w:t>
      </w:r>
      <w:bookmarkEnd w:id="172"/>
      <w:bookmarkEnd w:id="173"/>
    </w:p>
    <w:p w14:paraId="4149DDBB">
      <w:pPr>
        <w:pStyle w:val="40"/>
        <w:spacing w:line="360" w:lineRule="auto"/>
        <w:rPr>
          <w:snapToGrid w:val="0"/>
          <w:color w:val="auto"/>
          <w:highlight w:val="none"/>
        </w:rPr>
      </w:pPr>
      <w:r>
        <w:rPr>
          <w:snapToGrid w:val="0"/>
          <w:color w:val="auto"/>
          <w:highlight w:val="none"/>
        </w:rPr>
        <w:t>1</w:t>
      </w:r>
      <w:r>
        <w:rPr>
          <w:rFonts w:hint="eastAsia"/>
          <w:snapToGrid w:val="0"/>
          <w:color w:val="auto"/>
          <w:highlight w:val="none"/>
        </w:rPr>
        <w:t>4.1 投标人的报价均应以人民币进行报价。</w:t>
      </w:r>
    </w:p>
    <w:p w14:paraId="7F337CF0">
      <w:pPr>
        <w:pStyle w:val="40"/>
        <w:spacing w:line="360" w:lineRule="auto"/>
        <w:rPr>
          <w:snapToGrid w:val="0"/>
          <w:color w:val="auto"/>
          <w:highlight w:val="none"/>
        </w:rPr>
      </w:pPr>
      <w:r>
        <w:rPr>
          <w:snapToGrid w:val="0"/>
          <w:color w:val="auto"/>
          <w:highlight w:val="none"/>
        </w:rPr>
        <w:t>1</w:t>
      </w:r>
      <w:r>
        <w:rPr>
          <w:rFonts w:hint="eastAsia"/>
          <w:snapToGrid w:val="0"/>
          <w:color w:val="auto"/>
          <w:highlight w:val="none"/>
        </w:rPr>
        <w:t>4.2 投标人应按照本招标文件规定的报价方式进行报价，投标报价中不得包含招标文件要求以外的内容，也不得缺漏招标文件所要求的内容，否则其</w:t>
      </w:r>
      <w:r>
        <w:rPr>
          <w:rFonts w:hint="eastAsia"/>
          <w:b/>
          <w:bCs/>
          <w:snapToGrid w:val="0"/>
          <w:color w:val="auto"/>
          <w:highlight w:val="none"/>
        </w:rPr>
        <w:t>投标无效</w:t>
      </w:r>
      <w:r>
        <w:rPr>
          <w:rFonts w:hint="eastAsia"/>
          <w:snapToGrid w:val="0"/>
          <w:color w:val="auto"/>
          <w:highlight w:val="none"/>
        </w:rPr>
        <w:t>。</w:t>
      </w:r>
    </w:p>
    <w:p w14:paraId="2BFCF381">
      <w:pPr>
        <w:pStyle w:val="40"/>
        <w:spacing w:line="360" w:lineRule="auto"/>
        <w:rPr>
          <w:color w:val="auto"/>
          <w:highlight w:val="none"/>
        </w:rPr>
      </w:pPr>
      <w:r>
        <w:rPr>
          <w:rFonts w:hint="eastAsia"/>
          <w:color w:val="auto"/>
          <w:highlight w:val="none"/>
        </w:rPr>
        <w:t>投标人的报价应包括为完成本项目所发生的一切费用和税费，采购人将不再支付报价以外的任何费用。只要投报了一个确定数额的总价，无论分项价格是否全部填报了相应的金额或免费字样，该报价应被视为已包含但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7A830541">
      <w:pPr>
        <w:pStyle w:val="10"/>
        <w:spacing w:line="360" w:lineRule="auto"/>
        <w:ind w:firstLine="480"/>
        <w:rPr>
          <w:color w:val="auto"/>
          <w:highlight w:val="none"/>
        </w:rPr>
      </w:pPr>
      <w:r>
        <w:rPr>
          <w:rFonts w:hint="eastAsia"/>
          <w:color w:val="auto"/>
          <w:highlight w:val="none"/>
        </w:rPr>
        <w:t xml:space="preserve">投标人的报价应包括但不限于下列内容： </w:t>
      </w:r>
    </w:p>
    <w:p w14:paraId="0571136D">
      <w:pPr>
        <w:pStyle w:val="10"/>
        <w:spacing w:line="360" w:lineRule="auto"/>
        <w:ind w:firstLine="480"/>
        <w:rPr>
          <w:color w:val="auto"/>
          <w:highlight w:val="none"/>
        </w:rPr>
      </w:pPr>
      <w:r>
        <w:rPr>
          <w:rFonts w:hint="eastAsia" w:ascii="宋体" w:hAnsi="宋体"/>
          <w:snapToGrid w:val="0"/>
          <w:color w:val="auto"/>
          <w:szCs w:val="24"/>
          <w:highlight w:val="none"/>
        </w:rPr>
        <w:t>14.2.1 投标货物及标准附件、备品备件、专用工具等的出厂价（包括已在中</w:t>
      </w:r>
      <w:r>
        <w:rPr>
          <w:rFonts w:hint="eastAsia"/>
          <w:color w:val="auto"/>
          <w:highlight w:val="none"/>
        </w:rPr>
        <w:t xml:space="preserve">国国内的进口货物完税后的仓库交货价、展室交货价或货架交货价）和运至最终目的地的运输费和保险费，安装调试、检验、技术服务、培训、质量保证、售后服务、税费等； </w:t>
      </w:r>
    </w:p>
    <w:p w14:paraId="42165458">
      <w:pPr>
        <w:pStyle w:val="10"/>
        <w:spacing w:line="360" w:lineRule="auto"/>
        <w:ind w:firstLine="480"/>
        <w:rPr>
          <w:snapToGrid w:val="0"/>
          <w:color w:val="auto"/>
          <w:highlight w:val="none"/>
        </w:rPr>
      </w:pPr>
      <w:r>
        <w:rPr>
          <w:rFonts w:hint="eastAsia"/>
          <w:snapToGrid w:val="0"/>
          <w:color w:val="auto"/>
          <w:highlight w:val="none"/>
        </w:rPr>
        <w:t>14.2.2 按照招标文件要求完成本项目的全部相关费用。</w:t>
      </w:r>
    </w:p>
    <w:p w14:paraId="51F11037">
      <w:pPr>
        <w:spacing w:line="360" w:lineRule="auto"/>
        <w:rPr>
          <w:snapToGrid w:val="0"/>
          <w:color w:val="auto"/>
          <w:highlight w:val="none"/>
          <w:lang w:val="zh-CN"/>
        </w:rPr>
      </w:pPr>
      <w:r>
        <w:rPr>
          <w:snapToGrid w:val="0"/>
          <w:color w:val="auto"/>
          <w:highlight w:val="none"/>
        </w:rPr>
        <w:t>1</w:t>
      </w:r>
      <w:r>
        <w:rPr>
          <w:rFonts w:hint="eastAsia"/>
          <w:snapToGrid w:val="0"/>
          <w:color w:val="auto"/>
          <w:highlight w:val="none"/>
        </w:rPr>
        <w:t xml:space="preserve">4.3 </w:t>
      </w:r>
      <w:r>
        <w:rPr>
          <w:rFonts w:hint="eastAsia"/>
          <w:color w:val="auto"/>
          <w:highlight w:val="none"/>
        </w:rPr>
        <w:t>投标人须严格按照分项报价表规定的内容填写货物单价以及其他事项。</w:t>
      </w:r>
      <w:r>
        <w:rPr>
          <w:rFonts w:hint="eastAsia"/>
          <w:snapToGrid w:val="0"/>
          <w:color w:val="auto"/>
          <w:highlight w:val="none"/>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snapToGrid w:val="0"/>
          <w:color w:val="auto"/>
          <w:highlight w:val="none"/>
        </w:rPr>
        <w:t>缴</w:t>
      </w:r>
      <w:r>
        <w:rPr>
          <w:rFonts w:hint="eastAsia"/>
          <w:snapToGrid w:val="0"/>
          <w:color w:val="auto"/>
          <w:highlight w:val="none"/>
          <w:lang w:val="zh-CN"/>
        </w:rPr>
        <w:t>纳的费用都应包括在投标人提交的投标报价中。</w:t>
      </w:r>
    </w:p>
    <w:p w14:paraId="5DB58BFC">
      <w:pPr>
        <w:spacing w:line="360" w:lineRule="auto"/>
        <w:rPr>
          <w:snapToGrid w:val="0"/>
          <w:color w:val="auto"/>
          <w:highlight w:val="none"/>
        </w:rPr>
      </w:pPr>
      <w:r>
        <w:rPr>
          <w:snapToGrid w:val="0"/>
          <w:color w:val="auto"/>
          <w:highlight w:val="none"/>
        </w:rPr>
        <w:t>1</w:t>
      </w:r>
      <w:r>
        <w:rPr>
          <w:rFonts w:hint="eastAsia"/>
          <w:snapToGrid w:val="0"/>
          <w:color w:val="auto"/>
          <w:highlight w:val="none"/>
        </w:rPr>
        <w:t>4.4 投标人在投标文件中注明免费的项目将视为包含在投标报价中。</w:t>
      </w:r>
    </w:p>
    <w:p w14:paraId="47BDFEC0">
      <w:pPr>
        <w:pStyle w:val="10"/>
        <w:spacing w:line="360" w:lineRule="auto"/>
        <w:ind w:firstLine="480"/>
        <w:rPr>
          <w:color w:val="auto"/>
          <w:highlight w:val="none"/>
        </w:rPr>
      </w:pPr>
      <w:r>
        <w:rPr>
          <w:snapToGrid w:val="0"/>
          <w:color w:val="auto"/>
          <w:szCs w:val="24"/>
          <w:highlight w:val="none"/>
        </w:rPr>
        <w:t>1</w:t>
      </w:r>
      <w:r>
        <w:rPr>
          <w:rFonts w:hint="eastAsia"/>
          <w:snapToGrid w:val="0"/>
          <w:color w:val="auto"/>
          <w:szCs w:val="24"/>
          <w:highlight w:val="none"/>
        </w:rPr>
        <w:t>4.5 每一种采购内容只允许有一个报价，否则其</w:t>
      </w:r>
      <w:r>
        <w:rPr>
          <w:rFonts w:hint="eastAsia"/>
          <w:b/>
          <w:bCs/>
          <w:snapToGrid w:val="0"/>
          <w:color w:val="auto"/>
          <w:szCs w:val="24"/>
          <w:highlight w:val="none"/>
        </w:rPr>
        <w:t>投标无效</w:t>
      </w:r>
      <w:r>
        <w:rPr>
          <w:rFonts w:hint="eastAsia"/>
          <w:snapToGrid w:val="0"/>
          <w:color w:val="auto"/>
          <w:szCs w:val="24"/>
          <w:highlight w:val="none"/>
        </w:rPr>
        <w:t>。</w:t>
      </w:r>
      <w:r>
        <w:rPr>
          <w:rFonts w:hint="eastAsia"/>
          <w:color w:val="auto"/>
          <w:highlight w:val="none"/>
        </w:rPr>
        <w:t>除非招标文件另有规定，不接受可选择或可调整的投标方案和报价，任何有选择的或可调整的投标方案和报价将被视为非实质性响应招标文件，其</w:t>
      </w:r>
      <w:r>
        <w:rPr>
          <w:rFonts w:hint="eastAsia"/>
          <w:b/>
          <w:bCs/>
          <w:snapToGrid w:val="0"/>
          <w:color w:val="auto"/>
          <w:szCs w:val="24"/>
          <w:highlight w:val="none"/>
        </w:rPr>
        <w:t>投标无效</w:t>
      </w:r>
      <w:r>
        <w:rPr>
          <w:rFonts w:hint="eastAsia"/>
          <w:color w:val="auto"/>
          <w:highlight w:val="none"/>
        </w:rPr>
        <w:t>。</w:t>
      </w:r>
    </w:p>
    <w:p w14:paraId="47202068">
      <w:pPr>
        <w:pStyle w:val="40"/>
        <w:spacing w:line="360" w:lineRule="auto"/>
        <w:rPr>
          <w:color w:val="auto"/>
          <w:highlight w:val="none"/>
        </w:rPr>
      </w:pPr>
      <w:r>
        <w:rPr>
          <w:color w:val="auto"/>
          <w:highlight w:val="none"/>
        </w:rPr>
        <w:t>1</w:t>
      </w:r>
      <w:r>
        <w:rPr>
          <w:rFonts w:hint="eastAsia"/>
          <w:color w:val="auto"/>
          <w:highlight w:val="none"/>
        </w:rPr>
        <w:t>4</w:t>
      </w:r>
      <w:r>
        <w:rPr>
          <w:color w:val="auto"/>
          <w:highlight w:val="none"/>
        </w:rPr>
        <w:t>.</w:t>
      </w:r>
      <w:r>
        <w:rPr>
          <w:rFonts w:hint="eastAsia"/>
          <w:color w:val="auto"/>
          <w:highlight w:val="none"/>
        </w:rPr>
        <w:t>6 投标报价不得超过“第一章 招标公告”中规定的最高投标限价或者预算金额，否则</w:t>
      </w:r>
      <w:r>
        <w:rPr>
          <w:color w:val="auto"/>
          <w:highlight w:val="none"/>
        </w:rPr>
        <w:t>评标委员会将</w:t>
      </w:r>
      <w:r>
        <w:rPr>
          <w:rFonts w:hint="eastAsia"/>
          <w:color w:val="auto"/>
          <w:highlight w:val="none"/>
        </w:rPr>
        <w:t>对</w:t>
      </w:r>
      <w:r>
        <w:rPr>
          <w:color w:val="auto"/>
          <w:highlight w:val="none"/>
        </w:rPr>
        <w:t>其</w:t>
      </w:r>
      <w:r>
        <w:rPr>
          <w:rFonts w:hint="eastAsia"/>
          <w:color w:val="auto"/>
          <w:highlight w:val="none"/>
        </w:rPr>
        <w:t>作</w:t>
      </w:r>
      <w:r>
        <w:rPr>
          <w:rFonts w:hint="eastAsia"/>
          <w:b/>
          <w:bCs/>
          <w:color w:val="auto"/>
          <w:highlight w:val="none"/>
        </w:rPr>
        <w:t>无效</w:t>
      </w:r>
      <w:r>
        <w:rPr>
          <w:b/>
          <w:bCs/>
          <w:color w:val="auto"/>
          <w:highlight w:val="none"/>
        </w:rPr>
        <w:t>投标</w:t>
      </w:r>
      <w:r>
        <w:rPr>
          <w:rFonts w:hint="eastAsia"/>
          <w:b/>
          <w:bCs/>
          <w:color w:val="auto"/>
          <w:highlight w:val="none"/>
        </w:rPr>
        <w:t>处理</w:t>
      </w:r>
      <w:r>
        <w:rPr>
          <w:color w:val="auto"/>
          <w:highlight w:val="none"/>
        </w:rPr>
        <w:t>。</w:t>
      </w:r>
    </w:p>
    <w:p w14:paraId="0BB70EEB">
      <w:pPr>
        <w:pStyle w:val="57"/>
        <w:spacing w:line="360" w:lineRule="auto"/>
        <w:ind w:firstLine="480" w:firstLineChars="200"/>
        <w:rPr>
          <w:rFonts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14.7 投标人对投标报价若有说明应在投标文件中显著处注明。</w:t>
      </w:r>
    </w:p>
    <w:p w14:paraId="2AC4E4CB">
      <w:pPr>
        <w:pStyle w:val="57"/>
        <w:spacing w:line="360" w:lineRule="auto"/>
        <w:ind w:firstLine="480" w:firstLineChars="200"/>
        <w:rPr>
          <w:rFonts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除政策性文件规定以外，投标人所报价格在合同实施期间不因市场变化因素而变动。</w:t>
      </w:r>
    </w:p>
    <w:p w14:paraId="614F323F">
      <w:pPr>
        <w:pStyle w:val="57"/>
        <w:spacing w:line="360" w:lineRule="auto"/>
        <w:ind w:firstLine="480" w:firstLineChars="200"/>
        <w:rPr>
          <w:rFonts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14.8 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7FD14F75">
      <w:pPr>
        <w:pStyle w:val="57"/>
        <w:spacing w:line="360" w:lineRule="auto"/>
        <w:ind w:firstLine="480" w:firstLineChars="200"/>
        <w:rPr>
          <w:rFonts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14.9 最低报价不能作为中标的保证。</w:t>
      </w:r>
    </w:p>
    <w:p w14:paraId="7BC477E8">
      <w:pPr>
        <w:pStyle w:val="40"/>
        <w:spacing w:line="360" w:lineRule="auto"/>
        <w:rPr>
          <w:color w:val="auto"/>
          <w:highlight w:val="none"/>
        </w:rPr>
      </w:pPr>
      <w:r>
        <w:rPr>
          <w:rFonts w:hint="eastAsia"/>
          <w:color w:val="auto"/>
          <w:highlight w:val="none"/>
        </w:rPr>
        <w:t>14.10</w:t>
      </w:r>
      <w:r>
        <w:rPr>
          <w:rFonts w:hint="eastAsia"/>
          <w:color w:val="auto"/>
          <w:highlight w:val="none"/>
          <w:lang w:bidi="ar"/>
        </w:rPr>
        <w:t>采购人</w:t>
      </w:r>
      <w:r>
        <w:rPr>
          <w:rFonts w:hint="eastAsia"/>
          <w:color w:val="auto"/>
          <w:highlight w:val="none"/>
        </w:rPr>
        <w:t>不得</w:t>
      </w:r>
      <w:r>
        <w:rPr>
          <w:rFonts w:hint="eastAsia"/>
          <w:color w:val="auto"/>
          <w:highlight w:val="none"/>
          <w:lang w:bidi="ar"/>
        </w:rPr>
        <w:t>向投标人索要或者接受其给予的赠品、回扣或者与采购无关的其他商品、服务。</w:t>
      </w:r>
    </w:p>
    <w:p w14:paraId="14D1B00F">
      <w:pPr>
        <w:pStyle w:val="5"/>
        <w:spacing w:line="360" w:lineRule="auto"/>
        <w:rPr>
          <w:color w:val="auto"/>
          <w:highlight w:val="none"/>
        </w:rPr>
      </w:pPr>
      <w:bookmarkStart w:id="175" w:name="_Toc140132773"/>
      <w:bookmarkStart w:id="176" w:name="_Toc163492840"/>
      <w:r>
        <w:rPr>
          <w:rFonts w:hint="eastAsia"/>
          <w:color w:val="auto"/>
          <w:highlight w:val="none"/>
        </w:rPr>
        <w:t>15.投标有效期</w:t>
      </w:r>
      <w:bookmarkEnd w:id="175"/>
      <w:bookmarkEnd w:id="176"/>
    </w:p>
    <w:p w14:paraId="6E825DCA">
      <w:pPr>
        <w:pStyle w:val="40"/>
        <w:spacing w:line="360" w:lineRule="auto"/>
        <w:rPr>
          <w:color w:val="auto"/>
          <w:highlight w:val="none"/>
        </w:rPr>
      </w:pPr>
      <w:r>
        <w:rPr>
          <w:color w:val="auto"/>
          <w:highlight w:val="none"/>
        </w:rPr>
        <w:t>1</w:t>
      </w:r>
      <w:r>
        <w:rPr>
          <w:rFonts w:hint="eastAsia"/>
          <w:color w:val="auto"/>
          <w:highlight w:val="none"/>
        </w:rPr>
        <w:t xml:space="preserve">5.1 </w:t>
      </w:r>
      <w:r>
        <w:rPr>
          <w:rFonts w:ascii="Arial" w:hAnsi="Arial" w:cs="Arial"/>
          <w:color w:val="auto"/>
          <w:kern w:val="0"/>
          <w:szCs w:val="21"/>
          <w:highlight w:val="none"/>
          <w:lang w:val="en"/>
        </w:rPr>
        <w:t>投标有</w:t>
      </w:r>
      <w:r>
        <w:rPr>
          <w:color w:val="auto"/>
          <w:highlight w:val="none"/>
        </w:rPr>
        <w:t>效期</w:t>
      </w:r>
      <w:r>
        <w:rPr>
          <w:rFonts w:hint="eastAsia"/>
          <w:color w:val="auto"/>
          <w:highlight w:val="none"/>
        </w:rPr>
        <w:t xml:space="preserve">见“第二章 </w:t>
      </w:r>
      <w:r>
        <w:rPr>
          <w:color w:val="auto"/>
          <w:highlight w:val="none"/>
        </w:rPr>
        <w:t>投标人须知前附表</w:t>
      </w:r>
      <w:r>
        <w:rPr>
          <w:rFonts w:hint="eastAsia"/>
          <w:color w:val="auto"/>
          <w:highlight w:val="none"/>
        </w:rPr>
        <w:t>”，投标人承诺的投标有效期少于招标文件规定期限的，其投标无效。</w:t>
      </w:r>
    </w:p>
    <w:p w14:paraId="3866D808">
      <w:pPr>
        <w:pStyle w:val="40"/>
        <w:spacing w:line="360" w:lineRule="auto"/>
        <w:rPr>
          <w:color w:val="auto"/>
          <w:highlight w:val="none"/>
        </w:rPr>
      </w:pPr>
      <w:r>
        <w:rPr>
          <w:rFonts w:hint="eastAsia"/>
          <w:color w:val="auto"/>
          <w:highlight w:val="none"/>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6DDBD259">
      <w:pPr>
        <w:pStyle w:val="40"/>
        <w:spacing w:line="360" w:lineRule="auto"/>
        <w:rPr>
          <w:color w:val="auto"/>
          <w:highlight w:val="none"/>
        </w:rPr>
      </w:pPr>
      <w:r>
        <w:rPr>
          <w:color w:val="auto"/>
          <w:highlight w:val="none"/>
        </w:rPr>
        <w:t>1</w:t>
      </w:r>
      <w:r>
        <w:rPr>
          <w:rFonts w:hint="eastAsia"/>
          <w:color w:val="auto"/>
          <w:highlight w:val="none"/>
        </w:rPr>
        <w:t>5</w:t>
      </w:r>
      <w:r>
        <w:rPr>
          <w:color w:val="auto"/>
          <w:highlight w:val="none"/>
        </w:rPr>
        <w:t>.</w:t>
      </w:r>
      <w:r>
        <w:rPr>
          <w:rFonts w:hint="eastAsia"/>
          <w:color w:val="auto"/>
          <w:highlight w:val="none"/>
        </w:rPr>
        <w:t>3</w:t>
      </w:r>
      <w:r>
        <w:rPr>
          <w:color w:val="auto"/>
          <w:highlight w:val="none"/>
        </w:rPr>
        <w:t>特殊情况下，在原</w:t>
      </w:r>
      <w:r>
        <w:rPr>
          <w:rFonts w:hint="eastAsia"/>
          <w:color w:val="auto"/>
          <w:highlight w:val="none"/>
        </w:rPr>
        <w:t>投标文件</w:t>
      </w:r>
      <w:r>
        <w:rPr>
          <w:color w:val="auto"/>
          <w:highlight w:val="none"/>
        </w:rPr>
        <w:t>有效期截止之前，采购代理机构或采购人可要求</w:t>
      </w:r>
      <w:r>
        <w:rPr>
          <w:rFonts w:hint="eastAsia"/>
          <w:color w:val="auto"/>
          <w:highlight w:val="none"/>
        </w:rPr>
        <w:t>投标人</w:t>
      </w:r>
      <w:r>
        <w:rPr>
          <w:color w:val="auto"/>
          <w:highlight w:val="none"/>
        </w:rPr>
        <w:t>延长</w:t>
      </w:r>
      <w:r>
        <w:rPr>
          <w:rFonts w:hint="eastAsia"/>
          <w:color w:val="auto"/>
          <w:highlight w:val="none"/>
        </w:rPr>
        <w:t>投标</w:t>
      </w:r>
      <w:r>
        <w:rPr>
          <w:color w:val="auto"/>
          <w:highlight w:val="none"/>
        </w:rPr>
        <w:t>有效期。需要延长</w:t>
      </w:r>
      <w:r>
        <w:rPr>
          <w:rFonts w:hint="eastAsia"/>
          <w:color w:val="auto"/>
          <w:highlight w:val="none"/>
        </w:rPr>
        <w:t>投标</w:t>
      </w:r>
      <w:r>
        <w:rPr>
          <w:color w:val="auto"/>
          <w:highlight w:val="none"/>
        </w:rPr>
        <w:t>有效期时，采购代理机构或采购人将以书面形式通知所有</w:t>
      </w:r>
      <w:r>
        <w:rPr>
          <w:rFonts w:hint="eastAsia"/>
          <w:color w:val="auto"/>
          <w:highlight w:val="none"/>
        </w:rPr>
        <w:t>投标人</w:t>
      </w:r>
      <w:r>
        <w:rPr>
          <w:color w:val="auto"/>
          <w:highlight w:val="none"/>
        </w:rPr>
        <w:t>，</w:t>
      </w:r>
      <w:r>
        <w:rPr>
          <w:rFonts w:hint="eastAsia"/>
          <w:color w:val="auto"/>
          <w:highlight w:val="none"/>
        </w:rPr>
        <w:t>投标人</w:t>
      </w:r>
      <w:r>
        <w:rPr>
          <w:color w:val="auto"/>
          <w:highlight w:val="none"/>
        </w:rPr>
        <w:t>应以书面形式答复是否同意延长</w:t>
      </w:r>
      <w:r>
        <w:rPr>
          <w:rFonts w:hint="eastAsia"/>
          <w:color w:val="auto"/>
          <w:highlight w:val="none"/>
        </w:rPr>
        <w:t>投标</w:t>
      </w:r>
      <w:r>
        <w:rPr>
          <w:color w:val="auto"/>
          <w:highlight w:val="none"/>
        </w:rPr>
        <w:t>有效期。</w:t>
      </w:r>
    </w:p>
    <w:p w14:paraId="1DBD069A">
      <w:pPr>
        <w:pStyle w:val="40"/>
        <w:spacing w:line="360" w:lineRule="auto"/>
        <w:rPr>
          <w:color w:val="auto"/>
          <w:highlight w:val="none"/>
        </w:rPr>
      </w:pPr>
      <w:r>
        <w:rPr>
          <w:color w:val="auto"/>
          <w:highlight w:val="none"/>
        </w:rPr>
        <w:t>1</w:t>
      </w:r>
      <w:r>
        <w:rPr>
          <w:rFonts w:hint="eastAsia"/>
          <w:color w:val="auto"/>
          <w:highlight w:val="none"/>
        </w:rPr>
        <w:t>5</w:t>
      </w:r>
      <w:r>
        <w:rPr>
          <w:color w:val="auto"/>
          <w:highlight w:val="none"/>
        </w:rPr>
        <w:t>.</w:t>
      </w:r>
      <w:r>
        <w:rPr>
          <w:rFonts w:hint="eastAsia"/>
          <w:color w:val="auto"/>
          <w:highlight w:val="none"/>
        </w:rPr>
        <w:t>4投标人</w:t>
      </w:r>
      <w:r>
        <w:rPr>
          <w:color w:val="auto"/>
          <w:highlight w:val="none"/>
        </w:rPr>
        <w:t>同意延长的，</w:t>
      </w:r>
      <w:r>
        <w:rPr>
          <w:rFonts w:hint="eastAsia"/>
          <w:color w:val="auto"/>
          <w:highlight w:val="none"/>
        </w:rPr>
        <w:t>其投标保证金的有效期也相应延长，但</w:t>
      </w:r>
      <w:r>
        <w:rPr>
          <w:color w:val="auto"/>
          <w:highlight w:val="none"/>
        </w:rPr>
        <w:t>不得要求或被允许修改或撤销其</w:t>
      </w:r>
      <w:r>
        <w:rPr>
          <w:rFonts w:hint="eastAsia"/>
          <w:color w:val="auto"/>
          <w:highlight w:val="none"/>
        </w:rPr>
        <w:t>投标文件</w:t>
      </w:r>
      <w:r>
        <w:rPr>
          <w:color w:val="auto"/>
          <w:highlight w:val="none"/>
        </w:rPr>
        <w:t>；</w:t>
      </w:r>
      <w:r>
        <w:rPr>
          <w:rFonts w:hint="eastAsia"/>
          <w:color w:val="auto"/>
          <w:highlight w:val="none"/>
        </w:rPr>
        <w:t>投标人</w:t>
      </w:r>
      <w:r>
        <w:rPr>
          <w:color w:val="auto"/>
          <w:highlight w:val="none"/>
        </w:rPr>
        <w:t>拒绝延长的，其</w:t>
      </w:r>
      <w:r>
        <w:rPr>
          <w:rFonts w:hint="eastAsia"/>
          <w:color w:val="auto"/>
          <w:highlight w:val="none"/>
        </w:rPr>
        <w:t>投标文件</w:t>
      </w:r>
      <w:r>
        <w:rPr>
          <w:color w:val="auto"/>
          <w:highlight w:val="none"/>
        </w:rPr>
        <w:t>在原</w:t>
      </w:r>
      <w:r>
        <w:rPr>
          <w:rFonts w:hint="eastAsia"/>
          <w:color w:val="auto"/>
          <w:highlight w:val="none"/>
        </w:rPr>
        <w:t>投标</w:t>
      </w:r>
      <w:r>
        <w:rPr>
          <w:color w:val="auto"/>
          <w:highlight w:val="none"/>
        </w:rPr>
        <w:t>有效期满后将不再有效</w:t>
      </w:r>
      <w:r>
        <w:rPr>
          <w:rFonts w:hint="eastAsia"/>
          <w:color w:val="auto"/>
          <w:highlight w:val="none"/>
        </w:rPr>
        <w:t>，但其提交的投标保证金可予以退还</w:t>
      </w:r>
      <w:r>
        <w:rPr>
          <w:color w:val="auto"/>
          <w:highlight w:val="none"/>
        </w:rPr>
        <w:t>。</w:t>
      </w:r>
    </w:p>
    <w:p w14:paraId="4C03A6AA">
      <w:pPr>
        <w:pStyle w:val="5"/>
        <w:spacing w:line="360" w:lineRule="auto"/>
        <w:rPr>
          <w:color w:val="auto"/>
          <w:highlight w:val="none"/>
        </w:rPr>
      </w:pPr>
      <w:bookmarkStart w:id="177" w:name="_Toc163492841"/>
      <w:bookmarkStart w:id="178" w:name="_Toc140132774"/>
      <w:r>
        <w:rPr>
          <w:rFonts w:hint="eastAsia"/>
          <w:color w:val="auto"/>
          <w:highlight w:val="none"/>
        </w:rPr>
        <w:t>16.投标文件的编制</w:t>
      </w:r>
      <w:bookmarkEnd w:id="177"/>
      <w:bookmarkEnd w:id="178"/>
    </w:p>
    <w:p w14:paraId="10935EA6">
      <w:pPr>
        <w:pStyle w:val="40"/>
        <w:spacing w:line="360" w:lineRule="auto"/>
        <w:rPr>
          <w:color w:val="auto"/>
          <w:highlight w:val="none"/>
        </w:rPr>
      </w:pPr>
      <w:r>
        <w:rPr>
          <w:color w:val="auto"/>
          <w:highlight w:val="none"/>
        </w:rPr>
        <w:t>1</w:t>
      </w:r>
      <w:r>
        <w:rPr>
          <w:rFonts w:hint="eastAsia"/>
          <w:color w:val="auto"/>
          <w:highlight w:val="none"/>
        </w:rPr>
        <w:t>6.1投标文件应在</w:t>
      </w:r>
      <w:r>
        <w:rPr>
          <w:rFonts w:hint="eastAsia" w:cs="宋体"/>
          <w:color w:val="auto"/>
          <w:highlight w:val="none"/>
        </w:rPr>
        <w:t>“</w:t>
      </w:r>
      <w:r>
        <w:rPr>
          <w:rFonts w:hint="eastAsia"/>
          <w:color w:val="auto"/>
          <w:highlight w:val="none"/>
        </w:rPr>
        <w:t>投标客户端”中进行编制，在投标文件中要求加盖印章的，除有特殊说明之外，可使用电子签章签署。</w:t>
      </w:r>
    </w:p>
    <w:p w14:paraId="07C755E0">
      <w:pPr>
        <w:pStyle w:val="40"/>
        <w:spacing w:line="360" w:lineRule="auto"/>
        <w:rPr>
          <w:color w:val="auto"/>
          <w:highlight w:val="none"/>
        </w:rPr>
      </w:pPr>
      <w:r>
        <w:rPr>
          <w:color w:val="auto"/>
          <w:highlight w:val="none"/>
        </w:rPr>
        <w:t>1</w:t>
      </w:r>
      <w:r>
        <w:rPr>
          <w:rFonts w:hint="eastAsia"/>
          <w:color w:val="auto"/>
          <w:highlight w:val="none"/>
          <w:lang w:val="en-US"/>
        </w:rPr>
        <w:t>6</w:t>
      </w:r>
      <w:r>
        <w:rPr>
          <w:rFonts w:hint="eastAsia"/>
          <w:color w:val="auto"/>
          <w:highlight w:val="none"/>
        </w:rPr>
        <w:t>.</w:t>
      </w:r>
      <w:bookmarkStart w:id="179" w:name="_Hlk143528557"/>
      <w:r>
        <w:rPr>
          <w:color w:val="auto"/>
          <w:highlight w:val="none"/>
        </w:rPr>
        <w:t>2</w:t>
      </w:r>
      <w:r>
        <w:rPr>
          <w:rFonts w:hint="eastAsia"/>
          <w:color w:val="auto"/>
          <w:highlight w:val="none"/>
        </w:rPr>
        <w:t>投标人在</w:t>
      </w:r>
      <w:r>
        <w:rPr>
          <w:rFonts w:hint="eastAsia" w:cs="宋体"/>
          <w:color w:val="auto"/>
          <w:szCs w:val="24"/>
          <w:highlight w:val="none"/>
        </w:rPr>
        <w:t>“</w:t>
      </w:r>
      <w:r>
        <w:rPr>
          <w:rFonts w:hint="eastAsia" w:cs="仿宋_GB2312"/>
          <w:color w:val="auto"/>
          <w:szCs w:val="24"/>
          <w:highlight w:val="none"/>
          <w:lang w:val="en-US"/>
        </w:rPr>
        <w:t>投标</w:t>
      </w:r>
      <w:r>
        <w:rPr>
          <w:rFonts w:hint="eastAsia" w:cs="仿宋_GB2312"/>
          <w:color w:val="auto"/>
          <w:szCs w:val="24"/>
          <w:highlight w:val="none"/>
        </w:rPr>
        <w:t>客户端”</w:t>
      </w:r>
      <w:r>
        <w:rPr>
          <w:rFonts w:hint="eastAsia"/>
          <w:color w:val="auto"/>
          <w:highlight w:val="none"/>
        </w:rPr>
        <w:t>中按照</w:t>
      </w:r>
      <w:r>
        <w:rPr>
          <w:rFonts w:hint="eastAsia" w:cs="宋体"/>
          <w:color w:val="auto"/>
          <w:szCs w:val="24"/>
          <w:highlight w:val="none"/>
        </w:rPr>
        <w:t>“</w:t>
      </w:r>
      <w:r>
        <w:rPr>
          <w:rFonts w:hint="eastAsia" w:cs="仿宋_GB2312"/>
          <w:color w:val="auto"/>
          <w:szCs w:val="24"/>
          <w:highlight w:val="none"/>
          <w:lang w:val="en-US"/>
        </w:rPr>
        <w:t>投标</w:t>
      </w:r>
      <w:r>
        <w:rPr>
          <w:rFonts w:hint="eastAsia" w:cs="仿宋_GB2312"/>
          <w:color w:val="auto"/>
          <w:szCs w:val="24"/>
          <w:highlight w:val="none"/>
        </w:rPr>
        <w:t>客户端”</w:t>
      </w:r>
      <w:r>
        <w:rPr>
          <w:rFonts w:hint="eastAsia"/>
          <w:color w:val="auto"/>
          <w:highlight w:val="none"/>
        </w:rPr>
        <w:t>中的格式要求填写响应内容后，生成投标文件。投标人须按照招标文件的要求使用电子签章对要求加盖印章的部分逐一进行签章。</w:t>
      </w:r>
      <w:bookmarkEnd w:id="179"/>
    </w:p>
    <w:p w14:paraId="525098E5">
      <w:pPr>
        <w:pStyle w:val="40"/>
        <w:spacing w:line="360" w:lineRule="auto"/>
        <w:rPr>
          <w:color w:val="auto"/>
          <w:highlight w:val="none"/>
        </w:rPr>
      </w:pPr>
      <w:r>
        <w:rPr>
          <w:rFonts w:hint="eastAsia"/>
          <w:color w:val="auto"/>
          <w:highlight w:val="none"/>
        </w:rPr>
        <w:t>1</w:t>
      </w:r>
      <w:r>
        <w:rPr>
          <w:rFonts w:hint="eastAsia"/>
          <w:color w:val="auto"/>
          <w:highlight w:val="none"/>
          <w:lang w:val="en-US"/>
        </w:rPr>
        <w:t>6</w:t>
      </w:r>
      <w:r>
        <w:rPr>
          <w:rFonts w:hint="eastAsia"/>
          <w:color w:val="auto"/>
          <w:highlight w:val="none"/>
        </w:rPr>
        <w:t>.</w:t>
      </w:r>
      <w:r>
        <w:rPr>
          <w:rFonts w:hint="eastAsia"/>
          <w:color w:val="auto"/>
          <w:highlight w:val="none"/>
          <w:lang w:val="en-US"/>
        </w:rPr>
        <w:t>3</w:t>
      </w:r>
      <w:r>
        <w:rPr>
          <w:rFonts w:hint="eastAsia"/>
          <w:color w:val="auto"/>
          <w:highlight w:val="none"/>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b/>
          <w:bCs/>
          <w:color w:val="auto"/>
          <w:highlight w:val="none"/>
        </w:rPr>
        <w:t>导致</w:t>
      </w:r>
      <w:r>
        <w:rPr>
          <w:rFonts w:hint="eastAsia"/>
          <w:b/>
          <w:bCs/>
          <w:color w:val="auto"/>
          <w:highlight w:val="none"/>
          <w:lang w:val="en-US"/>
        </w:rPr>
        <w:t>其</w:t>
      </w:r>
      <w:r>
        <w:rPr>
          <w:rFonts w:hint="eastAsia"/>
          <w:b/>
          <w:bCs/>
          <w:color w:val="auto"/>
          <w:highlight w:val="none"/>
        </w:rPr>
        <w:t>投标</w:t>
      </w:r>
      <w:r>
        <w:rPr>
          <w:rFonts w:hint="eastAsia"/>
          <w:b/>
          <w:bCs/>
          <w:color w:val="auto"/>
          <w:highlight w:val="none"/>
          <w:lang w:val="en-US"/>
        </w:rPr>
        <w:t>无效</w:t>
      </w:r>
      <w:r>
        <w:rPr>
          <w:rFonts w:hint="eastAsia"/>
          <w:color w:val="auto"/>
          <w:highlight w:val="none"/>
        </w:rPr>
        <w:t>。</w:t>
      </w:r>
    </w:p>
    <w:p w14:paraId="2745ED51">
      <w:pPr>
        <w:pStyle w:val="40"/>
        <w:spacing w:line="360" w:lineRule="auto"/>
        <w:rPr>
          <w:color w:val="auto"/>
          <w:highlight w:val="none"/>
        </w:rPr>
      </w:pPr>
      <w:r>
        <w:rPr>
          <w:rFonts w:hint="eastAsia"/>
          <w:color w:val="auto"/>
          <w:highlight w:val="none"/>
        </w:rPr>
        <w:t>1</w:t>
      </w:r>
      <w:r>
        <w:rPr>
          <w:rFonts w:hint="eastAsia"/>
          <w:color w:val="auto"/>
          <w:highlight w:val="none"/>
          <w:lang w:val="en-US"/>
        </w:rPr>
        <w:t>6</w:t>
      </w:r>
      <w:r>
        <w:rPr>
          <w:rFonts w:hint="eastAsia"/>
          <w:color w:val="auto"/>
          <w:highlight w:val="none"/>
        </w:rPr>
        <w:t>.</w:t>
      </w:r>
      <w:r>
        <w:rPr>
          <w:rFonts w:hint="eastAsia"/>
          <w:color w:val="auto"/>
          <w:highlight w:val="none"/>
          <w:lang w:val="en-US"/>
        </w:rPr>
        <w:t>4</w:t>
      </w:r>
      <w:r>
        <w:rPr>
          <w:rFonts w:hint="eastAsia"/>
          <w:color w:val="auto"/>
          <w:highlight w:val="none"/>
        </w:rPr>
        <w:t>投标文件须严格按照</w:t>
      </w:r>
      <w:r>
        <w:rPr>
          <w:rFonts w:hint="eastAsia"/>
          <w:color w:val="auto"/>
          <w:highlight w:val="none"/>
          <w:lang w:val="en-US"/>
        </w:rPr>
        <w:t>本</w:t>
      </w:r>
      <w:r>
        <w:rPr>
          <w:rFonts w:hint="eastAsia"/>
          <w:color w:val="auto"/>
          <w:highlight w:val="none"/>
        </w:rPr>
        <w:t>招标文件第</w:t>
      </w:r>
      <w:r>
        <w:rPr>
          <w:rFonts w:hint="eastAsia"/>
          <w:color w:val="auto"/>
          <w:highlight w:val="none"/>
          <w:lang w:val="en-US"/>
        </w:rPr>
        <w:t>七章</w:t>
      </w:r>
      <w:r>
        <w:rPr>
          <w:rFonts w:hint="eastAsia"/>
          <w:color w:val="auto"/>
          <w:highlight w:val="none"/>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1133A2C9">
      <w:pPr>
        <w:pStyle w:val="40"/>
        <w:spacing w:line="360" w:lineRule="auto"/>
        <w:rPr>
          <w:color w:val="auto"/>
          <w:highlight w:val="none"/>
        </w:rPr>
      </w:pPr>
      <w:r>
        <w:rPr>
          <w:rFonts w:hint="eastAsia"/>
          <w:color w:val="auto"/>
          <w:highlight w:val="none"/>
        </w:rPr>
        <w:t>16.5货物的技术参数有具体数值要求的，且招标文件要求投标人提供响应产品彩页、检验检测报告、厂家使用说明书等证明材料，则投标人在技术参数响应表中须标注产品实际参数数值，照搬照抄招标文件参数、不注明实际数值者</w:t>
      </w:r>
      <w:r>
        <w:rPr>
          <w:rFonts w:hint="eastAsia"/>
          <w:b/>
          <w:bCs/>
          <w:color w:val="auto"/>
          <w:highlight w:val="none"/>
        </w:rPr>
        <w:t>视为未响应</w:t>
      </w:r>
      <w:r>
        <w:rPr>
          <w:rFonts w:hint="eastAsia"/>
          <w:color w:val="auto"/>
          <w:highlight w:val="none"/>
        </w:rPr>
        <w:t>。</w:t>
      </w:r>
    </w:p>
    <w:p w14:paraId="4F360C71">
      <w:pPr>
        <w:pStyle w:val="40"/>
        <w:spacing w:line="360" w:lineRule="auto"/>
        <w:rPr>
          <w:color w:val="auto"/>
          <w:highlight w:val="none"/>
        </w:rPr>
      </w:pPr>
      <w:r>
        <w:rPr>
          <w:rFonts w:hint="eastAsia"/>
          <w:color w:val="auto"/>
          <w:highlight w:val="none"/>
        </w:rPr>
        <w:t>1</w:t>
      </w:r>
      <w:r>
        <w:rPr>
          <w:rFonts w:hint="eastAsia"/>
          <w:color w:val="auto"/>
          <w:highlight w:val="none"/>
          <w:lang w:val="en-US"/>
        </w:rPr>
        <w:t>6</w:t>
      </w:r>
      <w:r>
        <w:rPr>
          <w:rFonts w:hint="eastAsia"/>
          <w:color w:val="auto"/>
          <w:highlight w:val="none"/>
        </w:rPr>
        <w:t>.</w:t>
      </w:r>
      <w:r>
        <w:rPr>
          <w:rFonts w:hint="eastAsia"/>
          <w:color w:val="auto"/>
          <w:highlight w:val="none"/>
          <w:lang w:val="en-US"/>
        </w:rPr>
        <w:t>6</w:t>
      </w:r>
      <w:r>
        <w:rPr>
          <w:rFonts w:hint="eastAsia"/>
          <w:color w:val="auto"/>
          <w:highlight w:val="none"/>
        </w:rPr>
        <w:t>开标一览表为在开标</w:t>
      </w:r>
      <w:r>
        <w:rPr>
          <w:rFonts w:hint="eastAsia"/>
          <w:color w:val="auto"/>
          <w:highlight w:val="none"/>
          <w:lang w:val="en-US"/>
        </w:rPr>
        <w:t>时</w:t>
      </w:r>
      <w:r>
        <w:rPr>
          <w:rFonts w:hint="eastAsia"/>
          <w:color w:val="auto"/>
          <w:highlight w:val="none"/>
        </w:rPr>
        <w:t>唱标的内容，要求按格式统一填写，不得自行增减内容。</w:t>
      </w:r>
    </w:p>
    <w:p w14:paraId="42E37CF6">
      <w:pPr>
        <w:pStyle w:val="40"/>
        <w:spacing w:line="360" w:lineRule="auto"/>
        <w:rPr>
          <w:color w:val="auto"/>
          <w:highlight w:val="none"/>
        </w:rPr>
      </w:pPr>
      <w:r>
        <w:rPr>
          <w:rFonts w:hint="eastAsia"/>
          <w:color w:val="auto"/>
          <w:highlight w:val="none"/>
        </w:rPr>
        <w:t>1</w:t>
      </w:r>
      <w:r>
        <w:rPr>
          <w:rFonts w:hint="eastAsia"/>
          <w:color w:val="auto"/>
          <w:highlight w:val="none"/>
          <w:lang w:val="en-US"/>
        </w:rPr>
        <w:t>6</w:t>
      </w:r>
      <w:r>
        <w:rPr>
          <w:rFonts w:hint="eastAsia"/>
          <w:color w:val="auto"/>
          <w:highlight w:val="none"/>
        </w:rPr>
        <w:t>.</w:t>
      </w:r>
      <w:r>
        <w:rPr>
          <w:rFonts w:hint="eastAsia"/>
          <w:color w:val="auto"/>
          <w:highlight w:val="none"/>
          <w:lang w:val="en-US"/>
        </w:rPr>
        <w:t>7</w:t>
      </w:r>
      <w:r>
        <w:rPr>
          <w:rFonts w:hint="eastAsia"/>
          <w:color w:val="auto"/>
          <w:highlight w:val="none"/>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color w:val="auto"/>
          <w:highlight w:val="none"/>
          <w:lang w:val="en-US"/>
        </w:rPr>
        <w:t>按</w:t>
      </w:r>
      <w:r>
        <w:rPr>
          <w:rFonts w:hint="eastAsia"/>
          <w:b/>
          <w:bCs/>
          <w:color w:val="auto"/>
          <w:highlight w:val="none"/>
          <w:lang w:val="en-US"/>
        </w:rPr>
        <w:t>无效投标</w:t>
      </w:r>
      <w:r>
        <w:rPr>
          <w:rFonts w:hint="eastAsia"/>
          <w:color w:val="auto"/>
          <w:highlight w:val="none"/>
        </w:rPr>
        <w:t>处理。</w:t>
      </w:r>
    </w:p>
    <w:p w14:paraId="5F15D19B">
      <w:pPr>
        <w:pStyle w:val="40"/>
        <w:spacing w:line="360" w:lineRule="auto"/>
        <w:rPr>
          <w:color w:val="auto"/>
          <w:highlight w:val="none"/>
        </w:rPr>
      </w:pPr>
      <w:r>
        <w:rPr>
          <w:rFonts w:hint="eastAsia"/>
          <w:color w:val="auto"/>
          <w:highlight w:val="none"/>
        </w:rPr>
        <w:t>1</w:t>
      </w:r>
      <w:r>
        <w:rPr>
          <w:rFonts w:hint="eastAsia"/>
          <w:color w:val="auto"/>
          <w:highlight w:val="none"/>
          <w:lang w:val="en-US"/>
        </w:rPr>
        <w:t>6</w:t>
      </w:r>
      <w:r>
        <w:rPr>
          <w:rFonts w:hint="eastAsia"/>
          <w:color w:val="auto"/>
          <w:highlight w:val="none"/>
        </w:rPr>
        <w:t>.</w:t>
      </w:r>
      <w:r>
        <w:rPr>
          <w:rFonts w:hint="eastAsia"/>
          <w:color w:val="auto"/>
          <w:highlight w:val="none"/>
          <w:lang w:val="en-US"/>
        </w:rPr>
        <w:t>8</w:t>
      </w:r>
      <w:r>
        <w:rPr>
          <w:rFonts w:hint="eastAsia"/>
          <w:color w:val="auto"/>
          <w:highlight w:val="none"/>
        </w:rPr>
        <w:t>投标人必须保证投标文件所提供的全部资料真实可靠，并接受采购</w:t>
      </w:r>
      <w:r>
        <w:rPr>
          <w:rFonts w:hint="eastAsia"/>
          <w:color w:val="auto"/>
          <w:highlight w:val="none"/>
          <w:lang w:val="en-US"/>
        </w:rPr>
        <w:t>人、采购</w:t>
      </w:r>
      <w:r>
        <w:rPr>
          <w:rFonts w:hint="eastAsia"/>
          <w:color w:val="auto"/>
          <w:highlight w:val="none"/>
        </w:rPr>
        <w:t>代理机构或评标委员会对其中任何资料进一步审查的要求。</w:t>
      </w:r>
    </w:p>
    <w:p w14:paraId="2C38A91B">
      <w:pPr>
        <w:pStyle w:val="40"/>
        <w:spacing w:line="360" w:lineRule="auto"/>
        <w:rPr>
          <w:color w:val="auto"/>
          <w:highlight w:val="none"/>
        </w:rPr>
      </w:pPr>
      <w:r>
        <w:rPr>
          <w:rFonts w:hint="eastAsia"/>
          <w:color w:val="auto"/>
          <w:highlight w:val="none"/>
        </w:rPr>
        <w:t>1</w:t>
      </w:r>
      <w:r>
        <w:rPr>
          <w:rFonts w:hint="eastAsia"/>
          <w:color w:val="auto"/>
          <w:highlight w:val="none"/>
          <w:lang w:val="en-US"/>
        </w:rPr>
        <w:t>6</w:t>
      </w:r>
      <w:r>
        <w:rPr>
          <w:rFonts w:hint="eastAsia"/>
          <w:color w:val="auto"/>
          <w:highlight w:val="none"/>
        </w:rPr>
        <w:t>.</w:t>
      </w:r>
      <w:r>
        <w:rPr>
          <w:rFonts w:hint="eastAsia"/>
          <w:color w:val="auto"/>
          <w:highlight w:val="none"/>
          <w:lang w:val="en-US"/>
        </w:rPr>
        <w:t>9</w:t>
      </w:r>
      <w:r>
        <w:rPr>
          <w:rFonts w:hint="eastAsia"/>
          <w:color w:val="auto"/>
          <w:highlight w:val="none"/>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b/>
          <w:bCs/>
          <w:color w:val="auto"/>
          <w:highlight w:val="none"/>
        </w:rPr>
        <w:t>无效投标</w:t>
      </w:r>
      <w:r>
        <w:rPr>
          <w:rFonts w:hint="eastAsia"/>
          <w:color w:val="auto"/>
          <w:highlight w:val="none"/>
        </w:rPr>
        <w:t>处理。</w:t>
      </w:r>
    </w:p>
    <w:p w14:paraId="2D3EFD5E">
      <w:pPr>
        <w:pStyle w:val="40"/>
        <w:spacing w:line="360" w:lineRule="auto"/>
        <w:rPr>
          <w:iCs w:val="0"/>
          <w:color w:val="auto"/>
          <w:highlight w:val="none"/>
        </w:rPr>
      </w:pPr>
      <w:r>
        <w:rPr>
          <w:rFonts w:hint="eastAsia"/>
          <w:iCs w:val="0"/>
          <w:color w:val="auto"/>
          <w:highlight w:val="none"/>
        </w:rPr>
        <w:t>16.10电子投标文件的编制</w:t>
      </w:r>
    </w:p>
    <w:p w14:paraId="18A167A8">
      <w:pPr>
        <w:pStyle w:val="40"/>
        <w:spacing w:line="360" w:lineRule="auto"/>
        <w:rPr>
          <w:iCs w:val="0"/>
          <w:color w:val="auto"/>
          <w:highlight w:val="none"/>
        </w:rPr>
      </w:pPr>
      <w:r>
        <w:rPr>
          <w:rFonts w:hint="eastAsia"/>
          <w:iCs w:val="0"/>
          <w:color w:val="auto"/>
          <w:highlight w:val="none"/>
        </w:rPr>
        <w:t>16.10.1</w:t>
      </w:r>
      <w:r>
        <w:rPr>
          <w:rFonts w:hint="eastAsia"/>
          <w:color w:val="auto"/>
          <w:highlight w:val="none"/>
        </w:rPr>
        <w:t>电子</w:t>
      </w:r>
      <w:r>
        <w:rPr>
          <w:rFonts w:hint="eastAsia"/>
          <w:iCs w:val="0"/>
          <w:color w:val="auto"/>
          <w:highlight w:val="none"/>
        </w:rPr>
        <w:t xml:space="preserve">投标文件需按招标文件要求进行制作编制。投标文件制作时，不同内容按标签提示制作导入，按照招标文件中明确的投标文件目录和格式进行编制，保证目录清晰、内容完整；           </w:t>
      </w:r>
    </w:p>
    <w:p w14:paraId="5996B67D">
      <w:pPr>
        <w:pStyle w:val="40"/>
        <w:spacing w:line="360" w:lineRule="auto"/>
        <w:rPr>
          <w:iCs w:val="0"/>
          <w:color w:val="auto"/>
          <w:highlight w:val="none"/>
        </w:rPr>
      </w:pPr>
      <w:r>
        <w:rPr>
          <w:rFonts w:hint="eastAsia"/>
          <w:iCs w:val="0"/>
          <w:color w:val="auto"/>
          <w:highlight w:val="none"/>
        </w:rPr>
        <w:t>16.10.2</w:t>
      </w:r>
      <w:r>
        <w:rPr>
          <w:rFonts w:hint="eastAsia"/>
          <w:color w:val="auto"/>
          <w:highlight w:val="none"/>
        </w:rPr>
        <w:t>电子</w:t>
      </w:r>
      <w:r>
        <w:rPr>
          <w:rFonts w:hint="eastAsia"/>
          <w:iCs w:val="0"/>
          <w:color w:val="auto"/>
          <w:highlight w:val="none"/>
        </w:rPr>
        <w:t>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b/>
          <w:bCs/>
          <w:iCs w:val="0"/>
          <w:color w:val="auto"/>
          <w:highlight w:val="none"/>
        </w:rPr>
        <w:t>其投标无效</w:t>
      </w:r>
      <w:r>
        <w:rPr>
          <w:rFonts w:hint="eastAsia"/>
          <w:iCs w:val="0"/>
          <w:color w:val="auto"/>
          <w:highlight w:val="none"/>
        </w:rPr>
        <w:t xml:space="preserve">。 </w:t>
      </w:r>
    </w:p>
    <w:p w14:paraId="4EE427DD">
      <w:pPr>
        <w:pStyle w:val="4"/>
        <w:spacing w:line="360" w:lineRule="auto"/>
        <w:rPr>
          <w:color w:val="auto"/>
          <w:highlight w:val="none"/>
        </w:rPr>
      </w:pPr>
      <w:bookmarkStart w:id="180" w:name="_Toc155185873"/>
      <w:bookmarkStart w:id="181" w:name="_Toc163492842"/>
      <w:r>
        <w:rPr>
          <w:rFonts w:hint="eastAsia"/>
          <w:color w:val="auto"/>
          <w:highlight w:val="none"/>
        </w:rPr>
        <w:t>（四）投标</w:t>
      </w:r>
      <w:bookmarkEnd w:id="180"/>
      <w:bookmarkEnd w:id="181"/>
    </w:p>
    <w:p w14:paraId="6536C791">
      <w:pPr>
        <w:pStyle w:val="5"/>
        <w:spacing w:line="360" w:lineRule="auto"/>
        <w:rPr>
          <w:color w:val="auto"/>
          <w:highlight w:val="none"/>
        </w:rPr>
      </w:pPr>
      <w:bookmarkStart w:id="182" w:name="_Toc163492843"/>
      <w:r>
        <w:rPr>
          <w:rFonts w:hint="eastAsia"/>
          <w:color w:val="auto"/>
          <w:highlight w:val="none"/>
        </w:rPr>
        <w:t>17.投标保证金</w:t>
      </w:r>
    </w:p>
    <w:p w14:paraId="0B740E62">
      <w:pPr>
        <w:pStyle w:val="40"/>
        <w:spacing w:line="360" w:lineRule="auto"/>
        <w:rPr>
          <w:iCs w:val="0"/>
          <w:color w:val="auto"/>
          <w:highlight w:val="none"/>
        </w:rPr>
      </w:pPr>
      <w:r>
        <w:rPr>
          <w:rFonts w:hint="eastAsia"/>
          <w:iCs w:val="0"/>
          <w:color w:val="auto"/>
          <w:highlight w:val="none"/>
        </w:rPr>
        <w:t>17.1投标人应按照招标文件“第二章 投标人须知前附表”规定的金额及要求提交投标保证金。投标人自愿超额缴纳投标保证金的，投标文件不作无效处理。</w:t>
      </w:r>
    </w:p>
    <w:p w14:paraId="7F1007C1">
      <w:pPr>
        <w:pStyle w:val="40"/>
        <w:spacing w:line="360" w:lineRule="auto"/>
        <w:rPr>
          <w:rFonts w:cs="宋体"/>
          <w:color w:val="auto"/>
          <w:highlight w:val="none"/>
        </w:rPr>
      </w:pPr>
      <w:r>
        <w:rPr>
          <w:rFonts w:hint="eastAsia"/>
          <w:color w:val="auto"/>
          <w:highlight w:val="none"/>
        </w:rPr>
        <w:t>17.2提交投标保证金可采用的形式：政府采购法律法规接受的支票、汇票、本票、网上银行支付或者金融机构、担保机构出具的保函等非现金形式。</w:t>
      </w:r>
      <w:r>
        <w:rPr>
          <w:rFonts w:hint="eastAsia" w:cs="宋体"/>
          <w:color w:val="auto"/>
          <w:highlight w:val="none"/>
        </w:rPr>
        <w:t>投标人未按照招标文件要求提交投标保证金的，其</w:t>
      </w:r>
      <w:r>
        <w:rPr>
          <w:rFonts w:hint="eastAsia" w:cs="宋体"/>
          <w:b/>
          <w:bCs/>
          <w:color w:val="auto"/>
          <w:highlight w:val="none"/>
        </w:rPr>
        <w:t>投标无效</w:t>
      </w:r>
      <w:r>
        <w:rPr>
          <w:rFonts w:hint="eastAsia" w:cs="宋体"/>
          <w:color w:val="auto"/>
          <w:highlight w:val="none"/>
        </w:rPr>
        <w:t>。</w:t>
      </w:r>
      <w:r>
        <w:rPr>
          <w:rFonts w:hint="eastAsia"/>
          <w:color w:val="auto"/>
          <w:highlight w:val="none"/>
        </w:rPr>
        <w:t>投标保证金有效期同投标有效期。</w:t>
      </w:r>
    </w:p>
    <w:p w14:paraId="136B8FF5">
      <w:pPr>
        <w:pStyle w:val="40"/>
        <w:spacing w:line="360" w:lineRule="auto"/>
        <w:rPr>
          <w:color w:val="auto"/>
          <w:highlight w:val="none"/>
        </w:rPr>
      </w:pPr>
      <w:r>
        <w:rPr>
          <w:rFonts w:hint="eastAsia"/>
          <w:color w:val="auto"/>
          <w:highlight w:val="none"/>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b/>
          <w:bCs/>
          <w:color w:val="auto"/>
          <w:highlight w:val="none"/>
        </w:rPr>
        <w:t>投标无效</w:t>
      </w:r>
      <w:r>
        <w:rPr>
          <w:rFonts w:hint="eastAsia"/>
          <w:color w:val="auto"/>
          <w:highlight w:val="none"/>
        </w:rPr>
        <w:t>。</w:t>
      </w:r>
    </w:p>
    <w:p w14:paraId="16B6D4C8">
      <w:pPr>
        <w:pStyle w:val="40"/>
        <w:spacing w:line="360" w:lineRule="auto"/>
        <w:rPr>
          <w:iCs w:val="0"/>
          <w:color w:val="auto"/>
          <w:highlight w:val="none"/>
        </w:rPr>
      </w:pPr>
      <w:r>
        <w:rPr>
          <w:iCs w:val="0"/>
          <w:color w:val="auto"/>
          <w:highlight w:val="none"/>
        </w:rPr>
        <w:t>1</w:t>
      </w:r>
      <w:r>
        <w:rPr>
          <w:rFonts w:hint="eastAsia"/>
          <w:iCs w:val="0"/>
          <w:color w:val="auto"/>
          <w:highlight w:val="none"/>
        </w:rPr>
        <w:t>7</w:t>
      </w:r>
      <w:r>
        <w:rPr>
          <w:iCs w:val="0"/>
          <w:color w:val="auto"/>
          <w:highlight w:val="none"/>
        </w:rPr>
        <w:t>.</w:t>
      </w:r>
      <w:r>
        <w:rPr>
          <w:rFonts w:hint="eastAsia"/>
          <w:iCs w:val="0"/>
          <w:color w:val="auto"/>
          <w:highlight w:val="none"/>
        </w:rPr>
        <w:t>4</w:t>
      </w:r>
      <w:r>
        <w:rPr>
          <w:iCs w:val="0"/>
          <w:color w:val="auto"/>
          <w:highlight w:val="none"/>
        </w:rPr>
        <w:t xml:space="preserve"> </w:t>
      </w:r>
      <w:r>
        <w:rPr>
          <w:color w:val="auto"/>
          <w:highlight w:val="none"/>
        </w:rPr>
        <w:t>投标人</w:t>
      </w:r>
      <w:r>
        <w:rPr>
          <w:iCs w:val="0"/>
          <w:color w:val="auto"/>
          <w:highlight w:val="none"/>
        </w:rPr>
        <w:t>为联合体的，可以由联合体中的一方或者多方共同</w:t>
      </w:r>
      <w:r>
        <w:rPr>
          <w:rFonts w:hint="eastAsia"/>
          <w:iCs w:val="0"/>
          <w:color w:val="auto"/>
          <w:highlight w:val="none"/>
        </w:rPr>
        <w:t>提交</w:t>
      </w:r>
      <w:r>
        <w:rPr>
          <w:iCs w:val="0"/>
          <w:color w:val="auto"/>
          <w:highlight w:val="none"/>
        </w:rPr>
        <w:t>投标保证金，其</w:t>
      </w:r>
      <w:r>
        <w:rPr>
          <w:rFonts w:hint="eastAsia"/>
          <w:iCs w:val="0"/>
          <w:color w:val="auto"/>
          <w:highlight w:val="none"/>
        </w:rPr>
        <w:t>提交</w:t>
      </w:r>
      <w:r>
        <w:rPr>
          <w:iCs w:val="0"/>
          <w:color w:val="auto"/>
          <w:highlight w:val="none"/>
        </w:rPr>
        <w:t>的投标保证金对联合体各方均具有约束力。</w:t>
      </w:r>
    </w:p>
    <w:p w14:paraId="7930E2ED">
      <w:pPr>
        <w:pStyle w:val="40"/>
        <w:spacing w:line="360" w:lineRule="auto"/>
        <w:rPr>
          <w:iCs w:val="0"/>
          <w:color w:val="auto"/>
          <w:highlight w:val="none"/>
        </w:rPr>
      </w:pPr>
      <w:r>
        <w:rPr>
          <w:rFonts w:hint="eastAsia"/>
          <w:iCs w:val="0"/>
          <w:color w:val="auto"/>
          <w:highlight w:val="none"/>
        </w:rPr>
        <w:t>17.5</w:t>
      </w:r>
      <w:r>
        <w:rPr>
          <w:iCs w:val="0"/>
          <w:color w:val="auto"/>
          <w:highlight w:val="none"/>
        </w:rPr>
        <w:t>采购人或者采购代理机构应当在采购活动结束后及时退还</w:t>
      </w:r>
      <w:r>
        <w:rPr>
          <w:rFonts w:hint="eastAsia"/>
          <w:iCs w:val="0"/>
          <w:color w:val="auto"/>
          <w:highlight w:val="none"/>
        </w:rPr>
        <w:t>投标人</w:t>
      </w:r>
      <w:r>
        <w:rPr>
          <w:iCs w:val="0"/>
          <w:color w:val="auto"/>
          <w:highlight w:val="none"/>
        </w:rPr>
        <w:t>的</w:t>
      </w:r>
      <w:r>
        <w:rPr>
          <w:rFonts w:hint="eastAsia"/>
          <w:iCs w:val="0"/>
          <w:color w:val="auto"/>
          <w:highlight w:val="none"/>
        </w:rPr>
        <w:t>投标</w:t>
      </w:r>
      <w:r>
        <w:rPr>
          <w:iCs w:val="0"/>
          <w:color w:val="auto"/>
          <w:highlight w:val="none"/>
        </w:rPr>
        <w:t>保证金，采用银行保函、担保机构担保函等形式递交的</w:t>
      </w:r>
      <w:r>
        <w:rPr>
          <w:rFonts w:hint="eastAsia"/>
          <w:iCs w:val="0"/>
          <w:color w:val="auto"/>
          <w:highlight w:val="none"/>
        </w:rPr>
        <w:t>投标</w:t>
      </w:r>
      <w:r>
        <w:rPr>
          <w:iCs w:val="0"/>
          <w:color w:val="auto"/>
          <w:highlight w:val="none"/>
        </w:rPr>
        <w:t>保证金，经</w:t>
      </w:r>
      <w:r>
        <w:rPr>
          <w:rFonts w:hint="eastAsia"/>
          <w:iCs w:val="0"/>
          <w:color w:val="auto"/>
          <w:highlight w:val="none"/>
        </w:rPr>
        <w:t>投标人</w:t>
      </w:r>
      <w:r>
        <w:rPr>
          <w:iCs w:val="0"/>
          <w:color w:val="auto"/>
          <w:highlight w:val="none"/>
        </w:rPr>
        <w:t>同意后采购人、采购代理机构可以不再退还，但因</w:t>
      </w:r>
      <w:r>
        <w:rPr>
          <w:rFonts w:hint="eastAsia"/>
          <w:iCs w:val="0"/>
          <w:color w:val="auto"/>
          <w:highlight w:val="none"/>
        </w:rPr>
        <w:t>投标人</w:t>
      </w:r>
      <w:r>
        <w:rPr>
          <w:iCs w:val="0"/>
          <w:color w:val="auto"/>
          <w:highlight w:val="none"/>
        </w:rPr>
        <w:t>自身原因导致无法及时退还的除外。未</w:t>
      </w:r>
      <w:r>
        <w:rPr>
          <w:rFonts w:hint="eastAsia"/>
          <w:iCs w:val="0"/>
          <w:color w:val="auto"/>
          <w:highlight w:val="none"/>
        </w:rPr>
        <w:t>中标投标人</w:t>
      </w:r>
      <w:r>
        <w:rPr>
          <w:iCs w:val="0"/>
          <w:color w:val="auto"/>
          <w:highlight w:val="none"/>
        </w:rPr>
        <w:t>的</w:t>
      </w:r>
      <w:r>
        <w:rPr>
          <w:rFonts w:hint="eastAsia"/>
          <w:iCs w:val="0"/>
          <w:color w:val="auto"/>
          <w:highlight w:val="none"/>
        </w:rPr>
        <w:t>投标</w:t>
      </w:r>
      <w:r>
        <w:rPr>
          <w:iCs w:val="0"/>
          <w:color w:val="auto"/>
          <w:highlight w:val="none"/>
        </w:rPr>
        <w:t>保证金应当自中标通知书发出之日起 5 个工作日内退还，</w:t>
      </w:r>
      <w:r>
        <w:rPr>
          <w:rFonts w:hint="eastAsia"/>
          <w:iCs w:val="0"/>
          <w:color w:val="auto"/>
          <w:highlight w:val="none"/>
        </w:rPr>
        <w:t>中标投标人</w:t>
      </w:r>
      <w:r>
        <w:rPr>
          <w:iCs w:val="0"/>
          <w:color w:val="auto"/>
          <w:highlight w:val="none"/>
        </w:rPr>
        <w:t>的</w:t>
      </w:r>
      <w:r>
        <w:rPr>
          <w:rFonts w:hint="eastAsia"/>
          <w:iCs w:val="0"/>
          <w:color w:val="auto"/>
          <w:highlight w:val="none"/>
        </w:rPr>
        <w:t>投标</w:t>
      </w:r>
      <w:r>
        <w:rPr>
          <w:iCs w:val="0"/>
          <w:color w:val="auto"/>
          <w:highlight w:val="none"/>
        </w:rPr>
        <w:t xml:space="preserve">保证金应当自采购合同签订之日起 5 个工作日内退还。 </w:t>
      </w:r>
    </w:p>
    <w:p w14:paraId="5078702B">
      <w:pPr>
        <w:pStyle w:val="40"/>
        <w:spacing w:line="360" w:lineRule="auto"/>
        <w:rPr>
          <w:iCs w:val="0"/>
          <w:color w:val="auto"/>
          <w:highlight w:val="none"/>
        </w:rPr>
      </w:pPr>
      <w:r>
        <w:rPr>
          <w:iCs w:val="0"/>
          <w:color w:val="auto"/>
          <w:highlight w:val="none"/>
        </w:rPr>
        <w:t>1</w:t>
      </w:r>
      <w:r>
        <w:rPr>
          <w:rFonts w:hint="eastAsia"/>
          <w:iCs w:val="0"/>
          <w:color w:val="auto"/>
          <w:highlight w:val="none"/>
        </w:rPr>
        <w:t>7</w:t>
      </w:r>
      <w:r>
        <w:rPr>
          <w:iCs w:val="0"/>
          <w:color w:val="auto"/>
          <w:highlight w:val="none"/>
        </w:rPr>
        <w:t>.</w:t>
      </w:r>
      <w:r>
        <w:rPr>
          <w:rFonts w:hint="eastAsia"/>
          <w:iCs w:val="0"/>
          <w:color w:val="auto"/>
          <w:highlight w:val="none"/>
        </w:rPr>
        <w:t>6</w:t>
      </w:r>
      <w:r>
        <w:rPr>
          <w:iCs w:val="0"/>
          <w:color w:val="auto"/>
          <w:highlight w:val="none"/>
        </w:rPr>
        <w:t xml:space="preserve"> 投标人在投标截止时间前撤回已</w:t>
      </w:r>
      <w:r>
        <w:rPr>
          <w:rFonts w:hint="eastAsia"/>
          <w:iCs w:val="0"/>
          <w:color w:val="auto"/>
          <w:highlight w:val="none"/>
        </w:rPr>
        <w:t>提</w:t>
      </w:r>
      <w:r>
        <w:rPr>
          <w:iCs w:val="0"/>
          <w:color w:val="auto"/>
          <w:highlight w:val="none"/>
        </w:rPr>
        <w:t>交的投标文件的，自收到投标人书面撤回通知之日起 5 个工作日内，退还已收取的投标保证金，但因投标人自身原因导致无法及时退还的除外</w:t>
      </w:r>
      <w:r>
        <w:rPr>
          <w:rFonts w:hint="eastAsia"/>
          <w:iCs w:val="0"/>
          <w:color w:val="auto"/>
          <w:highlight w:val="none"/>
        </w:rPr>
        <w:t>。</w:t>
      </w:r>
      <w:r>
        <w:rPr>
          <w:iCs w:val="0"/>
          <w:color w:val="auto"/>
          <w:highlight w:val="none"/>
        </w:rPr>
        <w:t xml:space="preserve"> </w:t>
      </w:r>
    </w:p>
    <w:p w14:paraId="34149191">
      <w:pPr>
        <w:pStyle w:val="40"/>
        <w:spacing w:line="360" w:lineRule="auto"/>
        <w:rPr>
          <w:iCs w:val="0"/>
          <w:color w:val="auto"/>
          <w:highlight w:val="none"/>
        </w:rPr>
      </w:pPr>
      <w:r>
        <w:rPr>
          <w:iCs w:val="0"/>
          <w:color w:val="auto"/>
          <w:highlight w:val="none"/>
        </w:rPr>
        <w:t>1</w:t>
      </w:r>
      <w:r>
        <w:rPr>
          <w:rFonts w:hint="eastAsia"/>
          <w:iCs w:val="0"/>
          <w:color w:val="auto"/>
          <w:highlight w:val="none"/>
        </w:rPr>
        <w:t>7</w:t>
      </w:r>
      <w:r>
        <w:rPr>
          <w:iCs w:val="0"/>
          <w:color w:val="auto"/>
          <w:highlight w:val="none"/>
        </w:rPr>
        <w:t>.</w:t>
      </w:r>
      <w:r>
        <w:rPr>
          <w:rFonts w:hint="eastAsia"/>
          <w:iCs w:val="0"/>
          <w:color w:val="auto"/>
          <w:highlight w:val="none"/>
        </w:rPr>
        <w:t>7</w:t>
      </w:r>
      <w:r>
        <w:rPr>
          <w:iCs w:val="0"/>
          <w:color w:val="auto"/>
          <w:highlight w:val="none"/>
        </w:rPr>
        <w:t xml:space="preserve"> 终止招标项目已经收取投标保证金的，自终止采购活动后 5 个工作日内退还已收取的投标保证金及其在银行产生的孳息。</w:t>
      </w:r>
    </w:p>
    <w:p w14:paraId="21A6451C">
      <w:pPr>
        <w:pStyle w:val="40"/>
        <w:spacing w:line="360" w:lineRule="auto"/>
        <w:rPr>
          <w:iCs w:val="0"/>
          <w:color w:val="auto"/>
          <w:highlight w:val="none"/>
        </w:rPr>
      </w:pPr>
      <w:r>
        <w:rPr>
          <w:iCs w:val="0"/>
          <w:color w:val="auto"/>
          <w:highlight w:val="none"/>
        </w:rPr>
        <w:t>1</w:t>
      </w:r>
      <w:r>
        <w:rPr>
          <w:rFonts w:hint="eastAsia"/>
          <w:iCs w:val="0"/>
          <w:color w:val="auto"/>
          <w:highlight w:val="none"/>
        </w:rPr>
        <w:t>7</w:t>
      </w:r>
      <w:r>
        <w:rPr>
          <w:iCs w:val="0"/>
          <w:color w:val="auto"/>
          <w:highlight w:val="none"/>
        </w:rPr>
        <w:t>.</w:t>
      </w:r>
      <w:r>
        <w:rPr>
          <w:rFonts w:hint="eastAsia"/>
          <w:iCs w:val="0"/>
          <w:color w:val="auto"/>
          <w:highlight w:val="none"/>
        </w:rPr>
        <w:t>8</w:t>
      </w:r>
      <w:r>
        <w:rPr>
          <w:iCs w:val="0"/>
          <w:color w:val="auto"/>
          <w:highlight w:val="none"/>
        </w:rPr>
        <w:t xml:space="preserve"> 有下列情形之一的，采购人或采购代理机构可以不予退还投标保证金</w:t>
      </w:r>
      <w:r>
        <w:rPr>
          <w:rFonts w:hint="eastAsia"/>
          <w:iCs w:val="0"/>
          <w:color w:val="auto"/>
          <w:highlight w:val="none"/>
        </w:rPr>
        <w:t>，</w:t>
      </w:r>
      <w:r>
        <w:rPr>
          <w:rFonts w:hint="eastAsia" w:cs="宋体"/>
          <w:color w:val="auto"/>
          <w:highlight w:val="none"/>
        </w:rPr>
        <w:t>情节严重的将其列入不良记录名单</w:t>
      </w:r>
      <w:r>
        <w:rPr>
          <w:iCs w:val="0"/>
          <w:color w:val="auto"/>
          <w:highlight w:val="none"/>
        </w:rPr>
        <w:t xml:space="preserve">： </w:t>
      </w:r>
    </w:p>
    <w:p w14:paraId="2E704253">
      <w:pPr>
        <w:pStyle w:val="40"/>
        <w:spacing w:line="360" w:lineRule="auto"/>
        <w:rPr>
          <w:iCs w:val="0"/>
          <w:color w:val="auto"/>
          <w:highlight w:val="none"/>
        </w:rPr>
      </w:pPr>
      <w:r>
        <w:rPr>
          <w:iCs w:val="0"/>
          <w:color w:val="auto"/>
          <w:highlight w:val="none"/>
        </w:rPr>
        <w:t>1</w:t>
      </w:r>
      <w:r>
        <w:rPr>
          <w:rFonts w:hint="eastAsia"/>
          <w:iCs w:val="0"/>
          <w:color w:val="auto"/>
          <w:highlight w:val="none"/>
        </w:rPr>
        <w:t>7</w:t>
      </w:r>
      <w:r>
        <w:rPr>
          <w:iCs w:val="0"/>
          <w:color w:val="auto"/>
          <w:highlight w:val="none"/>
        </w:rPr>
        <w:t>.</w:t>
      </w:r>
      <w:r>
        <w:rPr>
          <w:rFonts w:hint="eastAsia"/>
          <w:iCs w:val="0"/>
          <w:color w:val="auto"/>
          <w:highlight w:val="none"/>
        </w:rPr>
        <w:t>8</w:t>
      </w:r>
      <w:r>
        <w:rPr>
          <w:iCs w:val="0"/>
          <w:color w:val="auto"/>
          <w:highlight w:val="none"/>
        </w:rPr>
        <w:t xml:space="preserve">.1 </w:t>
      </w:r>
      <w:r>
        <w:rPr>
          <w:rFonts w:hint="eastAsia"/>
          <w:color w:val="auto"/>
          <w:highlight w:val="none"/>
        </w:rPr>
        <w:t>开标</w:t>
      </w:r>
      <w:r>
        <w:rPr>
          <w:rFonts w:hint="eastAsia" w:cs="宋体"/>
          <w:color w:val="auto"/>
          <w:highlight w:val="none"/>
        </w:rPr>
        <w:t>后在投标有效期内，投标人撤销其投标的；</w:t>
      </w:r>
      <w:r>
        <w:rPr>
          <w:iCs w:val="0"/>
          <w:color w:val="auto"/>
          <w:highlight w:val="none"/>
        </w:rPr>
        <w:t xml:space="preserve"> </w:t>
      </w:r>
    </w:p>
    <w:p w14:paraId="0C7D74C4">
      <w:pPr>
        <w:pStyle w:val="40"/>
        <w:spacing w:line="360" w:lineRule="auto"/>
        <w:rPr>
          <w:iCs w:val="0"/>
          <w:color w:val="auto"/>
          <w:highlight w:val="none"/>
        </w:rPr>
      </w:pPr>
      <w:r>
        <w:rPr>
          <w:iCs w:val="0"/>
          <w:color w:val="auto"/>
          <w:highlight w:val="none"/>
        </w:rPr>
        <w:t>1</w:t>
      </w:r>
      <w:r>
        <w:rPr>
          <w:rFonts w:hint="eastAsia"/>
          <w:iCs w:val="0"/>
          <w:color w:val="auto"/>
          <w:highlight w:val="none"/>
        </w:rPr>
        <w:t>7</w:t>
      </w:r>
      <w:r>
        <w:rPr>
          <w:iCs w:val="0"/>
          <w:color w:val="auto"/>
          <w:highlight w:val="none"/>
        </w:rPr>
        <w:t>.</w:t>
      </w:r>
      <w:r>
        <w:rPr>
          <w:rFonts w:hint="eastAsia"/>
          <w:iCs w:val="0"/>
          <w:color w:val="auto"/>
          <w:highlight w:val="none"/>
        </w:rPr>
        <w:t>8</w:t>
      </w:r>
      <w:r>
        <w:rPr>
          <w:iCs w:val="0"/>
          <w:color w:val="auto"/>
          <w:highlight w:val="none"/>
        </w:rPr>
        <w:t xml:space="preserve">.2 </w:t>
      </w:r>
      <w:r>
        <w:rPr>
          <w:rFonts w:hint="eastAsia" w:cs="宋体"/>
          <w:color w:val="auto"/>
          <w:highlight w:val="none"/>
        </w:rPr>
        <w:t>中标后无正当理由不与采购人签订合同的；</w:t>
      </w:r>
    </w:p>
    <w:p w14:paraId="27A003EF">
      <w:pPr>
        <w:pStyle w:val="40"/>
        <w:spacing w:line="360" w:lineRule="auto"/>
        <w:rPr>
          <w:rFonts w:cs="宋体"/>
          <w:color w:val="auto"/>
          <w:highlight w:val="none"/>
        </w:rPr>
      </w:pPr>
      <w:r>
        <w:rPr>
          <w:rFonts w:hint="eastAsia"/>
          <w:iCs w:val="0"/>
          <w:color w:val="auto"/>
          <w:highlight w:val="none"/>
        </w:rPr>
        <w:t xml:space="preserve">17.8.3 </w:t>
      </w:r>
      <w:r>
        <w:rPr>
          <w:rFonts w:hint="eastAsia" w:cs="宋体"/>
          <w:color w:val="auto"/>
          <w:highlight w:val="none"/>
        </w:rPr>
        <w:t>中标人与采购人订立背离合同实质性内容的其他协议；</w:t>
      </w:r>
    </w:p>
    <w:p w14:paraId="49950F6F">
      <w:pPr>
        <w:pStyle w:val="40"/>
        <w:spacing w:line="360" w:lineRule="auto"/>
        <w:rPr>
          <w:rFonts w:cs="宋体"/>
          <w:color w:val="auto"/>
          <w:highlight w:val="none"/>
        </w:rPr>
      </w:pPr>
      <w:r>
        <w:rPr>
          <w:rFonts w:hint="eastAsia"/>
          <w:iCs w:val="0"/>
          <w:color w:val="auto"/>
          <w:highlight w:val="none"/>
        </w:rPr>
        <w:t>17.8.</w:t>
      </w:r>
      <w:r>
        <w:rPr>
          <w:rFonts w:hint="eastAsia" w:cs="宋体"/>
          <w:color w:val="auto"/>
          <w:highlight w:val="none"/>
        </w:rPr>
        <w:t>4 将</w:t>
      </w:r>
      <w:r>
        <w:rPr>
          <w:rFonts w:hint="eastAsia"/>
          <w:color w:val="auto"/>
          <w:highlight w:val="none"/>
        </w:rPr>
        <w:t>中标</w:t>
      </w:r>
      <w:r>
        <w:rPr>
          <w:rFonts w:hint="eastAsia" w:cs="宋体"/>
          <w:color w:val="auto"/>
          <w:highlight w:val="none"/>
        </w:rPr>
        <w:t>项目转让给他人，或者在投标文件中未说明，且未经采购人同意，将中标项目分包给他人的；</w:t>
      </w:r>
    </w:p>
    <w:p w14:paraId="18D883A5">
      <w:pPr>
        <w:pStyle w:val="40"/>
        <w:spacing w:line="360" w:lineRule="auto"/>
        <w:rPr>
          <w:rFonts w:cs="宋体"/>
          <w:color w:val="auto"/>
          <w:highlight w:val="none"/>
        </w:rPr>
      </w:pPr>
      <w:r>
        <w:rPr>
          <w:rFonts w:hint="eastAsia"/>
          <w:iCs w:val="0"/>
          <w:color w:val="auto"/>
          <w:highlight w:val="none"/>
        </w:rPr>
        <w:t>17.8.</w:t>
      </w:r>
      <w:r>
        <w:rPr>
          <w:rFonts w:hint="eastAsia" w:cs="宋体"/>
          <w:color w:val="auto"/>
          <w:highlight w:val="none"/>
        </w:rPr>
        <w:t>5 存在串通投标行为的；</w:t>
      </w:r>
    </w:p>
    <w:p w14:paraId="30DA51B8">
      <w:pPr>
        <w:pStyle w:val="40"/>
        <w:spacing w:line="360" w:lineRule="auto"/>
        <w:rPr>
          <w:rFonts w:cs="宋体"/>
          <w:color w:val="auto"/>
          <w:highlight w:val="none"/>
        </w:rPr>
      </w:pPr>
      <w:r>
        <w:rPr>
          <w:rFonts w:hint="eastAsia"/>
          <w:iCs w:val="0"/>
          <w:color w:val="auto"/>
          <w:highlight w:val="none"/>
        </w:rPr>
        <w:t>17.8.</w:t>
      </w:r>
      <w:r>
        <w:rPr>
          <w:rFonts w:hint="eastAsia" w:cs="宋体"/>
          <w:color w:val="auto"/>
          <w:highlight w:val="none"/>
        </w:rPr>
        <w:t>6 存在</w:t>
      </w:r>
      <w:r>
        <w:rPr>
          <w:rFonts w:hint="eastAsia"/>
          <w:color w:val="auto"/>
          <w:highlight w:val="none"/>
        </w:rPr>
        <w:t>弄虚作假</w:t>
      </w:r>
      <w:r>
        <w:rPr>
          <w:rFonts w:hint="eastAsia" w:cs="宋体"/>
          <w:color w:val="auto"/>
          <w:highlight w:val="none"/>
        </w:rPr>
        <w:t>或提供虚假材料谋取中标的；</w:t>
      </w:r>
    </w:p>
    <w:p w14:paraId="6D92BE59">
      <w:pPr>
        <w:pStyle w:val="40"/>
        <w:spacing w:line="360" w:lineRule="auto"/>
        <w:rPr>
          <w:rFonts w:cs="宋体"/>
          <w:color w:val="auto"/>
          <w:highlight w:val="none"/>
        </w:rPr>
      </w:pPr>
      <w:r>
        <w:rPr>
          <w:rFonts w:hint="eastAsia"/>
          <w:iCs w:val="0"/>
          <w:color w:val="auto"/>
          <w:highlight w:val="none"/>
        </w:rPr>
        <w:t>17.8.</w:t>
      </w:r>
      <w:r>
        <w:rPr>
          <w:rFonts w:hint="eastAsia" w:cs="宋体"/>
          <w:color w:val="auto"/>
          <w:highlight w:val="none"/>
        </w:rPr>
        <w:t>7 投标人其他未按招标文件规定和合同约定履行义务的行为。</w:t>
      </w:r>
    </w:p>
    <w:p w14:paraId="0451FF49">
      <w:pPr>
        <w:pStyle w:val="40"/>
        <w:spacing w:line="360" w:lineRule="auto"/>
        <w:rPr>
          <w:iCs w:val="0"/>
          <w:color w:val="auto"/>
          <w:highlight w:val="none"/>
        </w:rPr>
      </w:pPr>
      <w:r>
        <w:rPr>
          <w:rFonts w:hint="eastAsia"/>
          <w:iCs w:val="0"/>
          <w:color w:val="auto"/>
          <w:highlight w:val="none"/>
        </w:rPr>
        <w:t>17.9如开标时投标人对本单位投标保证金缴纳情况有疑义，投标人应在开标结束前向采购人提交书面申请核实保证金缴纳情况。由银行或保险公司核实后出具书面材料予以答复。</w:t>
      </w:r>
    </w:p>
    <w:p w14:paraId="0D48629E">
      <w:pPr>
        <w:pStyle w:val="40"/>
        <w:spacing w:line="360" w:lineRule="auto"/>
        <w:rPr>
          <w:iCs w:val="0"/>
          <w:color w:val="auto"/>
          <w:highlight w:val="none"/>
        </w:rPr>
      </w:pPr>
      <w:r>
        <w:rPr>
          <w:rFonts w:hint="eastAsia"/>
          <w:iCs w:val="0"/>
          <w:color w:val="auto"/>
          <w:highlight w:val="none"/>
        </w:rPr>
        <w:t>17.10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新疆政府采购网”—顶部通栏“信用融资”或者“新疆政府采购网”首页“政采贷｜电子保函”快捷模块查看：</w:t>
      </w:r>
    </w:p>
    <w:p w14:paraId="4F959E4A">
      <w:pPr>
        <w:pStyle w:val="40"/>
        <w:spacing w:line="360" w:lineRule="auto"/>
        <w:rPr>
          <w:iCs w:val="0"/>
          <w:color w:val="auto"/>
          <w:highlight w:val="none"/>
        </w:rPr>
      </w:pPr>
      <w:r>
        <w:rPr>
          <w:rFonts w:hint="eastAsia"/>
          <w:iCs w:val="0"/>
          <w:color w:val="auto"/>
          <w:highlight w:val="none"/>
        </w:rPr>
        <w:t>直达链接（电子保函）：</w:t>
      </w:r>
    </w:p>
    <w:p w14:paraId="6EFD772A">
      <w:pPr>
        <w:pStyle w:val="40"/>
        <w:spacing w:line="360" w:lineRule="auto"/>
        <w:rPr>
          <w:iCs w:val="0"/>
          <w:color w:val="auto"/>
          <w:highlight w:val="none"/>
        </w:rPr>
      </w:pPr>
      <w:r>
        <w:rPr>
          <w:rFonts w:hint="eastAsia"/>
          <w:iCs w:val="0"/>
          <w:color w:val="auto"/>
          <w:highlight w:val="none"/>
        </w:rPr>
        <w:t>https://</w:t>
      </w:r>
      <w:r>
        <w:rPr>
          <w:rFonts w:hint="eastAsia"/>
          <w:color w:val="auto"/>
          <w:highlight w:val="none"/>
        </w:rPr>
        <w:t>jinrong</w:t>
      </w:r>
      <w:r>
        <w:rPr>
          <w:rFonts w:hint="eastAsia"/>
          <w:iCs w:val="0"/>
          <w:color w:val="auto"/>
          <w:highlight w:val="none"/>
        </w:rPr>
        <w:t>.zcygov.cn/luban/finance/xinjiang?utm=site.site-PC-4838.1473-pc-wsg-customFloatWindow-front.1.b9d627301e6311efb796b33a13fe0d0a</w:t>
      </w:r>
    </w:p>
    <w:p w14:paraId="355E1A91">
      <w:pPr>
        <w:pStyle w:val="40"/>
        <w:spacing w:line="360" w:lineRule="auto"/>
        <w:rPr>
          <w:iCs w:val="0"/>
          <w:color w:val="auto"/>
          <w:highlight w:val="none"/>
        </w:rPr>
      </w:pPr>
      <w:r>
        <w:rPr>
          <w:rFonts w:hint="eastAsia"/>
          <w:iCs w:val="0"/>
          <w:color w:val="auto"/>
          <w:highlight w:val="none"/>
        </w:rPr>
        <w:t>金融服务</w:t>
      </w:r>
      <w:r>
        <w:rPr>
          <w:rFonts w:hint="eastAsia"/>
          <w:color w:val="auto"/>
          <w:highlight w:val="none"/>
        </w:rPr>
        <w:t>支撑</w:t>
      </w:r>
      <w:r>
        <w:rPr>
          <w:rFonts w:hint="eastAsia"/>
          <w:iCs w:val="0"/>
          <w:color w:val="auto"/>
          <w:highlight w:val="none"/>
        </w:rPr>
        <w:t>热线：</w:t>
      </w:r>
      <w:r>
        <w:rPr>
          <w:rFonts w:hint="eastAsia"/>
          <w:b/>
          <w:bCs/>
          <w:iCs w:val="0"/>
          <w:color w:val="auto"/>
          <w:highlight w:val="none"/>
        </w:rPr>
        <w:t>95763</w:t>
      </w:r>
      <w:r>
        <w:rPr>
          <w:rFonts w:hint="eastAsia"/>
          <w:iCs w:val="0"/>
          <w:color w:val="auto"/>
          <w:highlight w:val="none"/>
        </w:rPr>
        <w:t xml:space="preserve">     </w:t>
      </w:r>
    </w:p>
    <w:p w14:paraId="3E3B8288">
      <w:pPr>
        <w:pStyle w:val="5"/>
        <w:spacing w:line="360" w:lineRule="auto"/>
        <w:rPr>
          <w:color w:val="auto"/>
          <w:highlight w:val="none"/>
        </w:rPr>
      </w:pPr>
      <w:r>
        <w:rPr>
          <w:rFonts w:hint="eastAsia"/>
          <w:color w:val="auto"/>
          <w:highlight w:val="none"/>
        </w:rPr>
        <w:t>18.投标文件的加密</w:t>
      </w:r>
      <w:bookmarkEnd w:id="182"/>
    </w:p>
    <w:p w14:paraId="7783ED9F">
      <w:pPr>
        <w:pStyle w:val="40"/>
        <w:spacing w:line="360" w:lineRule="auto"/>
        <w:rPr>
          <w:color w:val="auto"/>
          <w:highlight w:val="none"/>
          <w:u w:val="single"/>
        </w:rPr>
      </w:pPr>
      <w:bookmarkStart w:id="183" w:name="_Hlk143531864"/>
      <w:r>
        <w:rPr>
          <w:color w:val="auto"/>
          <w:highlight w:val="none"/>
        </w:rPr>
        <w:t>1</w:t>
      </w:r>
      <w:r>
        <w:rPr>
          <w:rFonts w:hint="eastAsia"/>
          <w:color w:val="auto"/>
          <w:highlight w:val="none"/>
        </w:rPr>
        <w:t>8.1投标人在“投标客户端”中生成投标文件并完成签章之后，使用CA证书在</w:t>
      </w:r>
      <w:r>
        <w:rPr>
          <w:rFonts w:hint="eastAsia" w:cs="宋体"/>
          <w:color w:val="auto"/>
          <w:highlight w:val="none"/>
        </w:rPr>
        <w:t>“</w:t>
      </w:r>
      <w:r>
        <w:rPr>
          <w:rFonts w:hint="eastAsia"/>
          <w:color w:val="auto"/>
          <w:highlight w:val="none"/>
        </w:rPr>
        <w:t>投标客户端”中对投标文件进行加密。</w:t>
      </w:r>
    </w:p>
    <w:p w14:paraId="1B4EA81A">
      <w:pPr>
        <w:pStyle w:val="40"/>
        <w:spacing w:line="360" w:lineRule="auto"/>
        <w:rPr>
          <w:color w:val="auto"/>
          <w:highlight w:val="none"/>
        </w:rPr>
      </w:pPr>
      <w:r>
        <w:rPr>
          <w:color w:val="auto"/>
          <w:highlight w:val="none"/>
        </w:rPr>
        <w:t>1</w:t>
      </w:r>
      <w:r>
        <w:rPr>
          <w:rFonts w:hint="eastAsia"/>
          <w:color w:val="auto"/>
          <w:highlight w:val="none"/>
        </w:rPr>
        <w:t>8.2投标人应在</w:t>
      </w:r>
      <w:r>
        <w:rPr>
          <w:rFonts w:hint="eastAsia" w:cs="宋体"/>
          <w:color w:val="auto"/>
          <w:highlight w:val="none"/>
        </w:rPr>
        <w:t>“</w:t>
      </w:r>
      <w:r>
        <w:rPr>
          <w:rFonts w:hint="eastAsia"/>
          <w:color w:val="auto"/>
          <w:highlight w:val="none"/>
        </w:rPr>
        <w:t>投标客户端”中对加密的投标文件进行解密验证，以防止投标文件加密异常，在开标时无法解密。</w:t>
      </w:r>
    </w:p>
    <w:p w14:paraId="3520624E">
      <w:pPr>
        <w:pStyle w:val="40"/>
        <w:spacing w:line="360" w:lineRule="auto"/>
        <w:rPr>
          <w:color w:val="auto"/>
          <w:highlight w:val="none"/>
        </w:rPr>
      </w:pPr>
      <w:r>
        <w:rPr>
          <w:color w:val="auto"/>
          <w:highlight w:val="none"/>
        </w:rPr>
        <w:t>1</w:t>
      </w:r>
      <w:r>
        <w:rPr>
          <w:rFonts w:hint="eastAsia"/>
          <w:color w:val="auto"/>
          <w:highlight w:val="none"/>
        </w:rPr>
        <w:t>8.3 投标人应保证加密投标文件的CA证书有效期在开标时间之前。若CA证书有效期临近开标时间，建议投标人提前办理CA证书续期，以免开标时无法进行解密。</w:t>
      </w:r>
    </w:p>
    <w:p w14:paraId="2FB4C8FB">
      <w:pPr>
        <w:pStyle w:val="40"/>
        <w:spacing w:line="360" w:lineRule="auto"/>
        <w:rPr>
          <w:color w:val="auto"/>
          <w:highlight w:val="none"/>
        </w:rPr>
      </w:pPr>
      <w:r>
        <w:rPr>
          <w:rFonts w:hint="eastAsia"/>
          <w:color w:val="auto"/>
          <w:highlight w:val="none"/>
        </w:rPr>
        <w:t>18.4投标人在投标文件递交截止时间前通过新疆政府采购网（http://www.ccgp-xinjiang.gov.cn/）的“政采云登录入口”登录后，将加密电子投标文件上传到对应项目的指定位置，投标人认为有必要提交的其他资料请于投标截止时间前一并提交。</w:t>
      </w:r>
    </w:p>
    <w:p w14:paraId="5FE65944">
      <w:pPr>
        <w:pStyle w:val="40"/>
        <w:spacing w:line="360" w:lineRule="auto"/>
        <w:rPr>
          <w:color w:val="auto"/>
          <w:highlight w:val="none"/>
        </w:rPr>
      </w:pPr>
      <w:r>
        <w:rPr>
          <w:rFonts w:hint="eastAsia"/>
          <w:color w:val="auto"/>
          <w:highlight w:val="none"/>
        </w:rPr>
        <w:t>18.5如果投标人未按上述要求加密并上传，采购代理机构对投标文件的误投、无法解密、传输错误等问题概不负责。对由此造成无法正常开启的投标文件，采购代理机构有权予以拒绝，并退回投标人。</w:t>
      </w:r>
    </w:p>
    <w:p w14:paraId="35891EC3">
      <w:pPr>
        <w:pStyle w:val="40"/>
        <w:spacing w:line="360" w:lineRule="auto"/>
        <w:rPr>
          <w:color w:val="auto"/>
          <w:highlight w:val="none"/>
        </w:rPr>
      </w:pPr>
      <w:r>
        <w:rPr>
          <w:rFonts w:hint="eastAsia"/>
          <w:color w:val="auto"/>
          <w:highlight w:val="none"/>
        </w:rPr>
        <w:t>18.6本项目采用不见面开标，无需提供电子投标文件U盘。</w:t>
      </w:r>
    </w:p>
    <w:bookmarkEnd w:id="183"/>
    <w:p w14:paraId="6523D093">
      <w:pPr>
        <w:pStyle w:val="5"/>
        <w:spacing w:line="360" w:lineRule="auto"/>
        <w:rPr>
          <w:color w:val="auto"/>
          <w:highlight w:val="none"/>
        </w:rPr>
      </w:pPr>
      <w:bookmarkStart w:id="184" w:name="_Toc140132777"/>
      <w:bookmarkStart w:id="185" w:name="_Toc163492844"/>
      <w:r>
        <w:rPr>
          <w:rFonts w:hint="eastAsia"/>
          <w:color w:val="auto"/>
          <w:highlight w:val="none"/>
        </w:rPr>
        <w:t>19.投标文件的递交</w:t>
      </w:r>
      <w:bookmarkEnd w:id="184"/>
      <w:r>
        <w:rPr>
          <w:rFonts w:hint="eastAsia"/>
          <w:color w:val="auto"/>
          <w:highlight w:val="none"/>
        </w:rPr>
        <w:t>（上传）</w:t>
      </w:r>
      <w:bookmarkEnd w:id="185"/>
    </w:p>
    <w:p w14:paraId="23AD1EF9">
      <w:pPr>
        <w:pStyle w:val="40"/>
        <w:spacing w:line="360" w:lineRule="auto"/>
        <w:rPr>
          <w:color w:val="auto"/>
          <w:highlight w:val="none"/>
        </w:rPr>
      </w:pPr>
      <w:bookmarkStart w:id="186" w:name="_Hlk143531977"/>
      <w:r>
        <w:rPr>
          <w:rFonts w:hint="eastAsia"/>
          <w:color w:val="auto"/>
          <w:highlight w:val="none"/>
        </w:rPr>
        <w:t>19.1 投标人应在“第一章 招标公告”规定的投标截止时间前递交（上传）投标文件。</w:t>
      </w:r>
    </w:p>
    <w:p w14:paraId="4CD5439C">
      <w:pPr>
        <w:pStyle w:val="40"/>
        <w:spacing w:line="360" w:lineRule="auto"/>
        <w:rPr>
          <w:color w:val="auto"/>
          <w:highlight w:val="none"/>
        </w:rPr>
      </w:pPr>
      <w:r>
        <w:rPr>
          <w:rFonts w:hint="eastAsia"/>
          <w:color w:val="auto"/>
          <w:highlight w:val="none"/>
        </w:rPr>
        <w:t>19.2 投标人递交（上传）投标文件的地点见“第一章 招标公告”。</w:t>
      </w:r>
    </w:p>
    <w:p w14:paraId="487E5148">
      <w:pPr>
        <w:pStyle w:val="40"/>
        <w:spacing w:line="360" w:lineRule="auto"/>
        <w:rPr>
          <w:color w:val="auto"/>
          <w:highlight w:val="none"/>
        </w:rPr>
      </w:pPr>
      <w:r>
        <w:rPr>
          <w:rFonts w:hint="eastAsia"/>
          <w:color w:val="auto"/>
          <w:highlight w:val="none"/>
        </w:rPr>
        <w:t>19.3投标人应充分评估集中同时投标带来的网络影响，尽量避开投标高峰时间，错峰进行电子投标。投标人递交全部的投标文件后可在政采云平台（项目采购—投标文件上传）中获取投标文件递交回执单。</w:t>
      </w:r>
    </w:p>
    <w:p w14:paraId="4A8F5A0D">
      <w:pPr>
        <w:spacing w:line="360" w:lineRule="auto"/>
        <w:ind w:firstLine="480" w:firstLineChars="200"/>
        <w:rPr>
          <w:color w:val="auto"/>
          <w:highlight w:val="none"/>
        </w:rPr>
      </w:pPr>
      <w:r>
        <w:rPr>
          <w:rFonts w:hint="eastAsia"/>
          <w:color w:val="auto"/>
          <w:highlight w:val="none"/>
        </w:rPr>
        <w:t>19.4 投标人应在</w:t>
      </w:r>
      <w:r>
        <w:rPr>
          <w:rFonts w:hint="eastAsia" w:cs="宋体"/>
          <w:color w:val="auto"/>
          <w:highlight w:val="none"/>
        </w:rPr>
        <w:t>“</w:t>
      </w:r>
      <w:r>
        <w:rPr>
          <w:rFonts w:hint="eastAsia"/>
          <w:color w:val="auto"/>
          <w:highlight w:val="none"/>
        </w:rPr>
        <w:t>投标客户端”中下载未加密且完成签章的投标文件妥善保存，以便启动应急开标程序时使用。</w:t>
      </w:r>
    </w:p>
    <w:p w14:paraId="6B241ED4">
      <w:pPr>
        <w:spacing w:line="360" w:lineRule="auto"/>
        <w:ind w:firstLine="480" w:firstLineChars="200"/>
        <w:rPr>
          <w:color w:val="auto"/>
          <w:highlight w:val="none"/>
        </w:rPr>
      </w:pPr>
      <w:r>
        <w:rPr>
          <w:rFonts w:hint="eastAsia"/>
          <w:color w:val="auto"/>
          <w:highlight w:val="none"/>
        </w:rPr>
        <w:t>19.5投标人所递交的投标文件不予退还。</w:t>
      </w:r>
    </w:p>
    <w:bookmarkEnd w:id="186"/>
    <w:p w14:paraId="5628FFE5">
      <w:pPr>
        <w:pStyle w:val="5"/>
        <w:spacing w:line="360" w:lineRule="auto"/>
        <w:rPr>
          <w:color w:val="auto"/>
          <w:highlight w:val="none"/>
        </w:rPr>
      </w:pPr>
      <w:bookmarkStart w:id="187" w:name="_Toc163492845"/>
      <w:r>
        <w:rPr>
          <w:rFonts w:hint="eastAsia"/>
          <w:color w:val="auto"/>
          <w:highlight w:val="none"/>
        </w:rPr>
        <w:t>20.拒收</w:t>
      </w:r>
      <w:bookmarkEnd w:id="187"/>
    </w:p>
    <w:p w14:paraId="2A7CF2CE">
      <w:pPr>
        <w:pStyle w:val="40"/>
        <w:spacing w:line="360" w:lineRule="auto"/>
        <w:rPr>
          <w:color w:val="auto"/>
          <w:highlight w:val="none"/>
        </w:rPr>
      </w:pPr>
      <w:r>
        <w:rPr>
          <w:rFonts w:hint="eastAsia"/>
          <w:color w:val="auto"/>
          <w:highlight w:val="none"/>
        </w:rPr>
        <w:t>20.1 超过投标文件提交截止时间</w:t>
      </w:r>
      <w:bookmarkStart w:id="188" w:name="_Hlk143532404"/>
      <w:r>
        <w:rPr>
          <w:rFonts w:hint="eastAsia"/>
          <w:color w:val="auto"/>
          <w:highlight w:val="none"/>
        </w:rPr>
        <w:t>或者不按照本章要求加密的投标文件，交易系统应当拒收</w:t>
      </w:r>
      <w:bookmarkEnd w:id="188"/>
      <w:r>
        <w:rPr>
          <w:rFonts w:hint="eastAsia"/>
          <w:color w:val="auto"/>
          <w:highlight w:val="none"/>
        </w:rPr>
        <w:t>。</w:t>
      </w:r>
    </w:p>
    <w:p w14:paraId="4250580E">
      <w:pPr>
        <w:pStyle w:val="5"/>
        <w:spacing w:line="360" w:lineRule="auto"/>
        <w:rPr>
          <w:color w:val="auto"/>
          <w:highlight w:val="none"/>
        </w:rPr>
      </w:pPr>
      <w:bookmarkStart w:id="189" w:name="_Toc163492846"/>
      <w:bookmarkStart w:id="190" w:name="_Toc140132778"/>
      <w:r>
        <w:rPr>
          <w:rFonts w:hint="eastAsia"/>
          <w:color w:val="auto"/>
          <w:highlight w:val="none"/>
        </w:rPr>
        <w:t>21.投标文件的修改与撤回</w:t>
      </w:r>
      <w:bookmarkEnd w:id="189"/>
      <w:bookmarkEnd w:id="190"/>
    </w:p>
    <w:p w14:paraId="1FB0F47B">
      <w:pPr>
        <w:pStyle w:val="40"/>
        <w:spacing w:line="360" w:lineRule="auto"/>
        <w:rPr>
          <w:color w:val="auto"/>
          <w:highlight w:val="none"/>
        </w:rPr>
      </w:pPr>
      <w:r>
        <w:rPr>
          <w:rFonts w:hint="eastAsia"/>
          <w:color w:val="auto"/>
          <w:highlight w:val="none"/>
        </w:rPr>
        <w:t>21.1</w:t>
      </w:r>
      <w:bookmarkStart w:id="191" w:name="_Hlk143532466"/>
      <w:r>
        <w:rPr>
          <w:rFonts w:hint="eastAsia"/>
          <w:color w:val="auto"/>
          <w:highlight w:val="none"/>
        </w:rPr>
        <w:t>投标人在“第一章 招标公告”规定的投标文件递交截止时间之前，可在新疆政府采购电子交易云平台上随时撤回已上传的电子投标文件，将修改好的电子投标文件在投标文件递交截止时间前重新上传到新疆政府采购电子交易云平台的指定位置。</w:t>
      </w:r>
    </w:p>
    <w:bookmarkEnd w:id="191"/>
    <w:p w14:paraId="242054F1">
      <w:pPr>
        <w:pStyle w:val="5"/>
        <w:spacing w:line="360" w:lineRule="auto"/>
        <w:rPr>
          <w:color w:val="auto"/>
          <w:highlight w:val="none"/>
        </w:rPr>
      </w:pPr>
      <w:bookmarkStart w:id="192" w:name="_Toc163492847"/>
      <w:bookmarkStart w:id="193" w:name="_Toc155185874"/>
      <w:r>
        <w:rPr>
          <w:rFonts w:hint="eastAsia"/>
          <w:color w:val="auto"/>
          <w:highlight w:val="none"/>
        </w:rPr>
        <w:t>22.实物样品</w:t>
      </w:r>
      <w:bookmarkEnd w:id="192"/>
      <w:bookmarkEnd w:id="193"/>
    </w:p>
    <w:p w14:paraId="1D8D2D85">
      <w:pPr>
        <w:pStyle w:val="40"/>
        <w:spacing w:line="360" w:lineRule="auto"/>
        <w:rPr>
          <w:color w:val="auto"/>
          <w:highlight w:val="none"/>
        </w:rPr>
      </w:pPr>
      <w:r>
        <w:rPr>
          <w:rFonts w:hint="eastAsia"/>
          <w:color w:val="auto"/>
          <w:highlight w:val="none"/>
        </w:rPr>
        <w:t>2</w:t>
      </w:r>
      <w:r>
        <w:rPr>
          <w:rFonts w:hint="eastAsia"/>
          <w:color w:val="auto"/>
          <w:highlight w:val="none"/>
          <w:lang w:val="en-US"/>
        </w:rPr>
        <w:t>2</w:t>
      </w:r>
      <w:r>
        <w:rPr>
          <w:rFonts w:hint="eastAsia"/>
          <w:color w:val="auto"/>
          <w:highlight w:val="none"/>
        </w:rPr>
        <w:t>.1“投标人须知前附表”要求提供样品的，样品的具体要求及评审详见“第三章 采购需求”和“第五章 评标</w:t>
      </w:r>
      <w:r>
        <w:rPr>
          <w:rFonts w:hint="eastAsia"/>
          <w:color w:val="auto"/>
          <w:highlight w:val="none"/>
          <w:lang w:val="en-US"/>
        </w:rPr>
        <w:t>方</w:t>
      </w:r>
      <w:r>
        <w:rPr>
          <w:rFonts w:hint="eastAsia"/>
          <w:color w:val="auto"/>
          <w:highlight w:val="none"/>
        </w:rPr>
        <w:t>法及标准”。</w:t>
      </w:r>
    </w:p>
    <w:p w14:paraId="171C879F">
      <w:pPr>
        <w:pStyle w:val="40"/>
        <w:spacing w:line="360" w:lineRule="auto"/>
        <w:rPr>
          <w:rFonts w:cs="仿宋_GB2312"/>
          <w:b/>
          <w:color w:val="auto"/>
          <w:szCs w:val="24"/>
          <w:highlight w:val="none"/>
        </w:rPr>
      </w:pPr>
      <w:r>
        <w:rPr>
          <w:color w:val="auto"/>
          <w:highlight w:val="none"/>
        </w:rPr>
        <w:t>2</w:t>
      </w:r>
      <w:r>
        <w:rPr>
          <w:rFonts w:hint="eastAsia"/>
          <w:color w:val="auto"/>
          <w:highlight w:val="none"/>
          <w:lang w:val="en-US"/>
        </w:rPr>
        <w:t>2</w:t>
      </w:r>
      <w:r>
        <w:rPr>
          <w:rFonts w:hint="eastAsia"/>
          <w:color w:val="auto"/>
          <w:highlight w:val="none"/>
        </w:rPr>
        <w:t>.2样品退还：未中标的投标人应</w:t>
      </w:r>
      <w:r>
        <w:rPr>
          <w:rFonts w:hint="eastAsia"/>
          <w:color w:val="auto"/>
          <w:highlight w:val="none"/>
          <w:lang w:val="en-US"/>
        </w:rPr>
        <w:t>按照</w:t>
      </w:r>
      <w:r>
        <w:rPr>
          <w:rFonts w:hint="eastAsia"/>
          <w:color w:val="auto"/>
          <w:highlight w:val="none"/>
        </w:rPr>
        <w:t>“投标人须知前附表”</w:t>
      </w:r>
      <w:r>
        <w:rPr>
          <w:rFonts w:hint="eastAsia"/>
          <w:color w:val="auto"/>
          <w:highlight w:val="none"/>
          <w:lang w:val="en-US"/>
        </w:rPr>
        <w:t>要求</w:t>
      </w:r>
      <w:r>
        <w:rPr>
          <w:rFonts w:hint="eastAsia"/>
          <w:color w:val="auto"/>
          <w:highlight w:val="none"/>
        </w:rPr>
        <w:t>自行联系采购人取回投标样品；中标人的样品由采购人进行保管、封存，并作为履约验收的参考（招标文件另有规定的从其规定）。</w:t>
      </w:r>
    </w:p>
    <w:p w14:paraId="35F1AC0E">
      <w:pPr>
        <w:pStyle w:val="5"/>
        <w:spacing w:line="360" w:lineRule="auto"/>
        <w:rPr>
          <w:color w:val="auto"/>
          <w:highlight w:val="none"/>
        </w:rPr>
      </w:pPr>
      <w:bookmarkStart w:id="194" w:name="_Toc163492848"/>
      <w:bookmarkStart w:id="195" w:name="_Toc155185875"/>
      <w:r>
        <w:rPr>
          <w:rFonts w:hint="eastAsia"/>
          <w:color w:val="auto"/>
          <w:highlight w:val="none"/>
        </w:rPr>
        <w:t>23.演示</w:t>
      </w:r>
      <w:bookmarkEnd w:id="194"/>
      <w:bookmarkEnd w:id="195"/>
    </w:p>
    <w:p w14:paraId="756C6637">
      <w:pPr>
        <w:pStyle w:val="40"/>
        <w:spacing w:line="360" w:lineRule="auto"/>
        <w:rPr>
          <w:color w:val="auto"/>
          <w:highlight w:val="none"/>
        </w:rPr>
      </w:pPr>
      <w:r>
        <w:rPr>
          <w:color w:val="auto"/>
          <w:highlight w:val="none"/>
        </w:rPr>
        <w:t>2</w:t>
      </w:r>
      <w:r>
        <w:rPr>
          <w:rFonts w:hint="eastAsia"/>
          <w:color w:val="auto"/>
          <w:highlight w:val="none"/>
          <w:lang w:val="en-US"/>
        </w:rPr>
        <w:t>3</w:t>
      </w:r>
      <w:r>
        <w:rPr>
          <w:rFonts w:hint="eastAsia"/>
          <w:color w:val="auto"/>
          <w:highlight w:val="none"/>
        </w:rPr>
        <w:t>.1要求投标人进行演示的，演示要求详见“投标人须知前附表”。</w:t>
      </w:r>
    </w:p>
    <w:p w14:paraId="1DE21459">
      <w:pPr>
        <w:pStyle w:val="40"/>
        <w:spacing w:line="360" w:lineRule="auto"/>
        <w:rPr>
          <w:color w:val="auto"/>
          <w:highlight w:val="none"/>
        </w:rPr>
      </w:pPr>
      <w:r>
        <w:rPr>
          <w:color w:val="auto"/>
          <w:highlight w:val="none"/>
        </w:rPr>
        <w:t>2</w:t>
      </w:r>
      <w:r>
        <w:rPr>
          <w:rFonts w:hint="eastAsia"/>
          <w:color w:val="auto"/>
          <w:highlight w:val="none"/>
          <w:lang w:val="en-US"/>
        </w:rPr>
        <w:t>3</w:t>
      </w:r>
      <w:r>
        <w:rPr>
          <w:rFonts w:hint="eastAsia"/>
          <w:color w:val="auto"/>
          <w:highlight w:val="none"/>
        </w:rPr>
        <w:t>.2演示的评审详见“第三章 采购需求”和“第五章 评标</w:t>
      </w:r>
      <w:r>
        <w:rPr>
          <w:rFonts w:hint="eastAsia"/>
          <w:color w:val="auto"/>
          <w:highlight w:val="none"/>
          <w:lang w:val="en-US"/>
        </w:rPr>
        <w:t>方</w:t>
      </w:r>
      <w:r>
        <w:rPr>
          <w:rFonts w:hint="eastAsia"/>
          <w:color w:val="auto"/>
          <w:highlight w:val="none"/>
        </w:rPr>
        <w:t>法及标准”。</w:t>
      </w:r>
    </w:p>
    <w:p w14:paraId="3D2F56FB">
      <w:pPr>
        <w:pStyle w:val="4"/>
        <w:spacing w:line="360" w:lineRule="auto"/>
        <w:rPr>
          <w:color w:val="auto"/>
          <w:highlight w:val="none"/>
        </w:rPr>
      </w:pPr>
      <w:bookmarkStart w:id="196" w:name="_Toc155185876"/>
      <w:bookmarkStart w:id="197" w:name="_Toc163492849"/>
      <w:bookmarkStart w:id="198" w:name="_Toc140132779"/>
      <w:r>
        <w:rPr>
          <w:rFonts w:hint="eastAsia"/>
          <w:color w:val="auto"/>
          <w:highlight w:val="none"/>
        </w:rPr>
        <w:t>（五）开标</w:t>
      </w:r>
      <w:bookmarkEnd w:id="196"/>
      <w:bookmarkEnd w:id="197"/>
      <w:bookmarkEnd w:id="198"/>
    </w:p>
    <w:p w14:paraId="58947592">
      <w:pPr>
        <w:pStyle w:val="5"/>
        <w:spacing w:line="360" w:lineRule="auto"/>
        <w:rPr>
          <w:color w:val="auto"/>
          <w:highlight w:val="none"/>
        </w:rPr>
      </w:pPr>
      <w:bookmarkStart w:id="199" w:name="_Toc140132780"/>
      <w:bookmarkStart w:id="200" w:name="_Toc163492850"/>
      <w:r>
        <w:rPr>
          <w:rFonts w:hint="eastAsia"/>
          <w:color w:val="auto"/>
          <w:highlight w:val="none"/>
        </w:rPr>
        <w:t>24.开标会议</w:t>
      </w:r>
      <w:bookmarkEnd w:id="199"/>
      <w:bookmarkEnd w:id="200"/>
    </w:p>
    <w:p w14:paraId="771D48FD">
      <w:pPr>
        <w:pStyle w:val="40"/>
        <w:spacing w:line="360" w:lineRule="auto"/>
        <w:rPr>
          <w:color w:val="auto"/>
          <w:highlight w:val="none"/>
        </w:rPr>
      </w:pPr>
      <w:bookmarkStart w:id="201" w:name="_Toc140132781"/>
      <w:r>
        <w:rPr>
          <w:color w:val="auto"/>
          <w:highlight w:val="none"/>
        </w:rPr>
        <w:t>2</w:t>
      </w:r>
      <w:r>
        <w:rPr>
          <w:rFonts w:hint="eastAsia"/>
          <w:color w:val="auto"/>
          <w:highlight w:val="none"/>
        </w:rPr>
        <w:t>4.1开标会按“第一章 招标公告”规定的开标时间和地点准时举行，采购人、采购代理机构邀请所有投标人准时参加开标会。投标人应按照招标文件的要求参与不见面开标。</w:t>
      </w:r>
    </w:p>
    <w:p w14:paraId="5DB6B939">
      <w:pPr>
        <w:pStyle w:val="40"/>
        <w:spacing w:line="360" w:lineRule="auto"/>
        <w:rPr>
          <w:color w:val="auto"/>
          <w:highlight w:val="none"/>
        </w:rPr>
      </w:pPr>
      <w:r>
        <w:rPr>
          <w:color w:val="auto"/>
          <w:highlight w:val="none"/>
        </w:rPr>
        <w:t>2</w:t>
      </w:r>
      <w:r>
        <w:rPr>
          <w:rFonts w:hint="eastAsia"/>
          <w:color w:val="auto"/>
          <w:highlight w:val="none"/>
        </w:rPr>
        <w:t xml:space="preserve">4.2 </w:t>
      </w:r>
      <w:bookmarkEnd w:id="201"/>
      <w:r>
        <w:rPr>
          <w:rFonts w:hint="eastAsia"/>
          <w:color w:val="auto"/>
          <w:highlight w:val="none"/>
        </w:rPr>
        <w:t>采购代理机构按照招标文件规定的时间、地点主持开标。采购人在规定的投标文件递交截止时间（开标时间）和地点进行不见面远程开标。投标人的法定代表人或其委托代理人无需到达开标现场，仅需在任意地点通过新疆政府采购电子交易云平台（网址：https://www.zcygov.cn/）的“政采云登录入口”登录后，进入“政采云远程开标大厅”参加开标会议，并使用CA密钥完成远程解密、提疑澄清、开标唱标、结果公布等交互环节。</w:t>
      </w:r>
    </w:p>
    <w:p w14:paraId="304D9666">
      <w:pPr>
        <w:pStyle w:val="40"/>
        <w:spacing w:line="360" w:lineRule="auto"/>
        <w:rPr>
          <w:color w:val="auto"/>
          <w:highlight w:val="none"/>
        </w:rPr>
      </w:pPr>
      <w:r>
        <w:rPr>
          <w:rFonts w:hint="eastAsia"/>
          <w:color w:val="auto"/>
          <w:highlight w:val="none"/>
        </w:rPr>
        <w:t xml:space="preserve">24.3开标过程将宣布投标人名称、投标价格和招标文件规定的需要宣布的其他内容并进行记录，并由参加开标的各投标人确认。投标人未在规定时间内提 出疑义或确认一览表的，视同认可开标结果。 </w:t>
      </w:r>
    </w:p>
    <w:p w14:paraId="5EB9405E">
      <w:pPr>
        <w:pStyle w:val="5"/>
        <w:spacing w:line="360" w:lineRule="auto"/>
        <w:rPr>
          <w:color w:val="auto"/>
          <w:highlight w:val="none"/>
        </w:rPr>
      </w:pPr>
      <w:bookmarkStart w:id="202" w:name="_Toc163492852"/>
      <w:bookmarkStart w:id="203" w:name="_Toc140132783"/>
      <w:r>
        <w:rPr>
          <w:rFonts w:hint="eastAsia"/>
          <w:color w:val="auto"/>
          <w:highlight w:val="none"/>
        </w:rPr>
        <w:t>25.开标程序</w:t>
      </w:r>
      <w:bookmarkEnd w:id="202"/>
      <w:bookmarkEnd w:id="203"/>
    </w:p>
    <w:p w14:paraId="3E93DF86">
      <w:pPr>
        <w:pStyle w:val="40"/>
        <w:spacing w:line="360" w:lineRule="auto"/>
        <w:rPr>
          <w:color w:val="auto"/>
          <w:highlight w:val="none"/>
        </w:rPr>
      </w:pPr>
      <w:r>
        <w:rPr>
          <w:color w:val="auto"/>
          <w:highlight w:val="none"/>
        </w:rPr>
        <w:t>2</w:t>
      </w:r>
      <w:r>
        <w:rPr>
          <w:rFonts w:hint="eastAsia"/>
          <w:color w:val="auto"/>
          <w:highlight w:val="none"/>
        </w:rPr>
        <w:t>5.1 投标人不足3家的，不得开标。</w:t>
      </w:r>
    </w:p>
    <w:p w14:paraId="7B2FC434">
      <w:pPr>
        <w:pStyle w:val="40"/>
        <w:spacing w:line="360" w:lineRule="auto"/>
        <w:rPr>
          <w:color w:val="auto"/>
          <w:highlight w:val="none"/>
        </w:rPr>
      </w:pPr>
      <w:r>
        <w:rPr>
          <w:color w:val="auto"/>
          <w:highlight w:val="none"/>
        </w:rPr>
        <w:t>2</w:t>
      </w:r>
      <w:r>
        <w:rPr>
          <w:rFonts w:hint="eastAsia"/>
          <w:color w:val="auto"/>
          <w:highlight w:val="none"/>
        </w:rPr>
        <w:t>5.2 评标委员会成员不得参加开标活动。</w:t>
      </w:r>
    </w:p>
    <w:p w14:paraId="79F2591D">
      <w:pPr>
        <w:pStyle w:val="40"/>
        <w:spacing w:line="360" w:lineRule="auto"/>
        <w:rPr>
          <w:color w:val="auto"/>
          <w:highlight w:val="none"/>
        </w:rPr>
      </w:pPr>
      <w:r>
        <w:rPr>
          <w:color w:val="auto"/>
          <w:highlight w:val="none"/>
        </w:rPr>
        <w:t>2</w:t>
      </w:r>
      <w:r>
        <w:rPr>
          <w:rFonts w:hint="eastAsia"/>
          <w:color w:val="auto"/>
          <w:highlight w:val="none"/>
        </w:rPr>
        <w:t>5.3主持人按下列程序进行开标：</w:t>
      </w:r>
    </w:p>
    <w:p w14:paraId="1B59F889">
      <w:pPr>
        <w:spacing w:line="360" w:lineRule="auto"/>
        <w:rPr>
          <w:color w:val="auto"/>
          <w:highlight w:val="none"/>
        </w:rPr>
      </w:pPr>
      <w:r>
        <w:rPr>
          <w:rFonts w:hint="eastAsia"/>
          <w:color w:val="auto"/>
          <w:highlight w:val="none"/>
        </w:rPr>
        <w:t>（1）宣布开标会纪律；</w:t>
      </w:r>
    </w:p>
    <w:p w14:paraId="77CB54DA">
      <w:pPr>
        <w:spacing w:line="360" w:lineRule="auto"/>
        <w:rPr>
          <w:color w:val="auto"/>
          <w:highlight w:val="none"/>
        </w:rPr>
      </w:pPr>
      <w:r>
        <w:rPr>
          <w:rFonts w:hint="eastAsia"/>
          <w:color w:val="auto"/>
          <w:highlight w:val="none"/>
        </w:rPr>
        <w:t>（2）介绍参加开标会的单位和人员；</w:t>
      </w:r>
    </w:p>
    <w:p w14:paraId="16ADA946">
      <w:pPr>
        <w:spacing w:line="360" w:lineRule="auto"/>
        <w:rPr>
          <w:color w:val="auto"/>
          <w:highlight w:val="none"/>
        </w:rPr>
      </w:pPr>
      <w:r>
        <w:rPr>
          <w:rFonts w:hint="eastAsia"/>
          <w:color w:val="auto"/>
          <w:highlight w:val="none"/>
        </w:rPr>
        <w:t>（3）发起投标文件解密。投标人应在“投标人须知前附表”规定的时间内使用加密投标文件的CA证书在系统中完成投标文件的解密；投标人不足3家的，不予解密；</w:t>
      </w:r>
    </w:p>
    <w:p w14:paraId="23AE7746">
      <w:pPr>
        <w:spacing w:line="360" w:lineRule="auto"/>
        <w:rPr>
          <w:color w:val="auto"/>
          <w:highlight w:val="none"/>
        </w:rPr>
      </w:pPr>
      <w:r>
        <w:rPr>
          <w:rFonts w:hint="eastAsia"/>
          <w:color w:val="auto"/>
          <w:highlight w:val="none"/>
        </w:rPr>
        <w:t>（4）解密完成后，系统自动显示投标人名称、投标价格和招标文件规定的需要宣布的其他内容；</w:t>
      </w:r>
    </w:p>
    <w:p w14:paraId="70C1CC38">
      <w:pPr>
        <w:spacing w:line="360" w:lineRule="auto"/>
        <w:rPr>
          <w:color w:val="auto"/>
          <w:highlight w:val="none"/>
        </w:rPr>
      </w:pPr>
      <w:r>
        <w:rPr>
          <w:rFonts w:hint="eastAsia"/>
          <w:color w:val="auto"/>
          <w:highlight w:val="none"/>
        </w:rPr>
        <w:t>（5）系统自动生成开标记录表，投标人应在线对开标记录进行签署确认；</w:t>
      </w:r>
    </w:p>
    <w:p w14:paraId="6A034553">
      <w:pPr>
        <w:spacing w:line="360" w:lineRule="auto"/>
        <w:rPr>
          <w:color w:val="auto"/>
          <w:highlight w:val="none"/>
        </w:rPr>
      </w:pPr>
      <w:r>
        <w:rPr>
          <w:rFonts w:hint="eastAsia"/>
          <w:color w:val="auto"/>
          <w:highlight w:val="none"/>
        </w:rPr>
        <w:t>（6）开标会结束。</w:t>
      </w:r>
      <w:bookmarkStart w:id="204" w:name="_Toc140132784"/>
      <w:bookmarkStart w:id="205" w:name="_Toc163492853"/>
    </w:p>
    <w:p w14:paraId="4787BDF9">
      <w:pPr>
        <w:pStyle w:val="5"/>
        <w:spacing w:line="360" w:lineRule="auto"/>
        <w:rPr>
          <w:color w:val="auto"/>
          <w:highlight w:val="none"/>
        </w:rPr>
      </w:pPr>
      <w:r>
        <w:rPr>
          <w:rFonts w:hint="eastAsia"/>
          <w:color w:val="auto"/>
          <w:highlight w:val="none"/>
        </w:rPr>
        <w:t>26.开标疑义及回避情形</w:t>
      </w:r>
      <w:bookmarkEnd w:id="204"/>
      <w:bookmarkEnd w:id="205"/>
    </w:p>
    <w:p w14:paraId="0B002D61">
      <w:pPr>
        <w:pStyle w:val="40"/>
        <w:spacing w:line="360" w:lineRule="auto"/>
        <w:rPr>
          <w:color w:val="auto"/>
          <w:highlight w:val="none"/>
        </w:rPr>
      </w:pPr>
      <w:r>
        <w:rPr>
          <w:color w:val="auto"/>
          <w:highlight w:val="none"/>
        </w:rPr>
        <w:t>2</w:t>
      </w:r>
      <w:r>
        <w:rPr>
          <w:rFonts w:hint="eastAsia"/>
          <w:color w:val="auto"/>
          <w:highlight w:val="none"/>
          <w:lang w:val="en-US"/>
        </w:rPr>
        <w:t>6</w:t>
      </w:r>
      <w:r>
        <w:rPr>
          <w:rFonts w:hint="eastAsia"/>
          <w:color w:val="auto"/>
          <w:highlight w:val="none"/>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6E598A04">
      <w:pPr>
        <w:pStyle w:val="40"/>
        <w:spacing w:line="360" w:lineRule="auto"/>
        <w:rPr>
          <w:color w:val="auto"/>
          <w:highlight w:val="none"/>
        </w:rPr>
      </w:pPr>
      <w:r>
        <w:rPr>
          <w:rFonts w:hint="eastAsia"/>
          <w:color w:val="auto"/>
          <w:highlight w:val="none"/>
        </w:rPr>
        <w:t>2</w:t>
      </w:r>
      <w:r>
        <w:rPr>
          <w:rFonts w:hint="eastAsia"/>
          <w:color w:val="auto"/>
          <w:highlight w:val="none"/>
          <w:lang w:val="en-US"/>
        </w:rPr>
        <w:t>6</w:t>
      </w:r>
      <w:r>
        <w:rPr>
          <w:rFonts w:hint="eastAsia"/>
          <w:color w:val="auto"/>
          <w:highlight w:val="none"/>
        </w:rPr>
        <w:t>.2投标人未参加开标的，视同认可开标结果。</w:t>
      </w:r>
    </w:p>
    <w:p w14:paraId="63C96093">
      <w:pPr>
        <w:pStyle w:val="4"/>
        <w:spacing w:line="360" w:lineRule="auto"/>
        <w:rPr>
          <w:color w:val="auto"/>
          <w:highlight w:val="none"/>
        </w:rPr>
      </w:pPr>
      <w:bookmarkStart w:id="206" w:name="_Toc163492854"/>
      <w:bookmarkStart w:id="207" w:name="_Toc155185877"/>
      <w:bookmarkStart w:id="208" w:name="_Toc140132785"/>
      <w:r>
        <w:rPr>
          <w:rFonts w:hint="eastAsia"/>
          <w:color w:val="auto"/>
          <w:highlight w:val="none"/>
        </w:rPr>
        <w:t>（六）资格审查</w:t>
      </w:r>
      <w:bookmarkEnd w:id="206"/>
      <w:bookmarkEnd w:id="207"/>
      <w:bookmarkEnd w:id="208"/>
    </w:p>
    <w:p w14:paraId="773BC0D6">
      <w:pPr>
        <w:pStyle w:val="5"/>
        <w:spacing w:line="360" w:lineRule="auto"/>
        <w:rPr>
          <w:color w:val="auto"/>
          <w:highlight w:val="none"/>
        </w:rPr>
      </w:pPr>
      <w:bookmarkStart w:id="209" w:name="_Toc163492855"/>
      <w:r>
        <w:rPr>
          <w:rFonts w:hint="eastAsia"/>
          <w:color w:val="auto"/>
          <w:highlight w:val="none"/>
        </w:rPr>
        <w:t>27.资格审查及审查主体</w:t>
      </w:r>
      <w:bookmarkEnd w:id="209"/>
    </w:p>
    <w:p w14:paraId="17191CC3">
      <w:pPr>
        <w:pStyle w:val="40"/>
        <w:spacing w:line="360" w:lineRule="auto"/>
        <w:rPr>
          <w:color w:val="auto"/>
          <w:highlight w:val="none"/>
        </w:rPr>
      </w:pPr>
      <w:bookmarkStart w:id="210" w:name="_Toc140132786"/>
      <w:r>
        <w:rPr>
          <w:rFonts w:hint="eastAsia"/>
          <w:color w:val="auto"/>
          <w:highlight w:val="none"/>
        </w:rPr>
        <w:t>2</w:t>
      </w:r>
      <w:r>
        <w:rPr>
          <w:rFonts w:hint="eastAsia"/>
          <w:color w:val="auto"/>
          <w:highlight w:val="none"/>
          <w:lang w:val="en-US"/>
        </w:rPr>
        <w:t>7</w:t>
      </w:r>
      <w:r>
        <w:rPr>
          <w:rFonts w:hint="eastAsia"/>
          <w:color w:val="auto"/>
          <w:highlight w:val="none"/>
        </w:rPr>
        <w:t>.1</w:t>
      </w:r>
      <w:bookmarkEnd w:id="210"/>
      <w:r>
        <w:rPr>
          <w:rFonts w:hint="eastAsia"/>
          <w:color w:val="auto"/>
          <w:highlight w:val="none"/>
        </w:rPr>
        <w:t>开标结束后，采购人或者采购代理机构应当依法对投标人的资格进行审查。</w:t>
      </w:r>
    </w:p>
    <w:p w14:paraId="1E4B7BBD">
      <w:pPr>
        <w:pStyle w:val="40"/>
        <w:spacing w:line="360" w:lineRule="auto"/>
        <w:rPr>
          <w:color w:val="auto"/>
          <w:highlight w:val="none"/>
        </w:rPr>
      </w:pPr>
      <w:bookmarkStart w:id="211" w:name="_Toc140132787"/>
      <w:r>
        <w:rPr>
          <w:color w:val="auto"/>
          <w:highlight w:val="none"/>
        </w:rPr>
        <w:t>2</w:t>
      </w:r>
      <w:r>
        <w:rPr>
          <w:rFonts w:hint="eastAsia"/>
          <w:color w:val="auto"/>
          <w:highlight w:val="none"/>
          <w:lang w:val="en-US"/>
        </w:rPr>
        <w:t>7</w:t>
      </w:r>
      <w:r>
        <w:rPr>
          <w:rFonts w:hint="eastAsia"/>
          <w:color w:val="auto"/>
          <w:highlight w:val="none"/>
        </w:rPr>
        <w:t>.2</w:t>
      </w:r>
      <w:r>
        <w:rPr>
          <w:color w:val="auto"/>
          <w:highlight w:val="none"/>
        </w:rPr>
        <w:t>资格审查</w:t>
      </w:r>
      <w:r>
        <w:rPr>
          <w:rFonts w:hint="eastAsia"/>
          <w:color w:val="auto"/>
          <w:highlight w:val="none"/>
        </w:rPr>
        <w:t>按“第四章</w:t>
      </w:r>
      <w:r>
        <w:rPr>
          <w:rFonts w:hint="eastAsia"/>
          <w:color w:val="auto"/>
          <w:highlight w:val="none"/>
          <w:lang w:val="en-US"/>
        </w:rPr>
        <w:t xml:space="preserve"> </w:t>
      </w:r>
      <w:r>
        <w:rPr>
          <w:rFonts w:hint="eastAsia"/>
          <w:color w:val="auto"/>
          <w:highlight w:val="none"/>
        </w:rPr>
        <w:t>资格审查”的规定进行。</w:t>
      </w:r>
      <w:bookmarkEnd w:id="211"/>
    </w:p>
    <w:p w14:paraId="7F3AF40C">
      <w:pPr>
        <w:pStyle w:val="40"/>
        <w:spacing w:line="360" w:lineRule="auto"/>
        <w:rPr>
          <w:color w:val="auto"/>
          <w:highlight w:val="none"/>
        </w:rPr>
      </w:pPr>
      <w:bookmarkStart w:id="212" w:name="_Toc140132788"/>
      <w:r>
        <w:rPr>
          <w:color w:val="auto"/>
          <w:highlight w:val="none"/>
        </w:rPr>
        <w:t>2</w:t>
      </w:r>
      <w:r>
        <w:rPr>
          <w:rFonts w:hint="eastAsia"/>
          <w:color w:val="auto"/>
          <w:highlight w:val="none"/>
          <w:lang w:val="en-US"/>
        </w:rPr>
        <w:t>7</w:t>
      </w:r>
      <w:r>
        <w:rPr>
          <w:rFonts w:hint="eastAsia"/>
          <w:color w:val="auto"/>
          <w:highlight w:val="none"/>
        </w:rPr>
        <w:t>.3</w:t>
      </w:r>
      <w:r>
        <w:rPr>
          <w:color w:val="auto"/>
          <w:highlight w:val="none"/>
        </w:rPr>
        <w:t>资格审查结束后，应及时对资格审查结果进行复核，对资格审查错误进行及时纠正并记录。</w:t>
      </w:r>
      <w:bookmarkEnd w:id="212"/>
    </w:p>
    <w:p w14:paraId="167FD38A">
      <w:pPr>
        <w:pStyle w:val="40"/>
        <w:spacing w:line="360" w:lineRule="auto"/>
        <w:rPr>
          <w:color w:val="auto"/>
          <w:highlight w:val="none"/>
          <w:lang w:val="en-US"/>
        </w:rPr>
      </w:pPr>
      <w:r>
        <w:rPr>
          <w:rFonts w:hint="eastAsia"/>
          <w:color w:val="auto"/>
          <w:highlight w:val="none"/>
          <w:lang w:val="en-US"/>
        </w:rPr>
        <w:t>27.4</w:t>
      </w:r>
      <w:r>
        <w:rPr>
          <w:color w:val="auto"/>
          <w:highlight w:val="none"/>
        </w:rPr>
        <w:t>资格审查</w:t>
      </w:r>
      <w:r>
        <w:rPr>
          <w:rFonts w:hint="eastAsia"/>
          <w:color w:val="auto"/>
          <w:highlight w:val="none"/>
        </w:rPr>
        <w:t>合格投标人不足3家的，不得评标。</w:t>
      </w:r>
    </w:p>
    <w:p w14:paraId="5C7CD7E9">
      <w:pPr>
        <w:pStyle w:val="4"/>
        <w:spacing w:line="360" w:lineRule="auto"/>
        <w:rPr>
          <w:color w:val="auto"/>
          <w:highlight w:val="none"/>
        </w:rPr>
      </w:pPr>
      <w:bookmarkStart w:id="213" w:name="_Toc163492856"/>
      <w:bookmarkStart w:id="214" w:name="_Toc140132789"/>
      <w:bookmarkStart w:id="215" w:name="_Toc155185878"/>
      <w:r>
        <w:rPr>
          <w:rFonts w:hint="eastAsia"/>
          <w:color w:val="auto"/>
          <w:highlight w:val="none"/>
        </w:rPr>
        <w:t>（七）评标</w:t>
      </w:r>
      <w:bookmarkEnd w:id="213"/>
      <w:bookmarkEnd w:id="214"/>
      <w:bookmarkEnd w:id="215"/>
    </w:p>
    <w:p w14:paraId="7516C70A">
      <w:pPr>
        <w:pStyle w:val="5"/>
        <w:spacing w:line="360" w:lineRule="auto"/>
        <w:rPr>
          <w:color w:val="auto"/>
          <w:highlight w:val="none"/>
        </w:rPr>
      </w:pPr>
      <w:bookmarkStart w:id="216" w:name="_Toc163492857"/>
      <w:bookmarkStart w:id="217" w:name="_Toc140132790"/>
      <w:r>
        <w:rPr>
          <w:rFonts w:hint="eastAsia"/>
          <w:color w:val="auto"/>
          <w:highlight w:val="none"/>
        </w:rPr>
        <w:t>28.评标委员会</w:t>
      </w:r>
      <w:bookmarkEnd w:id="216"/>
      <w:bookmarkEnd w:id="217"/>
    </w:p>
    <w:p w14:paraId="5C03C86D">
      <w:pPr>
        <w:pStyle w:val="40"/>
        <w:spacing w:line="360" w:lineRule="auto"/>
        <w:rPr>
          <w:color w:val="auto"/>
          <w:highlight w:val="none"/>
        </w:rPr>
      </w:pPr>
      <w:r>
        <w:rPr>
          <w:color w:val="auto"/>
          <w:highlight w:val="none"/>
        </w:rPr>
        <w:t>2</w:t>
      </w:r>
      <w:r>
        <w:rPr>
          <w:rFonts w:hint="eastAsia"/>
          <w:color w:val="auto"/>
          <w:highlight w:val="none"/>
        </w:rPr>
        <w:t>8.1 评标由采购人依法组建的评标委员会负责。评标委员会由采购人代表和评审专家组成，成员人数应当为5人以上单数，其中评审专家不得少于成员总数的三分之二。</w:t>
      </w:r>
      <w:r>
        <w:rPr>
          <w:color w:val="auto"/>
          <w:highlight w:val="none"/>
        </w:rPr>
        <w:t>采购人或者采购代理机构应当从省级以上财政部门设立的政府采购评审专家库中，通过随机方式抽取评审专家。</w:t>
      </w:r>
    </w:p>
    <w:p w14:paraId="4BE0E7F6">
      <w:pPr>
        <w:pStyle w:val="40"/>
        <w:spacing w:line="360" w:lineRule="auto"/>
        <w:rPr>
          <w:color w:val="auto"/>
          <w:highlight w:val="none"/>
        </w:rPr>
      </w:pPr>
      <w:r>
        <w:rPr>
          <w:rFonts w:hint="eastAsia"/>
          <w:color w:val="auto"/>
          <w:highlight w:val="none"/>
        </w:rPr>
        <w:t xml:space="preserve">28.2 </w:t>
      </w:r>
      <w:r>
        <w:rPr>
          <w:color w:val="auto"/>
          <w:highlight w:val="none"/>
        </w:rPr>
        <w:t>采购项目符合下列情形之一的，评标委员会成员人数应当为7人以上单数：</w:t>
      </w:r>
    </w:p>
    <w:p w14:paraId="2DAC1F13">
      <w:pPr>
        <w:pStyle w:val="40"/>
        <w:spacing w:line="360" w:lineRule="auto"/>
        <w:rPr>
          <w:color w:val="auto"/>
          <w:highlight w:val="none"/>
        </w:rPr>
      </w:pPr>
      <w:r>
        <w:rPr>
          <w:color w:val="auto"/>
          <w:highlight w:val="none"/>
        </w:rPr>
        <w:t>（</w:t>
      </w:r>
      <w:r>
        <w:rPr>
          <w:rFonts w:hint="eastAsia"/>
          <w:color w:val="auto"/>
          <w:highlight w:val="none"/>
        </w:rPr>
        <w:t>1</w:t>
      </w:r>
      <w:r>
        <w:rPr>
          <w:color w:val="auto"/>
          <w:highlight w:val="none"/>
        </w:rPr>
        <w:t>）采购预算金额在1000万元以上；</w:t>
      </w:r>
    </w:p>
    <w:p w14:paraId="06938294">
      <w:pPr>
        <w:pStyle w:val="40"/>
        <w:spacing w:line="360" w:lineRule="auto"/>
        <w:rPr>
          <w:color w:val="auto"/>
          <w:highlight w:val="none"/>
        </w:rPr>
      </w:pPr>
      <w:r>
        <w:rPr>
          <w:color w:val="auto"/>
          <w:highlight w:val="none"/>
        </w:rPr>
        <w:t>（</w:t>
      </w:r>
      <w:r>
        <w:rPr>
          <w:rFonts w:hint="eastAsia"/>
          <w:color w:val="auto"/>
          <w:highlight w:val="none"/>
        </w:rPr>
        <w:t>2</w:t>
      </w:r>
      <w:r>
        <w:rPr>
          <w:color w:val="auto"/>
          <w:highlight w:val="none"/>
        </w:rPr>
        <w:t>）技术复杂；</w:t>
      </w:r>
    </w:p>
    <w:p w14:paraId="5BA00553">
      <w:pPr>
        <w:pStyle w:val="40"/>
        <w:spacing w:line="360" w:lineRule="auto"/>
        <w:rPr>
          <w:color w:val="auto"/>
          <w:highlight w:val="none"/>
        </w:rPr>
      </w:pPr>
      <w:r>
        <w:rPr>
          <w:color w:val="auto"/>
          <w:highlight w:val="none"/>
        </w:rPr>
        <w:t>（</w:t>
      </w:r>
      <w:r>
        <w:rPr>
          <w:rFonts w:hint="eastAsia"/>
          <w:color w:val="auto"/>
          <w:highlight w:val="none"/>
        </w:rPr>
        <w:t>3</w:t>
      </w:r>
      <w:r>
        <w:rPr>
          <w:color w:val="auto"/>
          <w:highlight w:val="none"/>
        </w:rPr>
        <w:t>）社会影响较大。</w:t>
      </w:r>
    </w:p>
    <w:p w14:paraId="3DCC8D5C">
      <w:pPr>
        <w:pStyle w:val="40"/>
        <w:spacing w:line="360" w:lineRule="auto"/>
        <w:rPr>
          <w:color w:val="auto"/>
          <w:highlight w:val="none"/>
        </w:rPr>
      </w:pPr>
      <w:r>
        <w:rPr>
          <w:rFonts w:hint="eastAsia"/>
          <w:color w:val="auto"/>
          <w:highlight w:val="none"/>
        </w:rPr>
        <w:t>28.3</w:t>
      </w:r>
      <w:r>
        <w:rPr>
          <w:color w:val="auto"/>
          <w:highlight w:val="none"/>
        </w:rP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71E62B07">
      <w:pPr>
        <w:pStyle w:val="40"/>
        <w:spacing w:line="360" w:lineRule="auto"/>
        <w:rPr>
          <w:color w:val="auto"/>
          <w:highlight w:val="none"/>
        </w:rPr>
      </w:pPr>
      <w:r>
        <w:rPr>
          <w:rFonts w:hint="eastAsia"/>
          <w:color w:val="auto"/>
          <w:highlight w:val="none"/>
        </w:rPr>
        <w:t>28.4</w:t>
      </w:r>
      <w:r>
        <w:rPr>
          <w:color w:val="auto"/>
          <w:highlight w:val="none"/>
        </w:rPr>
        <w:t>评标委员会成员名单在评标结果公告前应当保密。</w:t>
      </w:r>
    </w:p>
    <w:p w14:paraId="14CEBF4D">
      <w:pPr>
        <w:pStyle w:val="40"/>
        <w:spacing w:line="360" w:lineRule="auto"/>
        <w:rPr>
          <w:color w:val="auto"/>
          <w:highlight w:val="none"/>
        </w:rPr>
      </w:pPr>
      <w:r>
        <w:rPr>
          <w:rFonts w:hint="eastAsia"/>
          <w:color w:val="auto"/>
          <w:highlight w:val="none"/>
        </w:rPr>
        <w:t>28.5</w:t>
      </w:r>
      <w:r>
        <w:rPr>
          <w:color w:val="auto"/>
          <w:highlight w:val="none"/>
        </w:rP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00CAA27A">
      <w:pPr>
        <w:pStyle w:val="40"/>
        <w:spacing w:line="360" w:lineRule="auto"/>
        <w:rPr>
          <w:color w:val="auto"/>
          <w:highlight w:val="none"/>
        </w:rPr>
      </w:pPr>
      <w:r>
        <w:rPr>
          <w:rFonts w:hint="eastAsia"/>
          <w:color w:val="auto"/>
          <w:highlight w:val="none"/>
        </w:rPr>
        <w:t>28.6</w:t>
      </w:r>
      <w:r>
        <w:rPr>
          <w:color w:val="auto"/>
          <w:highlight w:val="none"/>
        </w:rPr>
        <w:t>无法及时补足评标委员会成员的，采购人或者采购代理机构应当停止评标活动，封存所有投标文件和开标、评标资料，依法重新组建评标委员会进行评标。原评标委员会所作出的评标意见无效。</w:t>
      </w:r>
    </w:p>
    <w:p w14:paraId="4629501A">
      <w:pPr>
        <w:pStyle w:val="40"/>
        <w:spacing w:line="360" w:lineRule="auto"/>
        <w:rPr>
          <w:color w:val="auto"/>
          <w:highlight w:val="none"/>
        </w:rPr>
      </w:pPr>
      <w:r>
        <w:rPr>
          <w:color w:val="auto"/>
          <w:highlight w:val="none"/>
        </w:rPr>
        <w:t>2</w:t>
      </w:r>
      <w:r>
        <w:rPr>
          <w:rFonts w:hint="eastAsia"/>
          <w:color w:val="auto"/>
          <w:highlight w:val="none"/>
          <w:lang w:val="en-US"/>
        </w:rPr>
        <w:t>8</w:t>
      </w:r>
      <w:r>
        <w:rPr>
          <w:rFonts w:hint="eastAsia"/>
          <w:color w:val="auto"/>
          <w:highlight w:val="none"/>
        </w:rPr>
        <w:t>.</w:t>
      </w:r>
      <w:r>
        <w:rPr>
          <w:rFonts w:hint="eastAsia"/>
          <w:color w:val="auto"/>
          <w:highlight w:val="none"/>
          <w:lang w:val="en-US"/>
        </w:rPr>
        <w:t>7</w:t>
      </w:r>
      <w:r>
        <w:rPr>
          <w:rFonts w:hint="eastAsia"/>
          <w:color w:val="auto"/>
          <w:highlight w:val="none"/>
        </w:rPr>
        <w:t xml:space="preserve"> 评标委员会成员有下列情形之一的，应当回避：</w:t>
      </w:r>
    </w:p>
    <w:p w14:paraId="3AD7DD1E">
      <w:pPr>
        <w:pStyle w:val="40"/>
        <w:spacing w:line="360" w:lineRule="auto"/>
        <w:rPr>
          <w:color w:val="auto"/>
          <w:highlight w:val="none"/>
        </w:rPr>
      </w:pPr>
      <w:r>
        <w:rPr>
          <w:rFonts w:hint="eastAsia"/>
          <w:color w:val="auto"/>
          <w:highlight w:val="none"/>
        </w:rPr>
        <w:t>（1）参加采购活动前3年内与投标人存在劳动关系；</w:t>
      </w:r>
    </w:p>
    <w:p w14:paraId="741E3091">
      <w:pPr>
        <w:pStyle w:val="40"/>
        <w:spacing w:line="360" w:lineRule="auto"/>
        <w:rPr>
          <w:color w:val="auto"/>
          <w:highlight w:val="none"/>
        </w:rPr>
      </w:pPr>
      <w:r>
        <w:rPr>
          <w:rFonts w:hint="eastAsia"/>
          <w:color w:val="auto"/>
          <w:highlight w:val="none"/>
        </w:rPr>
        <w:t>（2）参加采购活动前3年内担任投标人的董事、监事；</w:t>
      </w:r>
    </w:p>
    <w:p w14:paraId="5A05CCFC">
      <w:pPr>
        <w:pStyle w:val="40"/>
        <w:spacing w:line="360" w:lineRule="auto"/>
        <w:rPr>
          <w:color w:val="auto"/>
          <w:highlight w:val="none"/>
        </w:rPr>
      </w:pPr>
      <w:r>
        <w:rPr>
          <w:rFonts w:hint="eastAsia"/>
          <w:color w:val="auto"/>
          <w:highlight w:val="none"/>
        </w:rPr>
        <w:t>（3）参加采购活动前3年内是投标人的控股股东或实际控制人；</w:t>
      </w:r>
    </w:p>
    <w:p w14:paraId="026EF1A6">
      <w:pPr>
        <w:pStyle w:val="40"/>
        <w:spacing w:line="360" w:lineRule="auto"/>
        <w:rPr>
          <w:color w:val="auto"/>
          <w:highlight w:val="none"/>
        </w:rPr>
      </w:pPr>
      <w:r>
        <w:rPr>
          <w:rFonts w:hint="eastAsia"/>
          <w:color w:val="auto"/>
          <w:highlight w:val="none"/>
        </w:rPr>
        <w:t>（4）与投标人的法定代表人或者负责人有夫妻、直系血亲、三代以内旁系血亲或者近姻亲关系；</w:t>
      </w:r>
    </w:p>
    <w:p w14:paraId="27BF2447">
      <w:pPr>
        <w:pStyle w:val="40"/>
        <w:spacing w:line="360" w:lineRule="auto"/>
        <w:rPr>
          <w:color w:val="auto"/>
          <w:highlight w:val="none"/>
        </w:rPr>
      </w:pPr>
      <w:r>
        <w:rPr>
          <w:rFonts w:hint="eastAsia"/>
          <w:color w:val="auto"/>
          <w:highlight w:val="none"/>
        </w:rPr>
        <w:t>（5）与投标人有其他可能影响采购活动公平、公正进行的关系。</w:t>
      </w:r>
    </w:p>
    <w:p w14:paraId="581EF760">
      <w:pPr>
        <w:pStyle w:val="5"/>
        <w:spacing w:line="360" w:lineRule="auto"/>
        <w:rPr>
          <w:color w:val="auto"/>
          <w:highlight w:val="none"/>
        </w:rPr>
      </w:pPr>
      <w:bookmarkStart w:id="218" w:name="_Toc140132791"/>
      <w:bookmarkStart w:id="219" w:name="_Toc163492858"/>
      <w:r>
        <w:rPr>
          <w:rFonts w:hint="eastAsia"/>
          <w:color w:val="auto"/>
          <w:highlight w:val="none"/>
        </w:rPr>
        <w:t>29.评标</w:t>
      </w:r>
      <w:bookmarkEnd w:id="218"/>
      <w:bookmarkEnd w:id="219"/>
    </w:p>
    <w:p w14:paraId="6CA6C4F2">
      <w:pPr>
        <w:pStyle w:val="40"/>
        <w:spacing w:line="360" w:lineRule="auto"/>
        <w:rPr>
          <w:color w:val="auto"/>
          <w:highlight w:val="none"/>
        </w:rPr>
      </w:pPr>
      <w:r>
        <w:rPr>
          <w:rFonts w:hint="eastAsia"/>
          <w:color w:val="auto"/>
          <w:highlight w:val="none"/>
          <w:lang w:val="en-US"/>
        </w:rPr>
        <w:t>29</w:t>
      </w:r>
      <w:r>
        <w:rPr>
          <w:rFonts w:hint="eastAsia"/>
          <w:color w:val="auto"/>
          <w:highlight w:val="none"/>
        </w:rPr>
        <w:t>.1</w:t>
      </w:r>
      <w:r>
        <w:rPr>
          <w:rFonts w:hint="eastAsia"/>
          <w:color w:val="auto"/>
          <w:highlight w:val="none"/>
          <w:lang w:val="en-US"/>
        </w:rPr>
        <w:t xml:space="preserve"> 评标方法分为综合评分法和</w:t>
      </w:r>
      <w:r>
        <w:rPr>
          <w:color w:val="auto"/>
          <w:highlight w:val="none"/>
        </w:rPr>
        <w:t>最低评标价法</w:t>
      </w:r>
      <w:r>
        <w:rPr>
          <w:rFonts w:hint="eastAsia"/>
          <w:color w:val="auto"/>
          <w:highlight w:val="none"/>
        </w:rPr>
        <w:t>，</w:t>
      </w:r>
      <w:r>
        <w:rPr>
          <w:color w:val="auto"/>
          <w:highlight w:val="none"/>
        </w:rPr>
        <w:t>本项目</w:t>
      </w:r>
      <w:r>
        <w:rPr>
          <w:rFonts w:hint="eastAsia"/>
          <w:color w:val="auto"/>
          <w:highlight w:val="none"/>
        </w:rPr>
        <w:t>评标</w:t>
      </w:r>
      <w:r>
        <w:rPr>
          <w:rFonts w:hint="eastAsia"/>
          <w:color w:val="auto"/>
          <w:highlight w:val="none"/>
          <w:lang w:val="en-US"/>
        </w:rPr>
        <w:t>方法详见</w:t>
      </w:r>
      <w:r>
        <w:rPr>
          <w:rFonts w:hint="eastAsia"/>
          <w:color w:val="auto"/>
          <w:highlight w:val="none"/>
        </w:rPr>
        <w:t>“投标人须知前附表”。</w:t>
      </w:r>
    </w:p>
    <w:p w14:paraId="5495EAC2">
      <w:pPr>
        <w:pStyle w:val="40"/>
        <w:spacing w:line="360" w:lineRule="auto"/>
        <w:rPr>
          <w:color w:val="auto"/>
          <w:highlight w:val="none"/>
        </w:rPr>
      </w:pPr>
      <w:r>
        <w:rPr>
          <w:color w:val="auto"/>
          <w:highlight w:val="none"/>
        </w:rPr>
        <w:t>2</w:t>
      </w:r>
      <w:r>
        <w:rPr>
          <w:rFonts w:hint="eastAsia"/>
          <w:color w:val="auto"/>
          <w:highlight w:val="none"/>
          <w:lang w:val="en-US"/>
        </w:rPr>
        <w:t>9.1.1</w:t>
      </w:r>
      <w:r>
        <w:rPr>
          <w:color w:val="auto"/>
          <w:highlight w:val="none"/>
        </w:rPr>
        <w:t>综合评分法，是指投标文件满足招标文件全部实质性要求</w:t>
      </w:r>
      <w:r>
        <w:rPr>
          <w:rFonts w:hint="eastAsia"/>
          <w:color w:val="auto"/>
          <w:highlight w:val="none"/>
        </w:rPr>
        <w:t>，</w:t>
      </w:r>
      <w:r>
        <w:rPr>
          <w:color w:val="auto"/>
          <w:highlight w:val="none"/>
        </w:rPr>
        <w:t>且按照评审因素的量化指标评审得分最高的投标人为中标候选人的评标方法。</w:t>
      </w:r>
    </w:p>
    <w:p w14:paraId="2A803765">
      <w:pPr>
        <w:pStyle w:val="40"/>
        <w:spacing w:line="360" w:lineRule="auto"/>
        <w:rPr>
          <w:color w:val="auto"/>
          <w:highlight w:val="none"/>
          <w:lang w:val="en-US"/>
        </w:rPr>
      </w:pPr>
      <w:r>
        <w:rPr>
          <w:rFonts w:hint="eastAsia"/>
          <w:color w:val="auto"/>
          <w:highlight w:val="none"/>
          <w:lang w:val="en-US"/>
        </w:rPr>
        <w:t>29.1.2.</w:t>
      </w:r>
      <w:r>
        <w:rPr>
          <w:color w:val="auto"/>
          <w:highlight w:val="none"/>
        </w:rPr>
        <w:t>最低评标价法，是指投标文件满足招标文件全部实质性要求</w:t>
      </w:r>
      <w:r>
        <w:rPr>
          <w:rFonts w:hint="eastAsia"/>
          <w:color w:val="auto"/>
          <w:highlight w:val="none"/>
        </w:rPr>
        <w:t>，</w:t>
      </w:r>
      <w:r>
        <w:rPr>
          <w:color w:val="auto"/>
          <w:highlight w:val="none"/>
        </w:rPr>
        <w:t>且投标报价最低的投标人为中标候选人的评标方法。</w:t>
      </w:r>
    </w:p>
    <w:p w14:paraId="35F07627">
      <w:pPr>
        <w:pStyle w:val="40"/>
        <w:spacing w:line="360" w:lineRule="auto"/>
        <w:rPr>
          <w:color w:val="auto"/>
          <w:highlight w:val="none"/>
        </w:rPr>
      </w:pPr>
      <w:r>
        <w:rPr>
          <w:rFonts w:hint="eastAsia"/>
          <w:color w:val="auto"/>
          <w:highlight w:val="none"/>
          <w:lang w:val="en-US"/>
        </w:rPr>
        <w:t>29</w:t>
      </w:r>
      <w:r>
        <w:rPr>
          <w:rFonts w:hint="eastAsia"/>
          <w:color w:val="auto"/>
          <w:highlight w:val="none"/>
        </w:rPr>
        <w:t>.</w:t>
      </w:r>
      <w:r>
        <w:rPr>
          <w:rFonts w:hint="eastAsia"/>
          <w:color w:val="auto"/>
          <w:highlight w:val="none"/>
          <w:lang w:val="en-US"/>
        </w:rPr>
        <w:t xml:space="preserve">2 </w:t>
      </w:r>
      <w:r>
        <w:rPr>
          <w:rFonts w:hint="eastAsia"/>
          <w:color w:val="auto"/>
          <w:highlight w:val="none"/>
        </w:rPr>
        <w:t>评标委员会按照“第五章</w:t>
      </w:r>
      <w:r>
        <w:rPr>
          <w:rFonts w:hint="eastAsia"/>
          <w:color w:val="auto"/>
          <w:highlight w:val="none"/>
          <w:lang w:val="en-US"/>
        </w:rPr>
        <w:t xml:space="preserve"> </w:t>
      </w:r>
      <w:r>
        <w:rPr>
          <w:rFonts w:hint="eastAsia"/>
          <w:color w:val="auto"/>
          <w:highlight w:val="none"/>
        </w:rPr>
        <w:t>评标</w:t>
      </w:r>
      <w:r>
        <w:rPr>
          <w:rFonts w:hint="eastAsia"/>
          <w:color w:val="auto"/>
          <w:highlight w:val="none"/>
          <w:lang w:val="en-US"/>
        </w:rPr>
        <w:t>方</w:t>
      </w:r>
      <w:r>
        <w:rPr>
          <w:rFonts w:hint="eastAsia"/>
          <w:color w:val="auto"/>
          <w:highlight w:val="none"/>
        </w:rPr>
        <w:t>法及标准”</w:t>
      </w:r>
      <w:r>
        <w:rPr>
          <w:rFonts w:hint="eastAsia"/>
          <w:color w:val="auto"/>
          <w:highlight w:val="none"/>
          <w:lang w:val="en-US"/>
        </w:rPr>
        <w:t>的</w:t>
      </w:r>
      <w:r>
        <w:rPr>
          <w:rFonts w:hint="eastAsia"/>
          <w:color w:val="auto"/>
          <w:highlight w:val="none"/>
        </w:rPr>
        <w:t>规定对投标文件进行评审。“第五章</w:t>
      </w:r>
      <w:r>
        <w:rPr>
          <w:rFonts w:hint="eastAsia"/>
          <w:color w:val="auto"/>
          <w:highlight w:val="none"/>
          <w:lang w:val="en-US"/>
        </w:rPr>
        <w:t xml:space="preserve"> </w:t>
      </w:r>
      <w:r>
        <w:rPr>
          <w:rFonts w:hint="eastAsia"/>
          <w:color w:val="auto"/>
          <w:highlight w:val="none"/>
        </w:rPr>
        <w:t>评标</w:t>
      </w:r>
      <w:r>
        <w:rPr>
          <w:rFonts w:hint="eastAsia"/>
          <w:color w:val="auto"/>
          <w:highlight w:val="none"/>
          <w:lang w:val="en-US"/>
        </w:rPr>
        <w:t>方</w:t>
      </w:r>
      <w:r>
        <w:rPr>
          <w:rFonts w:hint="eastAsia"/>
          <w:color w:val="auto"/>
          <w:highlight w:val="none"/>
        </w:rPr>
        <w:t>法及标准”没有规定的方法、评审因素和标准，不作为评标依据。</w:t>
      </w:r>
    </w:p>
    <w:p w14:paraId="5FFFE141">
      <w:pPr>
        <w:pStyle w:val="40"/>
        <w:spacing w:line="360" w:lineRule="auto"/>
        <w:rPr>
          <w:color w:val="auto"/>
          <w:highlight w:val="none"/>
        </w:rPr>
      </w:pPr>
      <w:r>
        <w:rPr>
          <w:rFonts w:hint="eastAsia"/>
          <w:color w:val="auto"/>
          <w:highlight w:val="none"/>
          <w:lang w:val="en-US"/>
        </w:rPr>
        <w:t>29</w:t>
      </w:r>
      <w:r>
        <w:rPr>
          <w:rFonts w:hint="eastAsia"/>
          <w:color w:val="auto"/>
          <w:highlight w:val="none"/>
        </w:rPr>
        <w:t>.</w:t>
      </w:r>
      <w:r>
        <w:rPr>
          <w:rFonts w:hint="eastAsia"/>
          <w:color w:val="auto"/>
          <w:highlight w:val="none"/>
          <w:lang w:val="en-US"/>
        </w:rPr>
        <w:t xml:space="preserve">3 </w:t>
      </w:r>
      <w:r>
        <w:rPr>
          <w:rFonts w:hint="eastAsia"/>
          <w:color w:val="auto"/>
          <w:highlight w:val="none"/>
        </w:rPr>
        <w:t>评标委员会按“投标人须知前附表”规定的中标候选人数量在评标报告中向采购人推荐中标候选人。</w:t>
      </w:r>
    </w:p>
    <w:p w14:paraId="7D9B2E9F">
      <w:pPr>
        <w:pStyle w:val="40"/>
        <w:spacing w:line="360" w:lineRule="auto"/>
        <w:rPr>
          <w:color w:val="auto"/>
          <w:highlight w:val="none"/>
        </w:rPr>
      </w:pPr>
      <w:r>
        <w:rPr>
          <w:rFonts w:hint="eastAsia"/>
          <w:color w:val="auto"/>
          <w:highlight w:val="none"/>
        </w:rPr>
        <w:t>29.4 开标之后，直到签订合同止，凡是属于审查、澄清、评价和比较投标的有关资料以及定标意向等，均不得向投标人或者其他与评标无关的人员透露。</w:t>
      </w:r>
    </w:p>
    <w:p w14:paraId="73DE1F61">
      <w:pPr>
        <w:pStyle w:val="40"/>
        <w:spacing w:line="360" w:lineRule="auto"/>
        <w:rPr>
          <w:color w:val="auto"/>
          <w:highlight w:val="none"/>
        </w:rPr>
      </w:pPr>
      <w:r>
        <w:rPr>
          <w:rFonts w:hint="eastAsia"/>
          <w:color w:val="auto"/>
          <w:highlight w:val="none"/>
        </w:rPr>
        <w:t>29.5 在确定中标人之前，投标人试图在投标文件审查、澄清、比较和评标时对评标委员会、采购人和采购代理机构施加任何影响都可能导致其</w:t>
      </w:r>
      <w:r>
        <w:rPr>
          <w:rFonts w:hint="eastAsia"/>
          <w:b/>
          <w:bCs/>
          <w:color w:val="auto"/>
          <w:highlight w:val="none"/>
        </w:rPr>
        <w:t>投标无效</w:t>
      </w:r>
      <w:r>
        <w:rPr>
          <w:rFonts w:hint="eastAsia"/>
          <w:color w:val="auto"/>
          <w:highlight w:val="none"/>
        </w:rPr>
        <w:t>。</w:t>
      </w:r>
    </w:p>
    <w:p w14:paraId="63A7B63D">
      <w:pPr>
        <w:pStyle w:val="40"/>
        <w:spacing w:line="360" w:lineRule="auto"/>
        <w:rPr>
          <w:color w:val="auto"/>
          <w:highlight w:val="none"/>
        </w:rPr>
      </w:pPr>
      <w:r>
        <w:rPr>
          <w:rFonts w:hint="eastAsia"/>
          <w:color w:val="auto"/>
          <w:highlight w:val="none"/>
        </w:rPr>
        <w:t>29.6 电子招投标的应急措施</w:t>
      </w:r>
    </w:p>
    <w:p w14:paraId="0AF7A7B8">
      <w:pPr>
        <w:pStyle w:val="40"/>
        <w:spacing w:line="360" w:lineRule="auto"/>
        <w:rPr>
          <w:color w:val="auto"/>
          <w:highlight w:val="none"/>
        </w:rPr>
      </w:pPr>
      <w:r>
        <w:rPr>
          <w:rFonts w:hint="eastAsia"/>
          <w:color w:val="auto"/>
          <w:highlight w:val="none"/>
        </w:rPr>
        <w:t>29.6.1电子开标、评标如出现下列原因，导致系统无法正常运行或无法正常评标时，应采取应急措施。</w:t>
      </w:r>
    </w:p>
    <w:p w14:paraId="3519B17C">
      <w:pPr>
        <w:pStyle w:val="40"/>
        <w:spacing w:line="360" w:lineRule="auto"/>
        <w:rPr>
          <w:color w:val="auto"/>
          <w:highlight w:val="none"/>
        </w:rPr>
      </w:pPr>
      <w:r>
        <w:rPr>
          <w:rFonts w:hint="eastAsia"/>
          <w:color w:val="auto"/>
          <w:highlight w:val="none"/>
        </w:rPr>
        <w:t>（1）系统服务器发生故障，无法访问或无法使用系统；</w:t>
      </w:r>
    </w:p>
    <w:p w14:paraId="658C2FD9">
      <w:pPr>
        <w:pStyle w:val="40"/>
        <w:spacing w:line="360" w:lineRule="auto"/>
        <w:rPr>
          <w:color w:val="auto"/>
          <w:highlight w:val="none"/>
        </w:rPr>
      </w:pPr>
      <w:r>
        <w:rPr>
          <w:rFonts w:hint="eastAsia"/>
          <w:color w:val="auto"/>
          <w:highlight w:val="none"/>
        </w:rPr>
        <w:t>（2）系统的软件或数据库出现错误，不能进行正常操作；</w:t>
      </w:r>
    </w:p>
    <w:p w14:paraId="70F18FA4">
      <w:pPr>
        <w:pStyle w:val="40"/>
        <w:spacing w:line="360" w:lineRule="auto"/>
        <w:rPr>
          <w:color w:val="auto"/>
          <w:highlight w:val="none"/>
        </w:rPr>
      </w:pPr>
      <w:r>
        <w:rPr>
          <w:rFonts w:hint="eastAsia"/>
          <w:color w:val="auto"/>
          <w:highlight w:val="none"/>
        </w:rPr>
        <w:t>（3）系统发现有安全漏洞，有潜在的泄密危险；</w:t>
      </w:r>
    </w:p>
    <w:p w14:paraId="4FA328C8">
      <w:pPr>
        <w:pStyle w:val="40"/>
        <w:spacing w:line="360" w:lineRule="auto"/>
        <w:rPr>
          <w:color w:val="auto"/>
          <w:highlight w:val="none"/>
        </w:rPr>
      </w:pPr>
      <w:r>
        <w:rPr>
          <w:rFonts w:hint="eastAsia"/>
          <w:color w:val="auto"/>
          <w:highlight w:val="none"/>
        </w:rPr>
        <w:t>（4）病毒发作或受到外来病毒的攻击；</w:t>
      </w:r>
    </w:p>
    <w:p w14:paraId="1F34F5F4">
      <w:pPr>
        <w:pStyle w:val="40"/>
        <w:spacing w:line="360" w:lineRule="auto"/>
        <w:rPr>
          <w:color w:val="auto"/>
          <w:highlight w:val="none"/>
        </w:rPr>
      </w:pPr>
      <w:r>
        <w:rPr>
          <w:rFonts w:hint="eastAsia"/>
          <w:color w:val="auto"/>
          <w:highlight w:val="none"/>
        </w:rPr>
        <w:t>（5）出现其他不可抗拒的客观原因造成开评标系统无法正常使用。</w:t>
      </w:r>
    </w:p>
    <w:p w14:paraId="75FA3FCE">
      <w:pPr>
        <w:pStyle w:val="40"/>
        <w:spacing w:line="360" w:lineRule="auto"/>
        <w:rPr>
          <w:color w:val="auto"/>
          <w:highlight w:val="none"/>
        </w:rPr>
      </w:pPr>
      <w:r>
        <w:rPr>
          <w:rFonts w:hint="eastAsia"/>
          <w:color w:val="auto"/>
          <w:highlight w:val="none"/>
        </w:rPr>
        <w:t>出现上述情况时，应对未开标的暂停开标。已在系统内开标、评标的立即停止。采取应急措施时，必须对原有资料及信息作出妥善保密处理。</w:t>
      </w:r>
    </w:p>
    <w:p w14:paraId="0F4925B8">
      <w:pPr>
        <w:pStyle w:val="40"/>
        <w:spacing w:line="360" w:lineRule="auto"/>
        <w:rPr>
          <w:color w:val="auto"/>
          <w:highlight w:val="none"/>
        </w:rPr>
      </w:pPr>
      <w:r>
        <w:rPr>
          <w:rFonts w:hint="eastAsia"/>
          <w:color w:val="auto"/>
          <w:highlight w:val="none"/>
        </w:rPr>
        <w:t>29.6.2因系统原因导致投标人均无法解密电子投标文件时，采购代理机构可在开标现场直接导入投标人在投标截止时间前递交的未加密的电子投标文件进行开标、评标。</w:t>
      </w:r>
    </w:p>
    <w:p w14:paraId="2C3CA633">
      <w:pPr>
        <w:pStyle w:val="40"/>
        <w:spacing w:line="360" w:lineRule="auto"/>
        <w:rPr>
          <w:color w:val="auto"/>
          <w:highlight w:val="none"/>
        </w:rPr>
      </w:pPr>
      <w:r>
        <w:rPr>
          <w:rFonts w:hint="eastAsia"/>
          <w:color w:val="auto"/>
          <w:highlight w:val="none"/>
        </w:rPr>
        <w:t>29.7 投标人瑕疵滞后发现的处理规则</w:t>
      </w:r>
    </w:p>
    <w:p w14:paraId="44578FCD">
      <w:pPr>
        <w:pStyle w:val="40"/>
        <w:spacing w:line="360" w:lineRule="auto"/>
        <w:rPr>
          <w:color w:val="auto"/>
          <w:highlight w:val="none"/>
        </w:rPr>
      </w:pPr>
      <w:r>
        <w:rPr>
          <w:rFonts w:hint="eastAsia"/>
          <w:color w:val="auto"/>
          <w:highlight w:val="none"/>
        </w:rPr>
        <w:t>29.7.1无论基于何种原因，各项本应作</w:t>
      </w:r>
      <w:r>
        <w:rPr>
          <w:rFonts w:hint="eastAsia"/>
          <w:b/>
          <w:bCs/>
          <w:color w:val="auto"/>
          <w:highlight w:val="none"/>
        </w:rPr>
        <w:t>无效投标</w:t>
      </w:r>
      <w:r>
        <w:rPr>
          <w:rFonts w:hint="eastAsia"/>
          <w:color w:val="auto"/>
          <w:highlight w:val="none"/>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1AC028D3">
      <w:pPr>
        <w:pStyle w:val="4"/>
        <w:spacing w:line="360" w:lineRule="auto"/>
        <w:rPr>
          <w:color w:val="auto"/>
          <w:highlight w:val="none"/>
        </w:rPr>
      </w:pPr>
      <w:bookmarkStart w:id="220" w:name="_Toc155185879"/>
      <w:bookmarkStart w:id="221" w:name="_Toc163492859"/>
      <w:bookmarkStart w:id="222" w:name="_Toc140132792"/>
      <w:r>
        <w:rPr>
          <w:rFonts w:hint="eastAsia"/>
          <w:color w:val="auto"/>
          <w:highlight w:val="none"/>
        </w:rPr>
        <w:t>（八）中标</w:t>
      </w:r>
      <w:bookmarkEnd w:id="220"/>
      <w:bookmarkEnd w:id="221"/>
      <w:bookmarkEnd w:id="222"/>
    </w:p>
    <w:p w14:paraId="26A4AE74">
      <w:pPr>
        <w:pStyle w:val="5"/>
        <w:spacing w:line="360" w:lineRule="auto"/>
        <w:rPr>
          <w:color w:val="auto"/>
          <w:highlight w:val="none"/>
        </w:rPr>
      </w:pPr>
      <w:bookmarkStart w:id="223" w:name="_Toc163492860"/>
      <w:bookmarkStart w:id="224" w:name="_Toc140132793"/>
      <w:r>
        <w:rPr>
          <w:rFonts w:hint="eastAsia"/>
          <w:color w:val="auto"/>
          <w:highlight w:val="none"/>
        </w:rPr>
        <w:t>30.确定中标人</w:t>
      </w:r>
      <w:bookmarkEnd w:id="223"/>
      <w:bookmarkEnd w:id="224"/>
    </w:p>
    <w:p w14:paraId="12904FC9">
      <w:pPr>
        <w:pStyle w:val="40"/>
        <w:spacing w:line="360" w:lineRule="auto"/>
        <w:rPr>
          <w:color w:val="auto"/>
          <w:highlight w:val="none"/>
          <w:lang w:bidi="ar"/>
        </w:rPr>
      </w:pPr>
      <w:r>
        <w:rPr>
          <w:rFonts w:hint="eastAsia"/>
          <w:color w:val="auto"/>
          <w:highlight w:val="none"/>
        </w:rPr>
        <w:t>30.1</w:t>
      </w:r>
      <w:r>
        <w:rPr>
          <w:rFonts w:hint="eastAsia"/>
          <w:color w:val="auto"/>
          <w:highlight w:val="none"/>
          <w:lang w:bidi="ar"/>
        </w:rPr>
        <w:t>采购人将在评标报告确定的中标候选人名单中按顺序确定中标人，中标候选人并列的，按照</w:t>
      </w:r>
      <w:r>
        <w:rPr>
          <w:rFonts w:hint="eastAsia"/>
          <w:color w:val="auto"/>
          <w:highlight w:val="none"/>
        </w:rPr>
        <w:t>“投标人须知前附表”</w:t>
      </w:r>
      <w:r>
        <w:rPr>
          <w:rFonts w:hint="eastAsia"/>
          <w:color w:val="auto"/>
          <w:highlight w:val="none"/>
          <w:lang w:bidi="ar"/>
        </w:rPr>
        <w:t>确定中标人；招标文件未规定的，采取随机抽取的方式确定。采购人是否委托评标委员会直接确定中标人，见</w:t>
      </w:r>
      <w:r>
        <w:rPr>
          <w:rFonts w:hint="eastAsia"/>
          <w:color w:val="auto"/>
          <w:highlight w:val="none"/>
        </w:rPr>
        <w:t>“投标人须知前附表”</w:t>
      </w:r>
      <w:r>
        <w:rPr>
          <w:rFonts w:hint="eastAsia"/>
          <w:color w:val="auto"/>
          <w:highlight w:val="none"/>
          <w:lang w:bidi="ar"/>
        </w:rPr>
        <w:t>。</w:t>
      </w:r>
    </w:p>
    <w:p w14:paraId="16725796">
      <w:pPr>
        <w:pStyle w:val="40"/>
        <w:spacing w:line="360" w:lineRule="auto"/>
        <w:rPr>
          <w:color w:val="auto"/>
          <w:highlight w:val="none"/>
          <w:lang w:bidi="ar"/>
        </w:rPr>
      </w:pPr>
      <w:r>
        <w:rPr>
          <w:rFonts w:hint="eastAsia"/>
          <w:color w:val="auto"/>
          <w:highlight w:val="none"/>
          <w:lang w:bidi="ar"/>
        </w:rPr>
        <w:t>30.2采用综合评分法的采购项目，提供相同品牌产品且通过资格审查、符合性审查的不同</w:t>
      </w:r>
      <w:r>
        <w:rPr>
          <w:rFonts w:hint="eastAsia"/>
          <w:color w:val="auto"/>
          <w:highlight w:val="none"/>
        </w:rPr>
        <w:t>投标人</w:t>
      </w:r>
      <w:r>
        <w:rPr>
          <w:rFonts w:hint="eastAsia"/>
          <w:color w:val="auto"/>
          <w:highlight w:val="none"/>
          <w:lang w:bidi="ar"/>
        </w:rPr>
        <w:t>参加同一合同项下投标的，按一家投标人计算，评审后得分最高的同品牌投标人获得中标人推荐资格；评审得分相同的，由采购人或者采购人委托评标委员会按照</w:t>
      </w:r>
      <w:r>
        <w:rPr>
          <w:rFonts w:hint="eastAsia"/>
          <w:color w:val="auto"/>
          <w:highlight w:val="none"/>
        </w:rPr>
        <w:t>“投标人须知前附表”</w:t>
      </w:r>
      <w:r>
        <w:rPr>
          <w:rFonts w:hint="eastAsia"/>
          <w:color w:val="auto"/>
          <w:highlight w:val="none"/>
          <w:lang w:bidi="ar"/>
        </w:rPr>
        <w:t>规定的方式确定一个投标人获得中标人推荐资格，招标文件未规定的采取随机抽取方式确定，其他同品牌投标人不作为中标候选人。</w:t>
      </w:r>
    </w:p>
    <w:p w14:paraId="5142533D">
      <w:pPr>
        <w:pStyle w:val="40"/>
        <w:spacing w:line="360" w:lineRule="auto"/>
        <w:rPr>
          <w:color w:val="auto"/>
          <w:highlight w:val="none"/>
          <w:lang w:bidi="ar"/>
        </w:rPr>
      </w:pPr>
      <w:r>
        <w:rPr>
          <w:rFonts w:hint="eastAsia"/>
          <w:color w:val="auto"/>
          <w:highlight w:val="none"/>
          <w:lang w:bidi="ar"/>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color w:val="auto"/>
          <w:highlight w:val="none"/>
        </w:rPr>
        <w:t>“投标人须知前附表”</w:t>
      </w:r>
      <w:r>
        <w:rPr>
          <w:rFonts w:hint="eastAsia"/>
          <w:color w:val="auto"/>
          <w:highlight w:val="none"/>
          <w:lang w:bidi="ar"/>
        </w:rPr>
        <w:t>规定的方式确定一个参加评标的投标人，招标文件未规定的采取随机抽取方式确定，其他投标无效。</w:t>
      </w:r>
    </w:p>
    <w:p w14:paraId="15BBB9A5">
      <w:pPr>
        <w:pStyle w:val="40"/>
        <w:spacing w:line="360" w:lineRule="auto"/>
        <w:rPr>
          <w:color w:val="auto"/>
          <w:highlight w:val="none"/>
        </w:rPr>
      </w:pPr>
      <w:r>
        <w:rPr>
          <w:rFonts w:hint="eastAsia"/>
          <w:color w:val="auto"/>
          <w:highlight w:val="none"/>
          <w:lang w:bidi="ar"/>
        </w:rPr>
        <w:t>30.4非单一产品采购项目，采购人应当根据采购项目技术构成、产品价格比重等合理确定</w:t>
      </w:r>
      <w:r>
        <w:rPr>
          <w:rFonts w:hint="eastAsia"/>
          <w:color w:val="auto"/>
          <w:highlight w:val="none"/>
        </w:rPr>
        <w:t>核心</w:t>
      </w:r>
      <w:r>
        <w:rPr>
          <w:rFonts w:hint="eastAsia"/>
          <w:color w:val="auto"/>
          <w:highlight w:val="none"/>
          <w:lang w:bidi="ar"/>
        </w:rPr>
        <w:t>产品，并在</w:t>
      </w:r>
      <w:r>
        <w:rPr>
          <w:rFonts w:hint="eastAsia"/>
          <w:color w:val="auto"/>
          <w:highlight w:val="none"/>
        </w:rPr>
        <w:t>“投标人须知前附表”</w:t>
      </w:r>
      <w:r>
        <w:rPr>
          <w:rFonts w:hint="eastAsia"/>
          <w:color w:val="auto"/>
          <w:highlight w:val="none"/>
          <w:lang w:bidi="ar"/>
        </w:rPr>
        <w:t xml:space="preserve">中载明。多家投标人提供的核心产品品牌相同的，按前两款规定处理。 </w:t>
      </w:r>
    </w:p>
    <w:p w14:paraId="5DB3B349">
      <w:pPr>
        <w:pStyle w:val="5"/>
        <w:spacing w:line="360" w:lineRule="auto"/>
        <w:rPr>
          <w:color w:val="auto"/>
          <w:highlight w:val="none"/>
        </w:rPr>
      </w:pPr>
      <w:bookmarkStart w:id="225" w:name="_Toc163492861"/>
      <w:bookmarkStart w:id="226" w:name="_Toc140132794"/>
      <w:r>
        <w:rPr>
          <w:rFonts w:hint="eastAsia"/>
          <w:color w:val="auto"/>
          <w:highlight w:val="none"/>
        </w:rPr>
        <w:t>31.中标结果公告</w:t>
      </w:r>
      <w:bookmarkEnd w:id="225"/>
      <w:bookmarkEnd w:id="226"/>
    </w:p>
    <w:p w14:paraId="609CE418">
      <w:pPr>
        <w:pStyle w:val="40"/>
        <w:spacing w:line="360" w:lineRule="auto"/>
        <w:rPr>
          <w:color w:val="auto"/>
          <w:highlight w:val="none"/>
        </w:rPr>
      </w:pPr>
      <w:r>
        <w:rPr>
          <w:bCs/>
          <w:color w:val="auto"/>
          <w:highlight w:val="none"/>
        </w:rPr>
        <w:t>3</w:t>
      </w:r>
      <w:r>
        <w:rPr>
          <w:rFonts w:hint="eastAsia"/>
          <w:bCs/>
          <w:color w:val="auto"/>
          <w:highlight w:val="none"/>
          <w:lang w:val="en-US"/>
        </w:rPr>
        <w:t>1</w:t>
      </w:r>
      <w:r>
        <w:rPr>
          <w:rFonts w:hint="eastAsia"/>
          <w:color w:val="auto"/>
          <w:highlight w:val="none"/>
        </w:rPr>
        <w:t>.1</w:t>
      </w:r>
      <w:r>
        <w:rPr>
          <w:rFonts w:hint="eastAsia"/>
          <w:color w:val="auto"/>
          <w:highlight w:val="none"/>
          <w:lang w:val="en-US"/>
        </w:rPr>
        <w:t>采购人或</w:t>
      </w:r>
      <w:r>
        <w:rPr>
          <w:rFonts w:hint="eastAsia"/>
          <w:color w:val="auto"/>
          <w:highlight w:val="none"/>
        </w:rPr>
        <w:t>采购代理机构应当自中标人确定之日起2个工作日内，在</w:t>
      </w:r>
      <w:r>
        <w:rPr>
          <w:rFonts w:hint="eastAsia"/>
          <w:color w:val="auto"/>
          <w:highlight w:val="none"/>
          <w:lang w:val="en-US"/>
        </w:rPr>
        <w:t>发布招标公告的同一</w:t>
      </w:r>
      <w:r>
        <w:rPr>
          <w:rFonts w:hint="eastAsia"/>
          <w:color w:val="auto"/>
          <w:highlight w:val="none"/>
        </w:rPr>
        <w:t>媒体上发布中标结果公告，</w:t>
      </w:r>
      <w:r>
        <w:rPr>
          <w:rFonts w:hint="eastAsia"/>
          <w:color w:val="auto"/>
          <w:highlight w:val="none"/>
          <w:lang w:val="en-US"/>
        </w:rPr>
        <w:t>同时向中标人</w:t>
      </w:r>
      <w:r>
        <w:rPr>
          <w:rFonts w:hint="eastAsia"/>
          <w:color w:val="auto"/>
          <w:highlight w:val="none"/>
        </w:rPr>
        <w:t>发出中标通知书。招标文件随中标结果同时公告，中标结果公告期限为1个工作日。</w:t>
      </w:r>
    </w:p>
    <w:p w14:paraId="7102C9BB">
      <w:pPr>
        <w:pStyle w:val="40"/>
        <w:spacing w:line="360" w:lineRule="auto"/>
        <w:rPr>
          <w:color w:val="auto"/>
          <w:highlight w:val="none"/>
        </w:rPr>
      </w:pPr>
      <w:r>
        <w:rPr>
          <w:rFonts w:hint="eastAsia"/>
          <w:color w:val="auto"/>
          <w:highlight w:val="none"/>
        </w:rPr>
        <w:t>3</w:t>
      </w:r>
      <w:r>
        <w:rPr>
          <w:rFonts w:hint="eastAsia"/>
          <w:color w:val="auto"/>
          <w:highlight w:val="none"/>
          <w:lang w:val="en-US"/>
        </w:rPr>
        <w:t>1</w:t>
      </w:r>
      <w:r>
        <w:rPr>
          <w:color w:val="auto"/>
          <w:highlight w:val="none"/>
        </w:rPr>
        <w:t>.2</w:t>
      </w:r>
      <w:r>
        <w:rPr>
          <w:rFonts w:hint="eastAsia"/>
          <w:color w:val="auto"/>
          <w:highlight w:val="none"/>
        </w:rPr>
        <w:t>中标</w:t>
      </w:r>
      <w:r>
        <w:rPr>
          <w:rFonts w:hint="eastAsia"/>
          <w:color w:val="auto"/>
          <w:highlight w:val="none"/>
          <w:lang w:val="en-US"/>
        </w:rPr>
        <w:t>人</w:t>
      </w:r>
      <w:r>
        <w:rPr>
          <w:rFonts w:hint="eastAsia"/>
          <w:color w:val="auto"/>
          <w:highlight w:val="none"/>
        </w:rPr>
        <w:t>为中小企业</w:t>
      </w:r>
      <w:r>
        <w:rPr>
          <w:rFonts w:hint="eastAsia"/>
          <w:color w:val="auto"/>
          <w:highlight w:val="none"/>
          <w:lang w:val="en-US"/>
        </w:rPr>
        <w:t>享受中小企业扶持政策的</w:t>
      </w:r>
      <w:r>
        <w:rPr>
          <w:rFonts w:hint="eastAsia"/>
          <w:color w:val="auto"/>
          <w:highlight w:val="none"/>
        </w:rPr>
        <w:t>，其“中小企业声明函”随中标结果同时公告。中标</w:t>
      </w:r>
      <w:r>
        <w:rPr>
          <w:rFonts w:hint="eastAsia"/>
          <w:color w:val="auto"/>
          <w:highlight w:val="none"/>
          <w:lang w:val="en-US"/>
        </w:rPr>
        <w:t>人</w:t>
      </w:r>
      <w:r>
        <w:rPr>
          <w:rFonts w:hint="eastAsia"/>
          <w:color w:val="auto"/>
          <w:highlight w:val="none"/>
        </w:rPr>
        <w:t>为残疾人福利性单位的，其“残疾人福利性单位声明函”随中标结果同时公告。</w:t>
      </w:r>
    </w:p>
    <w:p w14:paraId="7FB442BB">
      <w:pPr>
        <w:pStyle w:val="40"/>
        <w:spacing w:line="360" w:lineRule="auto"/>
        <w:rPr>
          <w:color w:val="auto"/>
          <w:highlight w:val="none"/>
        </w:rPr>
      </w:pPr>
      <w:r>
        <w:rPr>
          <w:rFonts w:hint="eastAsia"/>
          <w:color w:val="auto"/>
          <w:highlight w:val="none"/>
          <w:lang w:val="en-US"/>
        </w:rPr>
        <w:t>31.3</w:t>
      </w:r>
      <w:r>
        <w:rPr>
          <w:rFonts w:hint="eastAsia"/>
          <w:color w:val="auto"/>
          <w:highlight w:val="none"/>
        </w:rPr>
        <w:t>项目采购采用最低评标价法的，公告中标结果时同时公告因落实政府采购政策等原因进行价格扣除后中标</w:t>
      </w:r>
      <w:r>
        <w:rPr>
          <w:rFonts w:hint="eastAsia"/>
          <w:color w:val="auto"/>
          <w:highlight w:val="none"/>
          <w:lang w:val="en-US"/>
        </w:rPr>
        <w:t>人</w:t>
      </w:r>
      <w:r>
        <w:rPr>
          <w:rFonts w:hint="eastAsia"/>
          <w:color w:val="auto"/>
          <w:highlight w:val="none"/>
        </w:rPr>
        <w:t>的评审报价；项目采购采用综合评分法的，公告中标结果时同时公告中标</w:t>
      </w:r>
      <w:r>
        <w:rPr>
          <w:rFonts w:hint="eastAsia"/>
          <w:color w:val="auto"/>
          <w:highlight w:val="none"/>
          <w:lang w:val="en-US"/>
        </w:rPr>
        <w:t>供应商</w:t>
      </w:r>
      <w:r>
        <w:rPr>
          <w:rFonts w:hint="eastAsia"/>
          <w:color w:val="auto"/>
          <w:highlight w:val="none"/>
        </w:rPr>
        <w:t>的评审总得分。</w:t>
      </w:r>
    </w:p>
    <w:p w14:paraId="199EDC0E">
      <w:pPr>
        <w:pStyle w:val="5"/>
        <w:spacing w:line="360" w:lineRule="auto"/>
        <w:rPr>
          <w:color w:val="auto"/>
          <w:highlight w:val="none"/>
        </w:rPr>
      </w:pPr>
      <w:bookmarkStart w:id="227" w:name="_Toc163492862"/>
      <w:bookmarkStart w:id="228" w:name="_Toc140132795"/>
      <w:r>
        <w:rPr>
          <w:rFonts w:hint="eastAsia"/>
          <w:color w:val="auto"/>
          <w:highlight w:val="none"/>
        </w:rPr>
        <w:t>32.中标通知</w:t>
      </w:r>
      <w:bookmarkEnd w:id="227"/>
      <w:bookmarkEnd w:id="228"/>
    </w:p>
    <w:p w14:paraId="091508D1">
      <w:pPr>
        <w:pStyle w:val="40"/>
        <w:spacing w:line="360" w:lineRule="auto"/>
        <w:rPr>
          <w:color w:val="auto"/>
          <w:highlight w:val="none"/>
        </w:rPr>
      </w:pPr>
      <w:r>
        <w:rPr>
          <w:bCs/>
          <w:color w:val="auto"/>
          <w:highlight w:val="none"/>
        </w:rPr>
        <w:t>3</w:t>
      </w:r>
      <w:r>
        <w:rPr>
          <w:rFonts w:hint="eastAsia"/>
          <w:bCs/>
          <w:color w:val="auto"/>
          <w:highlight w:val="none"/>
          <w:lang w:val="en-US"/>
        </w:rPr>
        <w:t>2</w:t>
      </w:r>
      <w:r>
        <w:rPr>
          <w:rFonts w:hint="eastAsia"/>
          <w:color w:val="auto"/>
          <w:highlight w:val="none"/>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4ADC3FF6">
      <w:pPr>
        <w:pStyle w:val="40"/>
        <w:spacing w:line="360" w:lineRule="auto"/>
        <w:rPr>
          <w:color w:val="auto"/>
          <w:highlight w:val="none"/>
        </w:rPr>
      </w:pPr>
      <w:r>
        <w:rPr>
          <w:rFonts w:hint="eastAsia"/>
          <w:color w:val="auto"/>
          <w:highlight w:val="none"/>
        </w:rPr>
        <w:t>32.2中标通知书对采购人和中标人均具有法律效力。中标通知书发出后，采购人改变中标结果的，或者中标人放弃中标项目的，应当依法承担法律责任。</w:t>
      </w:r>
    </w:p>
    <w:p w14:paraId="49716C97">
      <w:pPr>
        <w:pStyle w:val="4"/>
        <w:spacing w:line="360" w:lineRule="auto"/>
        <w:rPr>
          <w:color w:val="auto"/>
          <w:highlight w:val="none"/>
        </w:rPr>
      </w:pPr>
      <w:bookmarkStart w:id="229" w:name="_Toc163492863"/>
      <w:r>
        <w:rPr>
          <w:rFonts w:hint="eastAsia"/>
          <w:color w:val="auto"/>
          <w:highlight w:val="none"/>
        </w:rPr>
        <w:t>（九）签订</w:t>
      </w:r>
      <w:bookmarkStart w:id="230" w:name="_Toc140132796"/>
      <w:bookmarkStart w:id="231" w:name="_Toc155185880"/>
      <w:r>
        <w:rPr>
          <w:rFonts w:hint="eastAsia"/>
          <w:color w:val="auto"/>
          <w:highlight w:val="none"/>
        </w:rPr>
        <w:t>合同</w:t>
      </w:r>
      <w:bookmarkEnd w:id="229"/>
      <w:bookmarkEnd w:id="230"/>
      <w:bookmarkEnd w:id="231"/>
    </w:p>
    <w:p w14:paraId="03ABFC06">
      <w:pPr>
        <w:pStyle w:val="5"/>
        <w:spacing w:line="360" w:lineRule="auto"/>
        <w:rPr>
          <w:color w:val="auto"/>
          <w:highlight w:val="none"/>
        </w:rPr>
      </w:pPr>
      <w:bookmarkStart w:id="232" w:name="_Toc140132797"/>
      <w:bookmarkStart w:id="233" w:name="_Toc163492864"/>
      <w:r>
        <w:rPr>
          <w:rFonts w:hint="eastAsia"/>
          <w:color w:val="auto"/>
          <w:highlight w:val="none"/>
        </w:rPr>
        <w:t>33.履约保证金</w:t>
      </w:r>
      <w:bookmarkEnd w:id="232"/>
      <w:bookmarkEnd w:id="233"/>
    </w:p>
    <w:p w14:paraId="7B3DFC5C">
      <w:pPr>
        <w:pStyle w:val="40"/>
        <w:spacing w:line="360" w:lineRule="auto"/>
        <w:rPr>
          <w:color w:val="auto"/>
          <w:highlight w:val="none"/>
        </w:rPr>
      </w:pPr>
      <w:r>
        <w:rPr>
          <w:bCs/>
          <w:color w:val="auto"/>
          <w:highlight w:val="none"/>
        </w:rPr>
        <w:t>3</w:t>
      </w:r>
      <w:r>
        <w:rPr>
          <w:rFonts w:hint="eastAsia"/>
          <w:bCs/>
          <w:color w:val="auto"/>
          <w:highlight w:val="none"/>
          <w:lang w:val="en-US"/>
        </w:rPr>
        <w:t>3</w:t>
      </w:r>
      <w:r>
        <w:rPr>
          <w:rFonts w:hint="eastAsia"/>
          <w:color w:val="auto"/>
          <w:highlight w:val="none"/>
        </w:rPr>
        <w:t>.1在签订合同前，中标人应按“投标人须知前附表”规定的金额、担保形式和采购人认可的履约担保格式向采购人提交履约保证金。</w:t>
      </w:r>
    </w:p>
    <w:p w14:paraId="6CA7147F">
      <w:pPr>
        <w:pStyle w:val="40"/>
        <w:spacing w:line="360" w:lineRule="auto"/>
        <w:rPr>
          <w:color w:val="auto"/>
          <w:highlight w:val="none"/>
        </w:rPr>
      </w:pPr>
      <w:r>
        <w:rPr>
          <w:bCs/>
          <w:color w:val="auto"/>
          <w:highlight w:val="none"/>
        </w:rPr>
        <w:t>3</w:t>
      </w:r>
      <w:r>
        <w:rPr>
          <w:rFonts w:hint="eastAsia"/>
          <w:bCs/>
          <w:color w:val="auto"/>
          <w:highlight w:val="none"/>
          <w:lang w:val="en-US"/>
        </w:rPr>
        <w:t>3</w:t>
      </w:r>
      <w:r>
        <w:rPr>
          <w:rFonts w:hint="eastAsia"/>
          <w:color w:val="auto"/>
          <w:highlight w:val="none"/>
        </w:rPr>
        <w:t>.2中标人不能按本章第</w:t>
      </w:r>
      <w:r>
        <w:rPr>
          <w:color w:val="auto"/>
          <w:highlight w:val="none"/>
        </w:rPr>
        <w:t>3</w:t>
      </w:r>
      <w:r>
        <w:rPr>
          <w:rFonts w:hint="eastAsia"/>
          <w:color w:val="auto"/>
          <w:highlight w:val="none"/>
          <w:lang w:val="en-US"/>
        </w:rPr>
        <w:t>3</w:t>
      </w:r>
      <w:r>
        <w:rPr>
          <w:rFonts w:hint="eastAsia"/>
          <w:color w:val="auto"/>
          <w:highlight w:val="none"/>
        </w:rPr>
        <w:t>.1项要求提交履约担保的，视为放弃中标，给采购人造成损失的，中标人还应当承担民事责任。</w:t>
      </w:r>
    </w:p>
    <w:p w14:paraId="21AFEA3D">
      <w:pPr>
        <w:pStyle w:val="5"/>
        <w:spacing w:line="360" w:lineRule="auto"/>
        <w:rPr>
          <w:color w:val="auto"/>
          <w:highlight w:val="none"/>
        </w:rPr>
      </w:pPr>
      <w:bookmarkStart w:id="234" w:name="_Toc140132798"/>
      <w:bookmarkStart w:id="235" w:name="_Toc163492865"/>
      <w:r>
        <w:rPr>
          <w:rFonts w:hint="eastAsia"/>
          <w:color w:val="auto"/>
          <w:highlight w:val="none"/>
        </w:rPr>
        <w:t>34.签订合同</w:t>
      </w:r>
      <w:bookmarkEnd w:id="234"/>
      <w:bookmarkEnd w:id="235"/>
    </w:p>
    <w:p w14:paraId="798B8957">
      <w:pPr>
        <w:pStyle w:val="40"/>
        <w:spacing w:line="360" w:lineRule="auto"/>
        <w:rPr>
          <w:color w:val="auto"/>
          <w:highlight w:val="none"/>
        </w:rPr>
      </w:pPr>
      <w:r>
        <w:rPr>
          <w:bCs/>
          <w:color w:val="auto"/>
          <w:highlight w:val="none"/>
        </w:rPr>
        <w:t>3</w:t>
      </w:r>
      <w:r>
        <w:rPr>
          <w:rFonts w:hint="eastAsia"/>
          <w:bCs/>
          <w:color w:val="auto"/>
          <w:highlight w:val="none"/>
          <w:lang w:val="en-US"/>
        </w:rPr>
        <w:t>4</w:t>
      </w:r>
      <w:r>
        <w:rPr>
          <w:rFonts w:hint="eastAsia"/>
          <w:color w:val="auto"/>
          <w:highlight w:val="none"/>
        </w:rPr>
        <w:t>.1 采购人和中标人应当自中标通知书发出之日起</w:t>
      </w:r>
      <w:r>
        <w:rPr>
          <w:rFonts w:hint="eastAsia"/>
          <w:color w:val="auto"/>
          <w:highlight w:val="none"/>
          <w:lang w:val="en-US"/>
        </w:rPr>
        <w:t>25</w:t>
      </w:r>
      <w:r>
        <w:rPr>
          <w:rFonts w:hint="eastAsia"/>
          <w:color w:val="auto"/>
          <w:highlight w:val="none"/>
        </w:rPr>
        <w:t>天内，根据招标文件和中标人的投标文件订立书面合同。采购人因不可抗力原因迟延签订合同的，应当自不可抗力事由消除之日起7日内完成合同签订事宜。所签订的合同不得对招标文件和中标人投标文件作实质性修改。中标人无正当理由拒签合同，给采购人造成损失的，中标人还应当承担民事责任。</w:t>
      </w:r>
    </w:p>
    <w:p w14:paraId="54B885E2">
      <w:pPr>
        <w:pStyle w:val="40"/>
        <w:spacing w:line="360" w:lineRule="auto"/>
        <w:rPr>
          <w:color w:val="auto"/>
          <w:highlight w:val="none"/>
        </w:rPr>
      </w:pPr>
      <w:r>
        <w:rPr>
          <w:rFonts w:hint="eastAsia"/>
          <w:color w:val="auto"/>
          <w:highlight w:val="none"/>
        </w:rPr>
        <w:t>34.2 中标人拒绝与采购人签订合同的，采购人可以按照评标报告推荐的中标候选人名单排序，确定下一候选人为中标人，也可以重新开展政府采购活动。</w:t>
      </w:r>
    </w:p>
    <w:p w14:paraId="1957F9B6">
      <w:pPr>
        <w:pStyle w:val="40"/>
        <w:spacing w:line="360" w:lineRule="auto"/>
        <w:rPr>
          <w:color w:val="auto"/>
          <w:highlight w:val="none"/>
        </w:rPr>
      </w:pPr>
      <w:r>
        <w:rPr>
          <w:bCs/>
          <w:color w:val="auto"/>
          <w:highlight w:val="none"/>
        </w:rPr>
        <w:t>3</w:t>
      </w:r>
      <w:r>
        <w:rPr>
          <w:rFonts w:hint="eastAsia"/>
          <w:bCs/>
          <w:color w:val="auto"/>
          <w:highlight w:val="none"/>
          <w:lang w:val="en-US"/>
        </w:rPr>
        <w:t>4</w:t>
      </w:r>
      <w:r>
        <w:rPr>
          <w:rFonts w:hint="eastAsia"/>
          <w:color w:val="auto"/>
          <w:highlight w:val="none"/>
        </w:rPr>
        <w:t>.</w:t>
      </w:r>
      <w:r>
        <w:rPr>
          <w:rFonts w:hint="eastAsia"/>
          <w:color w:val="auto"/>
          <w:highlight w:val="none"/>
          <w:lang w:val="en-US"/>
        </w:rPr>
        <w:t>3</w:t>
      </w:r>
      <w:r>
        <w:rPr>
          <w:rFonts w:hint="eastAsia"/>
          <w:color w:val="auto"/>
          <w:highlight w:val="none"/>
        </w:rPr>
        <w:t xml:space="preserve"> 采购人和中标人不得向对方提出任何不合理的要求，作为签订合同的条件，双方不得私下订立背离合同实质性内容的协议。</w:t>
      </w:r>
    </w:p>
    <w:p w14:paraId="60920DBE">
      <w:pPr>
        <w:pStyle w:val="40"/>
        <w:spacing w:line="360" w:lineRule="auto"/>
        <w:rPr>
          <w:color w:val="auto"/>
          <w:highlight w:val="none"/>
        </w:rPr>
      </w:pPr>
      <w:r>
        <w:rPr>
          <w:rFonts w:hint="eastAsia"/>
          <w:color w:val="auto"/>
          <w:highlight w:val="none"/>
        </w:rPr>
        <w:t>34.4 联合体中标的，联合体各方应当共同与采购人签订合同，就采购合同约定的事项向采购人承担连带责任。</w:t>
      </w:r>
    </w:p>
    <w:p w14:paraId="0B46EF9F">
      <w:pPr>
        <w:pStyle w:val="40"/>
        <w:spacing w:line="360" w:lineRule="auto"/>
        <w:rPr>
          <w:b/>
          <w:bCs/>
          <w:color w:val="auto"/>
          <w:highlight w:val="none"/>
        </w:rPr>
      </w:pPr>
      <w:r>
        <w:rPr>
          <w:rFonts w:hint="eastAsia"/>
          <w:color w:val="auto"/>
          <w:highlight w:val="none"/>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b/>
          <w:bCs/>
          <w:color w:val="auto"/>
          <w:highlight w:val="none"/>
        </w:rPr>
        <w:t>投标无效</w:t>
      </w:r>
      <w:r>
        <w:rPr>
          <w:rFonts w:hint="eastAsia"/>
          <w:color w:val="auto"/>
          <w:highlight w:val="none"/>
        </w:rPr>
        <w:t>。中标人就采购项目和分包项目向采购人负责，分包供应商就分包项目承担责任。</w:t>
      </w:r>
      <w:r>
        <w:rPr>
          <w:rFonts w:hint="eastAsia"/>
          <w:b/>
          <w:bCs/>
          <w:color w:val="auto"/>
          <w:highlight w:val="none"/>
        </w:rPr>
        <w:t>政府采购合同不能转包。</w:t>
      </w:r>
    </w:p>
    <w:p w14:paraId="537A649D">
      <w:pPr>
        <w:pStyle w:val="40"/>
        <w:spacing w:line="360" w:lineRule="auto"/>
        <w:rPr>
          <w:color w:val="auto"/>
          <w:highlight w:val="none"/>
        </w:rPr>
      </w:pPr>
      <w:r>
        <w:rPr>
          <w:bCs/>
          <w:color w:val="auto"/>
          <w:highlight w:val="none"/>
        </w:rPr>
        <w:t>3</w:t>
      </w:r>
      <w:r>
        <w:rPr>
          <w:rFonts w:hint="eastAsia"/>
          <w:bCs/>
          <w:color w:val="auto"/>
          <w:highlight w:val="none"/>
          <w:lang w:val="en-US"/>
        </w:rPr>
        <w:t>4</w:t>
      </w:r>
      <w:r>
        <w:rPr>
          <w:rFonts w:hint="eastAsia"/>
          <w:color w:val="auto"/>
          <w:highlight w:val="none"/>
        </w:rPr>
        <w:t>.</w:t>
      </w:r>
      <w:r>
        <w:rPr>
          <w:rFonts w:hint="eastAsia"/>
          <w:color w:val="auto"/>
          <w:highlight w:val="none"/>
          <w:lang w:val="en-US"/>
        </w:rPr>
        <w:t>6</w:t>
      </w:r>
      <w:r>
        <w:rPr>
          <w:rFonts w:hint="eastAsia"/>
          <w:color w:val="auto"/>
          <w:highlight w:val="none"/>
        </w:rPr>
        <w:t>采购合同履行中，采购人需追加与合同标的相同的</w:t>
      </w:r>
      <w:r>
        <w:rPr>
          <w:rFonts w:hint="eastAsia"/>
          <w:color w:val="auto"/>
          <w:highlight w:val="none"/>
          <w:lang w:val="en-US"/>
        </w:rPr>
        <w:t>货物、工程或者服务</w:t>
      </w:r>
      <w:r>
        <w:rPr>
          <w:rFonts w:hint="eastAsia"/>
          <w:color w:val="auto"/>
          <w:highlight w:val="none"/>
        </w:rPr>
        <w:t>的，在不改变合同其他条款的前提下，可以与中标人协商签订补充合同，但所有补充合同的采购金额不得超过原合同采购金额的百分之十。</w:t>
      </w:r>
    </w:p>
    <w:p w14:paraId="5B1B7FAE">
      <w:pPr>
        <w:pStyle w:val="40"/>
        <w:spacing w:line="360" w:lineRule="auto"/>
        <w:rPr>
          <w:color w:val="auto"/>
          <w:highlight w:val="none"/>
        </w:rPr>
      </w:pPr>
      <w:r>
        <w:rPr>
          <w:rFonts w:hint="eastAsia"/>
          <w:color w:val="auto"/>
          <w:highlight w:val="none"/>
        </w:rPr>
        <w:t>34.7 采购人应于签订合同之日起2个工作日内在政采云平台备案公示。</w:t>
      </w:r>
    </w:p>
    <w:p w14:paraId="4C11AB14">
      <w:pPr>
        <w:pStyle w:val="4"/>
        <w:spacing w:line="360" w:lineRule="auto"/>
        <w:rPr>
          <w:color w:val="auto"/>
          <w:highlight w:val="none"/>
        </w:rPr>
      </w:pPr>
      <w:bookmarkStart w:id="236" w:name="_Toc140132799"/>
      <w:bookmarkStart w:id="237" w:name="_Toc155185881"/>
      <w:bookmarkStart w:id="238" w:name="_Toc163492866"/>
      <w:r>
        <w:rPr>
          <w:rFonts w:hint="eastAsia"/>
          <w:color w:val="auto"/>
          <w:highlight w:val="none"/>
        </w:rPr>
        <w:t>（十）质疑和投诉</w:t>
      </w:r>
      <w:bookmarkEnd w:id="236"/>
      <w:bookmarkEnd w:id="237"/>
      <w:bookmarkEnd w:id="238"/>
    </w:p>
    <w:p w14:paraId="7D28F0B5">
      <w:pPr>
        <w:pStyle w:val="5"/>
        <w:spacing w:line="360" w:lineRule="auto"/>
        <w:rPr>
          <w:color w:val="auto"/>
          <w:highlight w:val="none"/>
        </w:rPr>
      </w:pPr>
      <w:bookmarkStart w:id="239" w:name="_Toc163492867"/>
      <w:bookmarkStart w:id="240" w:name="_Toc140132800"/>
      <w:r>
        <w:rPr>
          <w:rFonts w:hint="eastAsia"/>
          <w:color w:val="auto"/>
          <w:highlight w:val="none"/>
        </w:rPr>
        <w:t>35.质疑</w:t>
      </w:r>
      <w:bookmarkEnd w:id="239"/>
      <w:bookmarkEnd w:id="240"/>
    </w:p>
    <w:p w14:paraId="72C89D5F">
      <w:pPr>
        <w:pStyle w:val="40"/>
        <w:spacing w:line="360" w:lineRule="auto"/>
        <w:rPr>
          <w:color w:val="auto"/>
          <w:highlight w:val="none"/>
          <w:lang w:val="en-US"/>
        </w:rPr>
      </w:pPr>
      <w:r>
        <w:rPr>
          <w:color w:val="auto"/>
          <w:highlight w:val="none"/>
        </w:rPr>
        <w:t>3</w:t>
      </w:r>
      <w:r>
        <w:rPr>
          <w:rFonts w:hint="eastAsia"/>
          <w:color w:val="auto"/>
          <w:highlight w:val="none"/>
          <w:lang w:val="en-US"/>
        </w:rPr>
        <w:t>5</w:t>
      </w:r>
      <w:r>
        <w:rPr>
          <w:rFonts w:hint="eastAsia"/>
          <w:color w:val="auto"/>
          <w:highlight w:val="none"/>
        </w:rPr>
        <w:t>.1供应商认为采购文件、采购过程、中标结果使自己的权益受到损害的，可以在知道或者应知其权益受到损害之日起7个工作日内，以书面形式向采购人、采购代理机构提出质疑，</w:t>
      </w:r>
      <w:r>
        <w:rPr>
          <w:rFonts w:hint="eastAsia"/>
          <w:color w:val="auto"/>
          <w:highlight w:val="none"/>
          <w:lang w:val="en-US"/>
        </w:rPr>
        <w:t>详见“投标人须知前附表”</w:t>
      </w:r>
      <w:r>
        <w:rPr>
          <w:rFonts w:hint="eastAsia"/>
          <w:color w:val="auto"/>
          <w:highlight w:val="none"/>
        </w:rPr>
        <w:t>。供应商在法定质疑期内一次性提出针对同一采购程序环节的质疑。</w:t>
      </w:r>
    </w:p>
    <w:p w14:paraId="03ED2094">
      <w:pPr>
        <w:pStyle w:val="40"/>
        <w:spacing w:line="360" w:lineRule="auto"/>
        <w:rPr>
          <w:color w:val="auto"/>
          <w:highlight w:val="none"/>
        </w:rPr>
      </w:pPr>
      <w:r>
        <w:rPr>
          <w:color w:val="auto"/>
          <w:highlight w:val="none"/>
        </w:rPr>
        <w:t>3</w:t>
      </w:r>
      <w:r>
        <w:rPr>
          <w:rFonts w:hint="eastAsia"/>
          <w:color w:val="auto"/>
          <w:highlight w:val="none"/>
          <w:lang w:val="en-US"/>
        </w:rPr>
        <w:t>5</w:t>
      </w:r>
      <w:r>
        <w:rPr>
          <w:rFonts w:hint="eastAsia"/>
          <w:color w:val="auto"/>
          <w:highlight w:val="none"/>
        </w:rPr>
        <w:t>.2提出质疑的供应商（以下简称质疑供应商）应当是参与所质疑项目采购活动的供应商。</w:t>
      </w:r>
    </w:p>
    <w:p w14:paraId="582631CD">
      <w:pPr>
        <w:pStyle w:val="40"/>
        <w:spacing w:line="360" w:lineRule="auto"/>
        <w:rPr>
          <w:color w:val="auto"/>
          <w:highlight w:val="none"/>
        </w:rPr>
      </w:pPr>
      <w:r>
        <w:rPr>
          <w:rFonts w:hint="eastAsia"/>
          <w:color w:val="auto"/>
          <w:highlight w:val="none"/>
          <w:lang w:val="en-US"/>
        </w:rPr>
        <w:t>35.3</w:t>
      </w:r>
      <w:r>
        <w:rPr>
          <w:rFonts w:hint="eastAsia"/>
          <w:color w:val="auto"/>
          <w:highlight w:val="none"/>
        </w:rPr>
        <w:t>潜在供应商已依法获取其可质疑的采购文件的，可以对该文件提出质疑。对采购文件提出质疑的，应当在获取采购文件或者采购文件公告期限届满之日起7个工作日内提出。</w:t>
      </w:r>
    </w:p>
    <w:p w14:paraId="4CEC4DDA">
      <w:pPr>
        <w:pStyle w:val="40"/>
        <w:spacing w:line="360" w:lineRule="auto"/>
        <w:rPr>
          <w:color w:val="auto"/>
          <w:highlight w:val="none"/>
        </w:rPr>
      </w:pPr>
      <w:r>
        <w:rPr>
          <w:rFonts w:hint="eastAsia"/>
          <w:color w:val="auto"/>
          <w:highlight w:val="none"/>
          <w:lang w:val="en-US"/>
        </w:rPr>
        <w:t>35.4</w:t>
      </w:r>
      <w:r>
        <w:rPr>
          <w:rFonts w:hint="eastAsia"/>
          <w:color w:val="auto"/>
          <w:highlight w:val="none"/>
        </w:rPr>
        <w:t>供应商提出质疑应当提交质疑函和必要的证明材料。质疑函应当包括下列内容：</w:t>
      </w:r>
    </w:p>
    <w:p w14:paraId="195D7720">
      <w:pPr>
        <w:pStyle w:val="40"/>
        <w:spacing w:line="360" w:lineRule="auto"/>
        <w:rPr>
          <w:color w:val="auto"/>
          <w:highlight w:val="none"/>
        </w:rPr>
      </w:pPr>
      <w:r>
        <w:rPr>
          <w:rFonts w:hint="eastAsia"/>
          <w:color w:val="auto"/>
          <w:highlight w:val="none"/>
        </w:rPr>
        <w:t>（</w:t>
      </w:r>
      <w:r>
        <w:rPr>
          <w:rFonts w:hint="eastAsia"/>
          <w:color w:val="auto"/>
          <w:highlight w:val="none"/>
          <w:lang w:val="en-US"/>
        </w:rPr>
        <w:t>1</w:t>
      </w:r>
      <w:r>
        <w:rPr>
          <w:rFonts w:hint="eastAsia"/>
          <w:color w:val="auto"/>
          <w:highlight w:val="none"/>
        </w:rPr>
        <w:t>）供应商的姓名或者名称、地址、邮编、联系人及联系电话；</w:t>
      </w:r>
    </w:p>
    <w:p w14:paraId="7DED51CB">
      <w:pPr>
        <w:pStyle w:val="40"/>
        <w:spacing w:line="360" w:lineRule="auto"/>
        <w:rPr>
          <w:color w:val="auto"/>
          <w:highlight w:val="none"/>
        </w:rPr>
      </w:pPr>
      <w:r>
        <w:rPr>
          <w:rFonts w:hint="eastAsia"/>
          <w:color w:val="auto"/>
          <w:highlight w:val="none"/>
        </w:rPr>
        <w:t>（</w:t>
      </w:r>
      <w:r>
        <w:rPr>
          <w:rFonts w:hint="eastAsia"/>
          <w:color w:val="auto"/>
          <w:highlight w:val="none"/>
          <w:lang w:val="en-US"/>
        </w:rPr>
        <w:t>2</w:t>
      </w:r>
      <w:r>
        <w:rPr>
          <w:rFonts w:hint="eastAsia"/>
          <w:color w:val="auto"/>
          <w:highlight w:val="none"/>
        </w:rPr>
        <w:t>）质疑项目的名称、</w:t>
      </w:r>
      <w:r>
        <w:rPr>
          <w:rFonts w:hint="eastAsia"/>
          <w:color w:val="auto"/>
          <w:highlight w:val="none"/>
          <w:lang w:val="en-US"/>
        </w:rPr>
        <w:t>项目</w:t>
      </w:r>
      <w:r>
        <w:rPr>
          <w:rFonts w:hint="eastAsia"/>
          <w:color w:val="auto"/>
          <w:highlight w:val="none"/>
        </w:rPr>
        <w:t>编号</w:t>
      </w:r>
      <w:r>
        <w:rPr>
          <w:rFonts w:hint="eastAsia"/>
          <w:color w:val="auto"/>
          <w:highlight w:val="none"/>
          <w:lang w:val="en-US"/>
        </w:rPr>
        <w:t>/包号</w:t>
      </w:r>
      <w:r>
        <w:rPr>
          <w:rFonts w:hint="eastAsia"/>
          <w:color w:val="auto"/>
          <w:highlight w:val="none"/>
        </w:rPr>
        <w:t>；</w:t>
      </w:r>
    </w:p>
    <w:p w14:paraId="720BB871">
      <w:pPr>
        <w:pStyle w:val="40"/>
        <w:spacing w:line="360" w:lineRule="auto"/>
        <w:rPr>
          <w:color w:val="auto"/>
          <w:highlight w:val="none"/>
        </w:rPr>
      </w:pPr>
      <w:r>
        <w:rPr>
          <w:rFonts w:hint="eastAsia"/>
          <w:color w:val="auto"/>
          <w:highlight w:val="none"/>
        </w:rPr>
        <w:t>（</w:t>
      </w:r>
      <w:r>
        <w:rPr>
          <w:rFonts w:hint="eastAsia"/>
          <w:color w:val="auto"/>
          <w:highlight w:val="none"/>
          <w:lang w:val="en-US"/>
        </w:rPr>
        <w:t>3</w:t>
      </w:r>
      <w:r>
        <w:rPr>
          <w:rFonts w:hint="eastAsia"/>
          <w:color w:val="auto"/>
          <w:highlight w:val="none"/>
        </w:rPr>
        <w:t>）具体、明确的质疑事项和与质疑事项相关的请求；</w:t>
      </w:r>
    </w:p>
    <w:p w14:paraId="60B4DAC1">
      <w:pPr>
        <w:pStyle w:val="40"/>
        <w:spacing w:line="360" w:lineRule="auto"/>
        <w:rPr>
          <w:color w:val="auto"/>
          <w:highlight w:val="none"/>
        </w:rPr>
      </w:pPr>
      <w:r>
        <w:rPr>
          <w:rFonts w:hint="eastAsia"/>
          <w:color w:val="auto"/>
          <w:highlight w:val="none"/>
        </w:rPr>
        <w:t>（</w:t>
      </w:r>
      <w:r>
        <w:rPr>
          <w:rFonts w:hint="eastAsia"/>
          <w:color w:val="auto"/>
          <w:highlight w:val="none"/>
          <w:lang w:val="en-US"/>
        </w:rPr>
        <w:t>4</w:t>
      </w:r>
      <w:r>
        <w:rPr>
          <w:rFonts w:hint="eastAsia"/>
          <w:color w:val="auto"/>
          <w:highlight w:val="none"/>
        </w:rPr>
        <w:t>）事实依据；</w:t>
      </w:r>
    </w:p>
    <w:p w14:paraId="4B947C21">
      <w:pPr>
        <w:pStyle w:val="40"/>
        <w:spacing w:line="360" w:lineRule="auto"/>
        <w:rPr>
          <w:color w:val="auto"/>
          <w:highlight w:val="none"/>
        </w:rPr>
      </w:pPr>
      <w:r>
        <w:rPr>
          <w:rFonts w:hint="eastAsia"/>
          <w:color w:val="auto"/>
          <w:highlight w:val="none"/>
        </w:rPr>
        <w:t>（</w:t>
      </w:r>
      <w:r>
        <w:rPr>
          <w:rFonts w:hint="eastAsia"/>
          <w:color w:val="auto"/>
          <w:highlight w:val="none"/>
          <w:lang w:val="en-US"/>
        </w:rPr>
        <w:t>5</w:t>
      </w:r>
      <w:r>
        <w:rPr>
          <w:rFonts w:hint="eastAsia"/>
          <w:color w:val="auto"/>
          <w:highlight w:val="none"/>
        </w:rPr>
        <w:t>）必要的法律依据；</w:t>
      </w:r>
    </w:p>
    <w:p w14:paraId="67612976">
      <w:pPr>
        <w:pStyle w:val="40"/>
        <w:spacing w:line="360" w:lineRule="auto"/>
        <w:rPr>
          <w:color w:val="auto"/>
          <w:highlight w:val="none"/>
        </w:rPr>
      </w:pPr>
      <w:r>
        <w:rPr>
          <w:rFonts w:hint="eastAsia"/>
          <w:color w:val="auto"/>
          <w:highlight w:val="none"/>
        </w:rPr>
        <w:t>（</w:t>
      </w:r>
      <w:r>
        <w:rPr>
          <w:rFonts w:hint="eastAsia"/>
          <w:color w:val="auto"/>
          <w:highlight w:val="none"/>
          <w:lang w:val="en-US"/>
        </w:rPr>
        <w:t>6</w:t>
      </w:r>
      <w:r>
        <w:rPr>
          <w:rFonts w:hint="eastAsia"/>
          <w:color w:val="auto"/>
          <w:highlight w:val="none"/>
        </w:rPr>
        <w:t>）提出质疑的日期。</w:t>
      </w:r>
    </w:p>
    <w:p w14:paraId="6F73EB31">
      <w:pPr>
        <w:pStyle w:val="40"/>
        <w:spacing w:line="360" w:lineRule="auto"/>
        <w:rPr>
          <w:color w:val="auto"/>
          <w:highlight w:val="none"/>
        </w:rPr>
      </w:pPr>
      <w:r>
        <w:rPr>
          <w:rFonts w:hint="eastAsia"/>
          <w:color w:val="auto"/>
          <w:highlight w:val="none"/>
        </w:rPr>
        <w:t>供应商为自然人的，应当由本人签字；供应商为法人或者其他组织的，应当由法定代表人、主要负责人，或者其授权代表签字或者盖章，并加盖公章。</w:t>
      </w:r>
    </w:p>
    <w:p w14:paraId="2478AD8F">
      <w:pPr>
        <w:pStyle w:val="40"/>
        <w:spacing w:line="360" w:lineRule="auto"/>
        <w:rPr>
          <w:color w:val="auto"/>
          <w:highlight w:val="none"/>
        </w:rPr>
      </w:pPr>
      <w:r>
        <w:rPr>
          <w:color w:val="auto"/>
          <w:highlight w:val="none"/>
        </w:rPr>
        <w:t>3</w:t>
      </w:r>
      <w:r>
        <w:rPr>
          <w:rFonts w:hint="eastAsia"/>
          <w:color w:val="auto"/>
          <w:highlight w:val="none"/>
          <w:lang w:val="en-US"/>
        </w:rPr>
        <w:t>5</w:t>
      </w:r>
      <w:r>
        <w:rPr>
          <w:rFonts w:hint="eastAsia"/>
          <w:color w:val="auto"/>
          <w:highlight w:val="none"/>
        </w:rPr>
        <w:t>.5质疑函不符合上述要求的，采购人或代理机构应书面告知具体事项，质疑人应当按要求进行修改或补充，并在质疑有效期限内提交。</w:t>
      </w:r>
    </w:p>
    <w:p w14:paraId="30CD7A35">
      <w:pPr>
        <w:pStyle w:val="40"/>
        <w:spacing w:line="360" w:lineRule="auto"/>
        <w:rPr>
          <w:snapToGrid w:val="0"/>
          <w:color w:val="auto"/>
          <w:highlight w:val="none"/>
        </w:rPr>
      </w:pPr>
      <w:r>
        <w:rPr>
          <w:rFonts w:hint="eastAsia"/>
          <w:snapToGrid w:val="0"/>
          <w:color w:val="auto"/>
          <w:highlight w:val="none"/>
        </w:rPr>
        <w:t>3</w:t>
      </w:r>
      <w:r>
        <w:rPr>
          <w:rFonts w:hint="eastAsia"/>
          <w:snapToGrid w:val="0"/>
          <w:color w:val="auto"/>
          <w:highlight w:val="none"/>
          <w:lang w:val="en-US"/>
        </w:rPr>
        <w:t>5</w:t>
      </w:r>
      <w:r>
        <w:rPr>
          <w:rFonts w:hint="eastAsia"/>
          <w:snapToGrid w:val="0"/>
          <w:color w:val="auto"/>
          <w:highlight w:val="none"/>
        </w:rPr>
        <w:t>.</w:t>
      </w:r>
      <w:r>
        <w:rPr>
          <w:rFonts w:hint="eastAsia"/>
          <w:snapToGrid w:val="0"/>
          <w:color w:val="auto"/>
          <w:highlight w:val="none"/>
          <w:lang w:val="en-US"/>
        </w:rPr>
        <w:t>6</w:t>
      </w:r>
      <w:r>
        <w:rPr>
          <w:rFonts w:hint="eastAsia"/>
          <w:snapToGrid w:val="0"/>
          <w:color w:val="auto"/>
          <w:highlight w:val="none"/>
        </w:rPr>
        <w:t>投标人进行虚假和恶意</w:t>
      </w:r>
      <w:r>
        <w:rPr>
          <w:rFonts w:hint="eastAsia"/>
          <w:snapToGrid w:val="0"/>
          <w:color w:val="auto"/>
          <w:highlight w:val="none"/>
          <w:lang w:val="en-US"/>
        </w:rPr>
        <w:t>质疑投诉</w:t>
      </w:r>
      <w:r>
        <w:rPr>
          <w:rFonts w:hint="eastAsia"/>
          <w:snapToGrid w:val="0"/>
          <w:color w:val="auto"/>
          <w:highlight w:val="none"/>
        </w:rPr>
        <w:t>的，采购代理机构将提请有关部门将其列入不良记录名单，在一至三年内禁止参加政府采购活动，并将处理决定在相关政府采购媒体上公布。</w:t>
      </w:r>
    </w:p>
    <w:p w14:paraId="60B9A0A0">
      <w:pPr>
        <w:pStyle w:val="40"/>
        <w:spacing w:line="360" w:lineRule="auto"/>
        <w:rPr>
          <w:snapToGrid w:val="0"/>
          <w:color w:val="auto"/>
          <w:highlight w:val="none"/>
        </w:rPr>
      </w:pPr>
      <w:r>
        <w:rPr>
          <w:rFonts w:hint="eastAsia"/>
          <w:snapToGrid w:val="0"/>
          <w:color w:val="auto"/>
          <w:highlight w:val="none"/>
        </w:rPr>
        <w:t>35.7</w:t>
      </w:r>
      <w:r>
        <w:rPr>
          <w:rFonts w:hint="eastAsia"/>
          <w:color w:val="auto"/>
          <w:highlight w:val="none"/>
        </w:rPr>
        <w:t>质疑函应当使用中文，并采用财政部门制定的范本。</w:t>
      </w:r>
    </w:p>
    <w:p w14:paraId="67A3A46D">
      <w:pPr>
        <w:pStyle w:val="5"/>
        <w:spacing w:line="360" w:lineRule="auto"/>
        <w:rPr>
          <w:color w:val="auto"/>
          <w:highlight w:val="none"/>
        </w:rPr>
      </w:pPr>
      <w:bookmarkStart w:id="241" w:name="_Toc140132801"/>
      <w:bookmarkStart w:id="242" w:name="_Toc163492868"/>
      <w:r>
        <w:rPr>
          <w:rFonts w:hint="eastAsia"/>
          <w:color w:val="auto"/>
          <w:highlight w:val="none"/>
        </w:rPr>
        <w:t>36.质疑答复</w:t>
      </w:r>
      <w:bookmarkEnd w:id="241"/>
      <w:bookmarkEnd w:id="242"/>
    </w:p>
    <w:p w14:paraId="637C4250">
      <w:pPr>
        <w:pStyle w:val="40"/>
        <w:spacing w:line="360" w:lineRule="auto"/>
        <w:rPr>
          <w:color w:val="auto"/>
          <w:highlight w:val="none"/>
        </w:rPr>
      </w:pPr>
      <w:r>
        <w:rPr>
          <w:color w:val="auto"/>
          <w:highlight w:val="none"/>
        </w:rPr>
        <w:t>3</w:t>
      </w:r>
      <w:r>
        <w:rPr>
          <w:rFonts w:hint="eastAsia"/>
          <w:color w:val="auto"/>
          <w:highlight w:val="none"/>
          <w:lang w:val="en-US"/>
        </w:rPr>
        <w:t>6</w:t>
      </w:r>
      <w:r>
        <w:rPr>
          <w:rFonts w:hint="eastAsia"/>
          <w:color w:val="auto"/>
          <w:highlight w:val="none"/>
        </w:rPr>
        <w:t>.1采购人、采购代理机构不得拒收质疑供应商在法定质疑期内发出的质疑函，应当在收到质疑函后7个工作日内作出答复，并以书面形式通知质疑供应商和其他有关供应商。</w:t>
      </w:r>
    </w:p>
    <w:p w14:paraId="6E4B51C8">
      <w:pPr>
        <w:pStyle w:val="40"/>
        <w:spacing w:line="360" w:lineRule="auto"/>
        <w:rPr>
          <w:color w:val="auto"/>
          <w:highlight w:val="none"/>
        </w:rPr>
      </w:pPr>
      <w:r>
        <w:rPr>
          <w:rFonts w:hint="eastAsia"/>
          <w:color w:val="auto"/>
          <w:highlight w:val="none"/>
        </w:rPr>
        <w:t>36.2供应商对评审过程、中标结果提出质疑的，采购人、采购代理机构可以组织原评标委员会协助答复质疑。</w:t>
      </w:r>
    </w:p>
    <w:p w14:paraId="619DEADE">
      <w:pPr>
        <w:pStyle w:val="40"/>
        <w:spacing w:line="360" w:lineRule="auto"/>
        <w:rPr>
          <w:color w:val="auto"/>
          <w:highlight w:val="none"/>
        </w:rPr>
      </w:pPr>
      <w:bookmarkStart w:id="243" w:name="_Toc140132802"/>
      <w:bookmarkStart w:id="244" w:name="_Toc163492869"/>
      <w:r>
        <w:rPr>
          <w:rFonts w:hint="eastAsia"/>
          <w:color w:val="auto"/>
          <w:highlight w:val="none"/>
        </w:rPr>
        <w:t>质疑答复应当包括下列内容：</w:t>
      </w:r>
    </w:p>
    <w:p w14:paraId="04515097">
      <w:pPr>
        <w:pStyle w:val="40"/>
        <w:spacing w:line="360" w:lineRule="auto"/>
        <w:rPr>
          <w:color w:val="auto"/>
          <w:highlight w:val="none"/>
        </w:rPr>
      </w:pPr>
      <w:r>
        <w:rPr>
          <w:rFonts w:hint="eastAsia"/>
          <w:color w:val="auto"/>
          <w:highlight w:val="none"/>
        </w:rPr>
        <w:t>（</w:t>
      </w:r>
      <w:r>
        <w:rPr>
          <w:rFonts w:hint="eastAsia"/>
          <w:color w:val="auto"/>
          <w:highlight w:val="none"/>
          <w:lang w:val="en-US"/>
        </w:rPr>
        <w:t>1</w:t>
      </w:r>
      <w:r>
        <w:rPr>
          <w:rFonts w:hint="eastAsia"/>
          <w:color w:val="auto"/>
          <w:highlight w:val="none"/>
        </w:rPr>
        <w:t>）质疑供应商的姓名或者名称；</w:t>
      </w:r>
    </w:p>
    <w:p w14:paraId="3505D31B">
      <w:pPr>
        <w:pStyle w:val="40"/>
        <w:spacing w:line="360" w:lineRule="auto"/>
        <w:rPr>
          <w:color w:val="auto"/>
          <w:highlight w:val="none"/>
        </w:rPr>
      </w:pPr>
      <w:r>
        <w:rPr>
          <w:rFonts w:hint="eastAsia"/>
          <w:color w:val="auto"/>
          <w:highlight w:val="none"/>
        </w:rPr>
        <w:t>（</w:t>
      </w:r>
      <w:r>
        <w:rPr>
          <w:rFonts w:hint="eastAsia"/>
          <w:color w:val="auto"/>
          <w:highlight w:val="none"/>
          <w:lang w:val="en-US"/>
        </w:rPr>
        <w:t>2</w:t>
      </w:r>
      <w:r>
        <w:rPr>
          <w:rFonts w:hint="eastAsia"/>
          <w:color w:val="auto"/>
          <w:highlight w:val="none"/>
        </w:rPr>
        <w:t>）收到质疑函的日期、质疑项目名称及</w:t>
      </w:r>
      <w:r>
        <w:rPr>
          <w:rFonts w:hint="eastAsia"/>
          <w:color w:val="auto"/>
          <w:highlight w:val="none"/>
          <w:lang w:val="en-US"/>
        </w:rPr>
        <w:t>项目</w:t>
      </w:r>
      <w:r>
        <w:rPr>
          <w:rFonts w:hint="eastAsia"/>
          <w:color w:val="auto"/>
          <w:highlight w:val="none"/>
        </w:rPr>
        <w:t>编号/包号；</w:t>
      </w:r>
    </w:p>
    <w:p w14:paraId="2D4AE042">
      <w:pPr>
        <w:pStyle w:val="40"/>
        <w:spacing w:line="360" w:lineRule="auto"/>
        <w:rPr>
          <w:color w:val="auto"/>
          <w:highlight w:val="none"/>
        </w:rPr>
      </w:pPr>
      <w:r>
        <w:rPr>
          <w:rFonts w:hint="eastAsia"/>
          <w:color w:val="auto"/>
          <w:highlight w:val="none"/>
        </w:rPr>
        <w:t>（</w:t>
      </w:r>
      <w:r>
        <w:rPr>
          <w:rFonts w:hint="eastAsia"/>
          <w:color w:val="auto"/>
          <w:highlight w:val="none"/>
          <w:lang w:val="en-US"/>
        </w:rPr>
        <w:t>3</w:t>
      </w:r>
      <w:r>
        <w:rPr>
          <w:rFonts w:hint="eastAsia"/>
          <w:color w:val="auto"/>
          <w:highlight w:val="none"/>
        </w:rPr>
        <w:t>）质疑事项、质疑答复的具体内容、事实依据和法律依据；</w:t>
      </w:r>
    </w:p>
    <w:p w14:paraId="2840C27D">
      <w:pPr>
        <w:pStyle w:val="40"/>
        <w:spacing w:line="360" w:lineRule="auto"/>
        <w:rPr>
          <w:color w:val="auto"/>
          <w:highlight w:val="none"/>
        </w:rPr>
      </w:pPr>
      <w:r>
        <w:rPr>
          <w:rFonts w:hint="eastAsia"/>
          <w:color w:val="auto"/>
          <w:highlight w:val="none"/>
        </w:rPr>
        <w:t>（</w:t>
      </w:r>
      <w:r>
        <w:rPr>
          <w:rFonts w:hint="eastAsia"/>
          <w:color w:val="auto"/>
          <w:highlight w:val="none"/>
          <w:lang w:val="en-US"/>
        </w:rPr>
        <w:t>4</w:t>
      </w:r>
      <w:r>
        <w:rPr>
          <w:rFonts w:hint="eastAsia"/>
          <w:color w:val="auto"/>
          <w:highlight w:val="none"/>
        </w:rPr>
        <w:t>）告知质疑供应商依法投诉的权利；</w:t>
      </w:r>
    </w:p>
    <w:p w14:paraId="43C88938">
      <w:pPr>
        <w:pStyle w:val="40"/>
        <w:spacing w:line="360" w:lineRule="auto"/>
        <w:rPr>
          <w:color w:val="auto"/>
          <w:highlight w:val="none"/>
        </w:rPr>
      </w:pPr>
      <w:r>
        <w:rPr>
          <w:rFonts w:hint="eastAsia"/>
          <w:color w:val="auto"/>
          <w:highlight w:val="none"/>
        </w:rPr>
        <w:t>（</w:t>
      </w:r>
      <w:r>
        <w:rPr>
          <w:rFonts w:hint="eastAsia"/>
          <w:color w:val="auto"/>
          <w:highlight w:val="none"/>
          <w:lang w:val="en-US"/>
        </w:rPr>
        <w:t>5</w:t>
      </w:r>
      <w:r>
        <w:rPr>
          <w:rFonts w:hint="eastAsia"/>
          <w:color w:val="auto"/>
          <w:highlight w:val="none"/>
        </w:rPr>
        <w:t>）质疑答复人名称；</w:t>
      </w:r>
    </w:p>
    <w:p w14:paraId="2FC2FF38">
      <w:pPr>
        <w:pStyle w:val="40"/>
        <w:spacing w:line="360" w:lineRule="auto"/>
        <w:rPr>
          <w:color w:val="auto"/>
          <w:highlight w:val="none"/>
        </w:rPr>
      </w:pPr>
      <w:r>
        <w:rPr>
          <w:rFonts w:hint="eastAsia"/>
          <w:color w:val="auto"/>
          <w:highlight w:val="none"/>
        </w:rPr>
        <w:t>（</w:t>
      </w:r>
      <w:r>
        <w:rPr>
          <w:rFonts w:hint="eastAsia"/>
          <w:color w:val="auto"/>
          <w:highlight w:val="none"/>
          <w:lang w:val="en-US"/>
        </w:rPr>
        <w:t>6</w:t>
      </w:r>
      <w:r>
        <w:rPr>
          <w:rFonts w:hint="eastAsia"/>
          <w:color w:val="auto"/>
          <w:highlight w:val="none"/>
        </w:rPr>
        <w:t>）答复质疑的日期。</w:t>
      </w:r>
    </w:p>
    <w:p w14:paraId="30C9ACFD">
      <w:pPr>
        <w:pStyle w:val="40"/>
        <w:spacing w:line="360" w:lineRule="auto"/>
        <w:rPr>
          <w:color w:val="auto"/>
          <w:highlight w:val="none"/>
        </w:rPr>
      </w:pPr>
      <w:r>
        <w:rPr>
          <w:rFonts w:hint="eastAsia"/>
          <w:color w:val="auto"/>
          <w:highlight w:val="none"/>
        </w:rPr>
        <w:t>质疑答复的内容不得涉及商业秘密。</w:t>
      </w:r>
    </w:p>
    <w:p w14:paraId="2497875A">
      <w:pPr>
        <w:pStyle w:val="5"/>
        <w:spacing w:line="360" w:lineRule="auto"/>
        <w:rPr>
          <w:color w:val="auto"/>
          <w:highlight w:val="none"/>
        </w:rPr>
      </w:pPr>
      <w:r>
        <w:rPr>
          <w:rFonts w:hint="eastAsia"/>
          <w:color w:val="auto"/>
          <w:highlight w:val="none"/>
        </w:rPr>
        <w:t>37.投诉</w:t>
      </w:r>
      <w:bookmarkEnd w:id="243"/>
      <w:bookmarkEnd w:id="244"/>
    </w:p>
    <w:p w14:paraId="5A107181">
      <w:pPr>
        <w:pStyle w:val="40"/>
        <w:spacing w:line="360" w:lineRule="auto"/>
        <w:rPr>
          <w:color w:val="auto"/>
          <w:highlight w:val="none"/>
        </w:rPr>
      </w:pPr>
      <w:r>
        <w:rPr>
          <w:rFonts w:hint="eastAsia"/>
          <w:color w:val="auto"/>
          <w:highlight w:val="none"/>
          <w:lang w:val="en-US"/>
        </w:rPr>
        <w:t>37.1</w:t>
      </w:r>
      <w:r>
        <w:rPr>
          <w:rFonts w:hint="eastAsia"/>
          <w:color w:val="auto"/>
          <w:highlight w:val="none"/>
        </w:rPr>
        <w:t>质疑供应商对采购人、采购代理机构的答复不满意，或者采购人、采购代理机构未在规定时间内作出答复的，可以在答复期满后15个工作日内向</w:t>
      </w:r>
      <w:r>
        <w:rPr>
          <w:rFonts w:hint="eastAsia"/>
          <w:color w:val="auto"/>
          <w:highlight w:val="none"/>
          <w:lang w:val="en-US"/>
        </w:rPr>
        <w:t>同级政府采购监督管理部门</w:t>
      </w:r>
      <w:r>
        <w:rPr>
          <w:rFonts w:hint="eastAsia"/>
          <w:color w:val="auto"/>
          <w:highlight w:val="none"/>
        </w:rPr>
        <w:t>提起投诉。</w:t>
      </w:r>
    </w:p>
    <w:p w14:paraId="0D8A775F">
      <w:pPr>
        <w:pStyle w:val="40"/>
        <w:spacing w:line="360" w:lineRule="auto"/>
        <w:rPr>
          <w:color w:val="auto"/>
          <w:highlight w:val="none"/>
        </w:rPr>
      </w:pPr>
      <w:r>
        <w:rPr>
          <w:rFonts w:hint="eastAsia"/>
          <w:color w:val="auto"/>
          <w:highlight w:val="none"/>
          <w:lang w:val="en-US"/>
        </w:rPr>
        <w:t>37.2</w:t>
      </w:r>
      <w:r>
        <w:rPr>
          <w:rFonts w:hint="eastAsia"/>
          <w:color w:val="auto"/>
          <w:highlight w:val="none"/>
        </w:rPr>
        <w:t>投诉人投诉时，应当提交投诉书和必要的证明材料，并按照被投诉采购人、采购代理机构（以下简称被投诉人）和与投诉事项有关的供应商数量提供投诉书的副本。投诉书应当包括下列内容：</w:t>
      </w:r>
    </w:p>
    <w:p w14:paraId="45F98003">
      <w:pPr>
        <w:pStyle w:val="40"/>
        <w:spacing w:line="360" w:lineRule="auto"/>
        <w:rPr>
          <w:color w:val="auto"/>
          <w:highlight w:val="none"/>
        </w:rPr>
      </w:pPr>
      <w:r>
        <w:rPr>
          <w:rFonts w:hint="eastAsia"/>
          <w:color w:val="auto"/>
          <w:highlight w:val="none"/>
        </w:rPr>
        <w:t>（</w:t>
      </w:r>
      <w:r>
        <w:rPr>
          <w:rFonts w:hint="eastAsia"/>
          <w:color w:val="auto"/>
          <w:highlight w:val="none"/>
          <w:lang w:val="en-US"/>
        </w:rPr>
        <w:t>1</w:t>
      </w:r>
      <w:r>
        <w:rPr>
          <w:rFonts w:hint="eastAsia"/>
          <w:color w:val="auto"/>
          <w:highlight w:val="none"/>
        </w:rPr>
        <w:t>）投诉人和被投诉人的姓名或者名称、通讯地址、邮编、联系人及联系电话；</w:t>
      </w:r>
    </w:p>
    <w:p w14:paraId="31DA9C74">
      <w:pPr>
        <w:pStyle w:val="40"/>
        <w:spacing w:line="360" w:lineRule="auto"/>
        <w:rPr>
          <w:color w:val="auto"/>
          <w:highlight w:val="none"/>
        </w:rPr>
      </w:pPr>
      <w:r>
        <w:rPr>
          <w:rFonts w:hint="eastAsia"/>
          <w:color w:val="auto"/>
          <w:highlight w:val="none"/>
        </w:rPr>
        <w:t>（</w:t>
      </w:r>
      <w:r>
        <w:rPr>
          <w:rFonts w:hint="eastAsia"/>
          <w:color w:val="auto"/>
          <w:highlight w:val="none"/>
          <w:lang w:val="en-US"/>
        </w:rPr>
        <w:t>2</w:t>
      </w:r>
      <w:r>
        <w:rPr>
          <w:rFonts w:hint="eastAsia"/>
          <w:color w:val="auto"/>
          <w:highlight w:val="none"/>
        </w:rPr>
        <w:t>）质疑和质疑答复情况说明及相关证明材料；</w:t>
      </w:r>
    </w:p>
    <w:p w14:paraId="246AD7BF">
      <w:pPr>
        <w:pStyle w:val="40"/>
        <w:spacing w:line="360" w:lineRule="auto"/>
        <w:rPr>
          <w:color w:val="auto"/>
          <w:highlight w:val="none"/>
        </w:rPr>
      </w:pPr>
      <w:r>
        <w:rPr>
          <w:rFonts w:hint="eastAsia"/>
          <w:color w:val="auto"/>
          <w:highlight w:val="none"/>
        </w:rPr>
        <w:t>（</w:t>
      </w:r>
      <w:r>
        <w:rPr>
          <w:rFonts w:hint="eastAsia"/>
          <w:color w:val="auto"/>
          <w:highlight w:val="none"/>
          <w:lang w:val="en-US"/>
        </w:rPr>
        <w:t>3</w:t>
      </w:r>
      <w:r>
        <w:rPr>
          <w:rFonts w:hint="eastAsia"/>
          <w:color w:val="auto"/>
          <w:highlight w:val="none"/>
        </w:rPr>
        <w:t>）具体、明确的投诉事项和与投诉事项相关的投诉请求；</w:t>
      </w:r>
    </w:p>
    <w:p w14:paraId="6AFB5902">
      <w:pPr>
        <w:pStyle w:val="40"/>
        <w:spacing w:line="360" w:lineRule="auto"/>
        <w:rPr>
          <w:color w:val="auto"/>
          <w:highlight w:val="none"/>
        </w:rPr>
      </w:pPr>
      <w:r>
        <w:rPr>
          <w:rFonts w:hint="eastAsia"/>
          <w:color w:val="auto"/>
          <w:highlight w:val="none"/>
        </w:rPr>
        <w:t>（</w:t>
      </w:r>
      <w:r>
        <w:rPr>
          <w:rFonts w:hint="eastAsia"/>
          <w:color w:val="auto"/>
          <w:highlight w:val="none"/>
          <w:lang w:val="en-US"/>
        </w:rPr>
        <w:t>4</w:t>
      </w:r>
      <w:r>
        <w:rPr>
          <w:rFonts w:hint="eastAsia"/>
          <w:color w:val="auto"/>
          <w:highlight w:val="none"/>
        </w:rPr>
        <w:t>）事实依据；</w:t>
      </w:r>
    </w:p>
    <w:p w14:paraId="375782BD">
      <w:pPr>
        <w:pStyle w:val="40"/>
        <w:spacing w:line="360" w:lineRule="auto"/>
        <w:rPr>
          <w:color w:val="auto"/>
          <w:highlight w:val="none"/>
        </w:rPr>
      </w:pPr>
      <w:r>
        <w:rPr>
          <w:rFonts w:hint="eastAsia"/>
          <w:color w:val="auto"/>
          <w:highlight w:val="none"/>
        </w:rPr>
        <w:t>（</w:t>
      </w:r>
      <w:r>
        <w:rPr>
          <w:rFonts w:hint="eastAsia"/>
          <w:color w:val="auto"/>
          <w:highlight w:val="none"/>
          <w:lang w:val="en-US"/>
        </w:rPr>
        <w:t>5</w:t>
      </w:r>
      <w:r>
        <w:rPr>
          <w:rFonts w:hint="eastAsia"/>
          <w:color w:val="auto"/>
          <w:highlight w:val="none"/>
        </w:rPr>
        <w:t>）法律依据；</w:t>
      </w:r>
    </w:p>
    <w:p w14:paraId="71EF9CBA">
      <w:pPr>
        <w:pStyle w:val="40"/>
        <w:spacing w:line="360" w:lineRule="auto"/>
        <w:rPr>
          <w:color w:val="auto"/>
          <w:highlight w:val="none"/>
        </w:rPr>
      </w:pPr>
      <w:r>
        <w:rPr>
          <w:rFonts w:hint="eastAsia"/>
          <w:color w:val="auto"/>
          <w:highlight w:val="none"/>
        </w:rPr>
        <w:t>（</w:t>
      </w:r>
      <w:r>
        <w:rPr>
          <w:rFonts w:hint="eastAsia"/>
          <w:color w:val="auto"/>
          <w:highlight w:val="none"/>
          <w:lang w:val="en-US"/>
        </w:rPr>
        <w:t>6</w:t>
      </w:r>
      <w:r>
        <w:rPr>
          <w:rFonts w:hint="eastAsia"/>
          <w:color w:val="auto"/>
          <w:highlight w:val="none"/>
        </w:rPr>
        <w:t>）提起投诉的日期。</w:t>
      </w:r>
    </w:p>
    <w:p w14:paraId="53D9AFE5">
      <w:pPr>
        <w:pStyle w:val="40"/>
        <w:spacing w:line="360" w:lineRule="auto"/>
        <w:rPr>
          <w:color w:val="auto"/>
          <w:highlight w:val="none"/>
        </w:rPr>
      </w:pPr>
      <w:r>
        <w:rPr>
          <w:rFonts w:hint="eastAsia"/>
          <w:color w:val="auto"/>
          <w:highlight w:val="none"/>
        </w:rPr>
        <w:t>投诉人为自然人的，应当由本人签字；投诉人为法人或者其他组织的，应当由法定代表人、主要负责人，或者其授权代表签字或者盖章，并加盖公章。</w:t>
      </w:r>
    </w:p>
    <w:p w14:paraId="487E4EB9">
      <w:pPr>
        <w:pStyle w:val="40"/>
        <w:spacing w:line="360" w:lineRule="auto"/>
        <w:rPr>
          <w:color w:val="auto"/>
          <w:highlight w:val="none"/>
        </w:rPr>
      </w:pPr>
      <w:r>
        <w:rPr>
          <w:rFonts w:hint="eastAsia"/>
          <w:color w:val="auto"/>
          <w:highlight w:val="none"/>
          <w:lang w:val="en-US"/>
        </w:rPr>
        <w:t>37.3</w:t>
      </w:r>
      <w:r>
        <w:rPr>
          <w:rFonts w:hint="eastAsia"/>
          <w:color w:val="auto"/>
          <w:highlight w:val="none"/>
        </w:rPr>
        <w:t>供应商</w:t>
      </w:r>
      <w:r>
        <w:rPr>
          <w:rFonts w:hint="eastAsia"/>
          <w:color w:val="auto"/>
          <w:highlight w:val="none"/>
          <w:lang w:val="en-US"/>
        </w:rPr>
        <w:t>质疑、</w:t>
      </w:r>
      <w:r>
        <w:rPr>
          <w:rFonts w:hint="eastAsia"/>
          <w:color w:val="auto"/>
          <w:highlight w:val="none"/>
        </w:rPr>
        <w:t>投诉</w:t>
      </w:r>
      <w:r>
        <w:rPr>
          <w:rFonts w:hint="eastAsia"/>
          <w:color w:val="auto"/>
          <w:highlight w:val="none"/>
          <w:lang w:val="en-US"/>
        </w:rPr>
        <w:t>应当有明确的请求和必要的证明材料</w:t>
      </w:r>
      <w:r>
        <w:rPr>
          <w:rFonts w:hint="eastAsia"/>
          <w:color w:val="auto"/>
          <w:highlight w:val="none"/>
        </w:rPr>
        <w:t>。供应商投诉的事项不得超出</w:t>
      </w:r>
      <w:r>
        <w:rPr>
          <w:rFonts w:hint="eastAsia"/>
          <w:color w:val="auto"/>
          <w:highlight w:val="none"/>
          <w:lang w:val="en-US"/>
        </w:rPr>
        <w:t>已</w:t>
      </w:r>
      <w:r>
        <w:rPr>
          <w:rFonts w:hint="eastAsia"/>
          <w:color w:val="auto"/>
          <w:highlight w:val="none"/>
        </w:rPr>
        <w:t>质疑事项的范围，但基于质疑答复内容提出的投诉事项除外。</w:t>
      </w:r>
    </w:p>
    <w:p w14:paraId="71E0F64D">
      <w:pPr>
        <w:pStyle w:val="40"/>
        <w:spacing w:line="360" w:lineRule="auto"/>
        <w:rPr>
          <w:color w:val="auto"/>
          <w:highlight w:val="none"/>
        </w:rPr>
      </w:pPr>
      <w:r>
        <w:rPr>
          <w:rFonts w:hint="eastAsia"/>
          <w:snapToGrid w:val="0"/>
          <w:color w:val="auto"/>
          <w:highlight w:val="none"/>
        </w:rPr>
        <w:t>37.4</w:t>
      </w:r>
      <w:r>
        <w:rPr>
          <w:rFonts w:hint="eastAsia"/>
          <w:color w:val="auto"/>
          <w:highlight w:val="none"/>
        </w:rPr>
        <w:t>投诉书应当使用中文，并采用财政部门制定的范本。</w:t>
      </w:r>
    </w:p>
    <w:p w14:paraId="5C6F8993">
      <w:pPr>
        <w:pStyle w:val="4"/>
        <w:spacing w:line="360" w:lineRule="auto"/>
        <w:rPr>
          <w:color w:val="auto"/>
          <w:highlight w:val="none"/>
        </w:rPr>
      </w:pPr>
      <w:bookmarkStart w:id="245" w:name="_Toc163492870"/>
      <w:bookmarkStart w:id="246" w:name="_Toc140132803"/>
      <w:bookmarkStart w:id="247" w:name="_Toc155185882"/>
      <w:r>
        <w:rPr>
          <w:rFonts w:hint="eastAsia"/>
          <w:color w:val="auto"/>
          <w:highlight w:val="none"/>
        </w:rPr>
        <w:t>（十一）采购代理服务费</w:t>
      </w:r>
      <w:bookmarkEnd w:id="245"/>
      <w:bookmarkEnd w:id="246"/>
      <w:bookmarkEnd w:id="247"/>
    </w:p>
    <w:p w14:paraId="3874F53F">
      <w:pPr>
        <w:pStyle w:val="5"/>
        <w:spacing w:line="360" w:lineRule="auto"/>
        <w:rPr>
          <w:color w:val="auto"/>
          <w:highlight w:val="none"/>
        </w:rPr>
      </w:pPr>
      <w:bookmarkStart w:id="248" w:name="_Toc140132804"/>
      <w:bookmarkStart w:id="249" w:name="_Toc163492871"/>
      <w:r>
        <w:rPr>
          <w:rFonts w:hint="eastAsia"/>
          <w:color w:val="auto"/>
          <w:highlight w:val="none"/>
        </w:rPr>
        <w:t>38.收取方式和标准</w:t>
      </w:r>
      <w:bookmarkEnd w:id="248"/>
      <w:bookmarkEnd w:id="249"/>
    </w:p>
    <w:p w14:paraId="5262C3CD">
      <w:pPr>
        <w:pStyle w:val="40"/>
        <w:spacing w:line="360" w:lineRule="auto"/>
        <w:rPr>
          <w:color w:val="auto"/>
          <w:highlight w:val="none"/>
        </w:rPr>
      </w:pPr>
      <w:r>
        <w:rPr>
          <w:bCs/>
          <w:color w:val="auto"/>
          <w:highlight w:val="none"/>
        </w:rPr>
        <w:t>3</w:t>
      </w:r>
      <w:r>
        <w:rPr>
          <w:rFonts w:hint="eastAsia"/>
          <w:bCs/>
          <w:color w:val="auto"/>
          <w:highlight w:val="none"/>
          <w:lang w:val="en-US"/>
        </w:rPr>
        <w:t>8</w:t>
      </w:r>
      <w:r>
        <w:rPr>
          <w:rFonts w:hint="eastAsia"/>
          <w:color w:val="auto"/>
          <w:highlight w:val="none"/>
        </w:rPr>
        <w:t>.1采购代理机构按“投标人须知前附表”规定的方式和标准收取采购代理服务费。</w:t>
      </w:r>
    </w:p>
    <w:p w14:paraId="37EFE3A7">
      <w:pPr>
        <w:pStyle w:val="4"/>
        <w:spacing w:line="360" w:lineRule="auto"/>
        <w:rPr>
          <w:color w:val="auto"/>
          <w:highlight w:val="none"/>
        </w:rPr>
      </w:pPr>
      <w:bookmarkStart w:id="250" w:name="_Toc155185883"/>
      <w:bookmarkStart w:id="251" w:name="_Toc163492872"/>
      <w:bookmarkStart w:id="252" w:name="_Toc140132805"/>
      <w:r>
        <w:rPr>
          <w:rFonts w:hint="eastAsia"/>
          <w:color w:val="auto"/>
          <w:highlight w:val="none"/>
        </w:rPr>
        <w:t>（十二）无效投标和废标</w:t>
      </w:r>
      <w:bookmarkEnd w:id="250"/>
      <w:bookmarkEnd w:id="251"/>
      <w:bookmarkEnd w:id="252"/>
    </w:p>
    <w:p w14:paraId="695B3457">
      <w:pPr>
        <w:pStyle w:val="5"/>
        <w:spacing w:line="360" w:lineRule="auto"/>
        <w:rPr>
          <w:color w:val="auto"/>
          <w:highlight w:val="none"/>
        </w:rPr>
      </w:pPr>
      <w:bookmarkStart w:id="253" w:name="_Toc140132806"/>
      <w:bookmarkStart w:id="254" w:name="_Toc163492873"/>
      <w:r>
        <w:rPr>
          <w:rFonts w:hint="eastAsia"/>
          <w:color w:val="auto"/>
          <w:highlight w:val="none"/>
        </w:rPr>
        <w:t>39.无效投标</w:t>
      </w:r>
      <w:bookmarkEnd w:id="253"/>
      <w:bookmarkEnd w:id="254"/>
    </w:p>
    <w:p w14:paraId="548586DC">
      <w:pPr>
        <w:pStyle w:val="40"/>
        <w:spacing w:line="360" w:lineRule="auto"/>
        <w:rPr>
          <w:color w:val="auto"/>
          <w:highlight w:val="none"/>
        </w:rPr>
      </w:pPr>
      <w:r>
        <w:rPr>
          <w:rFonts w:hint="eastAsia"/>
          <w:color w:val="auto"/>
          <w:highlight w:val="none"/>
          <w:lang w:val="en-US"/>
        </w:rPr>
        <w:t>39</w:t>
      </w:r>
      <w:r>
        <w:rPr>
          <w:rFonts w:hint="eastAsia"/>
          <w:color w:val="auto"/>
          <w:highlight w:val="none"/>
        </w:rPr>
        <w:t>.1投标文件存在“第四章</w:t>
      </w:r>
      <w:r>
        <w:rPr>
          <w:rFonts w:hint="eastAsia"/>
          <w:color w:val="auto"/>
          <w:highlight w:val="none"/>
          <w:lang w:val="en-US"/>
        </w:rPr>
        <w:t xml:space="preserve"> </w:t>
      </w:r>
      <w:r>
        <w:rPr>
          <w:rFonts w:hint="eastAsia"/>
          <w:color w:val="auto"/>
          <w:highlight w:val="none"/>
        </w:rPr>
        <w:t>资格审查”、“第五章</w:t>
      </w:r>
      <w:r>
        <w:rPr>
          <w:rFonts w:hint="eastAsia"/>
          <w:color w:val="auto"/>
          <w:highlight w:val="none"/>
          <w:lang w:val="en-US"/>
        </w:rPr>
        <w:t xml:space="preserve"> </w:t>
      </w:r>
      <w:r>
        <w:rPr>
          <w:rFonts w:hint="eastAsia"/>
          <w:color w:val="auto"/>
          <w:highlight w:val="none"/>
        </w:rPr>
        <w:t>评标</w:t>
      </w:r>
      <w:r>
        <w:rPr>
          <w:rFonts w:hint="eastAsia"/>
          <w:color w:val="auto"/>
          <w:highlight w:val="none"/>
          <w:lang w:val="en-US"/>
        </w:rPr>
        <w:t>方</w:t>
      </w:r>
      <w:r>
        <w:rPr>
          <w:rFonts w:hint="eastAsia"/>
          <w:color w:val="auto"/>
          <w:highlight w:val="none"/>
        </w:rPr>
        <w:t>法及标准”</w:t>
      </w:r>
      <w:r>
        <w:rPr>
          <w:rFonts w:hint="eastAsia"/>
          <w:color w:val="auto"/>
          <w:highlight w:val="none"/>
          <w:lang w:val="en-US"/>
        </w:rPr>
        <w:t>及本招标文件</w:t>
      </w:r>
      <w:r>
        <w:rPr>
          <w:rFonts w:hint="eastAsia"/>
          <w:color w:val="auto"/>
          <w:highlight w:val="none"/>
        </w:rPr>
        <w:t>规定的投标无效情形的，其</w:t>
      </w:r>
      <w:r>
        <w:rPr>
          <w:rFonts w:hint="eastAsia"/>
          <w:b/>
          <w:bCs/>
          <w:color w:val="auto"/>
          <w:highlight w:val="none"/>
        </w:rPr>
        <w:t>投标无效</w:t>
      </w:r>
      <w:r>
        <w:rPr>
          <w:rFonts w:hint="eastAsia"/>
          <w:color w:val="auto"/>
          <w:highlight w:val="none"/>
        </w:rPr>
        <w:t>。</w:t>
      </w:r>
    </w:p>
    <w:p w14:paraId="788A3E7D">
      <w:pPr>
        <w:pStyle w:val="5"/>
        <w:spacing w:line="360" w:lineRule="auto"/>
        <w:rPr>
          <w:color w:val="auto"/>
          <w:highlight w:val="none"/>
        </w:rPr>
      </w:pPr>
      <w:bookmarkStart w:id="255" w:name="_Toc163492874"/>
      <w:bookmarkStart w:id="256" w:name="_Toc140132807"/>
      <w:r>
        <w:rPr>
          <w:rFonts w:hint="eastAsia"/>
          <w:color w:val="auto"/>
          <w:highlight w:val="none"/>
        </w:rPr>
        <w:t>40.废标</w:t>
      </w:r>
      <w:bookmarkEnd w:id="255"/>
      <w:bookmarkEnd w:id="256"/>
    </w:p>
    <w:p w14:paraId="712C643D">
      <w:pPr>
        <w:pStyle w:val="40"/>
        <w:spacing w:line="360" w:lineRule="auto"/>
        <w:rPr>
          <w:color w:val="auto"/>
          <w:highlight w:val="none"/>
        </w:rPr>
      </w:pPr>
      <w:r>
        <w:rPr>
          <w:color w:val="auto"/>
          <w:highlight w:val="none"/>
        </w:rPr>
        <w:t>4</w:t>
      </w:r>
      <w:r>
        <w:rPr>
          <w:rFonts w:hint="eastAsia"/>
          <w:color w:val="auto"/>
          <w:highlight w:val="none"/>
          <w:lang w:val="en-US"/>
        </w:rPr>
        <w:t>0</w:t>
      </w:r>
      <w:r>
        <w:rPr>
          <w:rFonts w:hint="eastAsia"/>
          <w:color w:val="auto"/>
          <w:highlight w:val="none"/>
        </w:rPr>
        <w:t>.1在招标采购中出现有“第五章</w:t>
      </w:r>
      <w:r>
        <w:rPr>
          <w:rFonts w:hint="eastAsia"/>
          <w:color w:val="auto"/>
          <w:highlight w:val="none"/>
          <w:lang w:val="en-US"/>
        </w:rPr>
        <w:t xml:space="preserve"> </w:t>
      </w:r>
      <w:r>
        <w:rPr>
          <w:rFonts w:hint="eastAsia"/>
          <w:color w:val="auto"/>
          <w:highlight w:val="none"/>
        </w:rPr>
        <w:t>评标</w:t>
      </w:r>
      <w:r>
        <w:rPr>
          <w:rFonts w:hint="eastAsia"/>
          <w:color w:val="auto"/>
          <w:highlight w:val="none"/>
          <w:lang w:val="en-US"/>
        </w:rPr>
        <w:t>方</w:t>
      </w:r>
      <w:r>
        <w:rPr>
          <w:rFonts w:hint="eastAsia"/>
          <w:color w:val="auto"/>
          <w:highlight w:val="none"/>
        </w:rPr>
        <w:t>法及标准”</w:t>
      </w:r>
      <w:r>
        <w:rPr>
          <w:rFonts w:hint="eastAsia"/>
          <w:color w:val="auto"/>
          <w:highlight w:val="none"/>
          <w:lang w:val="en-US"/>
        </w:rPr>
        <w:t>及本招标文件</w:t>
      </w:r>
      <w:r>
        <w:rPr>
          <w:rFonts w:hint="eastAsia"/>
          <w:color w:val="auto"/>
          <w:highlight w:val="none"/>
        </w:rPr>
        <w:t>规定的废标情形的，应予以</w:t>
      </w:r>
      <w:r>
        <w:rPr>
          <w:rFonts w:hint="eastAsia"/>
          <w:b/>
          <w:bCs/>
          <w:color w:val="auto"/>
          <w:highlight w:val="none"/>
        </w:rPr>
        <w:t>废标</w:t>
      </w:r>
      <w:r>
        <w:rPr>
          <w:rFonts w:hint="eastAsia"/>
          <w:color w:val="auto"/>
          <w:highlight w:val="none"/>
        </w:rPr>
        <w:t>。</w:t>
      </w:r>
    </w:p>
    <w:p w14:paraId="45F4C0F0">
      <w:pPr>
        <w:pStyle w:val="4"/>
        <w:spacing w:line="360" w:lineRule="auto"/>
        <w:rPr>
          <w:color w:val="auto"/>
          <w:highlight w:val="none"/>
        </w:rPr>
      </w:pPr>
      <w:bookmarkStart w:id="257" w:name="_Toc163492875"/>
      <w:bookmarkStart w:id="258" w:name="_Toc140132766"/>
      <w:bookmarkStart w:id="259" w:name="_Toc155185884"/>
      <w:bookmarkStart w:id="260" w:name="_Toc140132808"/>
      <w:r>
        <w:rPr>
          <w:rFonts w:hint="eastAsia"/>
          <w:color w:val="auto"/>
          <w:highlight w:val="none"/>
        </w:rPr>
        <w:t>（十三）落实政府采购政策</w:t>
      </w:r>
      <w:bookmarkEnd w:id="257"/>
      <w:bookmarkEnd w:id="258"/>
      <w:r>
        <w:rPr>
          <w:rFonts w:hint="eastAsia"/>
          <w:color w:val="auto"/>
          <w:highlight w:val="none"/>
        </w:rPr>
        <w:t>（包括但不限于下列具体政策要求）</w:t>
      </w:r>
    </w:p>
    <w:p w14:paraId="2230CD7B">
      <w:pPr>
        <w:pStyle w:val="5"/>
        <w:spacing w:line="360" w:lineRule="auto"/>
        <w:rPr>
          <w:color w:val="auto"/>
          <w:highlight w:val="none"/>
        </w:rPr>
      </w:pPr>
      <w:bookmarkStart w:id="261" w:name="_Toc163492876"/>
      <w:r>
        <w:rPr>
          <w:rFonts w:hint="eastAsia"/>
          <w:color w:val="auto"/>
          <w:highlight w:val="none"/>
        </w:rPr>
        <w:t>41.本国产品和进口产品</w:t>
      </w:r>
      <w:bookmarkEnd w:id="261"/>
    </w:p>
    <w:p w14:paraId="631A64BE">
      <w:pPr>
        <w:pStyle w:val="40"/>
        <w:spacing w:line="360" w:lineRule="auto"/>
        <w:rPr>
          <w:snapToGrid w:val="0"/>
          <w:color w:val="auto"/>
          <w:highlight w:val="none"/>
        </w:rPr>
      </w:pPr>
      <w:r>
        <w:rPr>
          <w:rFonts w:hint="eastAsia"/>
          <w:snapToGrid w:val="0"/>
          <w:color w:val="auto"/>
          <w:highlight w:val="none"/>
        </w:rPr>
        <w:t>41.1本国产品标准及支持政策</w:t>
      </w:r>
    </w:p>
    <w:p w14:paraId="3BCF0986">
      <w:pPr>
        <w:pStyle w:val="40"/>
        <w:spacing w:line="360" w:lineRule="auto"/>
        <w:rPr>
          <w:snapToGrid w:val="0"/>
          <w:color w:val="auto"/>
          <w:highlight w:val="none"/>
        </w:rPr>
      </w:pPr>
      <w:r>
        <w:rPr>
          <w:rFonts w:hint="eastAsia"/>
          <w:snapToGrid w:val="0"/>
          <w:color w:val="auto"/>
          <w:highlight w:val="none"/>
        </w:rPr>
        <w:t>41.1.1产品需在中华人民共和国关境内（含保税区、综合保税区等海关特殊监管区域）完成从原材料、组件到成品的制造、加工或组装，从而产生新的产品属性。仅进行包装、贴牌、简单处理等不改变产品核心属性的操作，不视为境内生产。</w:t>
      </w:r>
    </w:p>
    <w:p w14:paraId="52D45FE9">
      <w:pPr>
        <w:pStyle w:val="40"/>
        <w:spacing w:line="360" w:lineRule="auto"/>
        <w:rPr>
          <w:snapToGrid w:val="0"/>
          <w:color w:val="auto"/>
          <w:highlight w:val="none"/>
        </w:rPr>
      </w:pPr>
      <w:r>
        <w:rPr>
          <w:rFonts w:hint="eastAsia"/>
          <w:snapToGrid w:val="0"/>
          <w:color w:val="auto"/>
          <w:highlight w:val="none"/>
        </w:rPr>
        <w:t>41.1.2产品在境内生产的组件成本应达到财政部会同相关部门确定的总成本规定比例(具体产品目录及比例标准按国家后续发布的规定执行)。在分产品目录及比例标准正式实施前的过渡期内，符合境内生产条件的产品，可视同本国产品。</w:t>
      </w:r>
    </w:p>
    <w:p w14:paraId="4909A649">
      <w:pPr>
        <w:pStyle w:val="40"/>
        <w:spacing w:line="360" w:lineRule="auto"/>
        <w:rPr>
          <w:snapToGrid w:val="0"/>
          <w:color w:val="auto"/>
          <w:highlight w:val="none"/>
        </w:rPr>
      </w:pPr>
      <w:r>
        <w:rPr>
          <w:rFonts w:hint="eastAsia"/>
          <w:snapToGrid w:val="0"/>
          <w:color w:val="auto"/>
          <w:highlight w:val="none"/>
        </w:rPr>
        <w:t>41.1.3对国家相关部门后续发布的特定产品清单内的产品，除满足上述条件外，还需同时满足关键组件境内生产、关键工序境内完成等特定要求。</w:t>
      </w:r>
    </w:p>
    <w:p w14:paraId="40911979">
      <w:pPr>
        <w:pStyle w:val="40"/>
        <w:spacing w:line="360" w:lineRule="auto"/>
        <w:rPr>
          <w:snapToGrid w:val="0"/>
          <w:color w:val="auto"/>
          <w:highlight w:val="none"/>
        </w:rPr>
      </w:pPr>
      <w:r>
        <w:rPr>
          <w:rFonts w:hint="eastAsia"/>
          <w:snapToGrid w:val="0"/>
          <w:color w:val="auto"/>
          <w:highlight w:val="none"/>
        </w:rPr>
        <w:t>41.1.4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B3834F1">
      <w:pPr>
        <w:pStyle w:val="40"/>
        <w:spacing w:line="360" w:lineRule="auto"/>
        <w:rPr>
          <w:snapToGrid w:val="0"/>
          <w:color w:val="auto"/>
          <w:highlight w:val="none"/>
        </w:rPr>
      </w:pPr>
      <w:r>
        <w:rPr>
          <w:rFonts w:hint="eastAsia"/>
          <w:snapToGrid w:val="0"/>
          <w:color w:val="auto"/>
          <w:highlight w:val="none"/>
        </w:rPr>
        <w:t>41.1.5供应商对其提供的产品出具《关于符合本国产品标准的声明函》（样式见附件1，以下简称《声明函》）或财政部会同有关部门规定的有关证明文件。出具符合要求的《声明函》或有关证明文件的，该产品视为本国产品。</w:t>
      </w:r>
    </w:p>
    <w:p w14:paraId="34A47A21">
      <w:pPr>
        <w:pStyle w:val="40"/>
        <w:spacing w:line="360" w:lineRule="auto"/>
        <w:rPr>
          <w:snapToGrid w:val="0"/>
          <w:color w:val="auto"/>
          <w:highlight w:val="none"/>
        </w:rPr>
      </w:pPr>
      <w:r>
        <w:rPr>
          <w:rFonts w:hint="eastAsia"/>
          <w:snapToGrid w:val="0"/>
          <w:color w:val="auto"/>
          <w:highlight w:val="none"/>
        </w:rPr>
        <w:t>医疗器械产品，取得药品监督管理部门授予的准字号医疗器械注册证的，视为符合本国产品标准。</w:t>
      </w:r>
    </w:p>
    <w:p w14:paraId="33B2ED13">
      <w:pPr>
        <w:pStyle w:val="40"/>
        <w:spacing w:line="360" w:lineRule="auto"/>
        <w:rPr>
          <w:snapToGrid w:val="0"/>
          <w:color w:val="auto"/>
          <w:highlight w:val="none"/>
        </w:rPr>
      </w:pPr>
      <w:r>
        <w:rPr>
          <w:rFonts w:hint="eastAsia"/>
          <w:snapToGrid w:val="0"/>
          <w:color w:val="auto"/>
          <w:highlight w:val="none"/>
        </w:rPr>
        <w:t>41.1.6采购标的仅包含单一产品时，政府采购活动中既有本国产品又有非本国产品参与竞争的，供应商对其提供的产品出具《关于符合本国产品标准的声明函》，依法对本国产品给予价格评审优惠，对本国产品的报价给予20%的价格扣除，用扣除后的价格参与评审。</w:t>
      </w:r>
    </w:p>
    <w:p w14:paraId="70ECD82C">
      <w:pPr>
        <w:pStyle w:val="40"/>
        <w:spacing w:line="360" w:lineRule="auto"/>
        <w:rPr>
          <w:snapToGrid w:val="0"/>
          <w:color w:val="auto"/>
          <w:highlight w:val="none"/>
        </w:rPr>
      </w:pPr>
      <w:r>
        <w:rPr>
          <w:rFonts w:hint="eastAsia"/>
          <w:snapToGrid w:val="0"/>
          <w:color w:val="auto"/>
          <w:highlight w:val="none"/>
        </w:rPr>
        <w:t>41.1.7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5EC5D68A">
      <w:pPr>
        <w:pStyle w:val="40"/>
        <w:spacing w:line="360" w:lineRule="auto"/>
        <w:rPr>
          <w:snapToGrid w:val="0"/>
          <w:color w:val="auto"/>
          <w:highlight w:val="none"/>
        </w:rPr>
      </w:pPr>
      <w:r>
        <w:rPr>
          <w:rFonts w:hint="eastAsia"/>
          <w:snapToGrid w:val="0"/>
          <w:color w:val="auto"/>
          <w:highlight w:val="none"/>
        </w:rPr>
        <w:t>41.1.8对于仅有本国产品参与竞争的政府采购项目，本国产品不享受价格扣除评审优惠。</w:t>
      </w:r>
    </w:p>
    <w:p w14:paraId="6E760B13">
      <w:pPr>
        <w:pStyle w:val="40"/>
        <w:spacing w:line="360" w:lineRule="auto"/>
        <w:rPr>
          <w:snapToGrid w:val="0"/>
          <w:color w:val="auto"/>
          <w:highlight w:val="none"/>
        </w:rPr>
      </w:pPr>
      <w:r>
        <w:rPr>
          <w:rFonts w:hint="eastAsia"/>
          <w:snapToGrid w:val="0"/>
          <w:color w:val="auto"/>
          <w:highlight w:val="none"/>
        </w:rPr>
        <w:t>41.2进口产品</w:t>
      </w:r>
    </w:p>
    <w:p w14:paraId="0AF1483B">
      <w:pPr>
        <w:pStyle w:val="40"/>
        <w:spacing w:line="360" w:lineRule="auto"/>
        <w:rPr>
          <w:snapToGrid w:val="0"/>
          <w:color w:val="auto"/>
          <w:highlight w:val="none"/>
        </w:rPr>
      </w:pPr>
      <w:r>
        <w:rPr>
          <w:rFonts w:hint="eastAsia"/>
          <w:snapToGrid w:val="0"/>
          <w:color w:val="auto"/>
          <w:highlight w:val="none"/>
        </w:rPr>
        <w:t>41.2.1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项目若涉及采购进口产品的，具体要求详见“第三章 采购需求”。</w:t>
      </w:r>
    </w:p>
    <w:p w14:paraId="0B7CABE7">
      <w:pPr>
        <w:pStyle w:val="40"/>
        <w:spacing w:line="360" w:lineRule="auto"/>
        <w:rPr>
          <w:snapToGrid w:val="0"/>
          <w:color w:val="auto"/>
          <w:highlight w:val="none"/>
        </w:rPr>
      </w:pPr>
      <w:r>
        <w:rPr>
          <w:snapToGrid w:val="0"/>
          <w:color w:val="auto"/>
          <w:highlight w:val="none"/>
        </w:rPr>
        <w:t>4</w:t>
      </w:r>
      <w:r>
        <w:rPr>
          <w:rFonts w:hint="eastAsia"/>
          <w:snapToGrid w:val="0"/>
          <w:color w:val="auto"/>
          <w:highlight w:val="none"/>
        </w:rPr>
        <w:t xml:space="preserve">1.2.2进口产品指通过中国海关报关验放进入中国境内且产自关境外的产品，包括已经进入中国境内的进口产品。 </w:t>
      </w:r>
    </w:p>
    <w:p w14:paraId="1F63125E">
      <w:pPr>
        <w:pStyle w:val="40"/>
        <w:spacing w:line="360" w:lineRule="auto"/>
        <w:rPr>
          <w:snapToGrid w:val="0"/>
          <w:color w:val="auto"/>
          <w:highlight w:val="none"/>
        </w:rPr>
      </w:pPr>
      <w:r>
        <w:rPr>
          <w:snapToGrid w:val="0"/>
          <w:color w:val="auto"/>
          <w:highlight w:val="none"/>
        </w:rPr>
        <w:t>4</w:t>
      </w:r>
      <w:r>
        <w:rPr>
          <w:rFonts w:hint="eastAsia"/>
          <w:snapToGrid w:val="0"/>
          <w:color w:val="auto"/>
          <w:highlight w:val="none"/>
        </w:rPr>
        <w:t>1.2.3若采购需求中写明允许采购进口产品，投标人应保证所投产品可履行合法报通关手续进入中国关境内。</w:t>
      </w:r>
    </w:p>
    <w:p w14:paraId="1B354EAD">
      <w:pPr>
        <w:pStyle w:val="40"/>
        <w:spacing w:line="360" w:lineRule="auto"/>
        <w:rPr>
          <w:snapToGrid w:val="0"/>
          <w:color w:val="auto"/>
          <w:highlight w:val="none"/>
        </w:rPr>
      </w:pPr>
      <w:r>
        <w:rPr>
          <w:snapToGrid w:val="0"/>
          <w:color w:val="auto"/>
          <w:highlight w:val="none"/>
        </w:rPr>
        <w:t>4</w:t>
      </w:r>
      <w:r>
        <w:rPr>
          <w:rFonts w:hint="eastAsia"/>
          <w:snapToGrid w:val="0"/>
          <w:color w:val="auto"/>
          <w:highlight w:val="none"/>
        </w:rPr>
        <w:t>1.2.4若采购需求中未写明允许采购进口产品，如投标人所投产品为进口产品，其投标将被认定为</w:t>
      </w:r>
      <w:r>
        <w:rPr>
          <w:rFonts w:hint="eastAsia"/>
          <w:b/>
          <w:bCs/>
          <w:snapToGrid w:val="0"/>
          <w:color w:val="auto"/>
          <w:highlight w:val="none"/>
        </w:rPr>
        <w:t>投标无效</w:t>
      </w:r>
      <w:r>
        <w:rPr>
          <w:rFonts w:hint="eastAsia"/>
          <w:snapToGrid w:val="0"/>
          <w:color w:val="auto"/>
          <w:highlight w:val="none"/>
        </w:rPr>
        <w:t>。</w:t>
      </w:r>
    </w:p>
    <w:p w14:paraId="1A5C65C3">
      <w:pPr>
        <w:pStyle w:val="5"/>
        <w:spacing w:line="360" w:lineRule="auto"/>
        <w:rPr>
          <w:color w:val="auto"/>
          <w:highlight w:val="none"/>
        </w:rPr>
      </w:pPr>
      <w:bookmarkStart w:id="262" w:name="_Toc163492877"/>
      <w:r>
        <w:rPr>
          <w:rFonts w:hint="eastAsia"/>
          <w:color w:val="auto"/>
          <w:highlight w:val="none"/>
        </w:rPr>
        <w:t>42.中小企业、监狱企业及残疾人福利性单位</w:t>
      </w:r>
      <w:bookmarkEnd w:id="262"/>
    </w:p>
    <w:p w14:paraId="699DE1FD">
      <w:pPr>
        <w:pStyle w:val="40"/>
        <w:spacing w:line="360" w:lineRule="auto"/>
        <w:rPr>
          <w:snapToGrid w:val="0"/>
          <w:color w:val="auto"/>
          <w:highlight w:val="none"/>
        </w:rPr>
      </w:pPr>
      <w:r>
        <w:rPr>
          <w:rFonts w:hint="eastAsia"/>
          <w:snapToGrid w:val="0"/>
          <w:color w:val="auto"/>
          <w:highlight w:val="none"/>
        </w:rPr>
        <w:t>42.1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snapToGrid w:val="0"/>
          <w:color w:val="auto"/>
          <w:highlight w:val="none"/>
        </w:rPr>
        <w:t>2022</w:t>
      </w:r>
      <w:r>
        <w:rPr>
          <w:rFonts w:hint="eastAsia"/>
          <w:snapToGrid w:val="0"/>
          <w:color w:val="auto"/>
          <w:highlight w:val="none"/>
        </w:rPr>
        <w:t>〕</w:t>
      </w:r>
      <w:r>
        <w:rPr>
          <w:snapToGrid w:val="0"/>
          <w:color w:val="auto"/>
          <w:highlight w:val="none"/>
        </w:rPr>
        <w:t xml:space="preserve">19 </w:t>
      </w:r>
      <w:r>
        <w:rPr>
          <w:rFonts w:hint="eastAsia"/>
          <w:snapToGrid w:val="0"/>
          <w:color w:val="auto"/>
          <w:highlight w:val="none"/>
        </w:rPr>
        <w:t>号）、《政府采购促进中小企业发展管理办法》（财库〔</w:t>
      </w:r>
      <w:r>
        <w:rPr>
          <w:snapToGrid w:val="0"/>
          <w:color w:val="auto"/>
          <w:highlight w:val="none"/>
        </w:rPr>
        <w:t>2020</w:t>
      </w:r>
      <w:r>
        <w:rPr>
          <w:rFonts w:hint="eastAsia"/>
          <w:snapToGrid w:val="0"/>
          <w:color w:val="auto"/>
          <w:highlight w:val="none"/>
        </w:rPr>
        <w:t>〕</w:t>
      </w:r>
      <w:r>
        <w:rPr>
          <w:snapToGrid w:val="0"/>
          <w:color w:val="auto"/>
          <w:highlight w:val="none"/>
        </w:rPr>
        <w:t xml:space="preserve">46 </w:t>
      </w:r>
      <w:r>
        <w:rPr>
          <w:rFonts w:hint="eastAsia"/>
          <w:snapToGrid w:val="0"/>
          <w:color w:val="auto"/>
          <w:highlight w:val="none"/>
        </w:rPr>
        <w:t>号）、《关于印发中小企业划型标准规定的通知》（工信部联企业〔</w:t>
      </w:r>
      <w:r>
        <w:rPr>
          <w:snapToGrid w:val="0"/>
          <w:color w:val="auto"/>
          <w:highlight w:val="none"/>
        </w:rPr>
        <w:t>2011</w:t>
      </w:r>
      <w:r>
        <w:rPr>
          <w:rFonts w:hint="eastAsia"/>
          <w:snapToGrid w:val="0"/>
          <w:color w:val="auto"/>
          <w:highlight w:val="none"/>
        </w:rPr>
        <w:t>〕</w:t>
      </w:r>
      <w:r>
        <w:rPr>
          <w:snapToGrid w:val="0"/>
          <w:color w:val="auto"/>
          <w:highlight w:val="none"/>
        </w:rPr>
        <w:t xml:space="preserve">300 </w:t>
      </w:r>
      <w:r>
        <w:rPr>
          <w:rFonts w:hint="eastAsia"/>
          <w:snapToGrid w:val="0"/>
          <w:color w:val="auto"/>
          <w:highlight w:val="none"/>
        </w:rPr>
        <w:t xml:space="preserve">号）、《金融业企业划型标准规定》（〔2015〕309 号）等国务院批准的中小企业划分标准执行。 </w:t>
      </w:r>
    </w:p>
    <w:p w14:paraId="357E16A4">
      <w:pPr>
        <w:pStyle w:val="40"/>
        <w:spacing w:line="360" w:lineRule="auto"/>
        <w:rPr>
          <w:snapToGrid w:val="0"/>
          <w:color w:val="auto"/>
          <w:highlight w:val="none"/>
        </w:rPr>
      </w:pPr>
      <w:r>
        <w:rPr>
          <w:rFonts w:hint="eastAsia"/>
          <w:snapToGrid w:val="0"/>
          <w:color w:val="auto"/>
          <w:highlight w:val="none"/>
          <w:lang w:val="en-US"/>
        </w:rPr>
        <w:t>42</w:t>
      </w:r>
      <w:r>
        <w:rPr>
          <w:rFonts w:hint="eastAsia"/>
          <w:snapToGrid w:val="0"/>
          <w:color w:val="auto"/>
          <w:highlight w:val="none"/>
        </w:rPr>
        <w:t>.</w:t>
      </w:r>
      <w:r>
        <w:rPr>
          <w:rFonts w:hint="eastAsia"/>
          <w:snapToGrid w:val="0"/>
          <w:color w:val="auto"/>
          <w:highlight w:val="none"/>
          <w:lang w:val="en-US"/>
        </w:rPr>
        <w:t>2</w:t>
      </w:r>
      <w:r>
        <w:rPr>
          <w:rFonts w:hint="eastAsia"/>
          <w:snapToGrid w:val="0"/>
          <w:color w:val="auto"/>
          <w:highlight w:val="none"/>
        </w:rPr>
        <w:t>为促进中小企业发展，依据《关于印发〈政府采购促进中小企业发展管理办法&gt;的通知》（财库〔2020〕46号）、《财政部 司法部关于政府采购支持监狱企业发展有关问题的通知》（财库〔2014〕68号）、《关于促进残疾人就业政府采购政策的通知》（财库〔2017〕141号）的规定，本项目供应商如需享受中小企业相关政策的，且符合上述文件规定的，应按本</w:t>
      </w:r>
      <w:r>
        <w:rPr>
          <w:rFonts w:hint="eastAsia"/>
          <w:snapToGrid w:val="0"/>
          <w:color w:val="auto"/>
          <w:highlight w:val="none"/>
          <w:lang w:val="en-US"/>
        </w:rPr>
        <w:t>招标</w:t>
      </w:r>
      <w:r>
        <w:rPr>
          <w:rFonts w:hint="eastAsia"/>
          <w:snapToGrid w:val="0"/>
          <w:color w:val="auto"/>
          <w:highlight w:val="none"/>
        </w:rPr>
        <w:t>文件规定格式提供“中小企业声明函”</w:t>
      </w:r>
      <w:r>
        <w:rPr>
          <w:rFonts w:hint="eastAsia"/>
          <w:snapToGrid w:val="0"/>
          <w:color w:val="auto"/>
          <w:highlight w:val="none"/>
          <w:lang w:val="en-US"/>
        </w:rPr>
        <w:t>或“</w:t>
      </w:r>
      <w:r>
        <w:rPr>
          <w:rFonts w:hint="eastAsia"/>
          <w:snapToGrid w:val="0"/>
          <w:color w:val="auto"/>
          <w:highlight w:val="none"/>
        </w:rPr>
        <w:t>监狱企业证明文件”</w:t>
      </w:r>
      <w:r>
        <w:rPr>
          <w:rFonts w:hint="eastAsia"/>
          <w:snapToGrid w:val="0"/>
          <w:color w:val="auto"/>
          <w:highlight w:val="none"/>
          <w:lang w:val="en-US"/>
        </w:rPr>
        <w:t>或</w:t>
      </w:r>
      <w:r>
        <w:rPr>
          <w:rFonts w:hint="eastAsia"/>
          <w:snapToGrid w:val="0"/>
          <w:color w:val="auto"/>
          <w:highlight w:val="none"/>
        </w:rPr>
        <w:t>“残疾人福利性单位声明函”，评审时，</w:t>
      </w:r>
      <w:r>
        <w:rPr>
          <w:rFonts w:hint="eastAsia"/>
          <w:snapToGrid w:val="0"/>
          <w:color w:val="auto"/>
          <w:highlight w:val="none"/>
          <w:lang w:val="en-US"/>
        </w:rPr>
        <w:t>评标委员会</w:t>
      </w:r>
      <w:r>
        <w:rPr>
          <w:rFonts w:hint="eastAsia"/>
          <w:snapToGrid w:val="0"/>
          <w:color w:val="auto"/>
          <w:highlight w:val="none"/>
        </w:rPr>
        <w:t>将依据本</w:t>
      </w:r>
      <w:r>
        <w:rPr>
          <w:rFonts w:hint="eastAsia"/>
          <w:snapToGrid w:val="0"/>
          <w:color w:val="auto"/>
          <w:highlight w:val="none"/>
          <w:lang w:val="en-US"/>
        </w:rPr>
        <w:t>招标</w:t>
      </w:r>
      <w:r>
        <w:rPr>
          <w:rFonts w:hint="eastAsia"/>
          <w:snapToGrid w:val="0"/>
          <w:color w:val="auto"/>
          <w:highlight w:val="none"/>
        </w:rPr>
        <w:t>文件“</w:t>
      </w:r>
      <w:r>
        <w:rPr>
          <w:rFonts w:hint="eastAsia"/>
          <w:snapToGrid w:val="0"/>
          <w:color w:val="auto"/>
          <w:highlight w:val="none"/>
          <w:lang w:val="en-US"/>
        </w:rPr>
        <w:t>投标人</w:t>
      </w:r>
      <w:r>
        <w:rPr>
          <w:rFonts w:hint="eastAsia"/>
          <w:snapToGrid w:val="0"/>
          <w:color w:val="auto"/>
          <w:highlight w:val="none"/>
        </w:rPr>
        <w:t>须知前附表”规定的报价扣除比例，对供应商报价进行价格扣除，用扣除后的价格参与评审；</w:t>
      </w:r>
      <w:r>
        <w:rPr>
          <w:rFonts w:hint="eastAsia"/>
          <w:snapToGrid w:val="0"/>
          <w:color w:val="auto"/>
          <w:highlight w:val="none"/>
          <w:lang w:val="en-US"/>
        </w:rPr>
        <w:t>招标</w:t>
      </w:r>
      <w:r>
        <w:rPr>
          <w:rFonts w:hint="eastAsia"/>
          <w:snapToGrid w:val="0"/>
          <w:color w:val="auto"/>
          <w:highlight w:val="none"/>
        </w:rPr>
        <w:t>公告中明确项目专门面向中小企业采购的，“中小企业声明函”为资格要求文件，供应商参与</w:t>
      </w:r>
      <w:r>
        <w:rPr>
          <w:rFonts w:hint="eastAsia"/>
          <w:snapToGrid w:val="0"/>
          <w:color w:val="auto"/>
          <w:highlight w:val="none"/>
          <w:lang w:val="en-US"/>
        </w:rPr>
        <w:t>投标</w:t>
      </w:r>
      <w:r>
        <w:rPr>
          <w:rFonts w:hint="eastAsia"/>
          <w:snapToGrid w:val="0"/>
          <w:color w:val="auto"/>
          <w:highlight w:val="none"/>
        </w:rPr>
        <w:t>须按本</w:t>
      </w:r>
      <w:r>
        <w:rPr>
          <w:rFonts w:hint="eastAsia"/>
          <w:snapToGrid w:val="0"/>
          <w:color w:val="auto"/>
          <w:highlight w:val="none"/>
          <w:lang w:val="en-US"/>
        </w:rPr>
        <w:t>招标</w:t>
      </w:r>
      <w:r>
        <w:rPr>
          <w:rFonts w:hint="eastAsia"/>
          <w:snapToGrid w:val="0"/>
          <w:color w:val="auto"/>
          <w:highlight w:val="none"/>
        </w:rPr>
        <w:t>文件规定格式提供“中小企业声明函”</w:t>
      </w:r>
      <w:r>
        <w:rPr>
          <w:rFonts w:hint="eastAsia"/>
          <w:snapToGrid w:val="0"/>
          <w:color w:val="auto"/>
          <w:highlight w:val="none"/>
          <w:lang w:val="en-US"/>
        </w:rPr>
        <w:t>或“</w:t>
      </w:r>
      <w:r>
        <w:rPr>
          <w:rFonts w:hint="eastAsia"/>
          <w:snapToGrid w:val="0"/>
          <w:color w:val="auto"/>
          <w:highlight w:val="none"/>
        </w:rPr>
        <w:t>监狱企业证明文件”</w:t>
      </w:r>
      <w:r>
        <w:rPr>
          <w:rFonts w:hint="eastAsia"/>
          <w:snapToGrid w:val="0"/>
          <w:color w:val="auto"/>
          <w:highlight w:val="none"/>
          <w:lang w:val="en-US"/>
        </w:rPr>
        <w:t>或</w:t>
      </w:r>
      <w:r>
        <w:rPr>
          <w:rFonts w:hint="eastAsia"/>
          <w:snapToGrid w:val="0"/>
          <w:color w:val="auto"/>
          <w:highlight w:val="none"/>
        </w:rPr>
        <w:t>“残疾人福利性单位声明函”等作为资格证明文件。</w:t>
      </w:r>
      <w:r>
        <w:rPr>
          <w:rFonts w:hint="eastAsia"/>
          <w:snapToGrid w:val="0"/>
          <w:color w:val="auto"/>
          <w:highlight w:val="none"/>
          <w:lang w:val="en-US"/>
        </w:rPr>
        <w:t xml:space="preserve"> </w:t>
      </w:r>
    </w:p>
    <w:p w14:paraId="7BBDFBB4">
      <w:pPr>
        <w:pStyle w:val="40"/>
        <w:spacing w:line="360" w:lineRule="auto"/>
        <w:rPr>
          <w:snapToGrid w:val="0"/>
          <w:color w:val="auto"/>
          <w:highlight w:val="none"/>
        </w:rPr>
      </w:pPr>
      <w:r>
        <w:rPr>
          <w:rFonts w:hint="eastAsia"/>
          <w:snapToGrid w:val="0"/>
          <w:color w:val="auto"/>
          <w:highlight w:val="none"/>
        </w:rPr>
        <w:t>42</w:t>
      </w:r>
      <w:r>
        <w:rPr>
          <w:snapToGrid w:val="0"/>
          <w:color w:val="auto"/>
          <w:highlight w:val="none"/>
        </w:rPr>
        <w:t>.</w:t>
      </w:r>
      <w:r>
        <w:rPr>
          <w:rFonts w:hint="eastAsia"/>
          <w:snapToGrid w:val="0"/>
          <w:color w:val="auto"/>
          <w:highlight w:val="none"/>
        </w:rPr>
        <w:t>3</w:t>
      </w:r>
      <w:r>
        <w:rPr>
          <w:snapToGrid w:val="0"/>
          <w:color w:val="auto"/>
          <w:highlight w:val="none"/>
        </w:rPr>
        <w:t xml:space="preserve"> </w:t>
      </w:r>
      <w:r>
        <w:rPr>
          <w:rFonts w:hint="eastAsia"/>
          <w:snapToGrid w:val="0"/>
          <w:color w:val="auto"/>
          <w:highlight w:val="none"/>
        </w:rPr>
        <w:t xml:space="preserve">投标人提供的货物、工程或者服务符合下列情形的，享受中小企业扶持政策： </w:t>
      </w:r>
    </w:p>
    <w:p w14:paraId="67883A69">
      <w:pPr>
        <w:pStyle w:val="40"/>
        <w:spacing w:line="360" w:lineRule="auto"/>
        <w:rPr>
          <w:snapToGrid w:val="0"/>
          <w:color w:val="auto"/>
          <w:highlight w:val="none"/>
        </w:rPr>
      </w:pPr>
      <w:r>
        <w:rPr>
          <w:rFonts w:hint="eastAsia"/>
          <w:snapToGrid w:val="0"/>
          <w:color w:val="auto"/>
          <w:highlight w:val="none"/>
        </w:rPr>
        <w:t>（</w:t>
      </w:r>
      <w:r>
        <w:rPr>
          <w:snapToGrid w:val="0"/>
          <w:color w:val="auto"/>
          <w:highlight w:val="none"/>
        </w:rPr>
        <w:t>1</w:t>
      </w:r>
      <w:r>
        <w:rPr>
          <w:rFonts w:hint="eastAsia"/>
          <w:snapToGrid w:val="0"/>
          <w:color w:val="auto"/>
          <w:highlight w:val="none"/>
        </w:rPr>
        <w:t xml:space="preserve">）在货物采购项目中，货物由中小企业制造，即货物由中小企业生产且使用该中小企业商号或者注册商标； </w:t>
      </w:r>
    </w:p>
    <w:p w14:paraId="4D1FAAA3">
      <w:pPr>
        <w:pStyle w:val="40"/>
        <w:spacing w:line="360" w:lineRule="auto"/>
        <w:rPr>
          <w:snapToGrid w:val="0"/>
          <w:color w:val="auto"/>
          <w:highlight w:val="none"/>
        </w:rPr>
      </w:pPr>
      <w:r>
        <w:rPr>
          <w:rFonts w:hint="eastAsia"/>
          <w:snapToGrid w:val="0"/>
          <w:color w:val="auto"/>
          <w:highlight w:val="none"/>
        </w:rPr>
        <w:t>（</w:t>
      </w:r>
      <w:r>
        <w:rPr>
          <w:snapToGrid w:val="0"/>
          <w:color w:val="auto"/>
          <w:highlight w:val="none"/>
        </w:rPr>
        <w:t>2</w:t>
      </w:r>
      <w:r>
        <w:rPr>
          <w:rFonts w:hint="eastAsia"/>
          <w:snapToGrid w:val="0"/>
          <w:color w:val="auto"/>
          <w:highlight w:val="none"/>
        </w:rPr>
        <w:t xml:space="preserve">）在工程采购项目中，工程由中小企业承建，即工程施工单位为中小企业； </w:t>
      </w:r>
    </w:p>
    <w:p w14:paraId="7EA74F97">
      <w:pPr>
        <w:pStyle w:val="40"/>
        <w:spacing w:line="360" w:lineRule="auto"/>
        <w:rPr>
          <w:snapToGrid w:val="0"/>
          <w:color w:val="auto"/>
          <w:highlight w:val="none"/>
        </w:rPr>
      </w:pPr>
      <w:r>
        <w:rPr>
          <w:rFonts w:hint="eastAsia"/>
          <w:snapToGrid w:val="0"/>
          <w:color w:val="auto"/>
          <w:highlight w:val="none"/>
        </w:rPr>
        <w:t>（</w:t>
      </w:r>
      <w:r>
        <w:rPr>
          <w:snapToGrid w:val="0"/>
          <w:color w:val="auto"/>
          <w:highlight w:val="none"/>
        </w:rPr>
        <w:t>3</w:t>
      </w:r>
      <w:r>
        <w:rPr>
          <w:rFonts w:hint="eastAsia"/>
          <w:snapToGrid w:val="0"/>
          <w:color w:val="auto"/>
          <w:highlight w:val="none"/>
        </w:rPr>
        <w:t>）在服务采购项目中，服务由中小企业承接，即提供服务的人员为中小企业依照《中华人民共和国劳动合同法》订立劳动合同的从业人员。</w:t>
      </w:r>
    </w:p>
    <w:p w14:paraId="6A8BB958">
      <w:pPr>
        <w:pStyle w:val="40"/>
        <w:spacing w:line="360" w:lineRule="auto"/>
        <w:rPr>
          <w:snapToGrid w:val="0"/>
          <w:color w:val="auto"/>
          <w:highlight w:val="none"/>
        </w:rPr>
      </w:pPr>
      <w:r>
        <w:rPr>
          <w:rFonts w:hint="eastAsia"/>
          <w:snapToGrid w:val="0"/>
          <w:color w:val="auto"/>
          <w:highlight w:val="none"/>
        </w:rPr>
        <w:t>42</w:t>
      </w:r>
      <w:r>
        <w:rPr>
          <w:snapToGrid w:val="0"/>
          <w:color w:val="auto"/>
          <w:highlight w:val="none"/>
        </w:rPr>
        <w:t>.</w:t>
      </w:r>
      <w:r>
        <w:rPr>
          <w:rFonts w:hint="eastAsia"/>
          <w:snapToGrid w:val="0"/>
          <w:color w:val="auto"/>
          <w:highlight w:val="none"/>
        </w:rPr>
        <w:t>4</w:t>
      </w:r>
      <w:r>
        <w:rPr>
          <w:snapToGrid w:val="0"/>
          <w:color w:val="auto"/>
          <w:highlight w:val="none"/>
        </w:rPr>
        <w:t xml:space="preserve"> </w:t>
      </w:r>
      <w:r>
        <w:rPr>
          <w:rFonts w:hint="eastAsia"/>
          <w:snapToGrid w:val="0"/>
          <w:color w:val="auto"/>
          <w:highlight w:val="none"/>
        </w:rPr>
        <w:t xml:space="preserve">在货物采购项目中，投标人提供的货物既有中小企业制造货物，也有大型企业制造货物的，不享受中小企业扶持政策。 </w:t>
      </w:r>
    </w:p>
    <w:p w14:paraId="3F07FA58">
      <w:pPr>
        <w:pStyle w:val="40"/>
        <w:spacing w:line="360" w:lineRule="auto"/>
        <w:rPr>
          <w:snapToGrid w:val="0"/>
          <w:color w:val="auto"/>
          <w:highlight w:val="none"/>
        </w:rPr>
      </w:pPr>
      <w:r>
        <w:rPr>
          <w:rFonts w:hint="eastAsia"/>
          <w:snapToGrid w:val="0"/>
          <w:color w:val="auto"/>
          <w:highlight w:val="none"/>
        </w:rPr>
        <w:t>42</w:t>
      </w:r>
      <w:r>
        <w:rPr>
          <w:snapToGrid w:val="0"/>
          <w:color w:val="auto"/>
          <w:highlight w:val="none"/>
        </w:rPr>
        <w:t>.</w:t>
      </w:r>
      <w:r>
        <w:rPr>
          <w:rFonts w:hint="eastAsia"/>
          <w:snapToGrid w:val="0"/>
          <w:color w:val="auto"/>
          <w:highlight w:val="none"/>
        </w:rPr>
        <w:t>5</w:t>
      </w:r>
      <w:r>
        <w:rPr>
          <w:snapToGrid w:val="0"/>
          <w:color w:val="auto"/>
          <w:highlight w:val="none"/>
        </w:rPr>
        <w:t xml:space="preserve"> </w:t>
      </w:r>
      <w:r>
        <w:rPr>
          <w:rFonts w:hint="eastAsia"/>
          <w:snapToGrid w:val="0"/>
          <w:color w:val="auto"/>
          <w:highlight w:val="none"/>
        </w:rPr>
        <w:t>以联合体形式参加政府采购活动，联合体各方均为中小企业的，联合体视同中小企业。其中，联合体各方均为小微企业的，联合体视同小微企业。</w:t>
      </w:r>
    </w:p>
    <w:p w14:paraId="0A4FC94E">
      <w:pPr>
        <w:pStyle w:val="40"/>
        <w:spacing w:line="360" w:lineRule="auto"/>
        <w:rPr>
          <w:snapToGrid w:val="0"/>
          <w:color w:val="auto"/>
          <w:highlight w:val="none"/>
        </w:rPr>
      </w:pPr>
      <w:r>
        <w:rPr>
          <w:rFonts w:hint="eastAsia"/>
          <w:snapToGrid w:val="0"/>
          <w:color w:val="auto"/>
          <w:highlight w:val="none"/>
        </w:rPr>
        <w:t>42</w:t>
      </w:r>
      <w:r>
        <w:rPr>
          <w:snapToGrid w:val="0"/>
          <w:color w:val="auto"/>
          <w:highlight w:val="none"/>
        </w:rPr>
        <w:t>.</w:t>
      </w:r>
      <w:r>
        <w:rPr>
          <w:rFonts w:hint="eastAsia"/>
          <w:snapToGrid w:val="0"/>
          <w:color w:val="auto"/>
          <w:highlight w:val="none"/>
        </w:rPr>
        <w:t>6</w:t>
      </w:r>
      <w:r>
        <w:rPr>
          <w:snapToGrid w:val="0"/>
          <w:color w:val="auto"/>
          <w:highlight w:val="none"/>
        </w:rPr>
        <w:t xml:space="preserve"> </w:t>
      </w:r>
      <w:r>
        <w:rPr>
          <w:rFonts w:hint="eastAsia"/>
          <w:snapToGrid w:val="0"/>
          <w:color w:val="auto"/>
          <w:highlight w:val="none"/>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01CCAC6">
      <w:pPr>
        <w:pStyle w:val="40"/>
        <w:spacing w:line="360" w:lineRule="auto"/>
        <w:rPr>
          <w:snapToGrid w:val="0"/>
          <w:color w:val="auto"/>
          <w:highlight w:val="none"/>
        </w:rPr>
      </w:pPr>
      <w:r>
        <w:rPr>
          <w:rFonts w:hint="eastAsia"/>
          <w:snapToGrid w:val="0"/>
          <w:color w:val="auto"/>
          <w:highlight w:val="none"/>
        </w:rPr>
        <w:t>42</w:t>
      </w:r>
      <w:r>
        <w:rPr>
          <w:snapToGrid w:val="0"/>
          <w:color w:val="auto"/>
          <w:highlight w:val="none"/>
        </w:rPr>
        <w:t>.</w:t>
      </w:r>
      <w:r>
        <w:rPr>
          <w:rFonts w:hint="eastAsia"/>
          <w:snapToGrid w:val="0"/>
          <w:color w:val="auto"/>
          <w:highlight w:val="none"/>
        </w:rPr>
        <w:t>7</w:t>
      </w:r>
      <w:r>
        <w:rPr>
          <w:snapToGrid w:val="0"/>
          <w:color w:val="auto"/>
          <w:highlight w:val="none"/>
        </w:rPr>
        <w:t xml:space="preserve"> </w:t>
      </w:r>
      <w:r>
        <w:rPr>
          <w:rFonts w:hint="eastAsia"/>
          <w:snapToGrid w:val="0"/>
          <w:color w:val="auto"/>
          <w:highlight w:val="none"/>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38C76D5F">
      <w:pPr>
        <w:pStyle w:val="40"/>
        <w:spacing w:line="360" w:lineRule="auto"/>
        <w:rPr>
          <w:snapToGrid w:val="0"/>
          <w:color w:val="auto"/>
          <w:highlight w:val="none"/>
        </w:rPr>
      </w:pPr>
      <w:r>
        <w:rPr>
          <w:rFonts w:hint="eastAsia"/>
          <w:snapToGrid w:val="0"/>
          <w:color w:val="auto"/>
          <w:highlight w:val="none"/>
        </w:rPr>
        <w:t>42</w:t>
      </w:r>
      <w:r>
        <w:rPr>
          <w:snapToGrid w:val="0"/>
          <w:color w:val="auto"/>
          <w:highlight w:val="none"/>
        </w:rPr>
        <w:t>.</w:t>
      </w:r>
      <w:r>
        <w:rPr>
          <w:rFonts w:hint="eastAsia"/>
          <w:snapToGrid w:val="0"/>
          <w:color w:val="auto"/>
          <w:highlight w:val="none"/>
        </w:rPr>
        <w:t>7</w:t>
      </w:r>
      <w:r>
        <w:rPr>
          <w:snapToGrid w:val="0"/>
          <w:color w:val="auto"/>
          <w:highlight w:val="none"/>
        </w:rPr>
        <w:t xml:space="preserve">.1 </w:t>
      </w:r>
      <w:r>
        <w:rPr>
          <w:rFonts w:hint="eastAsia"/>
          <w:snapToGrid w:val="0"/>
          <w:color w:val="auto"/>
          <w:highlight w:val="none"/>
        </w:rPr>
        <w:t xml:space="preserve">安置的残疾人占本单位在职职工人数的比例不低于 </w:t>
      </w:r>
      <w:r>
        <w:rPr>
          <w:snapToGrid w:val="0"/>
          <w:color w:val="auto"/>
          <w:highlight w:val="none"/>
        </w:rPr>
        <w:t xml:space="preserve">25% </w:t>
      </w:r>
      <w:r>
        <w:rPr>
          <w:rFonts w:hint="eastAsia"/>
          <w:snapToGrid w:val="0"/>
          <w:color w:val="auto"/>
          <w:highlight w:val="none"/>
        </w:rPr>
        <w:t xml:space="preserve">（含 </w:t>
      </w:r>
      <w:r>
        <w:rPr>
          <w:snapToGrid w:val="0"/>
          <w:color w:val="auto"/>
          <w:highlight w:val="none"/>
        </w:rPr>
        <w:t>25%</w:t>
      </w:r>
      <w:r>
        <w:rPr>
          <w:rFonts w:hint="eastAsia"/>
          <w:snapToGrid w:val="0"/>
          <w:color w:val="auto"/>
          <w:highlight w:val="none"/>
        </w:rPr>
        <w:t xml:space="preserve">），并且安置的残疾人人数不少于 </w:t>
      </w:r>
      <w:r>
        <w:rPr>
          <w:snapToGrid w:val="0"/>
          <w:color w:val="auto"/>
          <w:highlight w:val="none"/>
        </w:rPr>
        <w:t xml:space="preserve">10 </w:t>
      </w:r>
      <w:r>
        <w:rPr>
          <w:rFonts w:hint="eastAsia"/>
          <w:snapToGrid w:val="0"/>
          <w:color w:val="auto"/>
          <w:highlight w:val="none"/>
        </w:rPr>
        <w:t xml:space="preserve">人（含 </w:t>
      </w:r>
      <w:r>
        <w:rPr>
          <w:snapToGrid w:val="0"/>
          <w:color w:val="auto"/>
          <w:highlight w:val="none"/>
        </w:rPr>
        <w:t>10</w:t>
      </w:r>
      <w:r>
        <w:rPr>
          <w:rFonts w:hint="eastAsia"/>
          <w:snapToGrid w:val="0"/>
          <w:color w:val="auto"/>
          <w:highlight w:val="none"/>
        </w:rPr>
        <w:t xml:space="preserve">人）； </w:t>
      </w:r>
    </w:p>
    <w:p w14:paraId="348DDB72">
      <w:pPr>
        <w:pStyle w:val="40"/>
        <w:spacing w:line="360" w:lineRule="auto"/>
        <w:rPr>
          <w:snapToGrid w:val="0"/>
          <w:color w:val="auto"/>
          <w:highlight w:val="none"/>
        </w:rPr>
      </w:pPr>
      <w:r>
        <w:rPr>
          <w:rFonts w:hint="eastAsia"/>
          <w:snapToGrid w:val="0"/>
          <w:color w:val="auto"/>
          <w:highlight w:val="none"/>
        </w:rPr>
        <w:t>42</w:t>
      </w:r>
      <w:r>
        <w:rPr>
          <w:snapToGrid w:val="0"/>
          <w:color w:val="auto"/>
          <w:highlight w:val="none"/>
        </w:rPr>
        <w:t>.</w:t>
      </w:r>
      <w:r>
        <w:rPr>
          <w:rFonts w:hint="eastAsia"/>
          <w:snapToGrid w:val="0"/>
          <w:color w:val="auto"/>
          <w:highlight w:val="none"/>
        </w:rPr>
        <w:t>7</w:t>
      </w:r>
      <w:r>
        <w:rPr>
          <w:snapToGrid w:val="0"/>
          <w:color w:val="auto"/>
          <w:highlight w:val="none"/>
        </w:rPr>
        <w:t xml:space="preserve">.2 </w:t>
      </w:r>
      <w:r>
        <w:rPr>
          <w:rFonts w:hint="eastAsia"/>
          <w:snapToGrid w:val="0"/>
          <w:color w:val="auto"/>
          <w:highlight w:val="none"/>
        </w:rPr>
        <w:t xml:space="preserve">依法与安置的每位残疾人签订了1年以上（含1年）的劳动合同或服务协议； </w:t>
      </w:r>
    </w:p>
    <w:p w14:paraId="60244095">
      <w:pPr>
        <w:pStyle w:val="40"/>
        <w:spacing w:line="360" w:lineRule="auto"/>
        <w:rPr>
          <w:snapToGrid w:val="0"/>
          <w:color w:val="auto"/>
          <w:highlight w:val="none"/>
        </w:rPr>
      </w:pPr>
      <w:r>
        <w:rPr>
          <w:rFonts w:hint="eastAsia"/>
          <w:snapToGrid w:val="0"/>
          <w:color w:val="auto"/>
          <w:highlight w:val="none"/>
        </w:rPr>
        <w:t>42</w:t>
      </w:r>
      <w:r>
        <w:rPr>
          <w:snapToGrid w:val="0"/>
          <w:color w:val="auto"/>
          <w:highlight w:val="none"/>
        </w:rPr>
        <w:t>.</w:t>
      </w:r>
      <w:r>
        <w:rPr>
          <w:rFonts w:hint="eastAsia"/>
          <w:snapToGrid w:val="0"/>
          <w:color w:val="auto"/>
          <w:highlight w:val="none"/>
        </w:rPr>
        <w:t>7</w:t>
      </w:r>
      <w:r>
        <w:rPr>
          <w:snapToGrid w:val="0"/>
          <w:color w:val="auto"/>
          <w:highlight w:val="none"/>
        </w:rPr>
        <w:t xml:space="preserve">.3 </w:t>
      </w:r>
      <w:r>
        <w:rPr>
          <w:rFonts w:hint="eastAsia"/>
          <w:snapToGrid w:val="0"/>
          <w:color w:val="auto"/>
          <w:highlight w:val="none"/>
        </w:rPr>
        <w:t xml:space="preserve">为安置的每位残疾人按月足额缴纳了基本养老保险、基本医疗保险、失业保险、工伤保险和生育保险等社会保险费； </w:t>
      </w:r>
    </w:p>
    <w:p w14:paraId="2E3950AF">
      <w:pPr>
        <w:pStyle w:val="40"/>
        <w:spacing w:line="360" w:lineRule="auto"/>
        <w:rPr>
          <w:snapToGrid w:val="0"/>
          <w:color w:val="auto"/>
          <w:highlight w:val="none"/>
        </w:rPr>
      </w:pPr>
      <w:r>
        <w:rPr>
          <w:rFonts w:hint="eastAsia"/>
          <w:snapToGrid w:val="0"/>
          <w:color w:val="auto"/>
          <w:highlight w:val="none"/>
        </w:rPr>
        <w:t>42</w:t>
      </w:r>
      <w:r>
        <w:rPr>
          <w:snapToGrid w:val="0"/>
          <w:color w:val="auto"/>
          <w:highlight w:val="none"/>
        </w:rPr>
        <w:t>.</w:t>
      </w:r>
      <w:r>
        <w:rPr>
          <w:rFonts w:hint="eastAsia"/>
          <w:snapToGrid w:val="0"/>
          <w:color w:val="auto"/>
          <w:highlight w:val="none"/>
        </w:rPr>
        <w:t>7</w:t>
      </w:r>
      <w:r>
        <w:rPr>
          <w:snapToGrid w:val="0"/>
          <w:color w:val="auto"/>
          <w:highlight w:val="none"/>
        </w:rPr>
        <w:t xml:space="preserve">.4 </w:t>
      </w:r>
      <w:r>
        <w:rPr>
          <w:rFonts w:hint="eastAsia"/>
          <w:snapToGrid w:val="0"/>
          <w:color w:val="auto"/>
          <w:highlight w:val="none"/>
        </w:rPr>
        <w:t xml:space="preserve">通过银行等金融机构向安置的每位残疾人，按月支付了不低于单位所在区县适用的经省级人民政府批准的月最低工资标准的工资； </w:t>
      </w:r>
    </w:p>
    <w:p w14:paraId="4AA40DD1">
      <w:pPr>
        <w:pStyle w:val="40"/>
        <w:spacing w:line="360" w:lineRule="auto"/>
        <w:rPr>
          <w:snapToGrid w:val="0"/>
          <w:color w:val="auto"/>
          <w:highlight w:val="none"/>
        </w:rPr>
      </w:pPr>
      <w:r>
        <w:rPr>
          <w:rFonts w:hint="eastAsia"/>
          <w:snapToGrid w:val="0"/>
          <w:color w:val="auto"/>
          <w:highlight w:val="none"/>
        </w:rPr>
        <w:t>42</w:t>
      </w:r>
      <w:r>
        <w:rPr>
          <w:snapToGrid w:val="0"/>
          <w:color w:val="auto"/>
          <w:highlight w:val="none"/>
        </w:rPr>
        <w:t>.</w:t>
      </w:r>
      <w:r>
        <w:rPr>
          <w:rFonts w:hint="eastAsia"/>
          <w:snapToGrid w:val="0"/>
          <w:color w:val="auto"/>
          <w:highlight w:val="none"/>
        </w:rPr>
        <w:t>7</w:t>
      </w:r>
      <w:r>
        <w:rPr>
          <w:snapToGrid w:val="0"/>
          <w:color w:val="auto"/>
          <w:highlight w:val="none"/>
        </w:rPr>
        <w:t xml:space="preserve">.5 </w:t>
      </w:r>
      <w:r>
        <w:rPr>
          <w:rFonts w:hint="eastAsia"/>
          <w:snapToGrid w:val="0"/>
          <w:color w:val="auto"/>
          <w:highlight w:val="none"/>
        </w:rPr>
        <w:t xml:space="preserve">提供本单位制造的货物、承担的工程或者服务（以下简称产品），或者提供其他残疾人福利性单位制造的货物（不包括使用非残疾人福利性单位注册商标的货物）； </w:t>
      </w:r>
    </w:p>
    <w:p w14:paraId="5E1FC2E7">
      <w:pPr>
        <w:pStyle w:val="40"/>
        <w:spacing w:line="360" w:lineRule="auto"/>
        <w:rPr>
          <w:snapToGrid w:val="0"/>
          <w:color w:val="auto"/>
          <w:highlight w:val="none"/>
        </w:rPr>
      </w:pPr>
      <w:r>
        <w:rPr>
          <w:rFonts w:hint="eastAsia"/>
          <w:snapToGrid w:val="0"/>
          <w:color w:val="auto"/>
          <w:highlight w:val="none"/>
        </w:rPr>
        <w:t>42</w:t>
      </w:r>
      <w:r>
        <w:rPr>
          <w:snapToGrid w:val="0"/>
          <w:color w:val="auto"/>
          <w:highlight w:val="none"/>
        </w:rPr>
        <w:t>.</w:t>
      </w:r>
      <w:r>
        <w:rPr>
          <w:rFonts w:hint="eastAsia"/>
          <w:snapToGrid w:val="0"/>
          <w:color w:val="auto"/>
          <w:highlight w:val="none"/>
        </w:rPr>
        <w:t>7</w:t>
      </w:r>
      <w:r>
        <w:rPr>
          <w:snapToGrid w:val="0"/>
          <w:color w:val="auto"/>
          <w:highlight w:val="none"/>
        </w:rPr>
        <w:t xml:space="preserve">.6 </w:t>
      </w:r>
      <w:r>
        <w:rPr>
          <w:rFonts w:hint="eastAsia"/>
          <w:snapToGrid w:val="0"/>
          <w:color w:val="auto"/>
          <w:highlight w:val="none"/>
        </w:rPr>
        <w:t>前款所称残疾人是指法定劳动年龄内，持有《中华人民共和国残疾人证》或者《中华人民共和国残疾军人证（</w:t>
      </w:r>
      <w:r>
        <w:rPr>
          <w:snapToGrid w:val="0"/>
          <w:color w:val="auto"/>
          <w:highlight w:val="none"/>
        </w:rPr>
        <w:t xml:space="preserve">1 </w:t>
      </w:r>
      <w:r>
        <w:rPr>
          <w:rFonts w:hint="eastAsia"/>
          <w:snapToGrid w:val="0"/>
          <w:color w:val="auto"/>
          <w:highlight w:val="none"/>
        </w:rPr>
        <w:t xml:space="preserve">至 </w:t>
      </w:r>
      <w:r>
        <w:rPr>
          <w:snapToGrid w:val="0"/>
          <w:color w:val="auto"/>
          <w:highlight w:val="none"/>
        </w:rPr>
        <w:t xml:space="preserve">8 </w:t>
      </w:r>
      <w:r>
        <w:rPr>
          <w:rFonts w:hint="eastAsia"/>
          <w:snapToGrid w:val="0"/>
          <w:color w:val="auto"/>
          <w:highlight w:val="none"/>
        </w:rPr>
        <w:t xml:space="preserve">级）》的自然人，包括具有劳动条件和劳动意愿的精神残疾人。在职职工人数是指与残疾人福利性单位建立劳动关系并依法签订劳动合同或服务协议的雇员人数。 </w:t>
      </w:r>
    </w:p>
    <w:p w14:paraId="64A820FC">
      <w:pPr>
        <w:pStyle w:val="40"/>
        <w:spacing w:line="360" w:lineRule="auto"/>
        <w:rPr>
          <w:snapToGrid w:val="0"/>
          <w:color w:val="auto"/>
          <w:highlight w:val="none"/>
        </w:rPr>
      </w:pPr>
      <w:r>
        <w:rPr>
          <w:rFonts w:hint="eastAsia"/>
          <w:snapToGrid w:val="0"/>
          <w:color w:val="auto"/>
          <w:highlight w:val="none"/>
        </w:rPr>
        <w:t>42</w:t>
      </w:r>
      <w:r>
        <w:rPr>
          <w:snapToGrid w:val="0"/>
          <w:color w:val="auto"/>
          <w:highlight w:val="none"/>
        </w:rPr>
        <w:t>.</w:t>
      </w:r>
      <w:r>
        <w:rPr>
          <w:rFonts w:hint="eastAsia"/>
          <w:snapToGrid w:val="0"/>
          <w:color w:val="auto"/>
          <w:highlight w:val="none"/>
        </w:rPr>
        <w:t>8</w:t>
      </w:r>
      <w:r>
        <w:rPr>
          <w:snapToGrid w:val="0"/>
          <w:color w:val="auto"/>
          <w:highlight w:val="none"/>
        </w:rPr>
        <w:t xml:space="preserve"> </w:t>
      </w:r>
      <w:r>
        <w:rPr>
          <w:rFonts w:hint="eastAsia"/>
          <w:snapToGrid w:val="0"/>
          <w:color w:val="auto"/>
          <w:highlight w:val="none"/>
        </w:rPr>
        <w:t>本项目是否专门面向中小企业预留采购份额见“第一章 招标公告”。    42</w:t>
      </w:r>
      <w:r>
        <w:rPr>
          <w:snapToGrid w:val="0"/>
          <w:color w:val="auto"/>
          <w:highlight w:val="none"/>
        </w:rPr>
        <w:t>.</w:t>
      </w:r>
      <w:r>
        <w:rPr>
          <w:rFonts w:hint="eastAsia"/>
          <w:snapToGrid w:val="0"/>
          <w:color w:val="auto"/>
          <w:highlight w:val="none"/>
        </w:rPr>
        <w:t>9</w:t>
      </w:r>
      <w:r>
        <w:rPr>
          <w:snapToGrid w:val="0"/>
          <w:color w:val="auto"/>
          <w:highlight w:val="none"/>
        </w:rPr>
        <w:t xml:space="preserve"> </w:t>
      </w:r>
      <w:r>
        <w:rPr>
          <w:rFonts w:hint="eastAsia"/>
          <w:snapToGrid w:val="0"/>
          <w:color w:val="auto"/>
          <w:highlight w:val="none"/>
        </w:rPr>
        <w:t>采购标的对应的中小企业划分标准所属行业见“投标人须知前附表”。    42</w:t>
      </w:r>
      <w:r>
        <w:rPr>
          <w:snapToGrid w:val="0"/>
          <w:color w:val="auto"/>
          <w:highlight w:val="none"/>
        </w:rPr>
        <w:t>.</w:t>
      </w:r>
      <w:r>
        <w:rPr>
          <w:rFonts w:hint="eastAsia"/>
          <w:snapToGrid w:val="0"/>
          <w:color w:val="auto"/>
          <w:highlight w:val="none"/>
        </w:rPr>
        <w:t>10</w:t>
      </w:r>
      <w:r>
        <w:rPr>
          <w:snapToGrid w:val="0"/>
          <w:color w:val="auto"/>
          <w:highlight w:val="none"/>
        </w:rPr>
        <w:t xml:space="preserve"> </w:t>
      </w:r>
      <w:r>
        <w:rPr>
          <w:rFonts w:hint="eastAsia"/>
          <w:snapToGrid w:val="0"/>
          <w:color w:val="auto"/>
          <w:highlight w:val="none"/>
        </w:rPr>
        <w:t>小微企业价格评审优惠的政策调整：见“投标人须知前附表”及“第五章 评标方法及标准”。</w:t>
      </w:r>
    </w:p>
    <w:p w14:paraId="3132ADE1">
      <w:pPr>
        <w:pStyle w:val="5"/>
        <w:spacing w:line="360" w:lineRule="auto"/>
        <w:rPr>
          <w:color w:val="auto"/>
          <w:highlight w:val="none"/>
        </w:rPr>
      </w:pPr>
      <w:bookmarkStart w:id="263" w:name="_Toc163492878"/>
      <w:r>
        <w:rPr>
          <w:rFonts w:hint="eastAsia"/>
          <w:color w:val="auto"/>
          <w:highlight w:val="none"/>
        </w:rPr>
        <w:t>43.政府采购节能产品、环境标志产品</w:t>
      </w:r>
      <w:bookmarkEnd w:id="263"/>
    </w:p>
    <w:p w14:paraId="3E0BC042">
      <w:pPr>
        <w:pStyle w:val="40"/>
        <w:spacing w:line="360" w:lineRule="auto"/>
        <w:rPr>
          <w:snapToGrid w:val="0"/>
          <w:color w:val="auto"/>
          <w:highlight w:val="none"/>
        </w:rPr>
      </w:pPr>
      <w:r>
        <w:rPr>
          <w:rFonts w:hint="eastAsia"/>
          <w:snapToGrid w:val="0"/>
          <w:color w:val="auto"/>
          <w:highlight w:val="none"/>
        </w:rPr>
        <w:t>43</w:t>
      </w:r>
      <w:r>
        <w:rPr>
          <w:snapToGrid w:val="0"/>
          <w:color w:val="auto"/>
          <w:highlight w:val="none"/>
        </w:rPr>
        <w:t xml:space="preserve">.1 </w:t>
      </w:r>
      <w:r>
        <w:rPr>
          <w:rFonts w:hint="eastAsia"/>
          <w:snapToGrid w:val="0"/>
          <w:color w:val="auto"/>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snapToGrid w:val="0"/>
          <w:color w:val="auto"/>
          <w:highlight w:val="none"/>
        </w:rPr>
        <w:t>2019</w:t>
      </w:r>
      <w:r>
        <w:rPr>
          <w:rFonts w:hint="eastAsia"/>
          <w:snapToGrid w:val="0"/>
          <w:color w:val="auto"/>
          <w:highlight w:val="none"/>
        </w:rPr>
        <w:t>〕</w:t>
      </w:r>
      <w:r>
        <w:rPr>
          <w:snapToGrid w:val="0"/>
          <w:color w:val="auto"/>
          <w:highlight w:val="none"/>
        </w:rPr>
        <w:t xml:space="preserve">9 </w:t>
      </w:r>
      <w:r>
        <w:rPr>
          <w:rFonts w:hint="eastAsia"/>
          <w:snapToGrid w:val="0"/>
          <w:color w:val="auto"/>
          <w:highlight w:val="none"/>
        </w:rPr>
        <w:t>号）、《关于印发环境标志产品政府采购品目清单的通知》（财库〔2019〕18号）、《关于印发节能产品政府采购品目清单的通知》（财库〔2019〕19号）的规定。</w:t>
      </w:r>
    </w:p>
    <w:p w14:paraId="07C4CDFE">
      <w:pPr>
        <w:pStyle w:val="40"/>
        <w:spacing w:line="360" w:lineRule="auto"/>
        <w:rPr>
          <w:snapToGrid w:val="0"/>
          <w:color w:val="auto"/>
          <w:highlight w:val="none"/>
        </w:rPr>
      </w:pPr>
      <w:r>
        <w:rPr>
          <w:rFonts w:hint="eastAsia"/>
          <w:snapToGrid w:val="0"/>
          <w:color w:val="auto"/>
          <w:highlight w:val="none"/>
        </w:rPr>
        <w:t>43</w:t>
      </w:r>
      <w:r>
        <w:rPr>
          <w:snapToGrid w:val="0"/>
          <w:color w:val="auto"/>
          <w:highlight w:val="none"/>
        </w:rPr>
        <w:t xml:space="preserve">.2 </w:t>
      </w:r>
      <w:r>
        <w:rPr>
          <w:rFonts w:hint="eastAsia"/>
          <w:snapToGrid w:val="0"/>
          <w:color w:val="auto"/>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7FBF4CE8">
      <w:pPr>
        <w:pStyle w:val="40"/>
        <w:spacing w:line="360" w:lineRule="auto"/>
        <w:rPr>
          <w:snapToGrid w:val="0"/>
          <w:color w:val="auto"/>
          <w:highlight w:val="none"/>
        </w:rPr>
      </w:pPr>
      <w:r>
        <w:rPr>
          <w:rFonts w:hint="eastAsia"/>
          <w:snapToGrid w:val="0"/>
          <w:color w:val="auto"/>
          <w:highlight w:val="none"/>
        </w:rPr>
        <w:t>43</w:t>
      </w:r>
      <w:r>
        <w:rPr>
          <w:snapToGrid w:val="0"/>
          <w:color w:val="auto"/>
          <w:highlight w:val="none"/>
        </w:rPr>
        <w:t xml:space="preserve">.3 </w:t>
      </w:r>
      <w:r>
        <w:rPr>
          <w:rFonts w:hint="eastAsia"/>
          <w:snapToGrid w:val="0"/>
          <w:color w:val="auto"/>
          <w:highlight w:val="none"/>
        </w:rPr>
        <w:t>如本项目采购产品属于实施政府强制采购品目清单范围的节能产品，则投标人所报产品必须获得国家确定的认证机构出具的、处于有效期之内的节能产品认证证书，否则</w:t>
      </w:r>
      <w:r>
        <w:rPr>
          <w:rFonts w:hint="eastAsia"/>
          <w:b/>
          <w:bCs/>
          <w:snapToGrid w:val="0"/>
          <w:color w:val="auto"/>
          <w:highlight w:val="none"/>
        </w:rPr>
        <w:t>投标无效</w:t>
      </w:r>
      <w:r>
        <w:rPr>
          <w:rFonts w:hint="eastAsia"/>
          <w:snapToGrid w:val="0"/>
          <w:color w:val="auto"/>
          <w:highlight w:val="none"/>
        </w:rPr>
        <w:t xml:space="preserve">。 </w:t>
      </w:r>
    </w:p>
    <w:p w14:paraId="7C6136A7">
      <w:pPr>
        <w:pStyle w:val="40"/>
        <w:spacing w:line="360" w:lineRule="auto"/>
        <w:rPr>
          <w:snapToGrid w:val="0"/>
          <w:color w:val="auto"/>
          <w:highlight w:val="none"/>
        </w:rPr>
      </w:pPr>
      <w:r>
        <w:rPr>
          <w:rFonts w:hint="eastAsia"/>
          <w:snapToGrid w:val="0"/>
          <w:color w:val="auto"/>
          <w:highlight w:val="none"/>
        </w:rPr>
        <w:t>43</w:t>
      </w:r>
      <w:r>
        <w:rPr>
          <w:snapToGrid w:val="0"/>
          <w:color w:val="auto"/>
          <w:highlight w:val="none"/>
        </w:rPr>
        <w:t xml:space="preserve">.4 </w:t>
      </w:r>
      <w:r>
        <w:rPr>
          <w:rFonts w:hint="eastAsia"/>
          <w:snapToGrid w:val="0"/>
          <w:color w:val="auto"/>
          <w:highlight w:val="none"/>
        </w:rPr>
        <w:t>非政府强制采购的节能产品或环境标志产品，依据品目清单和认证证书实施政府优先采购。优先采购的具体规定见“第五章 评标方法及标准”（如涉及）。</w:t>
      </w:r>
    </w:p>
    <w:p w14:paraId="667859F6">
      <w:pPr>
        <w:pStyle w:val="40"/>
        <w:spacing w:line="360" w:lineRule="auto"/>
        <w:rPr>
          <w:color w:val="auto"/>
          <w:highlight w:val="none"/>
        </w:rPr>
      </w:pPr>
      <w:r>
        <w:rPr>
          <w:rFonts w:hint="eastAsia"/>
          <w:snapToGrid w:val="0"/>
          <w:color w:val="auto"/>
          <w:highlight w:val="none"/>
          <w:lang w:val="en-US"/>
        </w:rPr>
        <w:t xml:space="preserve">43.5 </w:t>
      </w:r>
      <w:r>
        <w:rPr>
          <w:rFonts w:hint="eastAsia"/>
          <w:snapToGrid w:val="0"/>
          <w:color w:val="auto"/>
          <w:highlight w:val="none"/>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snapToGrid w:val="0"/>
          <w:color w:val="auto"/>
          <w:highlight w:val="none"/>
        </w:rPr>
        <w:t>已作为投标时强制性要求不再</w:t>
      </w:r>
      <w:r>
        <w:rPr>
          <w:rFonts w:hint="eastAsia"/>
          <w:snapToGrid w:val="0"/>
          <w:color w:val="auto"/>
          <w:highlight w:val="none"/>
        </w:rPr>
        <w:t>给予</w:t>
      </w:r>
      <w:r>
        <w:rPr>
          <w:rFonts w:hint="eastAsia"/>
          <w:snapToGrid w:val="0"/>
          <w:color w:val="auto"/>
          <w:highlight w:val="none"/>
          <w:lang w:val="en-US"/>
        </w:rPr>
        <w:t>评审优惠</w:t>
      </w:r>
      <w:r>
        <w:rPr>
          <w:rFonts w:hint="eastAsia"/>
          <w:snapToGrid w:val="0"/>
          <w:color w:val="auto"/>
          <w:highlight w:val="none"/>
        </w:rPr>
        <w:t>，未提供认证证书的视为</w:t>
      </w:r>
      <w:r>
        <w:rPr>
          <w:rFonts w:hint="eastAsia"/>
          <w:b/>
          <w:bCs/>
          <w:snapToGrid w:val="0"/>
          <w:color w:val="auto"/>
          <w:highlight w:val="none"/>
          <w:lang w:val="en-US"/>
        </w:rPr>
        <w:t>投标</w:t>
      </w:r>
      <w:r>
        <w:rPr>
          <w:rFonts w:hint="eastAsia"/>
          <w:b/>
          <w:bCs/>
          <w:snapToGrid w:val="0"/>
          <w:color w:val="auto"/>
          <w:highlight w:val="none"/>
        </w:rPr>
        <w:t>无效</w:t>
      </w:r>
      <w:r>
        <w:rPr>
          <w:rFonts w:hint="eastAsia"/>
          <w:snapToGrid w:val="0"/>
          <w:color w:val="auto"/>
          <w:highlight w:val="none"/>
        </w:rPr>
        <w:t>。属于</w:t>
      </w:r>
      <w:r>
        <w:rPr>
          <w:rFonts w:hint="eastAsia"/>
          <w:snapToGrid w:val="0"/>
          <w:color w:val="auto"/>
          <w:highlight w:val="none"/>
          <w:lang w:val="en-US"/>
        </w:rPr>
        <w:t>优先采购</w:t>
      </w:r>
      <w:r>
        <w:rPr>
          <w:rFonts w:hint="eastAsia"/>
          <w:snapToGrid w:val="0"/>
          <w:color w:val="auto"/>
          <w:highlight w:val="none"/>
        </w:rPr>
        <w:t>节能产品政府采购品目清单、环境标志产品政府采购品目清单、</w:t>
      </w:r>
      <w:r>
        <w:rPr>
          <w:rFonts w:hint="eastAsia"/>
          <w:snapToGrid w:val="0"/>
          <w:color w:val="auto"/>
          <w:highlight w:val="none"/>
          <w:lang w:val="en-US"/>
        </w:rPr>
        <w:t>创新产品</w:t>
      </w:r>
      <w:r>
        <w:rPr>
          <w:rFonts w:hint="eastAsia"/>
          <w:snapToGrid w:val="0"/>
          <w:color w:val="auto"/>
          <w:highlight w:val="none"/>
        </w:rPr>
        <w:t>范围的，按照“</w:t>
      </w:r>
      <w:r>
        <w:rPr>
          <w:rFonts w:hint="eastAsia"/>
          <w:color w:val="auto"/>
          <w:highlight w:val="none"/>
          <w:lang w:val="en-US"/>
        </w:rPr>
        <w:t>第五章 评标方法及标准</w:t>
      </w:r>
      <w:r>
        <w:rPr>
          <w:rFonts w:hint="eastAsia"/>
          <w:snapToGrid w:val="0"/>
          <w:color w:val="auto"/>
          <w:highlight w:val="none"/>
        </w:rPr>
        <w:t>”中相关规定</w:t>
      </w:r>
      <w:r>
        <w:rPr>
          <w:rFonts w:hint="eastAsia"/>
          <w:color w:val="auto"/>
          <w:highlight w:val="none"/>
          <w:lang w:val="en-US"/>
        </w:rPr>
        <w:t>在评审时给予优惠，具体详见</w:t>
      </w:r>
      <w:r>
        <w:rPr>
          <w:rFonts w:hint="eastAsia"/>
          <w:snapToGrid w:val="0"/>
          <w:color w:val="auto"/>
          <w:highlight w:val="none"/>
          <w:lang w:val="en-US"/>
        </w:rPr>
        <w:t>“投标人须知前附表”及</w:t>
      </w:r>
      <w:r>
        <w:rPr>
          <w:rFonts w:hint="eastAsia"/>
          <w:color w:val="auto"/>
          <w:highlight w:val="none"/>
          <w:lang w:val="en-US"/>
        </w:rPr>
        <w:t>“第五章 评标方法及标准”</w:t>
      </w:r>
      <w:r>
        <w:rPr>
          <w:rFonts w:hint="eastAsia"/>
          <w:color w:val="auto"/>
          <w:highlight w:val="none"/>
        </w:rPr>
        <w:t>。</w:t>
      </w:r>
    </w:p>
    <w:p w14:paraId="4013A080">
      <w:pPr>
        <w:pStyle w:val="5"/>
        <w:spacing w:line="360" w:lineRule="auto"/>
        <w:rPr>
          <w:color w:val="auto"/>
          <w:highlight w:val="none"/>
        </w:rPr>
      </w:pPr>
      <w:bookmarkStart w:id="264" w:name="_Toc163492879"/>
      <w:r>
        <w:rPr>
          <w:rFonts w:hint="eastAsia"/>
          <w:color w:val="auto"/>
          <w:highlight w:val="none"/>
        </w:rPr>
        <w:t xml:space="preserve">44.正版软件  </w:t>
      </w:r>
    </w:p>
    <w:p w14:paraId="1FC03748">
      <w:pPr>
        <w:pStyle w:val="40"/>
        <w:spacing w:line="360" w:lineRule="auto"/>
        <w:rPr>
          <w:snapToGrid w:val="0"/>
          <w:color w:val="auto"/>
          <w:highlight w:val="none"/>
        </w:rPr>
      </w:pPr>
      <w:r>
        <w:rPr>
          <w:rFonts w:hint="eastAsia"/>
          <w:snapToGrid w:val="0"/>
          <w:color w:val="auto"/>
          <w:highlight w:val="none"/>
        </w:rPr>
        <w:t>44.1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6002AD31">
      <w:pPr>
        <w:pStyle w:val="5"/>
        <w:spacing w:line="360" w:lineRule="auto"/>
        <w:rPr>
          <w:color w:val="auto"/>
          <w:highlight w:val="none"/>
        </w:rPr>
      </w:pPr>
      <w:r>
        <w:rPr>
          <w:rFonts w:hint="eastAsia"/>
          <w:color w:val="auto"/>
          <w:highlight w:val="none"/>
        </w:rPr>
        <w:t xml:space="preserve">45.网络安全专用产品   </w:t>
      </w:r>
    </w:p>
    <w:p w14:paraId="20E93B57">
      <w:pPr>
        <w:pStyle w:val="40"/>
        <w:spacing w:line="360" w:lineRule="auto"/>
        <w:rPr>
          <w:snapToGrid w:val="0"/>
          <w:color w:val="auto"/>
          <w:highlight w:val="none"/>
        </w:rPr>
      </w:pPr>
      <w:r>
        <w:rPr>
          <w:rFonts w:hint="eastAsia"/>
          <w:snapToGrid w:val="0"/>
          <w:color w:val="auto"/>
          <w:highlight w:val="none"/>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00B7815C">
      <w:pPr>
        <w:pStyle w:val="40"/>
        <w:spacing w:line="360" w:lineRule="auto"/>
        <w:rPr>
          <w:snapToGrid w:val="0"/>
          <w:color w:val="auto"/>
          <w:highlight w:val="none"/>
        </w:rPr>
      </w:pPr>
      <w:r>
        <w:rPr>
          <w:rFonts w:hint="eastAsia"/>
          <w:snapToGrid w:val="0"/>
          <w:color w:val="auto"/>
          <w:highlight w:val="none"/>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04BEC518">
      <w:pPr>
        <w:pStyle w:val="5"/>
        <w:spacing w:line="360" w:lineRule="auto"/>
        <w:rPr>
          <w:color w:val="auto"/>
          <w:highlight w:val="none"/>
        </w:rPr>
      </w:pPr>
      <w:r>
        <w:rPr>
          <w:rFonts w:hint="eastAsia"/>
          <w:color w:val="auto"/>
          <w:highlight w:val="none"/>
        </w:rPr>
        <w:t xml:space="preserve">46.采购需求标准   </w:t>
      </w:r>
    </w:p>
    <w:p w14:paraId="6196A385">
      <w:pPr>
        <w:pStyle w:val="40"/>
        <w:spacing w:line="360" w:lineRule="auto"/>
        <w:rPr>
          <w:snapToGrid w:val="0"/>
          <w:color w:val="auto"/>
          <w:highlight w:val="none"/>
        </w:rPr>
      </w:pPr>
      <w:r>
        <w:rPr>
          <w:rFonts w:hint="eastAsia"/>
          <w:snapToGrid w:val="0"/>
          <w:color w:val="auto"/>
          <w:highlight w:val="none"/>
        </w:rPr>
        <w:t xml:space="preserve">46.1 商品包装、快递包装政府采购需求标准（试行） </w:t>
      </w:r>
    </w:p>
    <w:p w14:paraId="2E5AD024">
      <w:pPr>
        <w:pStyle w:val="40"/>
        <w:spacing w:line="360" w:lineRule="auto"/>
        <w:rPr>
          <w:snapToGrid w:val="0"/>
          <w:color w:val="auto"/>
          <w:highlight w:val="none"/>
        </w:rPr>
      </w:pPr>
      <w:r>
        <w:rPr>
          <w:rFonts w:hint="eastAsia"/>
          <w:snapToGrid w:val="0"/>
          <w:color w:val="auto"/>
          <w:highlight w:val="none"/>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4DBF496B">
      <w:pPr>
        <w:pStyle w:val="40"/>
        <w:spacing w:line="360" w:lineRule="auto"/>
        <w:rPr>
          <w:snapToGrid w:val="0"/>
          <w:color w:val="auto"/>
          <w:highlight w:val="none"/>
        </w:rPr>
      </w:pPr>
      <w:r>
        <w:rPr>
          <w:rFonts w:hint="eastAsia"/>
          <w:snapToGrid w:val="0"/>
          <w:color w:val="auto"/>
          <w:highlight w:val="none"/>
        </w:rPr>
        <w:t xml:space="preserve">46.2 绿色数据中心政府采购需求标准（试行） </w:t>
      </w:r>
    </w:p>
    <w:p w14:paraId="1B9639BF">
      <w:pPr>
        <w:pStyle w:val="40"/>
        <w:spacing w:line="360" w:lineRule="auto"/>
        <w:rPr>
          <w:snapToGrid w:val="0"/>
          <w:color w:val="auto"/>
          <w:highlight w:val="none"/>
        </w:rPr>
      </w:pPr>
      <w:r>
        <w:rPr>
          <w:rFonts w:hint="eastAsia"/>
          <w:snapToGrid w:val="0"/>
          <w:color w:val="auto"/>
          <w:highlight w:val="none"/>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6CDC2B88">
      <w:pPr>
        <w:pStyle w:val="40"/>
        <w:spacing w:line="360" w:lineRule="auto"/>
        <w:rPr>
          <w:snapToGrid w:val="0"/>
          <w:color w:val="auto"/>
          <w:highlight w:val="none"/>
        </w:rPr>
      </w:pPr>
      <w:r>
        <w:rPr>
          <w:rFonts w:hint="eastAsia"/>
          <w:snapToGrid w:val="0"/>
          <w:color w:val="auto"/>
          <w:highlight w:val="none"/>
        </w:rPr>
        <w:t>46.3台式计算机政府采购需求标准</w:t>
      </w:r>
    </w:p>
    <w:p w14:paraId="3A46B3C8">
      <w:pPr>
        <w:pStyle w:val="40"/>
        <w:spacing w:line="360" w:lineRule="auto"/>
        <w:rPr>
          <w:snapToGrid w:val="0"/>
          <w:color w:val="auto"/>
          <w:highlight w:val="none"/>
        </w:rPr>
      </w:pPr>
      <w:r>
        <w:rPr>
          <w:rFonts w:hint="eastAsia"/>
          <w:snapToGrid w:val="0"/>
          <w:color w:val="auto"/>
          <w:highlight w:val="none"/>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3EA7D4F4">
      <w:pPr>
        <w:pStyle w:val="40"/>
        <w:spacing w:line="360" w:lineRule="auto"/>
        <w:rPr>
          <w:snapToGrid w:val="0"/>
          <w:color w:val="auto"/>
          <w:highlight w:val="none"/>
        </w:rPr>
      </w:pPr>
      <w:r>
        <w:rPr>
          <w:rFonts w:hint="eastAsia"/>
          <w:snapToGrid w:val="0"/>
          <w:color w:val="auto"/>
          <w:highlight w:val="none"/>
        </w:rPr>
        <w:t>46.4便携式计算机政府采购需求标准</w:t>
      </w:r>
    </w:p>
    <w:p w14:paraId="140CA8EC">
      <w:pPr>
        <w:pStyle w:val="40"/>
        <w:spacing w:line="360" w:lineRule="auto"/>
        <w:rPr>
          <w:snapToGrid w:val="0"/>
          <w:color w:val="auto"/>
          <w:highlight w:val="none"/>
        </w:rPr>
      </w:pPr>
      <w:r>
        <w:rPr>
          <w:rFonts w:hint="eastAsia"/>
          <w:snapToGrid w:val="0"/>
          <w:color w:val="auto"/>
          <w:highlight w:val="none"/>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32C5B762">
      <w:pPr>
        <w:pStyle w:val="40"/>
        <w:spacing w:line="360" w:lineRule="auto"/>
        <w:rPr>
          <w:snapToGrid w:val="0"/>
          <w:color w:val="auto"/>
          <w:highlight w:val="none"/>
        </w:rPr>
      </w:pPr>
      <w:r>
        <w:rPr>
          <w:rFonts w:hint="eastAsia"/>
          <w:snapToGrid w:val="0"/>
          <w:color w:val="auto"/>
          <w:highlight w:val="none"/>
        </w:rPr>
        <w:t>46.5一体式计算机政府采购需求标准</w:t>
      </w:r>
    </w:p>
    <w:p w14:paraId="16187D11">
      <w:pPr>
        <w:pStyle w:val="40"/>
        <w:spacing w:line="360" w:lineRule="auto"/>
        <w:rPr>
          <w:snapToGrid w:val="0"/>
          <w:color w:val="auto"/>
          <w:highlight w:val="none"/>
        </w:rPr>
      </w:pPr>
      <w:r>
        <w:rPr>
          <w:rFonts w:hint="eastAsia"/>
          <w:snapToGrid w:val="0"/>
          <w:color w:val="auto"/>
          <w:highlight w:val="none"/>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489DCF04">
      <w:pPr>
        <w:pStyle w:val="40"/>
        <w:spacing w:line="360" w:lineRule="auto"/>
        <w:rPr>
          <w:snapToGrid w:val="0"/>
          <w:color w:val="auto"/>
          <w:highlight w:val="none"/>
        </w:rPr>
      </w:pPr>
      <w:r>
        <w:rPr>
          <w:rFonts w:hint="eastAsia"/>
          <w:snapToGrid w:val="0"/>
          <w:color w:val="auto"/>
          <w:highlight w:val="none"/>
        </w:rPr>
        <w:t>46.6工作站政府采购需求标准</w:t>
      </w:r>
    </w:p>
    <w:p w14:paraId="2420E9D7">
      <w:pPr>
        <w:pStyle w:val="40"/>
        <w:spacing w:line="360" w:lineRule="auto"/>
        <w:rPr>
          <w:snapToGrid w:val="0"/>
          <w:color w:val="auto"/>
          <w:highlight w:val="none"/>
        </w:rPr>
      </w:pPr>
      <w:r>
        <w:rPr>
          <w:rFonts w:hint="eastAsia"/>
          <w:snapToGrid w:val="0"/>
          <w:color w:val="auto"/>
          <w:highlight w:val="none"/>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193FA6AE">
      <w:pPr>
        <w:pStyle w:val="40"/>
        <w:spacing w:line="360" w:lineRule="auto"/>
        <w:rPr>
          <w:snapToGrid w:val="0"/>
          <w:color w:val="auto"/>
          <w:highlight w:val="none"/>
        </w:rPr>
      </w:pPr>
      <w:r>
        <w:rPr>
          <w:rFonts w:hint="eastAsia"/>
          <w:snapToGrid w:val="0"/>
          <w:color w:val="auto"/>
          <w:highlight w:val="none"/>
        </w:rPr>
        <w:t>46.7通用服务器政府采购需求标准</w:t>
      </w:r>
    </w:p>
    <w:p w14:paraId="704CB881">
      <w:pPr>
        <w:pStyle w:val="40"/>
        <w:spacing w:line="360" w:lineRule="auto"/>
        <w:rPr>
          <w:snapToGrid w:val="0"/>
          <w:color w:val="auto"/>
          <w:highlight w:val="none"/>
        </w:rPr>
      </w:pPr>
      <w:r>
        <w:rPr>
          <w:rFonts w:hint="eastAsia"/>
          <w:snapToGrid w:val="0"/>
          <w:color w:val="auto"/>
          <w:highlight w:val="none"/>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3E86F0AB">
      <w:pPr>
        <w:pStyle w:val="40"/>
        <w:spacing w:line="360" w:lineRule="auto"/>
        <w:rPr>
          <w:snapToGrid w:val="0"/>
          <w:color w:val="auto"/>
          <w:highlight w:val="none"/>
        </w:rPr>
      </w:pPr>
      <w:r>
        <w:rPr>
          <w:rFonts w:hint="eastAsia"/>
          <w:snapToGrid w:val="0"/>
          <w:color w:val="auto"/>
          <w:highlight w:val="none"/>
        </w:rPr>
        <w:t>46.8操作系统政府采购需求标准</w:t>
      </w:r>
    </w:p>
    <w:p w14:paraId="7B0944E5">
      <w:pPr>
        <w:pStyle w:val="40"/>
        <w:spacing w:line="360" w:lineRule="auto"/>
        <w:rPr>
          <w:snapToGrid w:val="0"/>
          <w:color w:val="auto"/>
          <w:highlight w:val="none"/>
        </w:rPr>
      </w:pPr>
      <w:r>
        <w:rPr>
          <w:rFonts w:hint="eastAsia"/>
          <w:snapToGrid w:val="0"/>
          <w:color w:val="auto"/>
          <w:highlight w:val="none"/>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55A3244F">
      <w:pPr>
        <w:pStyle w:val="40"/>
        <w:spacing w:line="360" w:lineRule="auto"/>
        <w:rPr>
          <w:snapToGrid w:val="0"/>
          <w:color w:val="auto"/>
          <w:highlight w:val="none"/>
        </w:rPr>
      </w:pPr>
      <w:r>
        <w:rPr>
          <w:rFonts w:hint="eastAsia"/>
          <w:snapToGrid w:val="0"/>
          <w:color w:val="auto"/>
          <w:highlight w:val="none"/>
        </w:rPr>
        <w:t>46.9数据库政府采购需求标准</w:t>
      </w:r>
    </w:p>
    <w:p w14:paraId="14168675">
      <w:pPr>
        <w:pStyle w:val="40"/>
        <w:spacing w:line="360" w:lineRule="auto"/>
        <w:rPr>
          <w:snapToGrid w:val="0"/>
          <w:color w:val="auto"/>
          <w:highlight w:val="none"/>
        </w:rPr>
      </w:pPr>
      <w:r>
        <w:rPr>
          <w:rFonts w:hint="eastAsia"/>
          <w:snapToGrid w:val="0"/>
          <w:color w:val="auto"/>
          <w:highlight w:val="none"/>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41287388">
      <w:pPr>
        <w:pStyle w:val="40"/>
        <w:spacing w:line="360" w:lineRule="auto"/>
        <w:rPr>
          <w:snapToGrid w:val="0"/>
          <w:color w:val="auto"/>
          <w:highlight w:val="none"/>
        </w:rPr>
      </w:pPr>
      <w:r>
        <w:rPr>
          <w:rFonts w:hint="eastAsia"/>
          <w:snapToGrid w:val="0"/>
          <w:color w:val="auto"/>
          <w:highlight w:val="none"/>
        </w:rPr>
        <w:t>46.10物业管理服务政府采购需求标准（办公场所类）（试行）</w:t>
      </w:r>
    </w:p>
    <w:p w14:paraId="7B0710DB">
      <w:pPr>
        <w:pStyle w:val="40"/>
        <w:spacing w:line="360" w:lineRule="auto"/>
        <w:rPr>
          <w:snapToGrid w:val="0"/>
          <w:color w:val="auto"/>
          <w:highlight w:val="none"/>
        </w:rPr>
      </w:pPr>
      <w:r>
        <w:rPr>
          <w:rFonts w:hint="eastAsia"/>
          <w:snapToGrid w:val="0"/>
          <w:color w:val="auto"/>
          <w:highlight w:val="none"/>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2F248E60">
      <w:pPr>
        <w:pStyle w:val="4"/>
        <w:spacing w:line="360" w:lineRule="auto"/>
        <w:rPr>
          <w:color w:val="auto"/>
          <w:highlight w:val="none"/>
        </w:rPr>
      </w:pPr>
      <w:r>
        <w:rPr>
          <w:rFonts w:hint="eastAsia"/>
          <w:color w:val="auto"/>
          <w:highlight w:val="none"/>
        </w:rPr>
        <w:t>（十四）政府采购合同融资政策</w:t>
      </w:r>
      <w:bookmarkEnd w:id="259"/>
      <w:bookmarkEnd w:id="260"/>
      <w:bookmarkEnd w:id="264"/>
    </w:p>
    <w:p w14:paraId="69D4C056">
      <w:pPr>
        <w:pStyle w:val="5"/>
        <w:spacing w:line="360" w:lineRule="auto"/>
        <w:rPr>
          <w:color w:val="auto"/>
          <w:highlight w:val="none"/>
        </w:rPr>
      </w:pPr>
      <w:bookmarkStart w:id="265" w:name="_Toc163492880"/>
      <w:r>
        <w:rPr>
          <w:rFonts w:hint="eastAsia"/>
          <w:color w:val="auto"/>
          <w:highlight w:val="none"/>
        </w:rPr>
        <w:t>47.政府采购合同融资政策</w:t>
      </w:r>
      <w:bookmarkEnd w:id="265"/>
    </w:p>
    <w:p w14:paraId="79F1B9CC">
      <w:pPr>
        <w:pStyle w:val="40"/>
        <w:spacing w:line="360" w:lineRule="auto"/>
        <w:rPr>
          <w:color w:val="auto"/>
          <w:highlight w:val="none"/>
        </w:rPr>
      </w:pPr>
      <w:r>
        <w:rPr>
          <w:rFonts w:hint="eastAsia"/>
          <w:color w:val="auto"/>
          <w:highlight w:val="none"/>
        </w:rPr>
        <w:t>4</w:t>
      </w:r>
      <w:r>
        <w:rPr>
          <w:rFonts w:hint="eastAsia"/>
          <w:color w:val="auto"/>
          <w:highlight w:val="none"/>
          <w:lang w:val="en-US"/>
        </w:rPr>
        <w:t>7</w:t>
      </w:r>
      <w:r>
        <w:rPr>
          <w:color w:val="auto"/>
          <w:highlight w:val="none"/>
        </w:rPr>
        <w:t>.</w:t>
      </w:r>
      <w:r>
        <w:rPr>
          <w:rFonts w:hint="eastAsia"/>
          <w:color w:val="auto"/>
          <w:highlight w:val="none"/>
        </w:rPr>
        <w:t>1政府采购合同融资政策：见投标人须知前附表。</w:t>
      </w:r>
    </w:p>
    <w:p w14:paraId="74C90425">
      <w:pPr>
        <w:pStyle w:val="4"/>
        <w:spacing w:line="360" w:lineRule="auto"/>
        <w:rPr>
          <w:color w:val="auto"/>
          <w:highlight w:val="none"/>
        </w:rPr>
      </w:pPr>
      <w:bookmarkStart w:id="266" w:name="_Toc163492881"/>
      <w:r>
        <w:rPr>
          <w:rFonts w:hint="eastAsia"/>
          <w:color w:val="auto"/>
          <w:highlight w:val="none"/>
        </w:rPr>
        <w:t>（十五）其他</w:t>
      </w:r>
      <w:bookmarkEnd w:id="266"/>
    </w:p>
    <w:p w14:paraId="5C71BF1B">
      <w:pPr>
        <w:pStyle w:val="5"/>
        <w:spacing w:line="360" w:lineRule="auto"/>
        <w:rPr>
          <w:color w:val="auto"/>
          <w:highlight w:val="none"/>
        </w:rPr>
      </w:pPr>
      <w:bookmarkStart w:id="267" w:name="_Toc163492882"/>
      <w:r>
        <w:rPr>
          <w:rFonts w:hint="eastAsia"/>
          <w:color w:val="auto"/>
          <w:highlight w:val="none"/>
        </w:rPr>
        <w:t>48.需要补充的其他内容</w:t>
      </w:r>
      <w:bookmarkEnd w:id="267"/>
    </w:p>
    <w:p w14:paraId="3D2B01EF">
      <w:pPr>
        <w:pStyle w:val="40"/>
        <w:spacing w:line="360" w:lineRule="auto"/>
        <w:rPr>
          <w:color w:val="auto"/>
          <w:highlight w:val="none"/>
        </w:rPr>
      </w:pPr>
      <w:r>
        <w:rPr>
          <w:rFonts w:hint="eastAsia"/>
          <w:color w:val="auto"/>
          <w:highlight w:val="none"/>
        </w:rPr>
        <w:t>需要补充的其他内容：见投标人须知前附表。</w:t>
      </w:r>
    </w:p>
    <w:p w14:paraId="2E1B26AE">
      <w:pPr>
        <w:pStyle w:val="5"/>
        <w:spacing w:line="360" w:lineRule="auto"/>
        <w:rPr>
          <w:color w:val="auto"/>
          <w:highlight w:val="none"/>
        </w:rPr>
      </w:pPr>
      <w:bookmarkStart w:id="268" w:name="_Toc140132810"/>
      <w:bookmarkStart w:id="269" w:name="_Toc163492883"/>
      <w:bookmarkStart w:id="270" w:name="_Toc155185886"/>
      <w:r>
        <w:rPr>
          <w:rFonts w:hint="eastAsia"/>
          <w:color w:val="auto"/>
          <w:highlight w:val="none"/>
        </w:rPr>
        <w:t>49.适用法律</w:t>
      </w:r>
      <w:bookmarkEnd w:id="268"/>
      <w:bookmarkEnd w:id="269"/>
      <w:bookmarkEnd w:id="270"/>
    </w:p>
    <w:p w14:paraId="6F914520">
      <w:pPr>
        <w:pStyle w:val="40"/>
        <w:spacing w:line="360" w:lineRule="auto"/>
        <w:rPr>
          <w:snapToGrid w:val="0"/>
          <w:color w:val="auto"/>
          <w:highlight w:val="none"/>
        </w:rPr>
      </w:pPr>
      <w:r>
        <w:rPr>
          <w:rFonts w:hint="eastAsia"/>
          <w:snapToGrid w:val="0"/>
          <w:color w:val="auto"/>
          <w:highlight w:val="none"/>
          <w:lang w:val="en-US"/>
        </w:rPr>
        <w:t>49</w:t>
      </w:r>
      <w:r>
        <w:rPr>
          <w:snapToGrid w:val="0"/>
          <w:color w:val="auto"/>
          <w:highlight w:val="none"/>
        </w:rPr>
        <w:t>.1</w:t>
      </w:r>
      <w:r>
        <w:rPr>
          <w:rFonts w:hint="eastAsia"/>
          <w:snapToGrid w:val="0"/>
          <w:color w:val="auto"/>
          <w:highlight w:val="none"/>
        </w:rPr>
        <w:t>采购人、采购代理机构及投标人的一切采购活动均适用《中华人民共和国政府采购法》《中华人民共和国政府采购法实施条例》《政府采购货物和服务招标投标管理办法》（财政部令第87号）及相关法律法规。</w:t>
      </w:r>
    </w:p>
    <w:p w14:paraId="40EF1F0B">
      <w:pPr>
        <w:pStyle w:val="40"/>
        <w:spacing w:line="360" w:lineRule="auto"/>
        <w:rPr>
          <w:color w:val="auto"/>
          <w:highlight w:val="none"/>
        </w:rPr>
      </w:pPr>
      <w:r>
        <w:rPr>
          <w:rFonts w:hint="eastAsia"/>
          <w:snapToGrid w:val="0"/>
          <w:color w:val="auto"/>
          <w:highlight w:val="none"/>
          <w:lang w:val="en-US"/>
        </w:rPr>
        <w:t>49</w:t>
      </w:r>
      <w:r>
        <w:rPr>
          <w:snapToGrid w:val="0"/>
          <w:color w:val="auto"/>
          <w:highlight w:val="none"/>
        </w:rPr>
        <w:t>.2</w:t>
      </w:r>
      <w:r>
        <w:rPr>
          <w:rFonts w:hint="eastAsia"/>
          <w:snapToGrid w:val="0"/>
          <w:color w:val="auto"/>
          <w:highlight w:val="none"/>
        </w:rPr>
        <w:t>政府采购合同的履行、违约责任和解决争议的方法等适用《中华人民共和国民法典》。</w:t>
      </w:r>
    </w:p>
    <w:p w14:paraId="326C07AB">
      <w:pPr>
        <w:pStyle w:val="5"/>
        <w:spacing w:line="360" w:lineRule="auto"/>
        <w:rPr>
          <w:color w:val="auto"/>
          <w:highlight w:val="none"/>
        </w:rPr>
      </w:pPr>
      <w:bookmarkStart w:id="271" w:name="_Toc163492884"/>
      <w:bookmarkStart w:id="272" w:name="_Toc155185887"/>
      <w:r>
        <w:rPr>
          <w:rFonts w:hint="eastAsia"/>
          <w:color w:val="auto"/>
          <w:highlight w:val="none"/>
        </w:rPr>
        <w:t>50.解释权</w:t>
      </w:r>
      <w:bookmarkEnd w:id="271"/>
      <w:bookmarkEnd w:id="272"/>
    </w:p>
    <w:p w14:paraId="3EB98042">
      <w:pPr>
        <w:pStyle w:val="40"/>
        <w:spacing w:line="360" w:lineRule="auto"/>
        <w:rPr>
          <w:snapToGrid w:val="0"/>
          <w:color w:val="auto"/>
          <w:highlight w:val="none"/>
        </w:rPr>
      </w:pPr>
      <w:r>
        <w:rPr>
          <w:rFonts w:hint="eastAsia"/>
          <w:snapToGrid w:val="0"/>
          <w:color w:val="auto"/>
          <w:highlight w:val="none"/>
          <w:lang w:val="en-US"/>
        </w:rPr>
        <w:t>50</w:t>
      </w:r>
      <w:r>
        <w:rPr>
          <w:snapToGrid w:val="0"/>
          <w:color w:val="auto"/>
          <w:highlight w:val="none"/>
        </w:rPr>
        <w:t>.</w:t>
      </w:r>
      <w:r>
        <w:rPr>
          <w:rFonts w:hint="eastAsia"/>
          <w:snapToGrid w:val="0"/>
          <w:color w:val="auto"/>
          <w:highlight w:val="none"/>
        </w:rPr>
        <w:t>1本招标文件最终解释权归采购人或采购代理机构所有。</w:t>
      </w:r>
    </w:p>
    <w:p w14:paraId="7E82C270">
      <w:pPr>
        <w:spacing w:line="360" w:lineRule="auto"/>
        <w:rPr>
          <w:color w:val="auto"/>
          <w:highlight w:val="none"/>
        </w:rPr>
      </w:pPr>
      <w:bookmarkStart w:id="273" w:name="_Toc163492885"/>
      <w:bookmarkStart w:id="274" w:name="_Toc155185888"/>
      <w:r>
        <w:rPr>
          <w:rFonts w:hint="eastAsia"/>
          <w:color w:val="auto"/>
          <w:highlight w:val="none"/>
        </w:rPr>
        <w:br w:type="page"/>
      </w:r>
    </w:p>
    <w:p w14:paraId="011AD37C">
      <w:pPr>
        <w:pStyle w:val="2"/>
        <w:rPr>
          <w:color w:val="auto"/>
          <w:highlight w:val="none"/>
        </w:rPr>
      </w:pPr>
      <w:bookmarkStart w:id="275" w:name="_Toc28263"/>
      <w:r>
        <w:rPr>
          <w:rFonts w:hint="eastAsia"/>
          <w:color w:val="auto"/>
          <w:highlight w:val="none"/>
        </w:rPr>
        <w:t>第三章 采购需求</w:t>
      </w:r>
      <w:bookmarkEnd w:id="273"/>
      <w:bookmarkEnd w:id="274"/>
      <w:bookmarkEnd w:id="275"/>
    </w:p>
    <w:p w14:paraId="27B50C28">
      <w:pPr>
        <w:pStyle w:val="40"/>
        <w:rPr>
          <w:snapToGrid w:val="0"/>
          <w:color w:val="auto"/>
          <w:highlight w:val="none"/>
        </w:rPr>
      </w:pPr>
      <w:bookmarkStart w:id="276" w:name="_Toc155185889"/>
      <w:bookmarkStart w:id="277" w:name="_Toc163492886"/>
      <w:bookmarkStart w:id="278" w:name="_Toc140132812"/>
      <w:r>
        <w:rPr>
          <w:rFonts w:hint="eastAsia"/>
          <w:snapToGrid w:val="0"/>
          <w:color w:val="auto"/>
          <w:highlight w:val="none"/>
        </w:rPr>
        <w:t xml:space="preserve">说明： </w:t>
      </w:r>
    </w:p>
    <w:p w14:paraId="7235EF49">
      <w:pPr>
        <w:pStyle w:val="40"/>
        <w:spacing w:line="360" w:lineRule="auto"/>
        <w:rPr>
          <w:snapToGrid w:val="0"/>
          <w:color w:val="auto"/>
          <w:highlight w:val="none"/>
        </w:rPr>
      </w:pPr>
      <w:r>
        <w:rPr>
          <w:rFonts w:hint="eastAsia"/>
          <w:snapToGrid w:val="0"/>
          <w:color w:val="auto"/>
          <w:highlight w:val="none"/>
        </w:rPr>
        <w:t>1. 当采购项目涉及数据中心相关设备、运维服务时，采购需求应当符合《绿色数据中心政府采购需求标准（试行）》（财库〔</w:t>
      </w:r>
      <w:r>
        <w:rPr>
          <w:snapToGrid w:val="0"/>
          <w:color w:val="auto"/>
          <w:highlight w:val="none"/>
        </w:rPr>
        <w:t>2023</w:t>
      </w:r>
      <w:r>
        <w:rPr>
          <w:rFonts w:hint="eastAsia"/>
          <w:snapToGrid w:val="0"/>
          <w:color w:val="auto"/>
          <w:highlight w:val="none"/>
        </w:rPr>
        <w:t>〕</w:t>
      </w:r>
      <w:r>
        <w:rPr>
          <w:snapToGrid w:val="0"/>
          <w:color w:val="auto"/>
          <w:highlight w:val="none"/>
        </w:rPr>
        <w:t xml:space="preserve">7 </w:t>
      </w:r>
      <w:r>
        <w:rPr>
          <w:rFonts w:hint="eastAsia"/>
          <w:snapToGrid w:val="0"/>
          <w:color w:val="auto"/>
          <w:highlight w:val="none"/>
        </w:rPr>
        <w:t xml:space="preserve">号）的有关要求。 </w:t>
      </w:r>
    </w:p>
    <w:p w14:paraId="7F78CD8C">
      <w:pPr>
        <w:pStyle w:val="40"/>
        <w:spacing w:line="360" w:lineRule="auto"/>
        <w:rPr>
          <w:snapToGrid w:val="0"/>
          <w:color w:val="auto"/>
          <w:highlight w:val="none"/>
        </w:rPr>
      </w:pPr>
      <w:r>
        <w:rPr>
          <w:snapToGrid w:val="0"/>
          <w:color w:val="auto"/>
          <w:highlight w:val="none"/>
        </w:rPr>
        <w:t xml:space="preserve">2. </w:t>
      </w:r>
      <w:r>
        <w:rPr>
          <w:rFonts w:hint="eastAsia"/>
          <w:snapToGrid w:val="0"/>
          <w:color w:val="auto"/>
          <w:highlight w:val="none"/>
        </w:rPr>
        <w:t>当采购项目涉及政务信息系统时，采购需求应当符合《政务信息系统政府采购管理暂行办法》（财库〔</w:t>
      </w:r>
      <w:r>
        <w:rPr>
          <w:snapToGrid w:val="0"/>
          <w:color w:val="auto"/>
          <w:highlight w:val="none"/>
        </w:rPr>
        <w:t>2017</w:t>
      </w:r>
      <w:r>
        <w:rPr>
          <w:rFonts w:hint="eastAsia"/>
          <w:snapToGrid w:val="0"/>
          <w:color w:val="auto"/>
          <w:highlight w:val="none"/>
        </w:rPr>
        <w:t>〕</w:t>
      </w:r>
      <w:r>
        <w:rPr>
          <w:snapToGrid w:val="0"/>
          <w:color w:val="auto"/>
          <w:highlight w:val="none"/>
        </w:rPr>
        <w:t xml:space="preserve">210 </w:t>
      </w:r>
      <w:r>
        <w:rPr>
          <w:rFonts w:hint="eastAsia"/>
          <w:snapToGrid w:val="0"/>
          <w:color w:val="auto"/>
          <w:highlight w:val="none"/>
        </w:rPr>
        <w:t xml:space="preserve">号）的相关要求。 </w:t>
      </w:r>
    </w:p>
    <w:p w14:paraId="27853FE2">
      <w:pPr>
        <w:pStyle w:val="3"/>
        <w:spacing w:before="0" w:after="0" w:line="360" w:lineRule="auto"/>
        <w:rPr>
          <w:color w:val="auto"/>
          <w:highlight w:val="none"/>
        </w:rPr>
      </w:pPr>
      <w:bookmarkStart w:id="279" w:name="_Toc1834"/>
      <w:r>
        <w:rPr>
          <w:rFonts w:hint="eastAsia"/>
          <w:color w:val="auto"/>
          <w:highlight w:val="none"/>
        </w:rPr>
        <w:t>一、采购标的</w:t>
      </w:r>
      <w:bookmarkEnd w:id="279"/>
      <w:r>
        <w:rPr>
          <w:rFonts w:hint="eastAsia"/>
          <w:color w:val="auto"/>
          <w:highlight w:val="none"/>
        </w:rPr>
        <w:t xml:space="preserve"> </w:t>
      </w:r>
    </w:p>
    <w:p w14:paraId="40B3D59E">
      <w:pPr>
        <w:pStyle w:val="40"/>
        <w:spacing w:line="360" w:lineRule="auto"/>
        <w:rPr>
          <w:snapToGrid w:val="0"/>
          <w:color w:val="auto"/>
          <w:highlight w:val="none"/>
        </w:rPr>
      </w:pPr>
      <w:r>
        <w:rPr>
          <w:snapToGrid w:val="0"/>
          <w:color w:val="auto"/>
          <w:highlight w:val="none"/>
        </w:rPr>
        <w:t xml:space="preserve">1. </w:t>
      </w:r>
      <w:r>
        <w:rPr>
          <w:rFonts w:hint="eastAsia"/>
          <w:snapToGrid w:val="0"/>
          <w:color w:val="auto"/>
          <w:highlight w:val="none"/>
        </w:rPr>
        <w:t xml:space="preserve">采购标的（货物需求一览表或简要服务内容及数量） </w:t>
      </w:r>
    </w:p>
    <w:tbl>
      <w:tblPr>
        <w:tblStyle w:val="32"/>
        <w:tblW w:w="9106" w:type="dxa"/>
        <w:jc w:val="center"/>
        <w:tblLayout w:type="fixed"/>
        <w:tblCellMar>
          <w:top w:w="0" w:type="dxa"/>
          <w:left w:w="108" w:type="dxa"/>
          <w:bottom w:w="0" w:type="dxa"/>
          <w:right w:w="108" w:type="dxa"/>
        </w:tblCellMar>
      </w:tblPr>
      <w:tblGrid>
        <w:gridCol w:w="1367"/>
        <w:gridCol w:w="1319"/>
        <w:gridCol w:w="890"/>
        <w:gridCol w:w="529"/>
        <w:gridCol w:w="1540"/>
        <w:gridCol w:w="1660"/>
        <w:gridCol w:w="1801"/>
      </w:tblGrid>
      <w:tr w14:paraId="2FBFF440">
        <w:tblPrEx>
          <w:tblCellMar>
            <w:top w:w="0" w:type="dxa"/>
            <w:left w:w="108" w:type="dxa"/>
            <w:bottom w:w="0" w:type="dxa"/>
            <w:right w:w="108" w:type="dxa"/>
          </w:tblCellMar>
        </w:tblPrEx>
        <w:trPr>
          <w:trHeight w:val="414" w:hRule="atLeast"/>
          <w:jc w:val="center"/>
        </w:trPr>
        <w:tc>
          <w:tcPr>
            <w:tcW w:w="1367" w:type="dxa"/>
            <w:tcBorders>
              <w:top w:val="single" w:color="000000" w:sz="4" w:space="0"/>
              <w:left w:val="single" w:color="000000" w:sz="4" w:space="0"/>
              <w:bottom w:val="single" w:color="000000" w:sz="4" w:space="0"/>
              <w:right w:val="single" w:color="000000" w:sz="4" w:space="0"/>
            </w:tcBorders>
            <w:vAlign w:val="center"/>
          </w:tcPr>
          <w:p w14:paraId="448AB50B">
            <w:pPr>
              <w:spacing w:line="360" w:lineRule="auto"/>
              <w:jc w:val="center"/>
              <w:rPr>
                <w:color w:val="auto"/>
                <w:highlight w:val="none"/>
              </w:rPr>
            </w:pPr>
            <w:r>
              <w:rPr>
                <w:rFonts w:hint="eastAsia"/>
                <w:color w:val="auto"/>
                <w:highlight w:val="none"/>
                <w:lang w:bidi="ar"/>
              </w:rPr>
              <w:t>货物总名称</w:t>
            </w:r>
          </w:p>
        </w:tc>
        <w:tc>
          <w:tcPr>
            <w:tcW w:w="1319" w:type="dxa"/>
            <w:tcBorders>
              <w:top w:val="single" w:color="000000" w:sz="4" w:space="0"/>
              <w:left w:val="single" w:color="000000" w:sz="4" w:space="0"/>
              <w:bottom w:val="single" w:color="000000" w:sz="4" w:space="0"/>
              <w:right w:val="single" w:color="000000" w:sz="4" w:space="0"/>
            </w:tcBorders>
            <w:vAlign w:val="center"/>
          </w:tcPr>
          <w:p w14:paraId="30FFDB34">
            <w:pPr>
              <w:spacing w:line="360" w:lineRule="auto"/>
              <w:jc w:val="center"/>
              <w:rPr>
                <w:color w:val="auto"/>
                <w:highlight w:val="none"/>
              </w:rPr>
            </w:pPr>
            <w:r>
              <w:rPr>
                <w:rFonts w:hint="eastAsia"/>
                <w:color w:val="auto"/>
                <w:highlight w:val="none"/>
                <w:lang w:bidi="ar"/>
              </w:rPr>
              <w:t>分项货物名称</w:t>
            </w:r>
          </w:p>
        </w:tc>
        <w:tc>
          <w:tcPr>
            <w:tcW w:w="890" w:type="dxa"/>
            <w:tcBorders>
              <w:top w:val="single" w:color="000000" w:sz="4" w:space="0"/>
              <w:left w:val="single" w:color="000000" w:sz="4" w:space="0"/>
              <w:bottom w:val="single" w:color="000000" w:sz="4" w:space="0"/>
              <w:right w:val="single" w:color="000000" w:sz="4" w:space="0"/>
            </w:tcBorders>
            <w:vAlign w:val="center"/>
          </w:tcPr>
          <w:p w14:paraId="22B05FB5">
            <w:pPr>
              <w:spacing w:line="360" w:lineRule="auto"/>
              <w:jc w:val="center"/>
              <w:rPr>
                <w:color w:val="auto"/>
                <w:highlight w:val="none"/>
              </w:rPr>
            </w:pPr>
            <w:r>
              <w:rPr>
                <w:rFonts w:hint="eastAsia"/>
                <w:color w:val="auto"/>
                <w:highlight w:val="none"/>
                <w:lang w:bidi="ar"/>
              </w:rPr>
              <w:t>单位</w:t>
            </w:r>
          </w:p>
        </w:tc>
        <w:tc>
          <w:tcPr>
            <w:tcW w:w="529" w:type="dxa"/>
            <w:tcBorders>
              <w:top w:val="single" w:color="000000" w:sz="4" w:space="0"/>
              <w:left w:val="single" w:color="000000" w:sz="4" w:space="0"/>
              <w:bottom w:val="single" w:color="000000" w:sz="4" w:space="0"/>
              <w:right w:val="single" w:color="000000" w:sz="4" w:space="0"/>
            </w:tcBorders>
            <w:vAlign w:val="center"/>
          </w:tcPr>
          <w:p w14:paraId="21A6F7CD">
            <w:pPr>
              <w:spacing w:line="360" w:lineRule="auto"/>
              <w:jc w:val="center"/>
              <w:rPr>
                <w:color w:val="auto"/>
                <w:highlight w:val="none"/>
              </w:rPr>
            </w:pPr>
            <w:r>
              <w:rPr>
                <w:rFonts w:hint="eastAsia"/>
                <w:color w:val="auto"/>
                <w:highlight w:val="none"/>
                <w:lang w:bidi="ar"/>
              </w:rPr>
              <w:t>数量</w:t>
            </w:r>
          </w:p>
        </w:tc>
        <w:tc>
          <w:tcPr>
            <w:tcW w:w="1540" w:type="dxa"/>
            <w:tcBorders>
              <w:top w:val="single" w:color="000000" w:sz="4" w:space="0"/>
              <w:left w:val="single" w:color="000000" w:sz="4" w:space="0"/>
              <w:bottom w:val="single" w:color="000000" w:sz="4" w:space="0"/>
              <w:right w:val="single" w:color="000000" w:sz="4" w:space="0"/>
            </w:tcBorders>
            <w:vAlign w:val="center"/>
          </w:tcPr>
          <w:p w14:paraId="7C4BCF55">
            <w:pPr>
              <w:spacing w:line="360" w:lineRule="auto"/>
              <w:jc w:val="center"/>
              <w:rPr>
                <w:color w:val="auto"/>
                <w:highlight w:val="none"/>
              </w:rPr>
            </w:pPr>
            <w:r>
              <w:rPr>
                <w:rFonts w:hint="eastAsia"/>
                <w:color w:val="auto"/>
                <w:highlight w:val="none"/>
                <w:lang w:bidi="ar"/>
              </w:rPr>
              <w:t>限价含税单价（元）</w:t>
            </w:r>
          </w:p>
        </w:tc>
        <w:tc>
          <w:tcPr>
            <w:tcW w:w="1660" w:type="dxa"/>
            <w:tcBorders>
              <w:top w:val="single" w:color="000000" w:sz="4" w:space="0"/>
              <w:left w:val="single" w:color="000000" w:sz="4" w:space="0"/>
              <w:bottom w:val="single" w:color="000000" w:sz="4" w:space="0"/>
              <w:right w:val="single" w:color="000000" w:sz="4" w:space="0"/>
            </w:tcBorders>
            <w:vAlign w:val="center"/>
          </w:tcPr>
          <w:p w14:paraId="500DD3F4">
            <w:pPr>
              <w:spacing w:line="360" w:lineRule="auto"/>
              <w:jc w:val="center"/>
              <w:rPr>
                <w:color w:val="auto"/>
                <w:highlight w:val="none"/>
              </w:rPr>
            </w:pPr>
            <w:r>
              <w:rPr>
                <w:rFonts w:hint="eastAsia"/>
                <w:color w:val="auto"/>
                <w:highlight w:val="none"/>
                <w:lang w:bidi="ar"/>
              </w:rPr>
              <w:t>限价合计（元）</w:t>
            </w:r>
          </w:p>
        </w:tc>
        <w:tc>
          <w:tcPr>
            <w:tcW w:w="1801" w:type="dxa"/>
            <w:tcBorders>
              <w:top w:val="single" w:color="000000" w:sz="4" w:space="0"/>
              <w:left w:val="single" w:color="000000" w:sz="4" w:space="0"/>
              <w:bottom w:val="single" w:color="000000" w:sz="4" w:space="0"/>
              <w:right w:val="single" w:color="000000" w:sz="4" w:space="0"/>
            </w:tcBorders>
            <w:vAlign w:val="center"/>
          </w:tcPr>
          <w:p w14:paraId="2B0E12A2">
            <w:pPr>
              <w:spacing w:line="360" w:lineRule="auto"/>
              <w:jc w:val="center"/>
              <w:rPr>
                <w:color w:val="auto"/>
                <w:highlight w:val="none"/>
              </w:rPr>
            </w:pPr>
            <w:r>
              <w:rPr>
                <w:rFonts w:hint="eastAsia"/>
                <w:color w:val="auto"/>
                <w:highlight w:val="none"/>
                <w:lang w:bidi="ar"/>
              </w:rPr>
              <w:t>备注(进口/国产)</w:t>
            </w:r>
          </w:p>
        </w:tc>
      </w:tr>
      <w:tr w14:paraId="011AAE5F">
        <w:tblPrEx>
          <w:tblCellMar>
            <w:top w:w="0" w:type="dxa"/>
            <w:left w:w="108" w:type="dxa"/>
            <w:bottom w:w="0" w:type="dxa"/>
            <w:right w:w="108" w:type="dxa"/>
          </w:tblCellMar>
        </w:tblPrEx>
        <w:trPr>
          <w:trHeight w:val="2802" w:hRule="atLeast"/>
          <w:jc w:val="center"/>
        </w:trPr>
        <w:tc>
          <w:tcPr>
            <w:tcW w:w="1367" w:type="dxa"/>
            <w:tcBorders>
              <w:top w:val="single" w:color="000000" w:sz="4" w:space="0"/>
              <w:left w:val="single" w:color="000000" w:sz="4" w:space="0"/>
              <w:bottom w:val="single" w:color="000000" w:sz="4" w:space="0"/>
              <w:right w:val="single" w:color="000000" w:sz="4" w:space="0"/>
            </w:tcBorders>
            <w:vAlign w:val="center"/>
          </w:tcPr>
          <w:p w14:paraId="5205F856">
            <w:pPr>
              <w:spacing w:line="360" w:lineRule="auto"/>
              <w:rPr>
                <w:color w:val="auto"/>
                <w:highlight w:val="none"/>
              </w:rPr>
            </w:pPr>
            <w:r>
              <w:rPr>
                <w:rFonts w:hint="eastAsia" w:ascii="宋体" w:hAnsi="宋体"/>
                <w:color w:val="auto"/>
                <w:sz w:val="24"/>
                <w:highlight w:val="none"/>
              </w:rPr>
              <w:t>支气管镜导航系统</w:t>
            </w:r>
          </w:p>
        </w:tc>
        <w:tc>
          <w:tcPr>
            <w:tcW w:w="1319" w:type="dxa"/>
            <w:tcBorders>
              <w:top w:val="single" w:color="000000" w:sz="4" w:space="0"/>
              <w:left w:val="single" w:color="000000" w:sz="4" w:space="0"/>
              <w:bottom w:val="single" w:color="000000" w:sz="4" w:space="0"/>
              <w:right w:val="single" w:color="000000" w:sz="4" w:space="0"/>
            </w:tcBorders>
            <w:vAlign w:val="center"/>
          </w:tcPr>
          <w:p w14:paraId="7E9DDE9C">
            <w:pPr>
              <w:spacing w:line="360" w:lineRule="auto"/>
              <w:rPr>
                <w:color w:val="auto"/>
                <w:highlight w:val="none"/>
              </w:rPr>
            </w:pPr>
            <w:r>
              <w:rPr>
                <w:rFonts w:hint="eastAsia" w:ascii="宋体" w:hAnsi="宋体"/>
                <w:color w:val="auto"/>
                <w:sz w:val="24"/>
                <w:highlight w:val="none"/>
              </w:rPr>
              <w:t>支气管镜导航系统</w:t>
            </w:r>
          </w:p>
        </w:tc>
        <w:tc>
          <w:tcPr>
            <w:tcW w:w="890" w:type="dxa"/>
            <w:tcBorders>
              <w:top w:val="single" w:color="000000" w:sz="4" w:space="0"/>
              <w:left w:val="single" w:color="000000" w:sz="4" w:space="0"/>
              <w:bottom w:val="single" w:color="000000" w:sz="4" w:space="0"/>
              <w:right w:val="single" w:color="000000" w:sz="4" w:space="0"/>
            </w:tcBorders>
            <w:vAlign w:val="center"/>
          </w:tcPr>
          <w:p w14:paraId="746DE4FF">
            <w:pPr>
              <w:spacing w:line="360" w:lineRule="auto"/>
              <w:rPr>
                <w:rFonts w:hint="eastAsia" w:eastAsia="宋体"/>
                <w:color w:val="auto"/>
                <w:highlight w:val="none"/>
                <w:lang w:val="en-US" w:eastAsia="zh-CN"/>
              </w:rPr>
            </w:pPr>
            <w:r>
              <w:rPr>
                <w:rFonts w:hint="eastAsia"/>
                <w:color w:val="auto"/>
                <w:highlight w:val="none"/>
                <w:lang w:val="en-US" w:eastAsia="zh-CN"/>
              </w:rPr>
              <w:t>台</w:t>
            </w:r>
          </w:p>
        </w:tc>
        <w:tc>
          <w:tcPr>
            <w:tcW w:w="529" w:type="dxa"/>
            <w:tcBorders>
              <w:top w:val="single" w:color="000000" w:sz="4" w:space="0"/>
              <w:left w:val="single" w:color="000000" w:sz="4" w:space="0"/>
              <w:bottom w:val="single" w:color="000000" w:sz="4" w:space="0"/>
              <w:right w:val="single" w:color="000000" w:sz="4" w:space="0"/>
            </w:tcBorders>
            <w:vAlign w:val="center"/>
          </w:tcPr>
          <w:p w14:paraId="2E7912BA">
            <w:pPr>
              <w:spacing w:line="360" w:lineRule="auto"/>
              <w:rPr>
                <w:rFonts w:hint="eastAsia" w:eastAsia="宋体"/>
                <w:color w:val="auto"/>
                <w:highlight w:val="none"/>
                <w:lang w:val="en-US" w:eastAsia="zh-CN"/>
              </w:rPr>
            </w:pPr>
            <w:r>
              <w:rPr>
                <w:rFonts w:hint="eastAsia"/>
                <w:color w:val="auto"/>
                <w:highlight w:val="none"/>
                <w:lang w:val="en-US" w:eastAsia="zh-CN"/>
              </w:rPr>
              <w:t>1</w:t>
            </w:r>
          </w:p>
        </w:tc>
        <w:tc>
          <w:tcPr>
            <w:tcW w:w="1540" w:type="dxa"/>
            <w:tcBorders>
              <w:top w:val="single" w:color="000000" w:sz="4" w:space="0"/>
              <w:left w:val="single" w:color="000000" w:sz="4" w:space="0"/>
              <w:bottom w:val="single" w:color="000000" w:sz="4" w:space="0"/>
              <w:right w:val="single" w:color="000000" w:sz="4" w:space="0"/>
            </w:tcBorders>
            <w:vAlign w:val="center"/>
          </w:tcPr>
          <w:p w14:paraId="1E718303">
            <w:pPr>
              <w:spacing w:line="360" w:lineRule="auto"/>
              <w:jc w:val="center"/>
              <w:rPr>
                <w:rFonts w:hint="default" w:eastAsia="宋体"/>
                <w:color w:val="auto"/>
                <w:highlight w:val="none"/>
                <w:lang w:val="en-US" w:eastAsia="zh-CN"/>
              </w:rPr>
            </w:pPr>
            <w:r>
              <w:rPr>
                <w:rFonts w:hint="eastAsia"/>
                <w:color w:val="auto"/>
                <w:highlight w:val="none"/>
                <w:lang w:val="en-US" w:eastAsia="zh-CN"/>
              </w:rPr>
              <w:t>3500000</w:t>
            </w:r>
          </w:p>
        </w:tc>
        <w:tc>
          <w:tcPr>
            <w:tcW w:w="1660" w:type="dxa"/>
            <w:tcBorders>
              <w:top w:val="single" w:color="000000" w:sz="4" w:space="0"/>
              <w:left w:val="single" w:color="000000" w:sz="4" w:space="0"/>
              <w:bottom w:val="single" w:color="000000" w:sz="4" w:space="0"/>
              <w:right w:val="single" w:color="000000" w:sz="4" w:space="0"/>
            </w:tcBorders>
            <w:vAlign w:val="center"/>
          </w:tcPr>
          <w:p w14:paraId="5A9FA02E">
            <w:pPr>
              <w:spacing w:line="360" w:lineRule="auto"/>
              <w:jc w:val="center"/>
              <w:rPr>
                <w:rFonts w:hint="default" w:eastAsia="宋体"/>
                <w:color w:val="auto"/>
                <w:highlight w:val="none"/>
                <w:lang w:val="en-US" w:eastAsia="zh-CN"/>
              </w:rPr>
            </w:pPr>
            <w:r>
              <w:rPr>
                <w:rFonts w:hint="eastAsia"/>
                <w:color w:val="auto"/>
                <w:highlight w:val="none"/>
                <w:lang w:val="en-US" w:eastAsia="zh-CN"/>
              </w:rPr>
              <w:t>3500000</w:t>
            </w:r>
          </w:p>
        </w:tc>
        <w:tc>
          <w:tcPr>
            <w:tcW w:w="1801" w:type="dxa"/>
            <w:tcBorders>
              <w:top w:val="single" w:color="000000" w:sz="4" w:space="0"/>
              <w:left w:val="single" w:color="000000" w:sz="4" w:space="0"/>
              <w:bottom w:val="single" w:color="000000" w:sz="4" w:space="0"/>
              <w:right w:val="single" w:color="000000" w:sz="4" w:space="0"/>
            </w:tcBorders>
            <w:vAlign w:val="center"/>
          </w:tcPr>
          <w:p w14:paraId="705D9496">
            <w:pPr>
              <w:spacing w:line="360" w:lineRule="auto"/>
              <w:jc w:val="center"/>
              <w:rPr>
                <w:rFonts w:hint="eastAsia" w:eastAsia="宋体"/>
                <w:color w:val="auto"/>
                <w:highlight w:val="none"/>
                <w:lang w:val="en-US" w:eastAsia="zh-CN"/>
              </w:rPr>
            </w:pPr>
            <w:r>
              <w:rPr>
                <w:rFonts w:hint="eastAsia"/>
                <w:color w:val="auto"/>
                <w:highlight w:val="none"/>
                <w:lang w:val="en-US" w:eastAsia="zh-CN"/>
              </w:rPr>
              <w:t>国产</w:t>
            </w:r>
          </w:p>
        </w:tc>
      </w:tr>
    </w:tbl>
    <w:p w14:paraId="0416CEE1">
      <w:pPr>
        <w:pStyle w:val="40"/>
        <w:spacing w:line="360" w:lineRule="auto"/>
        <w:rPr>
          <w:snapToGrid w:val="0"/>
          <w:color w:val="auto"/>
          <w:highlight w:val="none"/>
        </w:rPr>
      </w:pPr>
      <w:r>
        <w:rPr>
          <w:rFonts w:hint="eastAsia"/>
          <w:snapToGrid w:val="0"/>
          <w:color w:val="auto"/>
          <w:highlight w:val="none"/>
        </w:rPr>
        <w:t xml:space="preserve"> 注：投标人的报价未高于采购预算/最高限价，同时未高于单个产品采购预算或最高限价；</w:t>
      </w:r>
    </w:p>
    <w:p w14:paraId="2437046E">
      <w:pPr>
        <w:pStyle w:val="40"/>
        <w:spacing w:line="360" w:lineRule="auto"/>
        <w:rPr>
          <w:snapToGrid w:val="0"/>
          <w:color w:val="auto"/>
          <w:highlight w:val="none"/>
        </w:rPr>
      </w:pPr>
      <w:r>
        <w:rPr>
          <w:rFonts w:hint="eastAsia"/>
          <w:snapToGrid w:val="0"/>
          <w:color w:val="auto"/>
          <w:highlight w:val="none"/>
        </w:rPr>
        <w:t>若投标产品为国产的，投标分项报价表内货物品牌和规格型号必须详细如实填写，否则按废标处理；</w:t>
      </w:r>
      <w:r>
        <w:rPr>
          <w:snapToGrid w:val="0"/>
          <w:color w:val="auto"/>
          <w:highlight w:val="none"/>
        </w:rPr>
        <w:t xml:space="preserve"> </w:t>
      </w:r>
    </w:p>
    <w:p w14:paraId="4B5C71F9">
      <w:pPr>
        <w:pStyle w:val="3"/>
        <w:spacing w:before="0" w:after="0" w:line="360" w:lineRule="auto"/>
        <w:rPr>
          <w:color w:val="auto"/>
          <w:highlight w:val="none"/>
        </w:rPr>
      </w:pPr>
      <w:bookmarkStart w:id="280" w:name="_Toc32026"/>
      <w:r>
        <w:rPr>
          <w:rFonts w:hint="eastAsia"/>
          <w:color w:val="auto"/>
          <w:highlight w:val="none"/>
        </w:rPr>
        <w:t>二、商务要求</w:t>
      </w:r>
      <w:bookmarkEnd w:id="280"/>
    </w:p>
    <w:p w14:paraId="2F82C133">
      <w:pPr>
        <w:tabs>
          <w:tab w:val="left" w:pos="737"/>
          <w:tab w:val="center" w:pos="4153"/>
        </w:tabs>
        <w:adjustRightInd w:val="0"/>
        <w:spacing w:line="360" w:lineRule="auto"/>
        <w:ind w:right="-120" w:rightChars="-50"/>
        <w:rPr>
          <w:rFonts w:ascii="宋体" w:hAnsi="宋体"/>
          <w:color w:val="auto"/>
          <w:sz w:val="24"/>
          <w:highlight w:val="none"/>
        </w:rPr>
      </w:pPr>
      <w:r>
        <w:rPr>
          <w:rFonts w:hint="eastAsia"/>
          <w:snapToGrid w:val="0"/>
          <w:color w:val="auto"/>
          <w:sz w:val="24"/>
          <w:szCs w:val="24"/>
          <w:highlight w:val="none"/>
          <w:lang w:val="en-US" w:eastAsia="zh-CN"/>
        </w:rPr>
        <w:t>★</w:t>
      </w:r>
      <w:r>
        <w:rPr>
          <w:rFonts w:ascii="宋体" w:hAnsi="宋体"/>
          <w:color w:val="auto"/>
          <w:sz w:val="24"/>
          <w:highlight w:val="none"/>
        </w:rPr>
        <w:t>1.</w:t>
      </w:r>
      <w:r>
        <w:rPr>
          <w:rFonts w:hint="eastAsia" w:ascii="宋体" w:hAnsi="宋体"/>
          <w:color w:val="auto"/>
          <w:sz w:val="24"/>
          <w:highlight w:val="none"/>
        </w:rPr>
        <w:t>供货期：自合同签订之日起30天内完成到货安装调试。</w:t>
      </w:r>
    </w:p>
    <w:p w14:paraId="4380DB9A">
      <w:pPr>
        <w:tabs>
          <w:tab w:val="left" w:pos="737"/>
          <w:tab w:val="center" w:pos="4153"/>
        </w:tabs>
        <w:adjustRightInd w:val="0"/>
        <w:spacing w:line="360" w:lineRule="auto"/>
        <w:ind w:right="-120" w:rightChars="-50"/>
        <w:rPr>
          <w:rFonts w:hint="eastAsia" w:ascii="宋体" w:hAnsi="宋体"/>
          <w:color w:val="auto"/>
          <w:sz w:val="24"/>
          <w:highlight w:val="none"/>
        </w:rPr>
      </w:pPr>
      <w:r>
        <w:rPr>
          <w:rFonts w:hint="eastAsia"/>
          <w:snapToGrid w:val="0"/>
          <w:color w:val="auto"/>
          <w:sz w:val="24"/>
          <w:szCs w:val="24"/>
          <w:highlight w:val="none"/>
          <w:lang w:val="en-US" w:eastAsia="zh-CN"/>
        </w:rPr>
        <w:t>★</w:t>
      </w:r>
      <w:r>
        <w:rPr>
          <w:rFonts w:ascii="宋体" w:hAnsi="宋体"/>
          <w:color w:val="auto"/>
          <w:sz w:val="24"/>
          <w:highlight w:val="none"/>
        </w:rPr>
        <w:t>2</w:t>
      </w:r>
      <w:r>
        <w:rPr>
          <w:rFonts w:hint="eastAsia" w:ascii="宋体" w:hAnsi="宋体"/>
          <w:color w:val="auto"/>
          <w:sz w:val="24"/>
          <w:highlight w:val="none"/>
        </w:rPr>
        <w:t>.质保期：整机质保≥8年</w:t>
      </w:r>
    </w:p>
    <w:p w14:paraId="13A648BC">
      <w:pPr>
        <w:tabs>
          <w:tab w:val="left" w:pos="252"/>
          <w:tab w:val="center" w:pos="4153"/>
        </w:tabs>
        <w:adjustRightInd w:val="0"/>
        <w:spacing w:line="360" w:lineRule="auto"/>
        <w:ind w:right="-120" w:rightChars="-50"/>
        <w:rPr>
          <w:rFonts w:hint="eastAsia" w:ascii="宋体" w:hAnsi="宋体"/>
          <w:color w:val="auto"/>
          <w:sz w:val="24"/>
          <w:highlight w:val="none"/>
        </w:rPr>
      </w:pPr>
      <w:r>
        <w:rPr>
          <w:rFonts w:hint="eastAsia"/>
          <w:snapToGrid w:val="0"/>
          <w:color w:val="auto"/>
          <w:sz w:val="24"/>
          <w:szCs w:val="24"/>
          <w:highlight w:val="none"/>
          <w:lang w:val="en-US" w:eastAsia="zh-CN"/>
        </w:rPr>
        <w:t>★</w:t>
      </w:r>
      <w:r>
        <w:rPr>
          <w:rFonts w:ascii="宋体" w:hAnsi="宋体"/>
          <w:color w:val="auto"/>
          <w:sz w:val="24"/>
          <w:highlight w:val="none"/>
        </w:rPr>
        <w:t>3</w:t>
      </w:r>
      <w:r>
        <w:rPr>
          <w:rFonts w:hint="eastAsia" w:ascii="宋体" w:hAnsi="宋体"/>
          <w:color w:val="auto"/>
          <w:sz w:val="24"/>
          <w:highlight w:val="none"/>
        </w:rPr>
        <w:t>.供货地点：新疆医科大学附属肿瘤医院</w:t>
      </w:r>
    </w:p>
    <w:p w14:paraId="48815AB2">
      <w:pPr>
        <w:pStyle w:val="52"/>
        <w:spacing w:line="360" w:lineRule="auto"/>
        <w:rPr>
          <w:rFonts w:ascii="宋体" w:hAnsi="宋体"/>
          <w:color w:val="auto"/>
          <w:sz w:val="24"/>
          <w:highlight w:val="none"/>
        </w:rPr>
      </w:pPr>
      <w:r>
        <w:rPr>
          <w:rFonts w:hint="eastAsia"/>
          <w:snapToGrid w:val="0"/>
          <w:color w:val="auto"/>
          <w:sz w:val="24"/>
          <w:szCs w:val="24"/>
          <w:highlight w:val="none"/>
          <w:lang w:val="en-US" w:eastAsia="zh-CN"/>
        </w:rPr>
        <w:t>★</w:t>
      </w:r>
      <w:r>
        <w:rPr>
          <w:rFonts w:ascii="宋体" w:hAnsi="宋体"/>
          <w:color w:val="auto"/>
          <w:sz w:val="24"/>
          <w:highlight w:val="none"/>
        </w:rPr>
        <w:t>4</w:t>
      </w:r>
      <w:r>
        <w:rPr>
          <w:rFonts w:hint="eastAsia" w:ascii="宋体" w:hAnsi="宋体"/>
          <w:color w:val="auto"/>
          <w:sz w:val="24"/>
          <w:highlight w:val="none"/>
        </w:rPr>
        <w:t>.付款方式：</w:t>
      </w:r>
      <w:r>
        <w:rPr>
          <w:rFonts w:hint="eastAsia" w:cs="宋体"/>
          <w:color w:val="auto"/>
          <w:szCs w:val="24"/>
          <w:highlight w:val="none"/>
          <w:lang w:eastAsia="zh-CN"/>
        </w:rPr>
        <w:t>合同签订后完成设备的到货、安装、调试，经甲方确认达到试运行标准后支付合同总金额的90%，达到验收标准后无息支付合同总金额10%。</w:t>
      </w:r>
    </w:p>
    <w:p w14:paraId="7002127B">
      <w:pPr>
        <w:tabs>
          <w:tab w:val="left" w:pos="252"/>
          <w:tab w:val="center" w:pos="4153"/>
        </w:tabs>
        <w:adjustRightInd w:val="0"/>
        <w:spacing w:line="360" w:lineRule="auto"/>
        <w:ind w:right="-120" w:rightChars="-50"/>
        <w:rPr>
          <w:rFonts w:ascii="宋体" w:hAnsi="宋体"/>
          <w:color w:val="auto"/>
          <w:sz w:val="24"/>
          <w:highlight w:val="none"/>
        </w:rPr>
      </w:pPr>
      <w:r>
        <w:rPr>
          <w:rFonts w:hint="eastAsia"/>
          <w:snapToGrid w:val="0"/>
          <w:color w:val="auto"/>
          <w:sz w:val="24"/>
          <w:szCs w:val="24"/>
          <w:highlight w:val="none"/>
          <w:lang w:val="en-US" w:eastAsia="zh-CN"/>
        </w:rPr>
        <w:t>★</w:t>
      </w:r>
      <w:r>
        <w:rPr>
          <w:rFonts w:hint="eastAsia" w:ascii="宋体" w:hAnsi="宋体"/>
          <w:color w:val="auto"/>
          <w:sz w:val="24"/>
          <w:highlight w:val="none"/>
        </w:rPr>
        <w:t>5</w:t>
      </w:r>
      <w:r>
        <w:rPr>
          <w:rFonts w:ascii="宋体" w:hAnsi="宋体"/>
          <w:color w:val="auto"/>
          <w:sz w:val="24"/>
          <w:highlight w:val="none"/>
        </w:rPr>
        <w:t>.</w:t>
      </w:r>
      <w:r>
        <w:rPr>
          <w:rFonts w:hint="eastAsia" w:ascii="宋体" w:hAnsi="宋体"/>
          <w:color w:val="auto"/>
          <w:sz w:val="24"/>
          <w:highlight w:val="none"/>
        </w:rPr>
        <w:t xml:space="preserve"> 售后服务要求：</w:t>
      </w:r>
    </w:p>
    <w:p w14:paraId="1008EB61">
      <w:pPr>
        <w:tabs>
          <w:tab w:val="left" w:pos="252"/>
          <w:tab w:val="center" w:pos="4153"/>
        </w:tabs>
        <w:adjustRightInd w:val="0"/>
        <w:spacing w:line="360" w:lineRule="auto"/>
        <w:ind w:right="-120" w:rightChars="-50" w:firstLine="720" w:firstLineChars="300"/>
        <w:rPr>
          <w:rFonts w:hint="eastAsia" w:ascii="宋体" w:hAnsi="宋体"/>
          <w:color w:val="auto"/>
          <w:sz w:val="24"/>
          <w:highlight w:val="none"/>
        </w:rPr>
      </w:pPr>
      <w:r>
        <w:rPr>
          <w:rFonts w:ascii="宋体" w:hAnsi="宋体"/>
          <w:color w:val="auto"/>
          <w:sz w:val="24"/>
          <w:highlight w:val="none"/>
        </w:rPr>
        <w:t>5</w:t>
      </w:r>
      <w:r>
        <w:rPr>
          <w:rFonts w:hint="eastAsia" w:ascii="宋体" w:hAnsi="宋体"/>
          <w:color w:val="auto"/>
          <w:sz w:val="24"/>
          <w:highlight w:val="none"/>
        </w:rPr>
        <w:t>.1中标设备生产日期不早于安装日期的6个月；</w:t>
      </w:r>
    </w:p>
    <w:p w14:paraId="5BD8288C">
      <w:pPr>
        <w:tabs>
          <w:tab w:val="left" w:pos="252"/>
          <w:tab w:val="center" w:pos="4153"/>
        </w:tabs>
        <w:adjustRightInd w:val="0"/>
        <w:spacing w:line="360" w:lineRule="auto"/>
        <w:ind w:right="-120" w:rightChars="-50" w:firstLine="720" w:firstLineChars="300"/>
        <w:rPr>
          <w:rFonts w:hint="eastAsia" w:ascii="宋体" w:hAnsi="宋体"/>
          <w:color w:val="auto"/>
          <w:sz w:val="24"/>
          <w:highlight w:val="none"/>
        </w:rPr>
      </w:pPr>
      <w:r>
        <w:rPr>
          <w:rFonts w:ascii="宋体" w:hAnsi="宋体"/>
          <w:color w:val="auto"/>
          <w:sz w:val="24"/>
          <w:highlight w:val="none"/>
        </w:rPr>
        <w:t>5</w:t>
      </w:r>
      <w:r>
        <w:rPr>
          <w:rFonts w:hint="eastAsia" w:ascii="宋体" w:hAnsi="宋体"/>
          <w:color w:val="auto"/>
          <w:sz w:val="24"/>
          <w:highlight w:val="none"/>
        </w:rPr>
        <w:t>.2如需与院方信息系统连接，中标方需免费开放各类数据接口；</w:t>
      </w:r>
    </w:p>
    <w:p w14:paraId="49C5F6AE">
      <w:pPr>
        <w:pStyle w:val="40"/>
        <w:spacing w:line="360" w:lineRule="auto"/>
        <w:ind w:left="0" w:leftChars="0" w:firstLine="0" w:firstLineChars="0"/>
        <w:rPr>
          <w:rFonts w:hint="eastAsia"/>
          <w:snapToGrid w:val="0"/>
          <w:color w:val="auto"/>
          <w:highlight w:val="none"/>
          <w:lang w:val="en-US" w:eastAsia="zh-CN"/>
        </w:rPr>
      </w:pPr>
      <w:r>
        <w:rPr>
          <w:rFonts w:hint="eastAsia"/>
          <w:snapToGrid w:val="0"/>
          <w:color w:val="auto"/>
          <w:sz w:val="24"/>
          <w:szCs w:val="24"/>
          <w:highlight w:val="none"/>
          <w:lang w:val="en-US" w:eastAsia="zh-CN"/>
        </w:rPr>
        <w:t>★</w:t>
      </w:r>
      <w:r>
        <w:rPr>
          <w:rFonts w:hint="eastAsia"/>
          <w:snapToGrid w:val="0"/>
          <w:color w:val="auto"/>
          <w:highlight w:val="none"/>
          <w:lang w:val="en-US" w:eastAsia="zh-CN"/>
        </w:rPr>
        <w:t>6.履约保证金：</w:t>
      </w:r>
    </w:p>
    <w:p w14:paraId="04E0CE3D">
      <w:pPr>
        <w:snapToGrid w:val="0"/>
        <w:spacing w:line="360" w:lineRule="auto"/>
        <w:ind w:firstLine="480" w:firstLineChars="200"/>
        <w:rPr>
          <w:rFonts w:hint="eastAsia" w:ascii="Calibri Light" w:hAnsi="Calibri Light" w:cs="Calibri Light"/>
          <w:color w:val="auto"/>
          <w:sz w:val="24"/>
          <w:highlight w:val="none"/>
        </w:rPr>
      </w:pPr>
      <w:r>
        <w:rPr>
          <w:rFonts w:hint="eastAsia" w:ascii="Calibri Light" w:hAnsi="Calibri Light" w:cs="Calibri Light"/>
          <w:color w:val="auto"/>
          <w:sz w:val="24"/>
          <w:highlight w:val="none"/>
          <w:lang w:val="en-US" w:eastAsia="zh-CN"/>
        </w:rPr>
        <w:t>6.</w:t>
      </w:r>
      <w:r>
        <w:rPr>
          <w:rFonts w:hint="eastAsia" w:ascii="Calibri Light" w:hAnsi="Calibri Light" w:cs="Calibri Light"/>
          <w:color w:val="auto"/>
          <w:sz w:val="24"/>
          <w:highlight w:val="none"/>
        </w:rPr>
        <w:t>1应于中标通知书发布之日起10日内，向采购人提交金额为合同总价款 10% 的履约保函。</w:t>
      </w:r>
    </w:p>
    <w:p w14:paraId="06DEEC32">
      <w:pPr>
        <w:pStyle w:val="40"/>
        <w:spacing w:line="360" w:lineRule="auto"/>
        <w:ind w:left="0" w:leftChars="0" w:firstLine="480" w:firstLineChars="200"/>
        <w:rPr>
          <w:rFonts w:hint="default"/>
          <w:snapToGrid w:val="0"/>
          <w:color w:val="auto"/>
          <w:highlight w:val="none"/>
          <w:lang w:val="en-US" w:eastAsia="zh-CN"/>
        </w:rPr>
      </w:pPr>
      <w:r>
        <w:rPr>
          <w:rFonts w:hint="eastAsia" w:ascii="Calibri Light" w:hAnsi="Calibri Light" w:cs="Calibri Light"/>
          <w:color w:val="auto"/>
          <w:sz w:val="24"/>
          <w:highlight w:val="none"/>
          <w:lang w:val="en-US" w:eastAsia="zh-CN"/>
        </w:rPr>
        <w:t>6.</w:t>
      </w:r>
      <w:r>
        <w:rPr>
          <w:rFonts w:hint="eastAsia" w:ascii="Calibri Light" w:hAnsi="Calibri Light" w:cs="Calibri Light"/>
          <w:color w:val="auto"/>
          <w:sz w:val="24"/>
          <w:highlight w:val="none"/>
        </w:rPr>
        <w:t>2</w:t>
      </w:r>
      <w:r>
        <w:rPr>
          <w:rFonts w:hint="eastAsia" w:ascii="Calibri Light" w:hAnsi="Calibri Light" w:cs="Calibri Light"/>
          <w:color w:val="auto"/>
          <w:sz w:val="24"/>
          <w:highlight w:val="none"/>
          <w:lang w:val="en-US" w:eastAsia="zh-CN"/>
        </w:rPr>
        <w:t xml:space="preserve"> </w:t>
      </w:r>
      <w:r>
        <w:rPr>
          <w:rFonts w:hint="eastAsia" w:ascii="Calibri Light" w:hAnsi="Calibri Light" w:cs="Calibri Light"/>
          <w:color w:val="auto"/>
          <w:sz w:val="24"/>
          <w:highlight w:val="none"/>
        </w:rPr>
        <w:t>履约保证金采取以下形式提交：由采购人认可的金融机构、担保机构开具的、以采购人为受益人的、不可撤销的见索即付独立保函，保函格式须经采购人事先书面确认，保函有效期应持续至本项目采购合同项下全部货物最终验收合格且质量保证期届满后 30 日。</w:t>
      </w:r>
    </w:p>
    <w:p w14:paraId="7F62DD4C">
      <w:pPr>
        <w:pStyle w:val="3"/>
        <w:spacing w:before="0" w:after="0" w:line="240" w:lineRule="auto"/>
        <w:rPr>
          <w:color w:val="auto"/>
          <w:highlight w:val="none"/>
        </w:rPr>
      </w:pPr>
      <w:bookmarkStart w:id="281" w:name="_Toc23056"/>
      <w:r>
        <w:rPr>
          <w:rFonts w:hint="eastAsia"/>
          <w:color w:val="auto"/>
          <w:highlight w:val="none"/>
        </w:rPr>
        <w:t>三、技术要求</w:t>
      </w:r>
      <w:bookmarkEnd w:id="281"/>
    </w:p>
    <w:bookmarkEnd w:id="276"/>
    <w:bookmarkEnd w:id="277"/>
    <w:bookmarkEnd w:id="278"/>
    <w:p w14:paraId="672CDE3B">
      <w:pPr>
        <w:spacing w:line="360" w:lineRule="auto"/>
        <w:jc w:val="both"/>
        <w:outlineLvl w:val="1"/>
        <w:rPr>
          <w:rFonts w:hint="eastAsia" w:ascii="宋体" w:hAnsi="宋体" w:eastAsia="宋体" w:cs="宋体"/>
          <w:b/>
          <w:bCs/>
          <w:color w:val="auto"/>
          <w:kern w:val="0"/>
          <w:sz w:val="24"/>
          <w:szCs w:val="27"/>
          <w:highlight w:val="none"/>
          <w:lang w:val="en-US" w:eastAsia="zh-CN"/>
        </w:rPr>
      </w:pPr>
      <w:bookmarkStart w:id="282" w:name="_Toc212810442"/>
      <w:bookmarkStart w:id="283" w:name="_Toc155185895"/>
      <w:bookmarkStart w:id="284" w:name="_Toc163492892"/>
      <w:r>
        <w:rPr>
          <w:rFonts w:hint="eastAsia" w:ascii="宋体" w:hAnsi="宋体" w:cs="宋体"/>
          <w:b/>
          <w:bCs/>
          <w:color w:val="auto"/>
          <w:kern w:val="0"/>
          <w:sz w:val="24"/>
          <w:szCs w:val="27"/>
          <w:highlight w:val="none"/>
          <w:lang w:eastAsia="zh-CN"/>
        </w:rPr>
        <w:t>（</w:t>
      </w:r>
      <w:r>
        <w:rPr>
          <w:rFonts w:hint="eastAsia" w:ascii="宋体" w:hAnsi="宋体" w:cs="宋体"/>
          <w:b/>
          <w:bCs/>
          <w:color w:val="auto"/>
          <w:kern w:val="0"/>
          <w:sz w:val="24"/>
          <w:szCs w:val="27"/>
          <w:highlight w:val="none"/>
        </w:rPr>
        <w:t>一</w:t>
      </w:r>
      <w:r>
        <w:rPr>
          <w:rFonts w:hint="eastAsia" w:ascii="宋体" w:hAnsi="宋体" w:cs="宋体"/>
          <w:b/>
          <w:bCs/>
          <w:color w:val="auto"/>
          <w:kern w:val="0"/>
          <w:sz w:val="24"/>
          <w:szCs w:val="27"/>
          <w:highlight w:val="none"/>
          <w:lang w:eastAsia="zh-CN"/>
        </w:rPr>
        <w:t>）</w:t>
      </w:r>
      <w:bookmarkEnd w:id="282"/>
      <w:r>
        <w:rPr>
          <w:rFonts w:hint="eastAsia" w:ascii="宋体" w:hAnsi="宋体" w:cs="宋体"/>
          <w:b/>
          <w:bCs/>
          <w:color w:val="auto"/>
          <w:kern w:val="0"/>
          <w:sz w:val="24"/>
          <w:szCs w:val="27"/>
          <w:highlight w:val="none"/>
          <w:lang w:val="en-US" w:eastAsia="zh-CN"/>
        </w:rPr>
        <w:t>标的</w:t>
      </w:r>
    </w:p>
    <w:p w14:paraId="5E7A7CE7">
      <w:pPr>
        <w:spacing w:line="360" w:lineRule="auto"/>
        <w:rPr>
          <w:rFonts w:ascii="宋体" w:hAnsi="宋体"/>
          <w:color w:val="auto"/>
          <w:sz w:val="24"/>
          <w:highlight w:val="none"/>
        </w:rPr>
      </w:pPr>
      <w:r>
        <w:rPr>
          <w:rFonts w:ascii="宋体" w:hAnsi="宋体" w:cs="宋体"/>
          <w:b/>
          <w:bCs/>
          <w:color w:val="auto"/>
          <w:kern w:val="0"/>
          <w:sz w:val="24"/>
          <w:highlight w:val="none"/>
        </w:rPr>
        <w:t>1</w:t>
      </w:r>
      <w:r>
        <w:rPr>
          <w:rFonts w:hint="eastAsia" w:ascii="宋体" w:hAnsi="宋体" w:cs="宋体"/>
          <w:b/>
          <w:bCs/>
          <w:color w:val="auto"/>
          <w:kern w:val="0"/>
          <w:sz w:val="24"/>
          <w:highlight w:val="none"/>
        </w:rPr>
        <w:t>、采购标的</w:t>
      </w:r>
      <w:r>
        <w:rPr>
          <w:rFonts w:hint="eastAsia" w:ascii="宋体" w:hAnsi="宋体"/>
          <w:color w:val="auto"/>
          <w:sz w:val="24"/>
          <w:highlight w:val="none"/>
        </w:rPr>
        <w:t>：支气管镜导航系统</w:t>
      </w:r>
    </w:p>
    <w:p w14:paraId="1A255940">
      <w:pPr>
        <w:spacing w:line="360" w:lineRule="auto"/>
        <w:rPr>
          <w:rFonts w:ascii="宋体" w:hAnsi="宋体"/>
          <w:color w:val="auto"/>
          <w:sz w:val="24"/>
          <w:highlight w:val="none"/>
        </w:rPr>
      </w:pPr>
      <w:r>
        <w:rPr>
          <w:rFonts w:hint="eastAsia" w:ascii="宋体" w:hAnsi="宋体" w:cs="宋体"/>
          <w:b/>
          <w:bCs/>
          <w:color w:val="auto"/>
          <w:kern w:val="0"/>
          <w:sz w:val="24"/>
          <w:highlight w:val="none"/>
        </w:rPr>
        <w:t>2、数    量</w:t>
      </w: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台</w:t>
      </w:r>
    </w:p>
    <w:p w14:paraId="48B5EC97">
      <w:pPr>
        <w:spacing w:line="360" w:lineRule="auto"/>
        <w:jc w:val="both"/>
        <w:outlineLvl w:val="1"/>
        <w:rPr>
          <w:rFonts w:hint="eastAsia" w:ascii="宋体" w:hAnsi="宋体" w:cs="宋体"/>
          <w:b/>
          <w:bCs/>
          <w:color w:val="auto"/>
          <w:kern w:val="0"/>
          <w:sz w:val="24"/>
          <w:highlight w:val="none"/>
        </w:rPr>
      </w:pPr>
      <w:r>
        <w:rPr>
          <w:rFonts w:hint="eastAsia" w:cs="宋体"/>
          <w:b/>
          <w:bCs/>
          <w:color w:val="auto"/>
          <w:kern w:val="0"/>
          <w:sz w:val="24"/>
          <w:szCs w:val="27"/>
          <w:highlight w:val="none"/>
          <w:lang w:eastAsia="zh-CN"/>
        </w:rPr>
        <w:t>（</w:t>
      </w:r>
      <w:r>
        <w:rPr>
          <w:rFonts w:hint="eastAsia" w:cs="宋体"/>
          <w:b/>
          <w:bCs/>
          <w:color w:val="auto"/>
          <w:kern w:val="0"/>
          <w:sz w:val="24"/>
          <w:szCs w:val="27"/>
          <w:highlight w:val="none"/>
          <w:lang w:val="en-US" w:eastAsia="zh-CN"/>
        </w:rPr>
        <w:t>二</w:t>
      </w:r>
      <w:r>
        <w:rPr>
          <w:rFonts w:hint="eastAsia" w:cs="宋体"/>
          <w:b/>
          <w:bCs/>
          <w:color w:val="auto"/>
          <w:kern w:val="0"/>
          <w:sz w:val="24"/>
          <w:szCs w:val="27"/>
          <w:highlight w:val="none"/>
          <w:lang w:eastAsia="zh-CN"/>
        </w:rPr>
        <w:t>）</w:t>
      </w:r>
      <w:r>
        <w:rPr>
          <w:rFonts w:hint="eastAsia" w:ascii="宋体" w:hAnsi="宋体" w:cs="宋体"/>
          <w:b/>
          <w:bCs/>
          <w:color w:val="auto"/>
          <w:kern w:val="0"/>
          <w:sz w:val="24"/>
          <w:szCs w:val="27"/>
          <w:highlight w:val="none"/>
        </w:rPr>
        <w:t>技术参数要求</w:t>
      </w:r>
    </w:p>
    <w:p w14:paraId="0CF7ED2F">
      <w:pPr>
        <w:spacing w:line="360" w:lineRule="auto"/>
        <w:rPr>
          <w:rFonts w:ascii="宋体" w:hAnsi="宋体"/>
          <w:color w:val="auto"/>
          <w:sz w:val="24"/>
          <w:highlight w:val="none"/>
        </w:rPr>
      </w:pPr>
      <w:r>
        <w:rPr>
          <w:rFonts w:hint="eastAsia" w:ascii="宋体" w:hAnsi="宋体" w:cs="宋体"/>
          <w:b/>
          <w:bCs/>
          <w:color w:val="auto"/>
          <w:kern w:val="0"/>
          <w:sz w:val="24"/>
          <w:highlight w:val="none"/>
        </w:rPr>
        <w:t>3、设备用途</w:t>
      </w:r>
      <w:r>
        <w:rPr>
          <w:rFonts w:hint="eastAsia" w:ascii="宋体" w:hAnsi="宋体"/>
          <w:color w:val="auto"/>
          <w:sz w:val="24"/>
          <w:highlight w:val="none"/>
        </w:rPr>
        <w:t>：</w:t>
      </w:r>
      <w:r>
        <w:rPr>
          <w:rFonts w:hint="eastAsia"/>
          <w:color w:val="auto"/>
          <w:sz w:val="24"/>
          <w:highlight w:val="none"/>
          <w:lang w:val="en-US" w:eastAsia="zh-CN"/>
        </w:rPr>
        <w:t>·</w:t>
      </w:r>
      <w:r>
        <w:rPr>
          <w:rFonts w:hint="eastAsia" w:ascii="宋体" w:hAnsi="宋体"/>
          <w:color w:val="auto"/>
          <w:sz w:val="24"/>
          <w:highlight w:val="none"/>
          <w:lang w:val="en-US" w:eastAsia="zh-CN"/>
        </w:rPr>
        <w:t>用于肺外周结节、早期肺癌筛查与定性、肺部病变的诊断和经气道消融、</w:t>
      </w:r>
      <w:r>
        <w:rPr>
          <w:rFonts w:hint="eastAsia" w:ascii="宋体" w:hAnsi="宋体"/>
          <w:color w:val="auto"/>
          <w:sz w:val="24"/>
          <w:highlight w:val="none"/>
        </w:rPr>
        <w:t>术前标记定位</w:t>
      </w:r>
      <w:r>
        <w:rPr>
          <w:rFonts w:hint="eastAsia" w:ascii="宋体" w:hAnsi="宋体"/>
          <w:color w:val="auto"/>
          <w:sz w:val="24"/>
          <w:highlight w:val="none"/>
          <w:lang w:val="en-US" w:eastAsia="zh-CN"/>
        </w:rPr>
        <w:t>等的治疗。</w:t>
      </w:r>
    </w:p>
    <w:p w14:paraId="49921DEE">
      <w:pPr>
        <w:spacing w:line="360" w:lineRule="auto"/>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4、主要参数：</w:t>
      </w:r>
    </w:p>
    <w:p w14:paraId="38B657D7">
      <w:pPr>
        <w:spacing w:line="360" w:lineRule="auto"/>
        <w:rPr>
          <w:rFonts w:hint="eastAsia" w:ascii="宋体" w:hAnsi="宋体"/>
          <w:color w:val="auto"/>
          <w:sz w:val="24"/>
          <w:highlight w:val="none"/>
        </w:rPr>
      </w:pPr>
      <w:r>
        <w:rPr>
          <w:rFonts w:hint="eastAsia" w:ascii="宋体" w:hAnsi="宋体"/>
          <w:color w:val="auto"/>
          <w:sz w:val="24"/>
          <w:highlight w:val="none"/>
        </w:rPr>
        <w:t>4.1 医学影像工作站配置</w:t>
      </w:r>
    </w:p>
    <w:p w14:paraId="2732F223">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4.1.1 CPU主频≥2.8GHz;硬盘容量≥1TB；</w:t>
      </w:r>
    </w:p>
    <w:p w14:paraId="3639CC3B">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4.1.2 硬件内存≥32GB;内置显卡、视频采集卡、网卡等</w:t>
      </w:r>
    </w:p>
    <w:p w14:paraId="699C8CA7">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4.1.3 显示屏≥1台，尺寸≥27寸，显示分辨率≥1920×1080；</w:t>
      </w:r>
    </w:p>
    <w:p w14:paraId="2EE43A73">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4.1.4 显示器输入接口适配所有主流输入接口，包括DP、HDMI、USB、DVI等接口；</w:t>
      </w:r>
    </w:p>
    <w:p w14:paraId="49CAC552">
      <w:pPr>
        <w:spacing w:line="360" w:lineRule="auto"/>
        <w:rPr>
          <w:rFonts w:hint="eastAsia" w:ascii="宋体" w:hAnsi="宋体"/>
          <w:color w:val="auto"/>
          <w:sz w:val="24"/>
          <w:highlight w:val="none"/>
        </w:rPr>
      </w:pPr>
      <w:r>
        <w:rPr>
          <w:rFonts w:hint="eastAsia" w:ascii="宋体" w:hAnsi="宋体"/>
          <w:color w:val="auto"/>
          <w:sz w:val="24"/>
          <w:highlight w:val="none"/>
        </w:rPr>
        <w:t>4.2 具备气道、血管重建与标记功能</w:t>
      </w:r>
    </w:p>
    <w:p w14:paraId="08CD8D52">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4.2.1 具备支气管重建：重建全肺支气管，重建最小气道直径≤1mm；</w:t>
      </w:r>
    </w:p>
    <w:p w14:paraId="0F0E9E02">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4.2.2 具备重建全肺支气管并具有手动补气道功能；</w:t>
      </w:r>
    </w:p>
    <w:p w14:paraId="3231C927">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4.2.3 具备重建、标注主动脉、肺动脉功能；</w:t>
      </w:r>
    </w:p>
    <w:p w14:paraId="3FC7E6C4">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4.2.4 具备标注右上肺动脉、右上肺静脉、右下肺静脉、左上肺静脉、左下肺静脉血管标识窗口功能，避免术中出血风险；</w:t>
      </w:r>
    </w:p>
    <w:p w14:paraId="01CBAE13">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4.3 具备避开肺部血管并提供安全的穿刺点（POE）功能；</w:t>
      </w:r>
    </w:p>
    <w:p w14:paraId="4C81DD60">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4.4 具备术中真实视野投射功能；</w:t>
      </w:r>
    </w:p>
    <w:p w14:paraId="67146A5D">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4.5 具备重建胸膜功能，可显示支气管镜及病灶距胸膜距离。</w:t>
      </w:r>
    </w:p>
    <w:p w14:paraId="6AB9E999">
      <w:pPr>
        <w:spacing w:line="360" w:lineRule="auto"/>
        <w:rPr>
          <w:rFonts w:hint="eastAsia" w:ascii="宋体" w:hAnsi="宋体"/>
          <w:color w:val="auto"/>
          <w:sz w:val="24"/>
          <w:highlight w:val="none"/>
        </w:rPr>
      </w:pPr>
      <w:r>
        <w:rPr>
          <w:rFonts w:hint="eastAsia" w:ascii="宋体" w:hAnsi="宋体"/>
          <w:color w:val="auto"/>
          <w:sz w:val="24"/>
          <w:highlight w:val="none"/>
        </w:rPr>
        <w:t xml:space="preserve">4.6 具备根据规划目标病灶，重建路径信息功能 </w:t>
      </w:r>
    </w:p>
    <w:p w14:paraId="0D66D61A">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4.6.1 具备计算出通向所指定目标病灶的多条路径；</w:t>
      </w:r>
    </w:p>
    <w:p w14:paraId="07D8B424">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4.6.2 涉及气道建立隧道到达目标病灶的路径数量≥2条；</w:t>
      </w:r>
    </w:p>
    <w:p w14:paraId="71A10B9A">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 xml:space="preserve">4.6.3 涉及气道建立隧道达到目标病灶的路径长度≥60mm； </w:t>
      </w:r>
    </w:p>
    <w:p w14:paraId="4B76E167">
      <w:pPr>
        <w:spacing w:line="360" w:lineRule="auto"/>
        <w:rPr>
          <w:rFonts w:hint="eastAsia" w:ascii="宋体" w:hAnsi="宋体"/>
          <w:color w:val="auto"/>
          <w:sz w:val="24"/>
          <w:highlight w:val="none"/>
        </w:rPr>
      </w:pPr>
      <w:r>
        <w:rPr>
          <w:rFonts w:hint="eastAsia" w:ascii="宋体" w:hAnsi="宋体"/>
          <w:color w:val="auto"/>
          <w:sz w:val="24"/>
          <w:highlight w:val="none"/>
        </w:rPr>
        <w:t>4.7 测量功能：其他路径信息</w:t>
      </w:r>
    </w:p>
    <w:p w14:paraId="356F8C12">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 xml:space="preserve">4.7.1 具备测量到目标病灶最近点的距离功能 </w:t>
      </w:r>
    </w:p>
    <w:p w14:paraId="2FEB7053">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4.7.2 具备测量到达路径终点的距离功能</w:t>
      </w:r>
    </w:p>
    <w:p w14:paraId="3F30838A">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4.7.3 具备测量气道直径功能</w:t>
      </w:r>
    </w:p>
    <w:p w14:paraId="249A6621">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4.7.4 具备穿刺路径总长度信息</w:t>
      </w:r>
    </w:p>
    <w:p w14:paraId="18A4567E">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4.7.5 具备病灶到胸膜距离信息</w:t>
      </w:r>
    </w:p>
    <w:p w14:paraId="74A4F748">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4.7.6 靶点选择界面影像窗口≥5个</w:t>
      </w:r>
    </w:p>
    <w:p w14:paraId="5C9A6BA8">
      <w:pPr>
        <w:spacing w:line="360" w:lineRule="auto"/>
        <w:rPr>
          <w:rFonts w:hint="eastAsia" w:ascii="宋体" w:hAnsi="宋体"/>
          <w:color w:val="auto"/>
          <w:sz w:val="24"/>
          <w:highlight w:val="none"/>
        </w:rPr>
      </w:pPr>
      <w:r>
        <w:rPr>
          <w:rFonts w:hint="eastAsia" w:ascii="宋体" w:hAnsi="宋体"/>
          <w:color w:val="auto"/>
          <w:sz w:val="24"/>
          <w:highlight w:val="none"/>
        </w:rPr>
        <w:t>4.8 标记靶点及范围：</w:t>
      </w:r>
    </w:p>
    <w:p w14:paraId="39A55D00">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4.8.1 可以设定球型肺部靶点，靶点直径：5mm-35mm</w:t>
      </w:r>
    </w:p>
    <w:p w14:paraId="359EE2EB">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4.8.2 靶点数量≥8个</w:t>
      </w:r>
    </w:p>
    <w:p w14:paraId="5F250AB8">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4.8.3不规则靶点：可根据病灶范围创建不规则靶点</w:t>
      </w:r>
    </w:p>
    <w:p w14:paraId="16B52518">
      <w:pPr>
        <w:spacing w:line="360" w:lineRule="auto"/>
        <w:rPr>
          <w:rFonts w:hint="eastAsia" w:ascii="宋体" w:hAnsi="宋体"/>
          <w:color w:val="auto"/>
          <w:sz w:val="24"/>
          <w:highlight w:val="none"/>
        </w:rPr>
      </w:pPr>
      <w:r>
        <w:rPr>
          <w:rFonts w:hint="eastAsia" w:ascii="宋体" w:hAnsi="宋体"/>
          <w:color w:val="auto"/>
          <w:sz w:val="24"/>
          <w:highlight w:val="none"/>
        </w:rPr>
        <w:t>4.9 数据导入方式</w:t>
      </w:r>
    </w:p>
    <w:p w14:paraId="6121510F">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4.9.1 可支持DICOM格式进行导入</w:t>
      </w:r>
    </w:p>
    <w:p w14:paraId="6835380B">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4.9.2 导入方式≥4种，可采用USB、光驱、PACS、本地等</w:t>
      </w:r>
    </w:p>
    <w:p w14:paraId="60ECB810">
      <w:pPr>
        <w:spacing w:line="360" w:lineRule="auto"/>
        <w:rPr>
          <w:rFonts w:hint="eastAsia" w:ascii="宋体" w:hAnsi="宋体"/>
          <w:color w:val="auto"/>
          <w:sz w:val="24"/>
          <w:highlight w:val="none"/>
        </w:rPr>
      </w:pPr>
      <w:r>
        <w:rPr>
          <w:rFonts w:hint="eastAsia" w:ascii="宋体" w:hAnsi="宋体"/>
          <w:color w:val="auto"/>
          <w:sz w:val="24"/>
          <w:highlight w:val="none"/>
        </w:rPr>
        <w:t>4.10 可配合使用的支气管镜要求：</w:t>
      </w:r>
    </w:p>
    <w:p w14:paraId="392E13E3">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4.10.1 可配合目前市场上各种型号的支气管镜，对全肺病变进行诊断和治疗；</w:t>
      </w:r>
    </w:p>
    <w:p w14:paraId="462CDD76">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4.10.2 具备可配合超细支气管镜（外径2.8mm,工作通道1.2mm)导航至气道内的病灶和临近气道的病灶；</w:t>
      </w:r>
    </w:p>
    <w:p w14:paraId="7FC2D09A">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4.11 具备≥7种视图，包括但不限于CT视图、3D气道树视图、3D靶点视图、虚拟支气管镜视图、腔外视图、静态荧光视图、三维CT与路线对准引导视图或基准投影视图；</w:t>
      </w:r>
    </w:p>
    <w:p w14:paraId="1A0F5B07">
      <w:pPr>
        <w:spacing w:line="360" w:lineRule="auto"/>
        <w:rPr>
          <w:rFonts w:hint="eastAsia" w:ascii="宋体" w:hAnsi="宋体"/>
          <w:color w:val="auto"/>
          <w:sz w:val="24"/>
          <w:highlight w:val="none"/>
        </w:rPr>
      </w:pPr>
      <w:r>
        <w:rPr>
          <w:rFonts w:hint="eastAsia" w:ascii="宋体" w:hAnsi="宋体"/>
          <w:color w:val="auto"/>
          <w:sz w:val="24"/>
          <w:highlight w:val="none"/>
        </w:rPr>
        <w:t>★4.12 定位耗材：为降低设备使用成本和病人经济负担，设备使用定位导航功能时无需额外定位耗材；如需定位耗材，需在甲方使用设备全生命周期内免费提供各型号定位耗材，</w:t>
      </w:r>
      <w:r>
        <w:rPr>
          <w:rFonts w:hint="eastAsia" w:ascii="宋体" w:hAnsi="宋体"/>
          <w:b/>
          <w:color w:val="auto"/>
          <w:sz w:val="24"/>
          <w:highlight w:val="none"/>
          <w:u w:val="single"/>
        </w:rPr>
        <w:t>需出具耗材免费提供承诺函并加盖公章。</w:t>
      </w:r>
      <w:r>
        <w:rPr>
          <w:rFonts w:hint="eastAsia" w:ascii="宋体" w:hAnsi="宋体"/>
          <w:color w:val="auto"/>
          <w:sz w:val="24"/>
          <w:highlight w:val="none"/>
        </w:rPr>
        <w:t>（如需定位耗材，需列出定位耗材全种类及规格型号）</w:t>
      </w:r>
    </w:p>
    <w:p w14:paraId="0EA376D6">
      <w:pPr>
        <w:spacing w:line="360" w:lineRule="auto"/>
        <w:rPr>
          <w:rFonts w:hint="eastAsia" w:ascii="宋体" w:hAnsi="宋体" w:cs="宋体"/>
          <w:color w:val="auto"/>
          <w:sz w:val="24"/>
          <w:highlight w:val="none"/>
        </w:rPr>
      </w:pPr>
      <w:r>
        <w:rPr>
          <w:rFonts w:hint="eastAsia" w:ascii="宋体" w:hAnsi="宋体"/>
          <w:color w:val="auto"/>
          <w:sz w:val="24"/>
          <w:highlight w:val="none"/>
        </w:rPr>
        <w:t>★4.13 自设备验收合格之日起，为使用该设备进行的检查与治疗提供终身免费的跟台服务，包括但不限于手术过程中的技术指导、设备调试等。跟台服务的响应时间为接到医院通知后24小时内到达。</w:t>
      </w:r>
      <w:r>
        <w:rPr>
          <w:rFonts w:hint="eastAsia" w:ascii="宋体" w:hAnsi="宋体"/>
          <w:b/>
          <w:color w:val="auto"/>
          <w:sz w:val="24"/>
          <w:highlight w:val="none"/>
          <w:u w:val="single"/>
        </w:rPr>
        <w:t>需提供加盖单位公章的承诺函。</w:t>
      </w:r>
    </w:p>
    <w:p w14:paraId="47867615">
      <w:pPr>
        <w:rPr>
          <w:rFonts w:hint="eastAsia"/>
          <w:color w:val="auto"/>
          <w:highlight w:val="none"/>
        </w:rPr>
      </w:pPr>
    </w:p>
    <w:p w14:paraId="597DF90F">
      <w:pPr>
        <w:pStyle w:val="40"/>
        <w:keepNext w:val="0"/>
        <w:keepLines w:val="0"/>
        <w:pageBreakBefore w:val="0"/>
        <w:widowControl w:val="0"/>
        <w:kinsoku/>
        <w:overflowPunct/>
        <w:topLinePunct w:val="0"/>
        <w:autoSpaceDE/>
        <w:autoSpaceDN/>
        <w:bidi w:val="0"/>
        <w:adjustRightInd/>
        <w:spacing w:line="360" w:lineRule="auto"/>
        <w:ind w:right="0" w:rightChars="0"/>
        <w:textAlignment w:val="auto"/>
        <w:rPr>
          <w:rFonts w:hint="default"/>
          <w:snapToGrid w:val="0"/>
          <w:color w:val="auto"/>
          <w:sz w:val="24"/>
          <w:szCs w:val="24"/>
          <w:highlight w:val="none"/>
          <w:lang w:val="en-US" w:eastAsia="zh-CN"/>
        </w:rPr>
      </w:pPr>
    </w:p>
    <w:p w14:paraId="329C1A34">
      <w:pPr>
        <w:pStyle w:val="40"/>
        <w:keepNext w:val="0"/>
        <w:keepLines w:val="0"/>
        <w:pageBreakBefore w:val="0"/>
        <w:widowControl w:val="0"/>
        <w:kinsoku/>
        <w:overflowPunct/>
        <w:topLinePunct w:val="0"/>
        <w:autoSpaceDE/>
        <w:autoSpaceDN/>
        <w:bidi w:val="0"/>
        <w:adjustRightInd/>
        <w:spacing w:line="360" w:lineRule="auto"/>
        <w:ind w:right="0" w:rightChars="0"/>
        <w:textAlignment w:val="auto"/>
        <w:rPr>
          <w:rFonts w:hint="eastAsia"/>
          <w:b/>
          <w:bCs/>
          <w:snapToGrid w:val="0"/>
          <w:color w:val="auto"/>
          <w:sz w:val="32"/>
          <w:szCs w:val="32"/>
          <w:highlight w:val="none"/>
          <w:lang w:val="en-US" w:eastAsia="zh-CN"/>
        </w:rPr>
      </w:pPr>
      <w:r>
        <w:rPr>
          <w:rFonts w:hint="eastAsia"/>
          <w:b/>
          <w:bCs/>
          <w:snapToGrid w:val="0"/>
          <w:color w:val="auto"/>
          <w:sz w:val="32"/>
          <w:szCs w:val="32"/>
          <w:highlight w:val="none"/>
          <w:lang w:val="en-US" w:eastAsia="zh-CN"/>
        </w:rPr>
        <w:t>注：★为实质性响应条款，不满足作废标处理；▲为重要参数。</w:t>
      </w:r>
    </w:p>
    <w:p w14:paraId="33B969C5">
      <w:pPr>
        <w:rPr>
          <w:color w:val="auto"/>
          <w:highlight w:val="none"/>
        </w:rPr>
      </w:pPr>
    </w:p>
    <w:p w14:paraId="1A41FC86">
      <w:pPr>
        <w:rPr>
          <w:rFonts w:hint="eastAsia"/>
          <w:color w:val="auto"/>
          <w:highlight w:val="none"/>
        </w:rPr>
      </w:pPr>
      <w:r>
        <w:rPr>
          <w:rFonts w:hint="eastAsia"/>
          <w:color w:val="auto"/>
          <w:highlight w:val="none"/>
        </w:rPr>
        <w:br w:type="page"/>
      </w:r>
    </w:p>
    <w:p w14:paraId="482326FC">
      <w:pPr>
        <w:pStyle w:val="2"/>
        <w:rPr>
          <w:color w:val="auto"/>
          <w:highlight w:val="none"/>
        </w:rPr>
      </w:pPr>
      <w:bookmarkStart w:id="285" w:name="_Toc18577"/>
      <w:r>
        <w:rPr>
          <w:rFonts w:hint="eastAsia"/>
          <w:color w:val="auto"/>
          <w:highlight w:val="none"/>
        </w:rPr>
        <w:t>第四章 资格审查</w:t>
      </w:r>
      <w:bookmarkEnd w:id="283"/>
      <w:bookmarkEnd w:id="284"/>
      <w:bookmarkEnd w:id="285"/>
    </w:p>
    <w:p w14:paraId="0EA1778A">
      <w:pPr>
        <w:pStyle w:val="3"/>
        <w:rPr>
          <w:color w:val="auto"/>
          <w:highlight w:val="none"/>
          <w:lang w:val="zh-CN"/>
        </w:rPr>
      </w:pPr>
      <w:bookmarkStart w:id="286" w:name="_Toc26583"/>
      <w:bookmarkStart w:id="287" w:name="_Toc4412"/>
      <w:r>
        <w:rPr>
          <w:rFonts w:hint="eastAsia"/>
          <w:color w:val="auto"/>
          <w:highlight w:val="none"/>
        </w:rPr>
        <w:t>一、资格审查程序</w:t>
      </w:r>
      <w:bookmarkEnd w:id="286"/>
      <w:bookmarkEnd w:id="287"/>
      <w:r>
        <w:rPr>
          <w:rFonts w:hint="eastAsia"/>
          <w:color w:val="auto"/>
          <w:highlight w:val="none"/>
        </w:rPr>
        <w:t xml:space="preserve"> </w:t>
      </w:r>
    </w:p>
    <w:p w14:paraId="19F33FD0">
      <w:pPr>
        <w:pStyle w:val="40"/>
        <w:rPr>
          <w:color w:val="auto"/>
          <w:highlight w:val="none"/>
        </w:rPr>
      </w:pPr>
      <w:r>
        <w:rPr>
          <w:rFonts w:hint="eastAsia"/>
          <w:color w:val="auto"/>
          <w:highlight w:val="none"/>
        </w:rPr>
        <w:t xml:space="preserve">1 开标结束后，采购人或采购代理机构将根据《资格审查要求》中的规定，对投标人进行资格审查，并形成资格审查结果。 </w:t>
      </w:r>
    </w:p>
    <w:p w14:paraId="7618F8D8">
      <w:pPr>
        <w:pStyle w:val="40"/>
        <w:rPr>
          <w:color w:val="auto"/>
          <w:highlight w:val="none"/>
        </w:rPr>
      </w:pPr>
      <w:r>
        <w:rPr>
          <w:rFonts w:hint="eastAsia"/>
          <w:color w:val="auto"/>
          <w:highlight w:val="none"/>
        </w:rPr>
        <w:t>2 投标人《资格证明文件》有任何一项不符合《资格审查要求》的，资格审查不合格，其</w:t>
      </w:r>
      <w:r>
        <w:rPr>
          <w:rFonts w:hint="eastAsia"/>
          <w:b/>
          <w:bCs/>
          <w:color w:val="auto"/>
          <w:highlight w:val="none"/>
        </w:rPr>
        <w:t>投标无效</w:t>
      </w:r>
      <w:r>
        <w:rPr>
          <w:rFonts w:hint="eastAsia"/>
          <w:color w:val="auto"/>
          <w:highlight w:val="none"/>
        </w:rPr>
        <w:t xml:space="preserve">。 </w:t>
      </w:r>
    </w:p>
    <w:p w14:paraId="072FDFAC">
      <w:pPr>
        <w:pStyle w:val="40"/>
        <w:rPr>
          <w:color w:val="auto"/>
          <w:highlight w:val="none"/>
        </w:rPr>
      </w:pPr>
      <w:r>
        <w:rPr>
          <w:rFonts w:hint="eastAsia"/>
          <w:color w:val="auto"/>
          <w:highlight w:val="none"/>
        </w:rPr>
        <w:t xml:space="preserve">3 资格审查合格的投标人不足 3 家的，不进行评标。 </w:t>
      </w:r>
    </w:p>
    <w:p w14:paraId="055E501A">
      <w:pPr>
        <w:pStyle w:val="3"/>
        <w:rPr>
          <w:color w:val="auto"/>
          <w:highlight w:val="none"/>
        </w:rPr>
      </w:pPr>
      <w:bookmarkStart w:id="288" w:name="_Toc32303"/>
      <w:bookmarkStart w:id="289" w:name="_Toc6358"/>
      <w:r>
        <w:rPr>
          <w:rFonts w:hint="eastAsia"/>
          <w:color w:val="auto"/>
          <w:highlight w:val="none"/>
        </w:rPr>
        <w:t>二、资格审查要求</w:t>
      </w:r>
      <w:bookmarkEnd w:id="288"/>
      <w:bookmarkEnd w:id="289"/>
      <w:r>
        <w:rPr>
          <w:rFonts w:hint="eastAsia"/>
          <w:color w:val="auto"/>
          <w:highlight w:val="none"/>
        </w:rPr>
        <w:t xml:space="preserve"> </w:t>
      </w:r>
    </w:p>
    <w:tbl>
      <w:tblPr>
        <w:tblStyle w:val="32"/>
        <w:tblW w:w="5381" w:type="pct"/>
        <w:jc w:val="center"/>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1205"/>
        <w:gridCol w:w="2089"/>
        <w:gridCol w:w="5345"/>
        <w:gridCol w:w="988"/>
        <w:gridCol w:w="879"/>
      </w:tblGrid>
      <w:tr w14:paraId="6B0B444A">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44" w:hRule="atLeast"/>
          <w:jc w:val="center"/>
        </w:trPr>
        <w:tc>
          <w:tcPr>
            <w:tcW w:w="1567" w:type="pct"/>
            <w:gridSpan w:val="2"/>
            <w:vMerge w:val="restart"/>
            <w:tcBorders>
              <w:top w:val="outset" w:color="auto" w:sz="6" w:space="0"/>
              <w:left w:val="outset" w:color="auto" w:sz="6" w:space="0"/>
              <w:bottom w:val="outset" w:color="auto" w:sz="6" w:space="0"/>
              <w:right w:val="outset" w:color="auto" w:sz="6" w:space="0"/>
            </w:tcBorders>
            <w:vAlign w:val="center"/>
          </w:tcPr>
          <w:p w14:paraId="148D45A2">
            <w:pPr>
              <w:jc w:val="center"/>
              <w:rPr>
                <w:color w:val="auto"/>
                <w:szCs w:val="24"/>
                <w:highlight w:val="none"/>
              </w:rPr>
            </w:pPr>
            <w:r>
              <w:rPr>
                <w:rFonts w:hint="eastAsia"/>
                <w:color w:val="auto"/>
                <w:szCs w:val="24"/>
                <w:highlight w:val="none"/>
              </w:rPr>
              <w:t>评分因素</w:t>
            </w:r>
          </w:p>
        </w:tc>
        <w:tc>
          <w:tcPr>
            <w:tcW w:w="2543" w:type="pct"/>
            <w:vMerge w:val="restart"/>
            <w:tcBorders>
              <w:top w:val="outset" w:color="auto" w:sz="6" w:space="0"/>
              <w:left w:val="outset" w:color="auto" w:sz="6" w:space="0"/>
              <w:bottom w:val="outset" w:color="auto" w:sz="6" w:space="0"/>
              <w:right w:val="outset" w:color="auto" w:sz="6" w:space="0"/>
            </w:tcBorders>
            <w:vAlign w:val="center"/>
          </w:tcPr>
          <w:p w14:paraId="3D2A12EF">
            <w:pPr>
              <w:jc w:val="center"/>
              <w:rPr>
                <w:color w:val="auto"/>
                <w:szCs w:val="24"/>
                <w:highlight w:val="none"/>
              </w:rPr>
            </w:pPr>
            <w:r>
              <w:rPr>
                <w:rFonts w:hint="eastAsia"/>
                <w:color w:val="auto"/>
                <w:szCs w:val="24"/>
                <w:highlight w:val="none"/>
              </w:rPr>
              <w:t>评审标准</w:t>
            </w:r>
          </w:p>
        </w:tc>
        <w:tc>
          <w:tcPr>
            <w:tcW w:w="888" w:type="pct"/>
            <w:gridSpan w:val="2"/>
            <w:tcBorders>
              <w:top w:val="outset" w:color="auto" w:sz="6" w:space="0"/>
              <w:left w:val="outset" w:color="auto" w:sz="6" w:space="0"/>
              <w:bottom w:val="outset" w:color="auto" w:sz="6" w:space="0"/>
              <w:right w:val="outset" w:color="auto" w:sz="6" w:space="0"/>
            </w:tcBorders>
            <w:vAlign w:val="center"/>
          </w:tcPr>
          <w:p w14:paraId="09169EF4">
            <w:pPr>
              <w:rPr>
                <w:color w:val="auto"/>
                <w:szCs w:val="24"/>
                <w:highlight w:val="none"/>
              </w:rPr>
            </w:pPr>
            <w:r>
              <w:rPr>
                <w:rFonts w:hint="eastAsia"/>
                <w:color w:val="auto"/>
                <w:szCs w:val="24"/>
                <w:highlight w:val="none"/>
              </w:rPr>
              <w:t>评审意见</w:t>
            </w:r>
          </w:p>
        </w:tc>
      </w:tr>
      <w:tr w14:paraId="4903584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44" w:hRule="atLeast"/>
          <w:jc w:val="center"/>
        </w:trPr>
        <w:tc>
          <w:tcPr>
            <w:tcW w:w="1567" w:type="pct"/>
            <w:gridSpan w:val="2"/>
            <w:vMerge w:val="continue"/>
            <w:tcBorders>
              <w:top w:val="outset" w:color="auto" w:sz="6" w:space="0"/>
              <w:left w:val="outset" w:color="auto" w:sz="6" w:space="0"/>
              <w:bottom w:val="outset" w:color="auto" w:sz="6" w:space="0"/>
              <w:right w:val="outset" w:color="auto" w:sz="6" w:space="0"/>
            </w:tcBorders>
            <w:vAlign w:val="center"/>
          </w:tcPr>
          <w:p w14:paraId="7421107F">
            <w:pPr>
              <w:rPr>
                <w:color w:val="auto"/>
                <w:szCs w:val="24"/>
                <w:highlight w:val="none"/>
              </w:rPr>
            </w:pPr>
          </w:p>
        </w:tc>
        <w:tc>
          <w:tcPr>
            <w:tcW w:w="2543" w:type="pct"/>
            <w:vMerge w:val="continue"/>
            <w:tcBorders>
              <w:top w:val="outset" w:color="auto" w:sz="6" w:space="0"/>
              <w:left w:val="outset" w:color="auto" w:sz="6" w:space="0"/>
              <w:bottom w:val="outset" w:color="auto" w:sz="6" w:space="0"/>
              <w:right w:val="outset" w:color="auto" w:sz="6" w:space="0"/>
            </w:tcBorders>
            <w:vAlign w:val="center"/>
          </w:tcPr>
          <w:p w14:paraId="3B27933B">
            <w:pPr>
              <w:rPr>
                <w:color w:val="auto"/>
                <w:szCs w:val="24"/>
                <w:highlight w:val="none"/>
              </w:rPr>
            </w:pPr>
          </w:p>
        </w:tc>
        <w:tc>
          <w:tcPr>
            <w:tcW w:w="470" w:type="pct"/>
            <w:tcBorders>
              <w:top w:val="outset" w:color="auto" w:sz="6" w:space="0"/>
              <w:left w:val="outset" w:color="auto" w:sz="6" w:space="0"/>
              <w:bottom w:val="outset" w:color="auto" w:sz="6" w:space="0"/>
              <w:right w:val="outset" w:color="auto" w:sz="6" w:space="0"/>
            </w:tcBorders>
            <w:vAlign w:val="center"/>
          </w:tcPr>
          <w:p w14:paraId="6FEDD443">
            <w:pPr>
              <w:rPr>
                <w:color w:val="auto"/>
                <w:szCs w:val="24"/>
                <w:highlight w:val="none"/>
              </w:rPr>
            </w:pPr>
            <w:r>
              <w:rPr>
                <w:rFonts w:hint="eastAsia"/>
                <w:color w:val="auto"/>
                <w:szCs w:val="24"/>
                <w:highlight w:val="none"/>
              </w:rPr>
              <w:t>是</w:t>
            </w:r>
          </w:p>
        </w:tc>
        <w:tc>
          <w:tcPr>
            <w:tcW w:w="417" w:type="pct"/>
            <w:tcBorders>
              <w:top w:val="outset" w:color="auto" w:sz="6" w:space="0"/>
              <w:left w:val="outset" w:color="auto" w:sz="6" w:space="0"/>
              <w:bottom w:val="outset" w:color="auto" w:sz="6" w:space="0"/>
              <w:right w:val="outset" w:color="auto" w:sz="6" w:space="0"/>
            </w:tcBorders>
            <w:vAlign w:val="center"/>
          </w:tcPr>
          <w:p w14:paraId="1765818A">
            <w:pPr>
              <w:rPr>
                <w:color w:val="auto"/>
                <w:szCs w:val="24"/>
                <w:highlight w:val="none"/>
              </w:rPr>
            </w:pPr>
            <w:r>
              <w:rPr>
                <w:rFonts w:hint="eastAsia"/>
                <w:color w:val="auto"/>
                <w:szCs w:val="24"/>
                <w:highlight w:val="none"/>
              </w:rPr>
              <w:t>否</w:t>
            </w:r>
          </w:p>
        </w:tc>
      </w:tr>
      <w:tr w14:paraId="0C7C2BF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252" w:hRule="atLeast"/>
          <w:jc w:val="center"/>
        </w:trPr>
        <w:tc>
          <w:tcPr>
            <w:tcW w:w="573" w:type="pct"/>
            <w:vMerge w:val="restart"/>
            <w:tcBorders>
              <w:top w:val="outset" w:color="auto" w:sz="6" w:space="0"/>
              <w:left w:val="outset" w:color="auto" w:sz="6" w:space="0"/>
              <w:bottom w:val="outset" w:color="auto" w:sz="6" w:space="0"/>
              <w:right w:val="outset" w:color="auto" w:sz="6" w:space="0"/>
            </w:tcBorders>
            <w:vAlign w:val="center"/>
          </w:tcPr>
          <w:p w14:paraId="1E9B0710">
            <w:pPr>
              <w:rPr>
                <w:color w:val="auto"/>
                <w:szCs w:val="24"/>
                <w:highlight w:val="none"/>
              </w:rPr>
            </w:pPr>
            <w:r>
              <w:rPr>
                <w:rFonts w:hint="eastAsia"/>
                <w:color w:val="auto"/>
                <w:szCs w:val="24"/>
                <w:highlight w:val="none"/>
              </w:rPr>
              <w:t>资格检查</w:t>
            </w:r>
          </w:p>
        </w:tc>
        <w:tc>
          <w:tcPr>
            <w:tcW w:w="994" w:type="pct"/>
            <w:tcBorders>
              <w:top w:val="outset" w:color="auto" w:sz="6" w:space="0"/>
              <w:left w:val="outset" w:color="auto" w:sz="6" w:space="0"/>
              <w:bottom w:val="outset" w:color="auto" w:sz="6" w:space="0"/>
              <w:right w:val="outset" w:color="auto" w:sz="6" w:space="0"/>
            </w:tcBorders>
            <w:vAlign w:val="center"/>
          </w:tcPr>
          <w:p w14:paraId="4AC340AF">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具有独立承担民事责任的能力</w:t>
            </w:r>
          </w:p>
        </w:tc>
        <w:tc>
          <w:tcPr>
            <w:tcW w:w="2543" w:type="pct"/>
            <w:tcBorders>
              <w:top w:val="outset" w:color="auto" w:sz="6" w:space="0"/>
              <w:left w:val="outset" w:color="auto" w:sz="6" w:space="0"/>
              <w:bottom w:val="outset" w:color="auto" w:sz="6" w:space="0"/>
              <w:right w:val="outset" w:color="auto" w:sz="6" w:space="0"/>
            </w:tcBorders>
            <w:vAlign w:val="center"/>
          </w:tcPr>
          <w:p w14:paraId="460B1D60">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投标时，提供在中华人民共和国境内注册的法人或其他组织的营业执照或事业单位法人证书或社会团体法人登记证书复印件</w:t>
            </w:r>
            <w:r>
              <w:rPr>
                <w:rFonts w:ascii="宋体" w:hAnsi="宋体" w:cs="宋体"/>
                <w:color w:val="auto"/>
                <w:highlight w:val="none"/>
              </w:rPr>
              <w:t>/扫描件）</w:t>
            </w:r>
          </w:p>
        </w:tc>
        <w:tc>
          <w:tcPr>
            <w:tcW w:w="470" w:type="pct"/>
            <w:tcBorders>
              <w:top w:val="outset" w:color="auto" w:sz="6" w:space="0"/>
              <w:left w:val="outset" w:color="auto" w:sz="6" w:space="0"/>
              <w:bottom w:val="outset" w:color="auto" w:sz="6" w:space="0"/>
              <w:right w:val="outset" w:color="auto" w:sz="6" w:space="0"/>
            </w:tcBorders>
            <w:vAlign w:val="center"/>
          </w:tcPr>
          <w:p w14:paraId="3C6B69E2">
            <w:pPr>
              <w:rPr>
                <w:color w:val="auto"/>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3E5F1D5D">
            <w:pPr>
              <w:rPr>
                <w:color w:val="auto"/>
                <w:szCs w:val="24"/>
                <w:highlight w:val="none"/>
              </w:rPr>
            </w:pPr>
          </w:p>
        </w:tc>
      </w:tr>
      <w:tr w14:paraId="5A9877B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2983"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142B6848">
            <w:pPr>
              <w:rPr>
                <w:color w:val="auto"/>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1D21E3B0">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具有良好的商业信誉和健全的财务会计制度</w:t>
            </w:r>
          </w:p>
        </w:tc>
        <w:tc>
          <w:tcPr>
            <w:tcW w:w="2543" w:type="pct"/>
            <w:tcBorders>
              <w:top w:val="outset" w:color="auto" w:sz="6" w:space="0"/>
              <w:left w:val="outset" w:color="auto" w:sz="6" w:space="0"/>
              <w:bottom w:val="outset" w:color="auto" w:sz="6" w:space="0"/>
              <w:right w:val="outset" w:color="auto" w:sz="6" w:space="0"/>
            </w:tcBorders>
            <w:vAlign w:val="center"/>
          </w:tcPr>
          <w:p w14:paraId="33A08082">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若投标人成立超过一年需提供</w:t>
            </w:r>
            <w:r>
              <w:rPr>
                <w:rFonts w:hint="eastAsia" w:ascii="宋体" w:hAnsi="宋体" w:cs="宋体"/>
                <w:color w:val="auto"/>
                <w:highlight w:val="none"/>
                <w:lang w:eastAsia="zh-CN"/>
              </w:rPr>
              <w:t>2024年、2025年度任意一年的财务状况报表或经第三方审计出具的审计报告</w:t>
            </w:r>
            <w:r>
              <w:rPr>
                <w:rFonts w:ascii="宋体" w:hAnsi="宋体" w:cs="宋体"/>
                <w:color w:val="auto"/>
                <w:highlight w:val="none"/>
              </w:rPr>
              <w:t>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p>
        </w:tc>
        <w:tc>
          <w:tcPr>
            <w:tcW w:w="470" w:type="pct"/>
            <w:tcBorders>
              <w:top w:val="outset" w:color="auto" w:sz="6" w:space="0"/>
              <w:left w:val="outset" w:color="auto" w:sz="6" w:space="0"/>
              <w:bottom w:val="outset" w:color="auto" w:sz="6" w:space="0"/>
              <w:right w:val="outset" w:color="auto" w:sz="6" w:space="0"/>
            </w:tcBorders>
            <w:vAlign w:val="center"/>
          </w:tcPr>
          <w:p w14:paraId="72D9E76E">
            <w:pPr>
              <w:rPr>
                <w:color w:val="auto"/>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79E95363">
            <w:pPr>
              <w:rPr>
                <w:color w:val="auto"/>
                <w:szCs w:val="24"/>
                <w:highlight w:val="none"/>
              </w:rPr>
            </w:pPr>
          </w:p>
        </w:tc>
      </w:tr>
      <w:tr w14:paraId="241BC76A">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993"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1301B649">
            <w:pPr>
              <w:rPr>
                <w:color w:val="auto"/>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28D53B63">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有依法缴纳税收和社会保障资金的良好记录</w:t>
            </w:r>
          </w:p>
        </w:tc>
        <w:tc>
          <w:tcPr>
            <w:tcW w:w="2543" w:type="pct"/>
            <w:tcBorders>
              <w:top w:val="outset" w:color="auto" w:sz="6" w:space="0"/>
              <w:left w:val="outset" w:color="auto" w:sz="6" w:space="0"/>
              <w:bottom w:val="outset" w:color="auto" w:sz="6" w:space="0"/>
              <w:right w:val="outset" w:color="auto" w:sz="6" w:space="0"/>
            </w:tcBorders>
            <w:vAlign w:val="center"/>
          </w:tcPr>
          <w:p w14:paraId="754FFE6A">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提供至本项目投标截止日前一年内任意</w:t>
            </w:r>
            <w:r>
              <w:rPr>
                <w:rFonts w:ascii="宋体" w:hAnsi="宋体" w:cs="宋体"/>
                <w:color w:val="auto"/>
                <w:highlight w:val="none"/>
              </w:rPr>
              <w:t>1个月缴纳税收凭据证明材料复印件/扫描件；如依法免税的，应提供相应文件证明；提供至本项目投标截止日前一年内任意1个月缴纳社会保险的凭据证明材料复印件/扫描件；如依法不需要缴纳社会保障资金的，应提供相应文件证明</w:t>
            </w:r>
          </w:p>
        </w:tc>
        <w:tc>
          <w:tcPr>
            <w:tcW w:w="470" w:type="pct"/>
            <w:tcBorders>
              <w:top w:val="outset" w:color="auto" w:sz="6" w:space="0"/>
              <w:left w:val="outset" w:color="auto" w:sz="6" w:space="0"/>
              <w:bottom w:val="outset" w:color="auto" w:sz="6" w:space="0"/>
              <w:right w:val="outset" w:color="auto" w:sz="6" w:space="0"/>
            </w:tcBorders>
            <w:vAlign w:val="center"/>
          </w:tcPr>
          <w:p w14:paraId="22409502">
            <w:pPr>
              <w:rPr>
                <w:color w:val="auto"/>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2CA9A5D0">
            <w:pPr>
              <w:rPr>
                <w:color w:val="auto"/>
                <w:szCs w:val="24"/>
                <w:highlight w:val="none"/>
              </w:rPr>
            </w:pPr>
          </w:p>
        </w:tc>
      </w:tr>
      <w:tr w14:paraId="16A22AF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004"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2662A0C7">
            <w:pPr>
              <w:rPr>
                <w:color w:val="auto"/>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4A8B7CF2">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具有履行合同所必需的设备和专业技术能力</w:t>
            </w:r>
          </w:p>
        </w:tc>
        <w:tc>
          <w:tcPr>
            <w:tcW w:w="2543" w:type="pct"/>
            <w:tcBorders>
              <w:top w:val="outset" w:color="auto" w:sz="6" w:space="0"/>
              <w:left w:val="outset" w:color="auto" w:sz="6" w:space="0"/>
              <w:bottom w:val="outset" w:color="auto" w:sz="6" w:space="0"/>
              <w:right w:val="outset" w:color="auto" w:sz="6" w:space="0"/>
            </w:tcBorders>
            <w:vAlign w:val="center"/>
          </w:tcPr>
          <w:p w14:paraId="098649DC">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投标人履行合同所必须的设备和专业技术能力的证明材料或声明。（投标时，投标人出具承诺函，承诺满足要求，加盖投标人公章。）</w:t>
            </w:r>
          </w:p>
        </w:tc>
        <w:tc>
          <w:tcPr>
            <w:tcW w:w="470" w:type="pct"/>
            <w:tcBorders>
              <w:top w:val="outset" w:color="auto" w:sz="6" w:space="0"/>
              <w:left w:val="outset" w:color="auto" w:sz="6" w:space="0"/>
              <w:bottom w:val="outset" w:color="auto" w:sz="6" w:space="0"/>
              <w:right w:val="outset" w:color="auto" w:sz="6" w:space="0"/>
            </w:tcBorders>
            <w:vAlign w:val="center"/>
          </w:tcPr>
          <w:p w14:paraId="3762AD19">
            <w:pPr>
              <w:rPr>
                <w:color w:val="auto"/>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01274298">
            <w:pPr>
              <w:rPr>
                <w:color w:val="auto"/>
                <w:szCs w:val="24"/>
                <w:highlight w:val="none"/>
              </w:rPr>
            </w:pPr>
          </w:p>
        </w:tc>
      </w:tr>
      <w:tr w14:paraId="6A12A88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642"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32C1644B">
            <w:pPr>
              <w:rPr>
                <w:color w:val="auto"/>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21D5C7C5">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参加政府采购活动前三年内，在经营活动中没有重大违法记录</w:t>
            </w:r>
          </w:p>
        </w:tc>
        <w:tc>
          <w:tcPr>
            <w:tcW w:w="2543" w:type="pct"/>
            <w:tcBorders>
              <w:top w:val="outset" w:color="auto" w:sz="6" w:space="0"/>
              <w:left w:val="outset" w:color="auto" w:sz="6" w:space="0"/>
              <w:bottom w:val="outset" w:color="auto" w:sz="6" w:space="0"/>
              <w:right w:val="outset" w:color="auto" w:sz="6" w:space="0"/>
            </w:tcBorders>
            <w:vAlign w:val="center"/>
          </w:tcPr>
          <w:p w14:paraId="199C20E4">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参加政府采购活动前三年内在经营活动中没有重大违法记录的书面声明。（投标时，投标人出具承诺函，加盖投标人公章。）</w:t>
            </w:r>
          </w:p>
          <w:p w14:paraId="5C00A3D0">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注：重大违法记录，是指投标人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p>
        </w:tc>
        <w:tc>
          <w:tcPr>
            <w:tcW w:w="470" w:type="pct"/>
            <w:tcBorders>
              <w:top w:val="outset" w:color="auto" w:sz="6" w:space="0"/>
              <w:left w:val="outset" w:color="auto" w:sz="6" w:space="0"/>
              <w:bottom w:val="outset" w:color="auto" w:sz="6" w:space="0"/>
              <w:right w:val="outset" w:color="auto" w:sz="6" w:space="0"/>
            </w:tcBorders>
            <w:vAlign w:val="center"/>
          </w:tcPr>
          <w:p w14:paraId="4F76A3D5">
            <w:pPr>
              <w:rPr>
                <w:color w:val="auto"/>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2745AF1D">
            <w:pPr>
              <w:rPr>
                <w:color w:val="auto"/>
                <w:szCs w:val="24"/>
                <w:highlight w:val="none"/>
              </w:rPr>
            </w:pPr>
          </w:p>
        </w:tc>
      </w:tr>
      <w:tr w14:paraId="5ACA31C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312"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4F53846F">
            <w:pPr>
              <w:rPr>
                <w:color w:val="auto"/>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1CAC4952">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信用记录</w:t>
            </w:r>
          </w:p>
        </w:tc>
        <w:tc>
          <w:tcPr>
            <w:tcW w:w="2543" w:type="pct"/>
            <w:tcBorders>
              <w:top w:val="outset" w:color="auto" w:sz="6" w:space="0"/>
              <w:left w:val="outset" w:color="auto" w:sz="6" w:space="0"/>
              <w:bottom w:val="outset" w:color="auto" w:sz="6" w:space="0"/>
              <w:right w:val="outset" w:color="auto" w:sz="6" w:space="0"/>
            </w:tcBorders>
            <w:vAlign w:val="center"/>
          </w:tcPr>
          <w:p w14:paraId="1E63F7F1">
            <w:pPr>
              <w:pStyle w:val="62"/>
              <w:wordWrap w:val="0"/>
              <w:spacing w:line="360" w:lineRule="exact"/>
              <w:ind w:left="120" w:leftChars="50"/>
              <w:rPr>
                <w:rFonts w:ascii="宋体" w:hAnsi="宋体" w:cs="宋体"/>
                <w:color w:val="auto"/>
                <w:highlight w:val="none"/>
              </w:rPr>
            </w:pPr>
            <w:r>
              <w:rPr>
                <w:rFonts w:hint="eastAsia" w:ascii="宋体" w:hAnsi="宋体" w:cs="宋体"/>
                <w:color w:val="auto"/>
                <w:highlight w:val="none"/>
              </w:rPr>
              <w:t>供应商未被列入“信用中国”网站</w:t>
            </w:r>
            <w:r>
              <w:rPr>
                <w:rFonts w:ascii="宋体" w:hAnsi="宋体" w:cs="宋体"/>
                <w:color w:val="auto"/>
                <w:highlight w:val="none"/>
              </w:rPr>
              <w:t>(www.creditchina.gov.cn)“记录严重失信主体名单、失信被执行人、重大税收违法失信主体”记录名单；不处于中国政府采购网(www.ccgp.gov.cn)“政府采购严重违法失信行为信息记录”中的禁止参加政府采购活动期间。如相关失信记录已失效，供应商需提供相关证明资料，如在上述网站查询结果均显示没有相关记录，视为没有上述不良信用记录。）。</w:t>
            </w:r>
          </w:p>
        </w:tc>
        <w:tc>
          <w:tcPr>
            <w:tcW w:w="470" w:type="pct"/>
            <w:tcBorders>
              <w:top w:val="outset" w:color="auto" w:sz="6" w:space="0"/>
              <w:left w:val="outset" w:color="auto" w:sz="6" w:space="0"/>
              <w:bottom w:val="outset" w:color="auto" w:sz="6" w:space="0"/>
              <w:right w:val="outset" w:color="auto" w:sz="6" w:space="0"/>
            </w:tcBorders>
            <w:vAlign w:val="center"/>
          </w:tcPr>
          <w:p w14:paraId="021057DC">
            <w:pPr>
              <w:rPr>
                <w:color w:val="auto"/>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586546D9">
            <w:pPr>
              <w:rPr>
                <w:color w:val="auto"/>
                <w:szCs w:val="24"/>
                <w:highlight w:val="none"/>
              </w:rPr>
            </w:pPr>
          </w:p>
        </w:tc>
      </w:tr>
      <w:tr w14:paraId="66BB6B72">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004"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262049F2">
            <w:pPr>
              <w:rPr>
                <w:color w:val="auto"/>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7F765E02">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存在利害关系</w:t>
            </w:r>
          </w:p>
        </w:tc>
        <w:tc>
          <w:tcPr>
            <w:tcW w:w="2543" w:type="pct"/>
            <w:tcBorders>
              <w:top w:val="outset" w:color="auto" w:sz="6" w:space="0"/>
              <w:left w:val="outset" w:color="auto" w:sz="6" w:space="0"/>
              <w:bottom w:val="outset" w:color="auto" w:sz="6" w:space="0"/>
              <w:right w:val="outset" w:color="auto" w:sz="6" w:space="0"/>
            </w:tcBorders>
            <w:vAlign w:val="center"/>
          </w:tcPr>
          <w:p w14:paraId="2C99FA94">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单位负责人为同一人或者存在直接控股、管理关系的不同投标人，不得参加同一合同项下的政府采购活动。与采购人存在利害关系可能影响招标公正性的法人、其他组织或者个人，不得参加投标；（投标时，投标人出具承诺函，加盖投标人公章。）</w:t>
            </w:r>
          </w:p>
        </w:tc>
        <w:tc>
          <w:tcPr>
            <w:tcW w:w="470" w:type="pct"/>
            <w:tcBorders>
              <w:top w:val="outset" w:color="auto" w:sz="6" w:space="0"/>
              <w:left w:val="outset" w:color="auto" w:sz="6" w:space="0"/>
              <w:bottom w:val="outset" w:color="auto" w:sz="6" w:space="0"/>
              <w:right w:val="outset" w:color="auto" w:sz="6" w:space="0"/>
            </w:tcBorders>
            <w:vAlign w:val="center"/>
          </w:tcPr>
          <w:p w14:paraId="1678B5EE">
            <w:pPr>
              <w:rPr>
                <w:color w:val="auto"/>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462A003C">
            <w:pPr>
              <w:rPr>
                <w:color w:val="auto"/>
                <w:szCs w:val="24"/>
                <w:highlight w:val="none"/>
              </w:rPr>
            </w:pPr>
          </w:p>
        </w:tc>
      </w:tr>
      <w:tr w14:paraId="5CDCC232">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95"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434FBBFF">
            <w:pPr>
              <w:rPr>
                <w:color w:val="auto"/>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529C51BC">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联合体</w:t>
            </w:r>
          </w:p>
        </w:tc>
        <w:tc>
          <w:tcPr>
            <w:tcW w:w="2543" w:type="pct"/>
            <w:tcBorders>
              <w:top w:val="outset" w:color="auto" w:sz="6" w:space="0"/>
              <w:left w:val="outset" w:color="auto" w:sz="6" w:space="0"/>
              <w:bottom w:val="outset" w:color="auto" w:sz="6" w:space="0"/>
              <w:right w:val="outset" w:color="auto" w:sz="6" w:space="0"/>
            </w:tcBorders>
            <w:vAlign w:val="center"/>
          </w:tcPr>
          <w:p w14:paraId="33A9A6D1">
            <w:pPr>
              <w:pStyle w:val="62"/>
              <w:spacing w:line="360" w:lineRule="exact"/>
              <w:rPr>
                <w:rFonts w:ascii="宋体" w:hAnsi="宋体" w:cs="宋体"/>
                <w:color w:val="auto"/>
                <w:highlight w:val="none"/>
              </w:rPr>
            </w:pPr>
            <w:r>
              <w:rPr>
                <w:rFonts w:hint="eastAsia" w:ascii="宋体" w:hAnsi="宋体" w:cs="宋体"/>
                <w:color w:val="auto"/>
                <w:highlight w:val="none"/>
              </w:rPr>
              <w:t>本项目不接受联合体投标。</w:t>
            </w:r>
          </w:p>
        </w:tc>
        <w:tc>
          <w:tcPr>
            <w:tcW w:w="470" w:type="pct"/>
            <w:tcBorders>
              <w:top w:val="outset" w:color="auto" w:sz="6" w:space="0"/>
              <w:left w:val="outset" w:color="auto" w:sz="6" w:space="0"/>
              <w:bottom w:val="outset" w:color="auto" w:sz="6" w:space="0"/>
              <w:right w:val="outset" w:color="auto" w:sz="6" w:space="0"/>
            </w:tcBorders>
            <w:vAlign w:val="center"/>
          </w:tcPr>
          <w:p w14:paraId="1AC0BB78">
            <w:pPr>
              <w:rPr>
                <w:color w:val="auto"/>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598C1F57">
            <w:pPr>
              <w:rPr>
                <w:color w:val="auto"/>
                <w:szCs w:val="24"/>
                <w:highlight w:val="none"/>
              </w:rPr>
            </w:pPr>
          </w:p>
        </w:tc>
      </w:tr>
      <w:tr w14:paraId="124381A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023"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04393C6E">
            <w:pPr>
              <w:rPr>
                <w:color w:val="auto"/>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41C9798B">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落实政府采购政策需满足的资格要求</w:t>
            </w:r>
          </w:p>
        </w:tc>
        <w:tc>
          <w:tcPr>
            <w:tcW w:w="2543" w:type="pct"/>
            <w:tcBorders>
              <w:top w:val="outset" w:color="auto" w:sz="6" w:space="0"/>
              <w:left w:val="outset" w:color="auto" w:sz="6" w:space="0"/>
              <w:bottom w:val="outset" w:color="auto" w:sz="6" w:space="0"/>
              <w:right w:val="outset" w:color="auto" w:sz="6" w:space="0"/>
            </w:tcBorders>
            <w:vAlign w:val="center"/>
          </w:tcPr>
          <w:p w14:paraId="7C260AD5">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满足招标公告中“落实政府采购政策需满足的资格要求”</w:t>
            </w:r>
          </w:p>
        </w:tc>
        <w:tc>
          <w:tcPr>
            <w:tcW w:w="470" w:type="pct"/>
            <w:tcBorders>
              <w:top w:val="outset" w:color="auto" w:sz="6" w:space="0"/>
              <w:left w:val="outset" w:color="auto" w:sz="6" w:space="0"/>
              <w:bottom w:val="outset" w:color="auto" w:sz="6" w:space="0"/>
              <w:right w:val="outset" w:color="auto" w:sz="6" w:space="0"/>
            </w:tcBorders>
            <w:vAlign w:val="center"/>
          </w:tcPr>
          <w:p w14:paraId="34129CFD">
            <w:pPr>
              <w:pStyle w:val="52"/>
              <w:jc w:val="center"/>
              <w:rPr>
                <w:rFonts w:cs="宋体"/>
                <w:color w:val="auto"/>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6A79E426">
            <w:pPr>
              <w:rPr>
                <w:color w:val="auto"/>
                <w:szCs w:val="24"/>
                <w:highlight w:val="none"/>
              </w:rPr>
            </w:pPr>
          </w:p>
        </w:tc>
      </w:tr>
      <w:tr w14:paraId="0B817899">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681"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482C2933">
            <w:pPr>
              <w:rPr>
                <w:color w:val="auto"/>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09D0C65F">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特定资格条件</w:t>
            </w:r>
          </w:p>
        </w:tc>
        <w:tc>
          <w:tcPr>
            <w:tcW w:w="2543" w:type="pct"/>
            <w:tcBorders>
              <w:top w:val="outset" w:color="auto" w:sz="6" w:space="0"/>
              <w:left w:val="outset" w:color="auto" w:sz="6" w:space="0"/>
              <w:bottom w:val="outset" w:color="auto" w:sz="6" w:space="0"/>
              <w:right w:val="outset" w:color="auto" w:sz="6" w:space="0"/>
            </w:tcBorders>
            <w:vAlign w:val="center"/>
          </w:tcPr>
          <w:p w14:paraId="0029146E">
            <w:pPr>
              <w:pStyle w:val="62"/>
              <w:spacing w:line="360" w:lineRule="exact"/>
              <w:rPr>
                <w:rFonts w:ascii="宋体" w:hAnsi="宋体" w:cs="宋体"/>
                <w:color w:val="auto"/>
                <w:highlight w:val="none"/>
              </w:rPr>
            </w:pPr>
            <w:r>
              <w:rPr>
                <w:rFonts w:hint="eastAsia" w:ascii="宋体" w:hAnsi="宋体" w:cs="宋体"/>
                <w:color w:val="auto"/>
                <w:highlight w:val="none"/>
              </w:rPr>
              <w:t>满足招标公告中特定资格要求</w:t>
            </w:r>
          </w:p>
        </w:tc>
        <w:tc>
          <w:tcPr>
            <w:tcW w:w="470" w:type="pct"/>
            <w:tcBorders>
              <w:top w:val="outset" w:color="auto" w:sz="6" w:space="0"/>
              <w:left w:val="outset" w:color="auto" w:sz="6" w:space="0"/>
              <w:bottom w:val="outset" w:color="auto" w:sz="6" w:space="0"/>
              <w:right w:val="outset" w:color="auto" w:sz="6" w:space="0"/>
            </w:tcBorders>
            <w:vAlign w:val="center"/>
          </w:tcPr>
          <w:p w14:paraId="40788A83">
            <w:pPr>
              <w:rPr>
                <w:color w:val="auto"/>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59C314D7">
            <w:pPr>
              <w:rPr>
                <w:color w:val="auto"/>
                <w:szCs w:val="24"/>
                <w:highlight w:val="none"/>
              </w:rPr>
            </w:pPr>
          </w:p>
        </w:tc>
      </w:tr>
    </w:tbl>
    <w:p w14:paraId="30B6D5EE">
      <w:pPr>
        <w:rPr>
          <w:color w:val="auto"/>
          <w:highlight w:val="none"/>
        </w:rPr>
      </w:pPr>
      <w:r>
        <w:rPr>
          <w:rFonts w:hint="eastAsia"/>
          <w:color w:val="auto"/>
          <w:highlight w:val="none"/>
          <w:lang w:bidi="ar"/>
        </w:rPr>
        <w:t xml:space="preserve"> </w:t>
      </w:r>
    </w:p>
    <w:p w14:paraId="1481E40E">
      <w:pPr>
        <w:rPr>
          <w:color w:val="auto"/>
          <w:highlight w:val="none"/>
        </w:rPr>
      </w:pPr>
      <w:r>
        <w:rPr>
          <w:rFonts w:hint="eastAsia"/>
          <w:color w:val="auto"/>
          <w:highlight w:val="none"/>
          <w:lang w:bidi="ar"/>
        </w:rPr>
        <w:t xml:space="preserve"> </w:t>
      </w:r>
    </w:p>
    <w:p w14:paraId="19A4819E">
      <w:pPr>
        <w:bidi w:val="0"/>
        <w:rPr>
          <w:rFonts w:hint="eastAsia"/>
          <w:color w:val="auto"/>
          <w:highlight w:val="none"/>
        </w:rPr>
      </w:pPr>
      <w:bookmarkStart w:id="290" w:name="_Toc155185903"/>
      <w:bookmarkStart w:id="291" w:name="_Toc163492899"/>
      <w:bookmarkStart w:id="292" w:name="_Toc11221"/>
    </w:p>
    <w:p w14:paraId="369D4DB6">
      <w:pPr>
        <w:rPr>
          <w:rFonts w:hint="eastAsia"/>
          <w:color w:val="auto"/>
          <w:highlight w:val="none"/>
        </w:rPr>
      </w:pPr>
      <w:r>
        <w:rPr>
          <w:rFonts w:hint="eastAsia"/>
          <w:color w:val="auto"/>
          <w:highlight w:val="none"/>
        </w:rPr>
        <w:br w:type="page"/>
      </w:r>
    </w:p>
    <w:p w14:paraId="4CAB6102">
      <w:pPr>
        <w:pStyle w:val="2"/>
        <w:bidi w:val="0"/>
        <w:rPr>
          <w:color w:val="auto"/>
          <w:highlight w:val="none"/>
        </w:rPr>
      </w:pPr>
      <w:r>
        <w:rPr>
          <w:rFonts w:hint="eastAsia"/>
          <w:color w:val="auto"/>
          <w:highlight w:val="none"/>
        </w:rPr>
        <w:t>第五章 评标方法</w:t>
      </w:r>
      <w:bookmarkEnd w:id="290"/>
      <w:r>
        <w:rPr>
          <w:rFonts w:hint="eastAsia"/>
          <w:color w:val="auto"/>
          <w:highlight w:val="none"/>
        </w:rPr>
        <w:t>及标准</w:t>
      </w:r>
      <w:bookmarkEnd w:id="291"/>
      <w:r>
        <w:rPr>
          <w:rFonts w:hint="eastAsia"/>
          <w:color w:val="auto"/>
          <w:highlight w:val="none"/>
        </w:rPr>
        <w:t>(综合评分法)</w:t>
      </w:r>
      <w:bookmarkEnd w:id="292"/>
    </w:p>
    <w:p w14:paraId="416E8012">
      <w:pPr>
        <w:pStyle w:val="40"/>
        <w:spacing w:line="360" w:lineRule="auto"/>
        <w:rPr>
          <w:color w:val="auto"/>
          <w:highlight w:val="none"/>
        </w:rPr>
      </w:pPr>
      <w:r>
        <w:rPr>
          <w:rFonts w:hint="eastAsia"/>
          <w:color w:val="auto"/>
          <w:highlight w:val="none"/>
        </w:rPr>
        <w:t>根据《中华人民共和国政府采购法》及其实施条例、《政府采购货物和服务招标投标管理办法》</w:t>
      </w:r>
      <w:r>
        <w:rPr>
          <w:rFonts w:hint="eastAsia"/>
          <w:color w:val="auto"/>
          <w:highlight w:val="none"/>
          <w:lang w:val="en-US"/>
        </w:rPr>
        <w:t>及</w:t>
      </w:r>
      <w:r>
        <w:rPr>
          <w:rFonts w:hint="eastAsia"/>
          <w:color w:val="auto"/>
          <w:highlight w:val="none"/>
        </w:rPr>
        <w:t>相关法律法规确定以下评标</w:t>
      </w:r>
      <w:r>
        <w:rPr>
          <w:rFonts w:hint="eastAsia"/>
          <w:color w:val="auto"/>
          <w:highlight w:val="none"/>
          <w:lang w:val="en-US"/>
        </w:rPr>
        <w:t>方</w:t>
      </w:r>
      <w:r>
        <w:rPr>
          <w:rFonts w:hint="eastAsia"/>
          <w:color w:val="auto"/>
          <w:highlight w:val="none"/>
        </w:rPr>
        <w:t>法及标准。</w:t>
      </w:r>
    </w:p>
    <w:p w14:paraId="1DA4D8CB">
      <w:pPr>
        <w:pStyle w:val="3"/>
        <w:spacing w:line="360" w:lineRule="auto"/>
        <w:rPr>
          <w:color w:val="auto"/>
          <w:highlight w:val="none"/>
          <w:lang w:val="zh-CN"/>
        </w:rPr>
      </w:pPr>
      <w:bookmarkStart w:id="293" w:name="_Toc18841"/>
      <w:bookmarkStart w:id="294" w:name="_Toc163492900"/>
      <w:bookmarkStart w:id="295" w:name="_Toc278891606"/>
      <w:bookmarkStart w:id="296" w:name="_Toc272247709"/>
      <w:bookmarkStart w:id="297" w:name="_Toc109899484"/>
      <w:bookmarkStart w:id="298" w:name="_Toc109900322"/>
      <w:bookmarkStart w:id="299" w:name="_Toc61280402"/>
      <w:bookmarkStart w:id="300" w:name="_Toc494561962"/>
      <w:bookmarkStart w:id="301" w:name="_Toc155185905"/>
      <w:bookmarkStart w:id="302" w:name="_Toc109899903"/>
      <w:bookmarkStart w:id="303" w:name="_Toc140132826"/>
      <w:bookmarkStart w:id="304" w:name="_Toc511894518"/>
      <w:r>
        <w:rPr>
          <w:rFonts w:hint="eastAsia"/>
          <w:color w:val="auto"/>
          <w:highlight w:val="none"/>
          <w:lang w:val="zh-CN"/>
        </w:rPr>
        <w:t>一、评标</w:t>
      </w:r>
      <w:r>
        <w:rPr>
          <w:rFonts w:hint="eastAsia"/>
          <w:color w:val="auto"/>
          <w:highlight w:val="none"/>
        </w:rPr>
        <w:t>方</w:t>
      </w:r>
      <w:r>
        <w:rPr>
          <w:rFonts w:hint="eastAsia"/>
          <w:color w:val="auto"/>
          <w:highlight w:val="none"/>
          <w:lang w:val="zh-CN"/>
        </w:rPr>
        <w:t>法</w:t>
      </w:r>
      <w:bookmarkEnd w:id="293"/>
      <w:bookmarkEnd w:id="294"/>
    </w:p>
    <w:p w14:paraId="1DCF5974">
      <w:pPr>
        <w:pStyle w:val="40"/>
        <w:spacing w:line="360" w:lineRule="auto"/>
        <w:rPr>
          <w:color w:val="auto"/>
          <w:highlight w:val="none"/>
        </w:rPr>
      </w:pPr>
      <w:r>
        <w:rPr>
          <w:rFonts w:hint="eastAsia"/>
          <w:color w:val="auto"/>
          <w:highlight w:val="none"/>
        </w:rPr>
        <w:t>1.</w:t>
      </w:r>
      <w:r>
        <w:rPr>
          <w:rFonts w:hint="eastAsia"/>
          <w:b/>
          <w:bCs/>
          <w:color w:val="auto"/>
          <w:highlight w:val="none"/>
        </w:rPr>
        <w:t>本项目采用综合评分法</w:t>
      </w:r>
      <w:r>
        <w:rPr>
          <w:rFonts w:hint="eastAsia"/>
          <w:color w:val="auto"/>
          <w:highlight w:val="none"/>
        </w:rPr>
        <w:t>。综合评分法，是指投标文件满足招标文件全部实质性要求，且按照评审因素的量化指标评审得分最高的投标人为中标候选人的评标方法。</w:t>
      </w:r>
    </w:p>
    <w:p w14:paraId="1FEE3087">
      <w:pPr>
        <w:pStyle w:val="3"/>
        <w:spacing w:line="360" w:lineRule="auto"/>
        <w:rPr>
          <w:color w:val="auto"/>
          <w:highlight w:val="none"/>
          <w:lang w:val="zh-CN"/>
        </w:rPr>
      </w:pPr>
      <w:bookmarkStart w:id="305" w:name="_Toc20986"/>
      <w:r>
        <w:rPr>
          <w:rFonts w:hint="eastAsia"/>
          <w:color w:val="auto"/>
          <w:highlight w:val="none"/>
        </w:rPr>
        <w:t>二</w:t>
      </w:r>
      <w:r>
        <w:rPr>
          <w:rFonts w:hint="eastAsia"/>
          <w:color w:val="auto"/>
          <w:highlight w:val="none"/>
          <w:lang w:val="zh-CN"/>
        </w:rPr>
        <w:t>、评标程序</w:t>
      </w:r>
      <w:bookmarkEnd w:id="305"/>
    </w:p>
    <w:p w14:paraId="1A8C38F6">
      <w:pPr>
        <w:pStyle w:val="4"/>
        <w:spacing w:line="360" w:lineRule="auto"/>
        <w:rPr>
          <w:color w:val="auto"/>
          <w:highlight w:val="none"/>
          <w:lang w:val="zh-CN"/>
        </w:rPr>
      </w:pPr>
      <w:r>
        <w:rPr>
          <w:rFonts w:hint="eastAsia"/>
          <w:color w:val="auto"/>
          <w:highlight w:val="none"/>
          <w:lang w:val="zh-CN"/>
        </w:rPr>
        <w:t>（一）符合性审查</w:t>
      </w:r>
    </w:p>
    <w:p w14:paraId="1A5DEB6F">
      <w:pPr>
        <w:pStyle w:val="40"/>
        <w:spacing w:line="360" w:lineRule="auto"/>
        <w:rPr>
          <w:color w:val="auto"/>
          <w:highlight w:val="none"/>
        </w:rPr>
      </w:pPr>
      <w:r>
        <w:rPr>
          <w:rFonts w:hint="eastAsia"/>
          <w:color w:val="auto"/>
          <w:highlight w:val="none"/>
          <w:lang w:val="en-US"/>
        </w:rPr>
        <w:t>2.</w:t>
      </w:r>
      <w:r>
        <w:rPr>
          <w:rFonts w:hint="eastAsia"/>
          <w:color w:val="auto"/>
          <w:highlight w:val="none"/>
        </w:rPr>
        <w:t>评标委员会应当对</w:t>
      </w:r>
      <w:r>
        <w:rPr>
          <w:rFonts w:hint="eastAsia"/>
          <w:color w:val="auto"/>
          <w:highlight w:val="none"/>
          <w:lang w:val="en-US"/>
        </w:rPr>
        <w:t>通过</w:t>
      </w:r>
      <w:r>
        <w:rPr>
          <w:rFonts w:hint="eastAsia"/>
          <w:color w:val="auto"/>
          <w:highlight w:val="none"/>
        </w:rPr>
        <w:t>资格</w:t>
      </w:r>
      <w:r>
        <w:rPr>
          <w:rFonts w:hint="eastAsia"/>
          <w:color w:val="auto"/>
          <w:highlight w:val="none"/>
          <w:lang w:val="en-US"/>
        </w:rPr>
        <w:t>审查</w:t>
      </w:r>
      <w:r>
        <w:rPr>
          <w:rFonts w:hint="eastAsia"/>
          <w:color w:val="auto"/>
          <w:highlight w:val="none"/>
        </w:rPr>
        <w:t>的投标人的投标文件进行符合性审查，以确定其是否满足招标文件的实质性要求。投标人必须通过符合性审查的全部评审指标，不满足招标文件的实质性要求的，</w:t>
      </w:r>
      <w:r>
        <w:rPr>
          <w:rFonts w:hint="eastAsia"/>
          <w:color w:val="auto"/>
          <w:highlight w:val="none"/>
          <w:lang w:val="en-US"/>
        </w:rPr>
        <w:t>其</w:t>
      </w:r>
      <w:r>
        <w:rPr>
          <w:rFonts w:hint="eastAsia"/>
          <w:b/>
          <w:bCs/>
          <w:color w:val="auto"/>
          <w:highlight w:val="none"/>
        </w:rPr>
        <w:t>投标无效</w:t>
      </w:r>
      <w:r>
        <w:rPr>
          <w:rFonts w:hint="eastAsia"/>
          <w:color w:val="auto"/>
          <w:highlight w:val="none"/>
        </w:rPr>
        <w:t>。</w:t>
      </w:r>
      <w:r>
        <w:rPr>
          <w:rFonts w:hint="eastAsia"/>
          <w:color w:val="auto"/>
          <w:highlight w:val="none"/>
          <w:lang w:val="en-US"/>
        </w:rPr>
        <w:t>具体内容详见</w:t>
      </w:r>
      <w:r>
        <w:rPr>
          <w:rFonts w:hint="eastAsia"/>
          <w:color w:val="auto"/>
          <w:highlight w:val="none"/>
        </w:rPr>
        <w:t>本章“</w:t>
      </w:r>
      <w:r>
        <w:rPr>
          <w:rFonts w:hint="eastAsia"/>
          <w:color w:val="auto"/>
          <w:highlight w:val="none"/>
          <w:lang w:val="en-US"/>
        </w:rPr>
        <w:t>四</w:t>
      </w:r>
      <w:r>
        <w:rPr>
          <w:rFonts w:hint="eastAsia"/>
          <w:color w:val="auto"/>
          <w:highlight w:val="none"/>
        </w:rPr>
        <w:t>、评标标准”中</w:t>
      </w:r>
      <w:r>
        <w:rPr>
          <w:rFonts w:hint="eastAsia"/>
          <w:color w:val="auto"/>
          <w:highlight w:val="none"/>
          <w:lang w:val="en-US"/>
        </w:rPr>
        <w:t>的</w:t>
      </w:r>
      <w:r>
        <w:rPr>
          <w:rFonts w:hint="eastAsia"/>
          <w:color w:val="auto"/>
          <w:highlight w:val="none"/>
        </w:rPr>
        <w:t>“（一）符合性审查”。</w:t>
      </w:r>
    </w:p>
    <w:p w14:paraId="51289D3D">
      <w:pPr>
        <w:pStyle w:val="40"/>
        <w:spacing w:line="360" w:lineRule="auto"/>
        <w:rPr>
          <w:color w:val="auto"/>
          <w:highlight w:val="none"/>
        </w:rPr>
      </w:pPr>
      <w:r>
        <w:rPr>
          <w:rFonts w:hint="eastAsia"/>
          <w:color w:val="auto"/>
          <w:highlight w:val="none"/>
          <w:lang w:val="en-US"/>
        </w:rPr>
        <w:t>通过</w:t>
      </w:r>
      <w:r>
        <w:rPr>
          <w:rFonts w:hint="eastAsia"/>
          <w:color w:val="auto"/>
          <w:highlight w:val="none"/>
        </w:rPr>
        <w:t>符合性审查</w:t>
      </w:r>
      <w:r>
        <w:rPr>
          <w:rFonts w:hint="eastAsia"/>
          <w:color w:val="auto"/>
          <w:highlight w:val="none"/>
          <w:lang w:val="en-US"/>
        </w:rPr>
        <w:t>的</w:t>
      </w:r>
      <w:r>
        <w:rPr>
          <w:rFonts w:hint="eastAsia"/>
          <w:color w:val="auto"/>
          <w:highlight w:val="none"/>
        </w:rPr>
        <w:t>有效供应商不足3家的应当终止采购活动，发布项目终止公告并说明原因，重新开展采购活动。</w:t>
      </w:r>
    </w:p>
    <w:p w14:paraId="75FCF71B">
      <w:pPr>
        <w:pStyle w:val="4"/>
        <w:spacing w:line="360" w:lineRule="auto"/>
        <w:rPr>
          <w:color w:val="auto"/>
          <w:highlight w:val="none"/>
          <w:lang w:val="zh-CN"/>
        </w:rPr>
      </w:pPr>
      <w:bookmarkStart w:id="306" w:name="_Toc102114946"/>
      <w:bookmarkStart w:id="307" w:name="_Toc102056244"/>
      <w:bookmarkStart w:id="308" w:name="_Toc155185907"/>
      <w:bookmarkStart w:id="309" w:name="_Toc102116178"/>
      <w:bookmarkStart w:id="310" w:name="_Toc102119879"/>
      <w:bookmarkStart w:id="311" w:name="_Toc102057744"/>
      <w:bookmarkStart w:id="312" w:name="_Toc102116048"/>
      <w:bookmarkStart w:id="313" w:name="_Toc163492903"/>
      <w:r>
        <w:rPr>
          <w:rFonts w:hint="eastAsia"/>
          <w:color w:val="auto"/>
          <w:highlight w:val="none"/>
          <w:lang w:val="zh-CN"/>
        </w:rPr>
        <w:t>（</w:t>
      </w:r>
      <w:r>
        <w:rPr>
          <w:rFonts w:hint="eastAsia"/>
          <w:color w:val="auto"/>
          <w:highlight w:val="none"/>
        </w:rPr>
        <w:t>二</w:t>
      </w:r>
      <w:r>
        <w:rPr>
          <w:rFonts w:hint="eastAsia"/>
          <w:color w:val="auto"/>
          <w:highlight w:val="none"/>
          <w:lang w:val="zh-CN"/>
        </w:rPr>
        <w:t>）投标文件澄清</w:t>
      </w:r>
      <w:bookmarkEnd w:id="306"/>
      <w:bookmarkEnd w:id="307"/>
      <w:bookmarkEnd w:id="308"/>
      <w:bookmarkEnd w:id="309"/>
      <w:bookmarkEnd w:id="310"/>
      <w:bookmarkEnd w:id="311"/>
      <w:bookmarkEnd w:id="312"/>
      <w:r>
        <w:rPr>
          <w:rFonts w:hint="eastAsia"/>
          <w:color w:val="auto"/>
          <w:highlight w:val="none"/>
          <w:lang w:val="zh-CN"/>
        </w:rPr>
        <w:t>及修正</w:t>
      </w:r>
      <w:bookmarkEnd w:id="313"/>
    </w:p>
    <w:p w14:paraId="1A5414AB">
      <w:pPr>
        <w:pStyle w:val="40"/>
        <w:spacing w:line="360" w:lineRule="auto"/>
        <w:rPr>
          <w:color w:val="auto"/>
          <w:highlight w:val="none"/>
        </w:rPr>
      </w:pPr>
      <w:r>
        <w:rPr>
          <w:rFonts w:hint="eastAsia"/>
          <w:color w:val="auto"/>
          <w:highlight w:val="none"/>
          <w:lang w:val="en-US"/>
        </w:rPr>
        <w:t>3</w:t>
      </w:r>
      <w:r>
        <w:rPr>
          <w:rFonts w:hint="eastAsia"/>
          <w:color w:val="auto"/>
          <w:highlight w:val="none"/>
        </w:rPr>
        <w:t>.评标期间，对于投标文件中含义不明确、同类问题表述不一致或者有明显文字和计算错误的内容需要投标人作出必要的澄清、说明或者补正的，评标委员会应当在</w:t>
      </w:r>
      <w:r>
        <w:rPr>
          <w:rFonts w:hint="eastAsia"/>
          <w:color w:val="auto"/>
          <w:highlight w:val="none"/>
          <w:lang w:val="en-US"/>
        </w:rPr>
        <w:t>政采云平台评标</w:t>
      </w:r>
      <w:r>
        <w:rPr>
          <w:rFonts w:hint="eastAsia"/>
          <w:color w:val="auto"/>
          <w:highlight w:val="none"/>
        </w:rPr>
        <w:t>系统中以书面形式要求投标人作出必要的澄清、说明或者补正。</w:t>
      </w:r>
    </w:p>
    <w:p w14:paraId="2D37837C">
      <w:pPr>
        <w:pStyle w:val="40"/>
        <w:spacing w:line="360" w:lineRule="auto"/>
        <w:rPr>
          <w:color w:val="auto"/>
          <w:highlight w:val="none"/>
        </w:rPr>
      </w:pPr>
      <w:r>
        <w:rPr>
          <w:rFonts w:hint="eastAsia"/>
          <w:color w:val="auto"/>
          <w:highlight w:val="none"/>
          <w:lang w:val="en-US"/>
        </w:rPr>
        <w:t>4</w:t>
      </w:r>
      <w:r>
        <w:rPr>
          <w:rFonts w:hint="eastAsia"/>
          <w:color w:val="auto"/>
          <w:highlight w:val="none"/>
        </w:rPr>
        <w:t>.投标人应按照评标委员会要求在规定时间内作出澄清、说明或者补正，澄清、说明或者补正不得超出投标文件的范围或者改变投标文件的实质性内容。</w:t>
      </w:r>
    </w:p>
    <w:p w14:paraId="0265F9D3">
      <w:pPr>
        <w:pStyle w:val="40"/>
        <w:spacing w:line="360" w:lineRule="auto"/>
        <w:rPr>
          <w:color w:val="auto"/>
          <w:highlight w:val="none"/>
        </w:rPr>
      </w:pPr>
      <w:r>
        <w:rPr>
          <w:rFonts w:hint="eastAsia"/>
          <w:color w:val="auto"/>
          <w:highlight w:val="none"/>
          <w:lang w:val="en-US"/>
        </w:rPr>
        <w:t>5</w:t>
      </w:r>
      <w:r>
        <w:rPr>
          <w:rFonts w:hint="eastAsia"/>
          <w:color w:val="auto"/>
          <w:highlight w:val="none"/>
        </w:rPr>
        <w:t>.投标人的澄清、说明或者补正是其投标文件的有效组成部分，澄清、说明或者补正应当在</w:t>
      </w:r>
      <w:r>
        <w:rPr>
          <w:rFonts w:hint="eastAsia"/>
          <w:color w:val="auto"/>
          <w:highlight w:val="none"/>
          <w:lang w:val="en-US"/>
        </w:rPr>
        <w:t>政采云平台评标</w:t>
      </w:r>
      <w:r>
        <w:rPr>
          <w:rFonts w:hint="eastAsia"/>
          <w:color w:val="auto"/>
          <w:highlight w:val="none"/>
        </w:rPr>
        <w:t>系统中加盖电子印章后提交。</w:t>
      </w:r>
    </w:p>
    <w:p w14:paraId="225A2C8C">
      <w:pPr>
        <w:pStyle w:val="40"/>
        <w:spacing w:line="360" w:lineRule="auto"/>
        <w:rPr>
          <w:color w:val="auto"/>
          <w:highlight w:val="none"/>
        </w:rPr>
      </w:pPr>
      <w:r>
        <w:rPr>
          <w:rFonts w:hint="eastAsia"/>
          <w:color w:val="auto"/>
          <w:highlight w:val="none"/>
          <w:lang w:val="en-US"/>
        </w:rPr>
        <w:t>6</w:t>
      </w:r>
      <w:r>
        <w:rPr>
          <w:rFonts w:hint="eastAsia"/>
          <w:color w:val="auto"/>
          <w:highlight w:val="none"/>
        </w:rPr>
        <w:t>.报价合理性说明：评标委员会认为投标人的报价明显低于其他通过符合性审查投标人的报价，有可能影响</w:t>
      </w:r>
      <w:r>
        <w:rPr>
          <w:rFonts w:hint="eastAsia"/>
          <w:color w:val="auto"/>
          <w:highlight w:val="none"/>
          <w:lang w:val="en-US"/>
        </w:rPr>
        <w:t>货物</w:t>
      </w:r>
      <w:r>
        <w:rPr>
          <w:rFonts w:hint="eastAsia"/>
          <w:color w:val="auto"/>
          <w:highlight w:val="none"/>
        </w:rPr>
        <w:t>质量或者不能诚信履约的，</w:t>
      </w:r>
      <w:r>
        <w:rPr>
          <w:rFonts w:hint="eastAsia"/>
          <w:color w:val="auto"/>
          <w:highlight w:val="none"/>
          <w:lang w:val="en-US"/>
        </w:rPr>
        <w:t>应当</w:t>
      </w:r>
      <w:r>
        <w:rPr>
          <w:rFonts w:hint="eastAsia"/>
          <w:color w:val="auto"/>
          <w:highlight w:val="none"/>
        </w:rPr>
        <w:t>要求</w:t>
      </w:r>
      <w:r>
        <w:rPr>
          <w:rFonts w:hint="eastAsia"/>
          <w:color w:val="auto"/>
          <w:highlight w:val="none"/>
          <w:lang w:val="en-US"/>
        </w:rPr>
        <w:t>该投标人</w:t>
      </w:r>
      <w:r>
        <w:rPr>
          <w:rFonts w:hint="eastAsia"/>
          <w:color w:val="auto"/>
          <w:highlight w:val="none"/>
        </w:rPr>
        <w:t>在合理的时间内提供说明，必要时提交相关证明材料；</w:t>
      </w:r>
      <w:r>
        <w:rPr>
          <w:rFonts w:hint="eastAsia"/>
          <w:color w:val="auto"/>
          <w:highlight w:val="none"/>
          <w:lang w:val="en-US"/>
        </w:rPr>
        <w:t>若</w:t>
      </w:r>
      <w:r>
        <w:rPr>
          <w:rFonts w:hint="eastAsia"/>
          <w:color w:val="auto"/>
          <w:highlight w:val="none"/>
        </w:rPr>
        <w:t>投标人不能证明其报价合理性的，评标委员</w:t>
      </w:r>
      <w:r>
        <w:rPr>
          <w:rFonts w:hint="eastAsia"/>
          <w:color w:val="auto"/>
          <w:highlight w:val="none"/>
          <w:lang w:val="en-US"/>
        </w:rPr>
        <w:t>会应当</w:t>
      </w:r>
      <w:r>
        <w:rPr>
          <w:rFonts w:hint="eastAsia"/>
          <w:color w:val="auto"/>
          <w:highlight w:val="none"/>
        </w:rPr>
        <w:t>将其作</w:t>
      </w:r>
      <w:r>
        <w:rPr>
          <w:rFonts w:hint="eastAsia"/>
          <w:b/>
          <w:bCs/>
          <w:color w:val="auto"/>
          <w:highlight w:val="none"/>
        </w:rPr>
        <w:t>无效投标</w:t>
      </w:r>
      <w:r>
        <w:rPr>
          <w:rFonts w:hint="eastAsia"/>
          <w:color w:val="auto"/>
          <w:highlight w:val="none"/>
        </w:rPr>
        <w:t>处理。</w:t>
      </w:r>
    </w:p>
    <w:p w14:paraId="2CB3C03F">
      <w:pPr>
        <w:pStyle w:val="40"/>
        <w:spacing w:line="360" w:lineRule="auto"/>
        <w:rPr>
          <w:color w:val="auto"/>
          <w:highlight w:val="none"/>
        </w:rPr>
      </w:pPr>
      <w:r>
        <w:rPr>
          <w:rFonts w:hint="eastAsia"/>
          <w:color w:val="auto"/>
          <w:highlight w:val="none"/>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b/>
          <w:bCs/>
          <w:color w:val="auto"/>
          <w:highlight w:val="none"/>
        </w:rPr>
        <w:t>投标无效</w:t>
      </w:r>
      <w:r>
        <w:rPr>
          <w:rFonts w:hint="eastAsia"/>
          <w:color w:val="auto"/>
          <w:highlight w:val="none"/>
        </w:rPr>
        <w:t>。</w:t>
      </w:r>
    </w:p>
    <w:p w14:paraId="65184131">
      <w:pPr>
        <w:pStyle w:val="40"/>
        <w:spacing w:line="360" w:lineRule="auto"/>
        <w:rPr>
          <w:color w:val="auto"/>
          <w:highlight w:val="none"/>
        </w:rPr>
      </w:pPr>
      <w:r>
        <w:rPr>
          <w:rFonts w:hint="eastAsia"/>
          <w:color w:val="auto"/>
          <w:highlight w:val="none"/>
        </w:rPr>
        <w:t>8.投标文件报价出现前后不一致的，除招标文件另有规定外，按照下列规定修正：</w:t>
      </w:r>
    </w:p>
    <w:p w14:paraId="227130D2">
      <w:pPr>
        <w:pStyle w:val="40"/>
        <w:spacing w:line="360" w:lineRule="auto"/>
        <w:rPr>
          <w:color w:val="auto"/>
          <w:highlight w:val="none"/>
        </w:rPr>
      </w:pPr>
      <w:r>
        <w:rPr>
          <w:rFonts w:hint="eastAsia"/>
          <w:color w:val="auto"/>
          <w:highlight w:val="none"/>
        </w:rPr>
        <w:t>8.1</w:t>
      </w:r>
      <w:bookmarkStart w:id="314" w:name="OLE_LINK1"/>
      <w:r>
        <w:rPr>
          <w:rFonts w:hint="eastAsia"/>
          <w:color w:val="auto"/>
          <w:highlight w:val="none"/>
        </w:rPr>
        <w:t>投标文件中开标一览表（报价表）内容与投标文件中相应内容不一致的，以开标一览表（报价表）为准；</w:t>
      </w:r>
      <w:bookmarkEnd w:id="314"/>
    </w:p>
    <w:p w14:paraId="5E8629DF">
      <w:pPr>
        <w:pStyle w:val="40"/>
        <w:spacing w:line="360" w:lineRule="auto"/>
        <w:rPr>
          <w:color w:val="auto"/>
          <w:highlight w:val="none"/>
        </w:rPr>
      </w:pPr>
      <w:r>
        <w:rPr>
          <w:rFonts w:hint="eastAsia"/>
          <w:color w:val="auto"/>
          <w:highlight w:val="none"/>
        </w:rPr>
        <w:t>8.2大写金额和小写金额不一致的，以大写金额为准；</w:t>
      </w:r>
    </w:p>
    <w:p w14:paraId="3608C874">
      <w:pPr>
        <w:pStyle w:val="40"/>
        <w:spacing w:line="360" w:lineRule="auto"/>
        <w:rPr>
          <w:color w:val="auto"/>
          <w:highlight w:val="none"/>
        </w:rPr>
      </w:pPr>
      <w:r>
        <w:rPr>
          <w:rFonts w:hint="eastAsia"/>
          <w:color w:val="auto"/>
          <w:highlight w:val="none"/>
        </w:rPr>
        <w:t>8.3单价金额小数点或者百分比有明显错位的，以开标一览表的总价为准，并修改单价；</w:t>
      </w:r>
    </w:p>
    <w:p w14:paraId="60869AA2">
      <w:pPr>
        <w:pStyle w:val="40"/>
        <w:spacing w:line="360" w:lineRule="auto"/>
        <w:rPr>
          <w:color w:val="auto"/>
          <w:highlight w:val="none"/>
        </w:rPr>
      </w:pPr>
      <w:r>
        <w:rPr>
          <w:rFonts w:hint="eastAsia"/>
          <w:color w:val="auto"/>
          <w:highlight w:val="none"/>
        </w:rPr>
        <w:t>8.4总价金额与按单价汇总金额不一致的，以单价金额计算结果为准。</w:t>
      </w:r>
    </w:p>
    <w:p w14:paraId="6F074EEA">
      <w:pPr>
        <w:pStyle w:val="40"/>
        <w:spacing w:line="360" w:lineRule="auto"/>
        <w:rPr>
          <w:color w:val="auto"/>
          <w:highlight w:val="none"/>
        </w:rPr>
      </w:pPr>
      <w:r>
        <w:rPr>
          <w:rFonts w:hint="eastAsia"/>
          <w:color w:val="auto"/>
          <w:highlight w:val="none"/>
        </w:rPr>
        <w:t>同时出现两种以上不一致的，按照8.1—8.4的顺序修正。修正后的报价采用书面形式，并加盖公章，或者由法定代表人或其授权的代表签字，经投标人确认后产生约束力，投标人不确认的，其</w:t>
      </w:r>
      <w:r>
        <w:rPr>
          <w:rFonts w:hint="eastAsia"/>
          <w:b/>
          <w:bCs/>
          <w:color w:val="auto"/>
          <w:highlight w:val="none"/>
        </w:rPr>
        <w:t>投标无效</w:t>
      </w:r>
      <w:r>
        <w:rPr>
          <w:rFonts w:hint="eastAsia"/>
          <w:color w:val="auto"/>
          <w:highlight w:val="none"/>
        </w:rPr>
        <w:t>。</w:t>
      </w:r>
    </w:p>
    <w:p w14:paraId="0D2B7EAA">
      <w:pPr>
        <w:pStyle w:val="4"/>
        <w:spacing w:line="360" w:lineRule="auto"/>
        <w:rPr>
          <w:color w:val="auto"/>
          <w:highlight w:val="none"/>
          <w:lang w:val="zh-CN"/>
        </w:rPr>
      </w:pPr>
      <w:r>
        <w:rPr>
          <w:rFonts w:hint="eastAsia"/>
          <w:color w:val="auto"/>
          <w:highlight w:val="none"/>
          <w:lang w:val="zh-CN"/>
        </w:rPr>
        <w:t>（</w:t>
      </w:r>
      <w:r>
        <w:rPr>
          <w:rFonts w:hint="eastAsia"/>
          <w:color w:val="auto"/>
          <w:highlight w:val="none"/>
        </w:rPr>
        <w:t>三</w:t>
      </w:r>
      <w:r>
        <w:rPr>
          <w:rFonts w:hint="eastAsia"/>
          <w:color w:val="auto"/>
          <w:highlight w:val="none"/>
          <w:lang w:val="zh-CN"/>
        </w:rPr>
        <w:t>）比较与评价</w:t>
      </w:r>
    </w:p>
    <w:p w14:paraId="52338F6A">
      <w:pPr>
        <w:pStyle w:val="40"/>
        <w:spacing w:line="360" w:lineRule="auto"/>
        <w:rPr>
          <w:color w:val="auto"/>
          <w:highlight w:val="none"/>
        </w:rPr>
      </w:pPr>
      <w:r>
        <w:rPr>
          <w:rFonts w:hint="eastAsia"/>
          <w:color w:val="auto"/>
          <w:highlight w:val="none"/>
          <w:lang w:val="en-US"/>
        </w:rPr>
        <w:t>9.</w:t>
      </w:r>
      <w:r>
        <w:rPr>
          <w:rFonts w:hint="eastAsia"/>
          <w:color w:val="auto"/>
          <w:highlight w:val="none"/>
        </w:rPr>
        <w:t>评标委员会应当按照招标文件中规定的评标方法和标准，对符合性审查合格的投标文件进行商务和技术评</w:t>
      </w:r>
      <w:r>
        <w:rPr>
          <w:rFonts w:hint="eastAsia"/>
          <w:color w:val="auto"/>
          <w:highlight w:val="none"/>
          <w:lang w:val="en-US"/>
        </w:rPr>
        <w:t>估</w:t>
      </w:r>
      <w:r>
        <w:rPr>
          <w:rFonts w:hint="eastAsia"/>
          <w:color w:val="auto"/>
          <w:highlight w:val="none"/>
        </w:rPr>
        <w:t>，综合比较与评价</w:t>
      </w:r>
      <w:r>
        <w:rPr>
          <w:rFonts w:hint="eastAsia"/>
          <w:color w:val="auto"/>
          <w:highlight w:val="none"/>
          <w:lang w:val="en-US"/>
        </w:rPr>
        <w:t>；未通过符合性审查的投标文件不得进入比较与评价</w:t>
      </w:r>
      <w:r>
        <w:rPr>
          <w:rFonts w:hint="eastAsia"/>
          <w:color w:val="auto"/>
          <w:highlight w:val="none"/>
        </w:rPr>
        <w:t>。评审因素包括投标报价、商务技术以及落实政府采购政策。评审因素及标准见本章“</w:t>
      </w:r>
      <w:r>
        <w:rPr>
          <w:rFonts w:hint="eastAsia"/>
          <w:color w:val="auto"/>
          <w:highlight w:val="none"/>
          <w:lang w:val="en-US"/>
        </w:rPr>
        <w:t>四、</w:t>
      </w:r>
      <w:r>
        <w:rPr>
          <w:rFonts w:hint="eastAsia"/>
          <w:color w:val="auto"/>
          <w:highlight w:val="none"/>
        </w:rPr>
        <w:t>评</w:t>
      </w:r>
      <w:r>
        <w:rPr>
          <w:rFonts w:hint="eastAsia"/>
          <w:color w:val="auto"/>
          <w:highlight w:val="none"/>
          <w:lang w:val="en-US"/>
        </w:rPr>
        <w:t>标</w:t>
      </w:r>
      <w:r>
        <w:rPr>
          <w:rFonts w:hint="eastAsia"/>
          <w:color w:val="auto"/>
          <w:highlight w:val="none"/>
        </w:rPr>
        <w:t>标准”。</w:t>
      </w:r>
    </w:p>
    <w:p w14:paraId="69ACBE51">
      <w:pPr>
        <w:pStyle w:val="40"/>
        <w:spacing w:line="360" w:lineRule="auto"/>
        <w:rPr>
          <w:color w:val="auto"/>
          <w:highlight w:val="none"/>
        </w:rPr>
      </w:pPr>
      <w:r>
        <w:rPr>
          <w:rFonts w:hint="eastAsia"/>
          <w:color w:val="auto"/>
          <w:highlight w:val="none"/>
        </w:rPr>
        <w:t>10.相同品牌处理原则</w:t>
      </w:r>
    </w:p>
    <w:p w14:paraId="02D8EDC6">
      <w:pPr>
        <w:pStyle w:val="40"/>
        <w:spacing w:line="360" w:lineRule="auto"/>
        <w:rPr>
          <w:color w:val="auto"/>
          <w:highlight w:val="none"/>
        </w:rPr>
      </w:pPr>
      <w:r>
        <w:rPr>
          <w:rFonts w:hint="eastAsia"/>
          <w:color w:val="auto"/>
          <w:highlight w:val="none"/>
          <w:lang w:val="en-US"/>
        </w:rPr>
        <w:t>10</w:t>
      </w:r>
      <w:r>
        <w:rPr>
          <w:rFonts w:hint="eastAsia"/>
          <w:color w:val="auto"/>
          <w:highlight w:val="none"/>
        </w:rPr>
        <w:t>.1单一产品采购（或非单一产品采购中的核心产品），提供相同品牌产品且通过资格审查、符合性审查的不同投标人参加同一合同项下投标的，按一家投标人计算。</w:t>
      </w:r>
    </w:p>
    <w:p w14:paraId="75311B6A">
      <w:pPr>
        <w:pStyle w:val="40"/>
        <w:spacing w:line="360" w:lineRule="auto"/>
        <w:rPr>
          <w:color w:val="auto"/>
          <w:highlight w:val="none"/>
        </w:rPr>
      </w:pPr>
      <w:r>
        <w:rPr>
          <w:rFonts w:hint="eastAsia"/>
          <w:color w:val="auto"/>
          <w:highlight w:val="none"/>
          <w:lang w:val="en-US"/>
        </w:rPr>
        <w:t>10</w:t>
      </w:r>
      <w:r>
        <w:rPr>
          <w:rFonts w:hint="eastAsia"/>
          <w:color w:val="auto"/>
          <w:highlight w:val="none"/>
        </w:rPr>
        <w:t>.2非单一产品采购项目，采购人应当根据采购项目技术构成、产品价格比重等合理确定核心产品（采购清单中作“与核心产品相同〈或同一〉品牌”实质性要求的产品，视为核心产品），并以“核心产品”在“投标人须知前附表”中载明，评审时按前款规定处理。</w:t>
      </w:r>
    </w:p>
    <w:p w14:paraId="5A147F05">
      <w:pPr>
        <w:pStyle w:val="40"/>
        <w:spacing w:line="360" w:lineRule="auto"/>
        <w:rPr>
          <w:color w:val="auto"/>
          <w:highlight w:val="none"/>
        </w:rPr>
      </w:pPr>
      <w:r>
        <w:rPr>
          <w:rFonts w:hint="eastAsia"/>
          <w:color w:val="auto"/>
          <w:highlight w:val="none"/>
          <w:lang w:val="en-US"/>
        </w:rPr>
        <w:t>10</w:t>
      </w:r>
      <w:r>
        <w:rPr>
          <w:rFonts w:hint="eastAsia"/>
          <w:color w:val="auto"/>
          <w:highlight w:val="none"/>
        </w:rPr>
        <w:t>.3有效投标品牌不足3家的应按</w:t>
      </w:r>
      <w:r>
        <w:rPr>
          <w:rFonts w:hint="eastAsia"/>
          <w:b/>
          <w:bCs/>
          <w:color w:val="auto"/>
          <w:highlight w:val="none"/>
        </w:rPr>
        <w:t>废标</w:t>
      </w:r>
      <w:r>
        <w:rPr>
          <w:rFonts w:hint="eastAsia"/>
          <w:color w:val="auto"/>
          <w:highlight w:val="none"/>
        </w:rPr>
        <w:t>处理。</w:t>
      </w:r>
    </w:p>
    <w:p w14:paraId="2D593591">
      <w:pPr>
        <w:pStyle w:val="4"/>
        <w:spacing w:line="360" w:lineRule="auto"/>
        <w:rPr>
          <w:color w:val="auto"/>
          <w:highlight w:val="none"/>
          <w:lang w:val="zh-CN"/>
        </w:rPr>
      </w:pPr>
      <w:r>
        <w:rPr>
          <w:rFonts w:hint="eastAsia"/>
          <w:color w:val="auto"/>
          <w:highlight w:val="none"/>
          <w:lang w:val="zh-CN"/>
        </w:rPr>
        <w:t>（</w:t>
      </w:r>
      <w:r>
        <w:rPr>
          <w:rFonts w:hint="eastAsia"/>
          <w:color w:val="auto"/>
          <w:highlight w:val="none"/>
        </w:rPr>
        <w:t>四</w:t>
      </w:r>
      <w:r>
        <w:rPr>
          <w:rFonts w:hint="eastAsia"/>
          <w:color w:val="auto"/>
          <w:highlight w:val="none"/>
          <w:lang w:val="zh-CN"/>
        </w:rPr>
        <w:t>）报价评审</w:t>
      </w:r>
    </w:p>
    <w:p w14:paraId="19DEC0B1">
      <w:pPr>
        <w:pStyle w:val="40"/>
        <w:spacing w:line="360" w:lineRule="auto"/>
        <w:rPr>
          <w:color w:val="auto"/>
          <w:highlight w:val="none"/>
        </w:rPr>
      </w:pPr>
      <w:r>
        <w:rPr>
          <w:rFonts w:hint="eastAsia"/>
          <w:color w:val="auto"/>
          <w:highlight w:val="none"/>
          <w:lang w:val="en-US"/>
        </w:rPr>
        <w:t>11.</w:t>
      </w:r>
      <w:r>
        <w:rPr>
          <w:rFonts w:hint="eastAsia"/>
          <w:color w:val="auto"/>
          <w:highlight w:val="none"/>
        </w:rPr>
        <w:t>投标报价评审</w:t>
      </w:r>
    </w:p>
    <w:p w14:paraId="5BED0334">
      <w:pPr>
        <w:pStyle w:val="40"/>
        <w:spacing w:line="360" w:lineRule="auto"/>
        <w:rPr>
          <w:color w:val="auto"/>
          <w:highlight w:val="none"/>
        </w:rPr>
      </w:pPr>
      <w:r>
        <w:rPr>
          <w:rFonts w:hint="eastAsia"/>
          <w:color w:val="auto"/>
          <w:highlight w:val="none"/>
          <w:lang w:val="en-US"/>
        </w:rPr>
        <w:t>11.</w:t>
      </w:r>
      <w:r>
        <w:rPr>
          <w:rFonts w:hint="eastAsia"/>
          <w:color w:val="auto"/>
          <w:highlight w:val="none"/>
        </w:rPr>
        <w:t>1</w:t>
      </w:r>
      <w:r>
        <w:rPr>
          <w:rFonts w:hint="eastAsia"/>
          <w:color w:val="auto"/>
          <w:highlight w:val="none"/>
          <w:lang w:val="en-US"/>
        </w:rPr>
        <w:t>货物项目的价格分值占总分值的比重不得低于30%。执行国家统一定价标准和采用固定价格采购的项目，其价格不列为评审因素。</w:t>
      </w:r>
      <w:r>
        <w:rPr>
          <w:rFonts w:hint="eastAsia"/>
          <w:color w:val="auto"/>
          <w:highlight w:val="none"/>
        </w:rPr>
        <w:t>价格分应当采用低价优先法计算，即满足招标文件要求且投标价格最低的投标报价为评标基准价，其价格分为满分。其他投标人的价格分统一按照下列公式计算：</w:t>
      </w:r>
    </w:p>
    <w:p w14:paraId="3141FB2E">
      <w:pPr>
        <w:pStyle w:val="40"/>
        <w:spacing w:line="360" w:lineRule="auto"/>
        <w:rPr>
          <w:color w:val="auto"/>
          <w:highlight w:val="none"/>
        </w:rPr>
      </w:pPr>
      <w:r>
        <w:rPr>
          <w:rFonts w:hint="eastAsia"/>
          <w:color w:val="auto"/>
          <w:highlight w:val="none"/>
        </w:rPr>
        <w:t>投标报价得分=（评标基准价／投标报价)×价格分值</w:t>
      </w:r>
    </w:p>
    <w:p w14:paraId="4A04592E">
      <w:pPr>
        <w:pStyle w:val="40"/>
        <w:spacing w:line="360" w:lineRule="auto"/>
        <w:rPr>
          <w:color w:val="auto"/>
          <w:highlight w:val="none"/>
        </w:rPr>
      </w:pPr>
      <w:r>
        <w:rPr>
          <w:rFonts w:hint="eastAsia"/>
          <w:color w:val="auto"/>
          <w:highlight w:val="none"/>
        </w:rPr>
        <w:t>评标过程中，不得去掉报价中的最高报价和最低报价。</w:t>
      </w:r>
    </w:p>
    <w:p w14:paraId="380E5BDD">
      <w:pPr>
        <w:pStyle w:val="40"/>
        <w:spacing w:line="360" w:lineRule="auto"/>
        <w:rPr>
          <w:color w:val="auto"/>
          <w:highlight w:val="none"/>
        </w:rPr>
      </w:pPr>
      <w:r>
        <w:rPr>
          <w:rFonts w:hint="eastAsia"/>
          <w:color w:val="auto"/>
          <w:highlight w:val="none"/>
          <w:lang w:val="en-US"/>
        </w:rPr>
        <w:t>11.</w:t>
      </w:r>
      <w:r>
        <w:rPr>
          <w:rFonts w:hint="eastAsia"/>
          <w:color w:val="auto"/>
          <w:highlight w:val="none"/>
        </w:rPr>
        <w:t>2除算术修正和落实政府采购政策的价格扣除外，不对投标报价进行调整；</w:t>
      </w:r>
    </w:p>
    <w:p w14:paraId="1B3EFF1A">
      <w:pPr>
        <w:pStyle w:val="40"/>
        <w:spacing w:line="360" w:lineRule="auto"/>
        <w:rPr>
          <w:color w:val="auto"/>
          <w:highlight w:val="none"/>
        </w:rPr>
      </w:pPr>
      <w:r>
        <w:rPr>
          <w:rFonts w:hint="eastAsia"/>
          <w:color w:val="auto"/>
          <w:highlight w:val="none"/>
          <w:lang w:val="en-US"/>
        </w:rPr>
        <w:t>11.</w:t>
      </w:r>
      <w:r>
        <w:rPr>
          <w:rFonts w:hint="eastAsia"/>
          <w:color w:val="auto"/>
          <w:highlight w:val="none"/>
        </w:rPr>
        <w:t>3价格分值见本章“</w:t>
      </w:r>
      <w:r>
        <w:rPr>
          <w:rFonts w:hint="eastAsia"/>
          <w:color w:val="auto"/>
          <w:highlight w:val="none"/>
          <w:lang w:val="en-US"/>
        </w:rPr>
        <w:t>四、</w:t>
      </w:r>
      <w:r>
        <w:rPr>
          <w:rFonts w:hint="eastAsia"/>
          <w:color w:val="auto"/>
          <w:highlight w:val="none"/>
        </w:rPr>
        <w:t>评</w:t>
      </w:r>
      <w:r>
        <w:rPr>
          <w:rFonts w:hint="eastAsia"/>
          <w:color w:val="auto"/>
          <w:highlight w:val="none"/>
          <w:lang w:val="en-US"/>
        </w:rPr>
        <w:t>标</w:t>
      </w:r>
      <w:r>
        <w:rPr>
          <w:rFonts w:hint="eastAsia"/>
          <w:color w:val="auto"/>
          <w:highlight w:val="none"/>
        </w:rPr>
        <w:t>标准”。</w:t>
      </w:r>
    </w:p>
    <w:p w14:paraId="2D815110">
      <w:pPr>
        <w:pStyle w:val="40"/>
        <w:spacing w:line="360" w:lineRule="auto"/>
        <w:rPr>
          <w:color w:val="auto"/>
          <w:highlight w:val="none"/>
          <w:lang w:val="en-US"/>
        </w:rPr>
      </w:pPr>
      <w:r>
        <w:rPr>
          <w:rFonts w:hint="eastAsia"/>
          <w:color w:val="auto"/>
          <w:highlight w:val="none"/>
          <w:lang w:val="en-US"/>
        </w:rPr>
        <w:t>12.</w:t>
      </w:r>
      <w:r>
        <w:rPr>
          <w:rFonts w:hint="eastAsia"/>
          <w:color w:val="auto"/>
          <w:highlight w:val="none"/>
        </w:rPr>
        <w:t>政府采购异常低价审查</w:t>
      </w:r>
    </w:p>
    <w:p w14:paraId="1020B528">
      <w:pPr>
        <w:spacing w:line="360" w:lineRule="auto"/>
        <w:rPr>
          <w:color w:val="auto"/>
          <w:highlight w:val="none"/>
        </w:rPr>
      </w:pPr>
      <w:r>
        <w:rPr>
          <w:rFonts w:hint="eastAsia"/>
          <w:color w:val="auto"/>
          <w:highlight w:val="none"/>
        </w:rPr>
        <w:t>12.1政府采购评审中出现下列情形之一的，评审委员会应当启动异常低价投标（响应）审查程序：</w:t>
      </w:r>
    </w:p>
    <w:p w14:paraId="796136C6">
      <w:pPr>
        <w:spacing w:line="360" w:lineRule="auto"/>
        <w:rPr>
          <w:color w:val="auto"/>
          <w:highlight w:val="none"/>
        </w:rPr>
      </w:pPr>
      <w:r>
        <w:rPr>
          <w:rFonts w:hint="eastAsia"/>
          <w:color w:val="auto"/>
          <w:highlight w:val="none"/>
        </w:rPr>
        <w:t>（1）投标（响应）报价低于全部通过符合性审查供应商投标（响应）报价平均值50%的，即投标（响应）报价&lt;全部通过符合性审查供应商投标（响应）报价平均值×50%；</w:t>
      </w:r>
    </w:p>
    <w:p w14:paraId="30A85AC7">
      <w:pPr>
        <w:spacing w:line="360" w:lineRule="auto"/>
        <w:rPr>
          <w:color w:val="auto"/>
          <w:highlight w:val="none"/>
        </w:rPr>
      </w:pPr>
      <w:r>
        <w:rPr>
          <w:rFonts w:hint="eastAsia"/>
          <w:color w:val="auto"/>
          <w:highlight w:val="none"/>
        </w:rPr>
        <w:t>（2）投标（响应）报价低于通过符合性审查的次低报价供应商投标（响应）报价50%的，即投标（响应）报价&lt;通过符合性审查的次低报价供应商投标（响应）报价×50%；</w:t>
      </w:r>
    </w:p>
    <w:p w14:paraId="2656DAFD">
      <w:pPr>
        <w:spacing w:line="360" w:lineRule="auto"/>
        <w:rPr>
          <w:color w:val="auto"/>
          <w:highlight w:val="none"/>
        </w:rPr>
      </w:pPr>
      <w:r>
        <w:rPr>
          <w:rFonts w:hint="eastAsia"/>
          <w:color w:val="auto"/>
          <w:highlight w:val="none"/>
        </w:rPr>
        <w:t>（3）投标（响应）报价低于采购项目最高限价45%的，即投标（响应）报价&lt;采购项目最高限价×45%；</w:t>
      </w:r>
    </w:p>
    <w:p w14:paraId="746974AE">
      <w:pPr>
        <w:spacing w:line="360" w:lineRule="auto"/>
        <w:rPr>
          <w:rFonts w:hint="eastAsia" w:ascii="宋体" w:hAnsi="宋体" w:eastAsia="宋体"/>
          <w:color w:val="auto"/>
          <w:highlight w:val="none"/>
        </w:rPr>
      </w:pPr>
      <w:r>
        <w:rPr>
          <w:rFonts w:hint="eastAsia"/>
          <w:color w:val="auto"/>
          <w:highlight w:val="none"/>
        </w:rPr>
        <w:t>（4）评审委员会基于专业判断，认为供应商报价过低，有可能影响产品质量或者不能诚</w:t>
      </w:r>
      <w:r>
        <w:rPr>
          <w:rFonts w:hint="eastAsia" w:ascii="宋体" w:hAnsi="宋体" w:eastAsia="宋体"/>
          <w:color w:val="auto"/>
          <w:highlight w:val="none"/>
        </w:rPr>
        <w:t>信履约的其他情形。</w:t>
      </w:r>
    </w:p>
    <w:p w14:paraId="01062FEE">
      <w:pPr>
        <w:snapToGrid w:val="0"/>
        <w:spacing w:line="360" w:lineRule="auto"/>
        <w:rPr>
          <w:rFonts w:hint="eastAsia" w:ascii="宋体" w:hAnsi="宋体" w:eastAsia="宋体" w:cstheme="minorBidi"/>
          <w:color w:val="auto"/>
          <w:kern w:val="2"/>
          <w:sz w:val="24"/>
          <w:szCs w:val="22"/>
          <w:highlight w:val="none"/>
          <w:lang w:val="en-US" w:eastAsia="zh-CN" w:bidi="ar-SA"/>
        </w:rPr>
      </w:pPr>
      <w:r>
        <w:rPr>
          <w:rFonts w:hint="eastAsia" w:ascii="宋体" w:hAnsi="宋体" w:eastAsia="宋体"/>
          <w:color w:val="auto"/>
          <w:highlight w:val="none"/>
          <w:lang w:val="en-US" w:eastAsia="zh-CN"/>
        </w:rPr>
        <w:t>采购人可以结合具体项目实际情况，提高上述第（1）项至第（3）项中启动异常低价投标（响应）审查的数值标准，但最高不</w:t>
      </w:r>
      <w:r>
        <w:rPr>
          <w:rFonts w:hint="eastAsia" w:ascii="宋体" w:hAnsi="宋体" w:eastAsia="宋体" w:cstheme="minorBidi"/>
          <w:color w:val="auto"/>
          <w:kern w:val="2"/>
          <w:sz w:val="24"/>
          <w:szCs w:val="22"/>
          <w:highlight w:val="none"/>
          <w:lang w:val="en-US" w:eastAsia="zh-CN" w:bidi="ar-SA"/>
        </w:rPr>
        <w:t>得超过65%。</w:t>
      </w:r>
      <w:r>
        <w:rPr>
          <w:rFonts w:cs="宋体"/>
          <w:color w:val="auto"/>
          <w:highlight w:val="none"/>
        </w:rPr>
        <w:t>本项目启动异常低价投标（响应）审查的数值标准详见以上描述。</w:t>
      </w:r>
    </w:p>
    <w:p w14:paraId="4FDB1B73">
      <w:pPr>
        <w:spacing w:line="360" w:lineRule="auto"/>
        <w:rPr>
          <w:color w:val="auto"/>
          <w:highlight w:val="none"/>
        </w:rPr>
      </w:pPr>
      <w:r>
        <w:rPr>
          <w:rFonts w:hint="eastAsia"/>
          <w:color w:val="auto"/>
          <w:highlight w:val="none"/>
        </w:rPr>
        <w:t>12.2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0D88F9AA">
      <w:pPr>
        <w:spacing w:line="360" w:lineRule="auto"/>
        <w:rPr>
          <w:color w:val="auto"/>
          <w:highlight w:val="none"/>
        </w:rPr>
      </w:pPr>
      <w:r>
        <w:rPr>
          <w:rFonts w:hint="eastAsia"/>
          <w:color w:val="auto"/>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418E3AE">
      <w:pPr>
        <w:pStyle w:val="40"/>
        <w:spacing w:line="360" w:lineRule="auto"/>
        <w:rPr>
          <w:color w:val="auto"/>
          <w:highlight w:val="none"/>
        </w:rPr>
      </w:pPr>
      <w:r>
        <w:rPr>
          <w:rFonts w:hint="eastAsia"/>
          <w:color w:val="auto"/>
          <w:highlight w:val="none"/>
        </w:rPr>
        <w:t>1</w:t>
      </w:r>
      <w:r>
        <w:rPr>
          <w:rFonts w:hint="eastAsia"/>
          <w:color w:val="auto"/>
          <w:highlight w:val="none"/>
          <w:lang w:val="en-US"/>
        </w:rPr>
        <w:t>3</w:t>
      </w:r>
      <w:r>
        <w:rPr>
          <w:rFonts w:hint="eastAsia"/>
          <w:color w:val="auto"/>
          <w:highlight w:val="none"/>
        </w:rPr>
        <w:t>.政府采购政策评审</w:t>
      </w:r>
    </w:p>
    <w:p w14:paraId="6D2E6E37">
      <w:pPr>
        <w:pStyle w:val="40"/>
        <w:spacing w:line="360" w:lineRule="auto"/>
        <w:rPr>
          <w:color w:val="auto"/>
          <w:highlight w:val="none"/>
        </w:rPr>
      </w:pPr>
      <w:r>
        <w:rPr>
          <w:rFonts w:hint="eastAsia"/>
          <w:color w:val="auto"/>
          <w:highlight w:val="none"/>
        </w:rPr>
        <w:t>1</w:t>
      </w:r>
      <w:r>
        <w:rPr>
          <w:rFonts w:hint="eastAsia"/>
          <w:color w:val="auto"/>
          <w:highlight w:val="none"/>
          <w:lang w:val="en-US"/>
        </w:rPr>
        <w:t>3</w:t>
      </w:r>
      <w:r>
        <w:rPr>
          <w:rFonts w:hint="eastAsia"/>
          <w:color w:val="auto"/>
          <w:highlight w:val="none"/>
        </w:rPr>
        <w:t>.1非专门面向中小企业的采购项目或采购包，对符合规定的小微企业（</w:t>
      </w:r>
      <w:r>
        <w:rPr>
          <w:rFonts w:hint="eastAsia"/>
          <w:color w:val="auto"/>
          <w:highlight w:val="none"/>
          <w:lang w:val="en-US"/>
        </w:rPr>
        <w:t>含</w:t>
      </w:r>
      <w:r>
        <w:rPr>
          <w:rFonts w:hint="eastAsia"/>
          <w:color w:val="auto"/>
          <w:highlight w:val="none"/>
        </w:rPr>
        <w:t>监狱企业、残疾人福利性单位、联合体各方均为小微企业的联合体、符合小微企业划分标准的个体工商户视同小微企业）报价按照本招标文件“投标人须知前附表”中的规定扣除，对小微企业中的监狱企业、残疾人福利性单位的报价按照本</w:t>
      </w:r>
      <w:r>
        <w:rPr>
          <w:rFonts w:hint="eastAsia"/>
          <w:color w:val="auto"/>
          <w:highlight w:val="none"/>
          <w:lang w:val="en-US"/>
        </w:rPr>
        <w:t>招标</w:t>
      </w:r>
      <w:r>
        <w:rPr>
          <w:rFonts w:hint="eastAsia"/>
          <w:color w:val="auto"/>
          <w:highlight w:val="none"/>
        </w:rPr>
        <w:t>文件“</w:t>
      </w:r>
      <w:r>
        <w:rPr>
          <w:rFonts w:hint="eastAsia"/>
          <w:color w:val="auto"/>
          <w:highlight w:val="none"/>
          <w:lang w:val="en-US"/>
        </w:rPr>
        <w:t>投标人</w:t>
      </w:r>
      <w:r>
        <w:rPr>
          <w:rFonts w:hint="eastAsia"/>
          <w:color w:val="auto"/>
          <w:highlight w:val="none"/>
        </w:rPr>
        <w:t>须知前附表”中的规定扣除，用扣除后的价格</w:t>
      </w:r>
      <w:r>
        <w:rPr>
          <w:rFonts w:hint="eastAsia"/>
          <w:color w:val="auto"/>
          <w:highlight w:val="none"/>
          <w:lang w:val="en-US"/>
        </w:rPr>
        <w:t>参与</w:t>
      </w:r>
      <w:r>
        <w:rPr>
          <w:rFonts w:hint="eastAsia"/>
          <w:color w:val="auto"/>
          <w:highlight w:val="none"/>
        </w:rPr>
        <w:t>评审，采购产品纳入创新产品应用示范推荐目录内企业、采购产品获得节能产品或环境标志产品认证证书</w:t>
      </w:r>
      <w:r>
        <w:rPr>
          <w:rFonts w:hint="eastAsia"/>
          <w:color w:val="auto"/>
          <w:highlight w:val="none"/>
          <w:lang w:val="en-US"/>
        </w:rPr>
        <w:t>的投标人</w:t>
      </w:r>
      <w:r>
        <w:rPr>
          <w:rFonts w:hint="eastAsia"/>
          <w:color w:val="auto"/>
          <w:highlight w:val="none"/>
        </w:rPr>
        <w:t>按照本</w:t>
      </w:r>
      <w:r>
        <w:rPr>
          <w:rFonts w:hint="eastAsia"/>
          <w:color w:val="auto"/>
          <w:highlight w:val="none"/>
          <w:lang w:val="en-US"/>
        </w:rPr>
        <w:t>招标</w:t>
      </w:r>
      <w:r>
        <w:rPr>
          <w:rFonts w:hint="eastAsia"/>
          <w:color w:val="auto"/>
          <w:highlight w:val="none"/>
        </w:rPr>
        <w:t>文件“</w:t>
      </w:r>
      <w:r>
        <w:rPr>
          <w:rFonts w:hint="eastAsia"/>
          <w:color w:val="auto"/>
          <w:highlight w:val="none"/>
          <w:lang w:val="en-US"/>
        </w:rPr>
        <w:t>投标人</w:t>
      </w:r>
      <w:r>
        <w:rPr>
          <w:rFonts w:hint="eastAsia"/>
          <w:color w:val="auto"/>
          <w:highlight w:val="none"/>
        </w:rPr>
        <w:t>须知前附表”中的规定</w:t>
      </w:r>
      <w:r>
        <w:rPr>
          <w:rFonts w:hint="eastAsia"/>
          <w:color w:val="auto"/>
          <w:highlight w:val="none"/>
          <w:lang w:val="en-US"/>
        </w:rPr>
        <w:t>给予评审优惠</w:t>
      </w:r>
      <w:r>
        <w:rPr>
          <w:rFonts w:hint="eastAsia"/>
          <w:color w:val="auto"/>
          <w:highlight w:val="none"/>
        </w:rPr>
        <w:t>。</w:t>
      </w:r>
    </w:p>
    <w:p w14:paraId="3369D4A1">
      <w:pPr>
        <w:pStyle w:val="40"/>
        <w:spacing w:line="360" w:lineRule="auto"/>
        <w:rPr>
          <w:color w:val="auto"/>
          <w:highlight w:val="none"/>
        </w:rPr>
      </w:pPr>
      <w:r>
        <w:rPr>
          <w:rFonts w:hint="eastAsia"/>
          <w:color w:val="auto"/>
          <w:highlight w:val="none"/>
          <w:lang w:val="en-US"/>
        </w:rPr>
        <w:t>13.</w:t>
      </w:r>
      <w:r>
        <w:rPr>
          <w:rFonts w:hint="eastAsia"/>
          <w:color w:val="auto"/>
          <w:highlight w:val="none"/>
        </w:rPr>
        <w:t>2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color w:val="auto"/>
          <w:highlight w:val="none"/>
          <w:lang w:val="en-US"/>
        </w:rPr>
        <w:t>若供应商同时属于小型或微型企业、监狱企业、残疾人福利性单位 中的两种及以上，将不重复享受小微企业价格扣减的优惠政策。</w:t>
      </w:r>
    </w:p>
    <w:p w14:paraId="5637707C">
      <w:pPr>
        <w:pStyle w:val="40"/>
        <w:spacing w:line="360" w:lineRule="auto"/>
        <w:rPr>
          <w:color w:val="auto"/>
          <w:highlight w:val="none"/>
        </w:rPr>
      </w:pPr>
      <w:r>
        <w:rPr>
          <w:rFonts w:hint="eastAsia"/>
          <w:color w:val="auto"/>
          <w:highlight w:val="none"/>
        </w:rPr>
        <w:t>组成联合体或者接受分包的小微企业与联合体内其他企业、分包企业之间存在直接控股、管理关系的，不享受价格扣除优惠政策。</w:t>
      </w:r>
    </w:p>
    <w:p w14:paraId="655C10CC">
      <w:pPr>
        <w:pStyle w:val="40"/>
        <w:spacing w:line="360" w:lineRule="auto"/>
        <w:rPr>
          <w:color w:val="auto"/>
          <w:highlight w:val="none"/>
        </w:rPr>
      </w:pPr>
      <w:r>
        <w:rPr>
          <w:rFonts w:hint="eastAsia"/>
          <w:color w:val="auto"/>
          <w:highlight w:val="none"/>
        </w:rPr>
        <w:t>价格扣除比例对小型企业和微型企业同等对待，不作区分。</w:t>
      </w:r>
    </w:p>
    <w:p w14:paraId="5E741F0E">
      <w:pPr>
        <w:pStyle w:val="40"/>
        <w:spacing w:line="360" w:lineRule="auto"/>
        <w:rPr>
          <w:color w:val="auto"/>
          <w:highlight w:val="none"/>
        </w:rPr>
      </w:pPr>
      <w:r>
        <w:rPr>
          <w:rFonts w:hint="eastAsia"/>
          <w:color w:val="auto"/>
          <w:highlight w:val="none"/>
          <w:lang w:val="en-US"/>
        </w:rPr>
        <w:t>13.</w:t>
      </w:r>
      <w:r>
        <w:rPr>
          <w:rFonts w:hint="eastAsia"/>
          <w:color w:val="auto"/>
          <w:highlight w:val="none"/>
        </w:rPr>
        <w:t>3专门面向中小企业、预留部分采购份额面向中小企业采购的项目或采购包，评审时不再进行价格扣除。</w:t>
      </w:r>
    </w:p>
    <w:p w14:paraId="046594FD">
      <w:pPr>
        <w:pStyle w:val="40"/>
        <w:spacing w:line="360" w:lineRule="auto"/>
        <w:rPr>
          <w:color w:val="auto"/>
          <w:highlight w:val="none"/>
        </w:rPr>
      </w:pPr>
      <w:r>
        <w:rPr>
          <w:rFonts w:hint="eastAsia"/>
          <w:color w:val="auto"/>
          <w:highlight w:val="none"/>
          <w:lang w:val="en-US"/>
        </w:rPr>
        <w:t>13.4</w:t>
      </w:r>
      <w:r>
        <w:rPr>
          <w:rFonts w:hint="eastAsia"/>
          <w:color w:val="auto"/>
          <w:highlight w:val="none"/>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color w:val="auto"/>
          <w:highlight w:val="none"/>
          <w:lang w:val="en-US"/>
        </w:rPr>
        <w:t>体</w:t>
      </w:r>
      <w:r>
        <w:rPr>
          <w:rFonts w:hint="eastAsia"/>
          <w:color w:val="auto"/>
          <w:highlight w:val="none"/>
        </w:rPr>
        <w:t>协议</w:t>
      </w:r>
      <w:r>
        <w:rPr>
          <w:rFonts w:hint="eastAsia"/>
          <w:color w:val="auto"/>
          <w:highlight w:val="none"/>
          <w:lang w:val="en-US"/>
        </w:rPr>
        <w:t>书</w:t>
      </w:r>
      <w:r>
        <w:rPr>
          <w:rFonts w:hint="eastAsia"/>
          <w:color w:val="auto"/>
          <w:highlight w:val="none"/>
        </w:rPr>
        <w:t>或者分包意向协议</w:t>
      </w:r>
      <w:r>
        <w:rPr>
          <w:rFonts w:hint="eastAsia"/>
          <w:color w:val="auto"/>
          <w:highlight w:val="none"/>
          <w:lang w:val="en-US"/>
        </w:rPr>
        <w:t>书</w:t>
      </w:r>
      <w:r>
        <w:rPr>
          <w:rFonts w:hint="eastAsia"/>
          <w:color w:val="auto"/>
          <w:highlight w:val="none"/>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61EEDD5E">
      <w:pPr>
        <w:pStyle w:val="40"/>
        <w:spacing w:line="360" w:lineRule="auto"/>
        <w:rPr>
          <w:color w:val="auto"/>
          <w:highlight w:val="none"/>
        </w:rPr>
      </w:pPr>
      <w:r>
        <w:rPr>
          <w:rFonts w:hint="eastAsia"/>
          <w:color w:val="auto"/>
          <w:highlight w:val="none"/>
        </w:rPr>
        <w:t>13.5供应商对其提供的产品出具《关于符合本国产品标准的声明函》（样式见附件1，以下简称《声明函》）或财政部会同有关部门规定的有关证明文件。出具符合要求的《声明函》或有关证明文件的，该产品视为本国产品。</w:t>
      </w:r>
    </w:p>
    <w:p w14:paraId="10CFDD39">
      <w:pPr>
        <w:pStyle w:val="40"/>
        <w:spacing w:line="360" w:lineRule="auto"/>
        <w:rPr>
          <w:color w:val="auto"/>
          <w:highlight w:val="none"/>
        </w:rPr>
      </w:pPr>
      <w:r>
        <w:rPr>
          <w:rFonts w:hint="eastAsia"/>
          <w:color w:val="auto"/>
          <w:highlight w:val="none"/>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9416DD3">
      <w:pPr>
        <w:pStyle w:val="40"/>
        <w:spacing w:line="360" w:lineRule="auto"/>
        <w:rPr>
          <w:color w:val="auto"/>
          <w:highlight w:val="none"/>
        </w:rPr>
      </w:pPr>
      <w:r>
        <w:rPr>
          <w:rFonts w:hint="eastAsia"/>
          <w:snapToGrid w:val="0"/>
          <w:color w:val="auto"/>
          <w:highlight w:val="none"/>
        </w:rPr>
        <w:t>13.6采购标的仅包含单一产品时，</w:t>
      </w:r>
      <w:r>
        <w:rPr>
          <w:rFonts w:hint="eastAsia"/>
          <w:color w:val="auto"/>
          <w:highlight w:val="none"/>
        </w:rPr>
        <w:t>政府采购活动中既有本国产品又有非本国产品参与竞争的，</w:t>
      </w:r>
      <w:r>
        <w:rPr>
          <w:rFonts w:hint="eastAsia"/>
          <w:snapToGrid w:val="0"/>
          <w:color w:val="auto"/>
          <w:highlight w:val="none"/>
        </w:rPr>
        <w:t>供应商对其提供的产品出具《关于符合本国产品标准的声明函》，</w:t>
      </w:r>
      <w:r>
        <w:rPr>
          <w:rFonts w:hint="eastAsia"/>
          <w:color w:val="auto"/>
          <w:highlight w:val="none"/>
        </w:rPr>
        <w:t>依法对本国产品给予价格评审优惠，对本国产品的报价给予20%的价格扣除，用扣除后的价格参与评审。</w:t>
      </w:r>
    </w:p>
    <w:p w14:paraId="3EBCCA90">
      <w:pPr>
        <w:pStyle w:val="40"/>
        <w:spacing w:line="360" w:lineRule="auto"/>
        <w:rPr>
          <w:snapToGrid w:val="0"/>
          <w:color w:val="auto"/>
          <w:highlight w:val="none"/>
        </w:rPr>
      </w:pPr>
      <w:r>
        <w:rPr>
          <w:rFonts w:hint="eastAsia"/>
          <w:snapToGrid w:val="0"/>
          <w:color w:val="auto"/>
          <w:highlight w:val="none"/>
        </w:rPr>
        <w:t>13.7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579A5B0B">
      <w:pPr>
        <w:pStyle w:val="40"/>
        <w:spacing w:line="360" w:lineRule="auto"/>
        <w:rPr>
          <w:snapToGrid w:val="0"/>
          <w:color w:val="auto"/>
          <w:highlight w:val="none"/>
        </w:rPr>
      </w:pPr>
      <w:r>
        <w:rPr>
          <w:rFonts w:hint="eastAsia"/>
          <w:snapToGrid w:val="0"/>
          <w:color w:val="auto"/>
          <w:highlight w:val="none"/>
        </w:rPr>
        <w:t>13.8对于仅有本国产品参与竞争的政府采购项目，本国产品不享受价格扣除评审优惠。</w:t>
      </w:r>
    </w:p>
    <w:p w14:paraId="79985E12">
      <w:pPr>
        <w:pStyle w:val="40"/>
        <w:spacing w:line="360" w:lineRule="auto"/>
        <w:rPr>
          <w:snapToGrid w:val="0"/>
          <w:color w:val="auto"/>
          <w:highlight w:val="none"/>
        </w:rPr>
      </w:pPr>
      <w:r>
        <w:rPr>
          <w:rFonts w:hint="eastAsia"/>
          <w:snapToGrid w:val="0"/>
          <w:color w:val="auto"/>
          <w:highlight w:val="none"/>
        </w:rPr>
        <w:t>13.9评审委员会应对《声明函》的完整性、准确性进行审查，对含义不明确、同类事项与投标（响应）文件表述不一致或者有明显文字错误等情况的，应当以书面形式要求供应商作出必要的澄清、说明或者补正。经澄清、说明或者补正的《声明函》仍然不符合要求的，供应商提供的相关产品视为不符合本国产品标准。</w:t>
      </w:r>
    </w:p>
    <w:p w14:paraId="19ABD5D9">
      <w:pPr>
        <w:pStyle w:val="40"/>
        <w:spacing w:line="360" w:lineRule="auto"/>
        <w:rPr>
          <w:snapToGrid w:val="0"/>
          <w:color w:val="auto"/>
          <w:highlight w:val="none"/>
        </w:rPr>
      </w:pPr>
      <w:r>
        <w:rPr>
          <w:rFonts w:hint="eastAsia"/>
          <w:snapToGrid w:val="0"/>
          <w:color w:val="auto"/>
          <w:highlight w:val="none"/>
        </w:rPr>
        <w:t>对医疗器械产品，提供取得药品监督管理部门授予的准字号医疗器械注册证的，视为符合本国产品标准，无须填写《声明函》，</w:t>
      </w:r>
      <w:r>
        <w:rPr>
          <w:rFonts w:hint="eastAsia" w:cs="宋体"/>
          <w:color w:val="auto"/>
          <w:szCs w:val="24"/>
          <w:highlight w:val="none"/>
        </w:rPr>
        <w:t>报价给予20%的价格扣除，用扣除后的价格参与评审。</w:t>
      </w:r>
    </w:p>
    <w:p w14:paraId="5922FFED">
      <w:pPr>
        <w:pStyle w:val="40"/>
        <w:spacing w:line="360" w:lineRule="auto"/>
        <w:rPr>
          <w:snapToGrid w:val="0"/>
          <w:color w:val="auto"/>
          <w:highlight w:val="none"/>
        </w:rPr>
      </w:pPr>
      <w:r>
        <w:rPr>
          <w:rFonts w:hint="eastAsia"/>
          <w:snapToGrid w:val="0"/>
          <w:color w:val="auto"/>
          <w:highlight w:val="none"/>
        </w:rPr>
        <w:t>13.10对于非专门面向中小企业的采购项目，既有本国产品也有非本国产品参与竞争，且提供本国产品的供应商同时为小微企业的，对该供应商的产品同时给予支持本国产品和小微企业产品的价格评审优惠。在供应商原始报价基础上计算，用扣除后的价格参与评审。</w:t>
      </w:r>
    </w:p>
    <w:p w14:paraId="5F4183CF">
      <w:pPr>
        <w:pStyle w:val="4"/>
        <w:spacing w:line="360" w:lineRule="auto"/>
        <w:rPr>
          <w:color w:val="auto"/>
          <w:highlight w:val="none"/>
          <w:lang w:val="zh-CN"/>
        </w:rPr>
      </w:pPr>
      <w:r>
        <w:rPr>
          <w:rFonts w:hint="eastAsia"/>
          <w:color w:val="auto"/>
          <w:highlight w:val="none"/>
          <w:lang w:val="zh-CN"/>
        </w:rPr>
        <w:t>（</w:t>
      </w:r>
      <w:r>
        <w:rPr>
          <w:rFonts w:hint="eastAsia"/>
          <w:color w:val="auto"/>
          <w:highlight w:val="none"/>
        </w:rPr>
        <w:t>五</w:t>
      </w:r>
      <w:r>
        <w:rPr>
          <w:rFonts w:hint="eastAsia"/>
          <w:color w:val="auto"/>
          <w:highlight w:val="none"/>
          <w:lang w:val="zh-CN"/>
        </w:rPr>
        <w:t>）评标得分及复核</w:t>
      </w:r>
    </w:p>
    <w:p w14:paraId="57CDB0B3">
      <w:pPr>
        <w:pStyle w:val="40"/>
        <w:spacing w:line="360" w:lineRule="auto"/>
        <w:rPr>
          <w:color w:val="auto"/>
          <w:highlight w:val="none"/>
        </w:rPr>
      </w:pPr>
      <w:r>
        <w:rPr>
          <w:rFonts w:hint="eastAsia"/>
          <w:color w:val="auto"/>
          <w:highlight w:val="none"/>
          <w:lang w:val="en-US"/>
        </w:rPr>
        <w:t>14.</w:t>
      </w:r>
      <w:r>
        <w:rPr>
          <w:rFonts w:hint="eastAsia"/>
          <w:color w:val="auto"/>
          <w:highlight w:val="none"/>
        </w:rPr>
        <w:t>评标过程中，各项分值一般精确到小数点后两位，评标得分应为商务评分、技术评分、报价评分之和。评标委员会各成员应汇总每个投标人的得分。</w:t>
      </w:r>
    </w:p>
    <w:p w14:paraId="7B6C56B9">
      <w:pPr>
        <w:pStyle w:val="40"/>
        <w:spacing w:line="360" w:lineRule="auto"/>
        <w:rPr>
          <w:color w:val="auto"/>
          <w:highlight w:val="none"/>
        </w:rPr>
      </w:pPr>
      <w:r>
        <w:rPr>
          <w:rFonts w:hint="eastAsia"/>
          <w:color w:val="auto"/>
          <w:highlight w:val="none"/>
          <w:lang w:val="en-US"/>
        </w:rPr>
        <w:t>14.1</w:t>
      </w:r>
      <w:r>
        <w:rPr>
          <w:rFonts w:hint="eastAsia"/>
          <w:color w:val="auto"/>
          <w:highlight w:val="none"/>
        </w:rPr>
        <w:t>评标结果汇总完成后，采购代理机构应对评标结果进行复核。经复核发现存在以下情形之一的，评标委员会应当当场修改评标结果，并在评标报告中记载：</w:t>
      </w:r>
    </w:p>
    <w:p w14:paraId="7DC5F450">
      <w:pPr>
        <w:pStyle w:val="40"/>
        <w:spacing w:line="360" w:lineRule="auto"/>
        <w:rPr>
          <w:color w:val="auto"/>
          <w:highlight w:val="none"/>
        </w:rPr>
      </w:pPr>
      <w:r>
        <w:rPr>
          <w:rFonts w:hint="eastAsia"/>
          <w:color w:val="auto"/>
          <w:highlight w:val="none"/>
          <w:lang w:val="en-US"/>
        </w:rPr>
        <w:t>（1）</w:t>
      </w:r>
      <w:r>
        <w:rPr>
          <w:rFonts w:hint="eastAsia"/>
          <w:color w:val="auto"/>
          <w:highlight w:val="none"/>
        </w:rPr>
        <w:t>分值汇总计算错误的；</w:t>
      </w:r>
    </w:p>
    <w:p w14:paraId="677DBB6E">
      <w:pPr>
        <w:pStyle w:val="40"/>
        <w:spacing w:line="360" w:lineRule="auto"/>
        <w:rPr>
          <w:color w:val="auto"/>
          <w:highlight w:val="none"/>
        </w:rPr>
      </w:pPr>
      <w:r>
        <w:rPr>
          <w:rFonts w:hint="eastAsia"/>
          <w:color w:val="auto"/>
          <w:highlight w:val="none"/>
          <w:lang w:val="en-US"/>
        </w:rPr>
        <w:t>（2）</w:t>
      </w:r>
      <w:r>
        <w:rPr>
          <w:rFonts w:hint="eastAsia"/>
          <w:color w:val="auto"/>
          <w:highlight w:val="none"/>
        </w:rPr>
        <w:t>分项评分超出评分标准范围的；</w:t>
      </w:r>
    </w:p>
    <w:p w14:paraId="037E4483">
      <w:pPr>
        <w:pStyle w:val="40"/>
        <w:spacing w:line="360" w:lineRule="auto"/>
        <w:rPr>
          <w:color w:val="auto"/>
          <w:highlight w:val="none"/>
        </w:rPr>
      </w:pPr>
      <w:r>
        <w:rPr>
          <w:rFonts w:hint="eastAsia"/>
          <w:color w:val="auto"/>
          <w:highlight w:val="none"/>
          <w:lang w:val="en-US"/>
        </w:rPr>
        <w:t>（3）</w:t>
      </w:r>
      <w:r>
        <w:rPr>
          <w:rFonts w:hint="eastAsia"/>
          <w:color w:val="auto"/>
          <w:highlight w:val="none"/>
        </w:rPr>
        <w:t>评标委员会成员对客观评审因素评分不一致的；</w:t>
      </w:r>
    </w:p>
    <w:p w14:paraId="7D456228">
      <w:pPr>
        <w:pStyle w:val="40"/>
        <w:spacing w:line="360" w:lineRule="auto"/>
        <w:rPr>
          <w:color w:val="auto"/>
          <w:highlight w:val="none"/>
        </w:rPr>
      </w:pPr>
      <w:r>
        <w:rPr>
          <w:rFonts w:hint="eastAsia"/>
          <w:color w:val="auto"/>
          <w:highlight w:val="none"/>
          <w:lang w:val="en-US"/>
        </w:rPr>
        <w:t>（4）</w:t>
      </w:r>
      <w:r>
        <w:rPr>
          <w:rFonts w:hint="eastAsia"/>
          <w:color w:val="auto"/>
          <w:highlight w:val="none"/>
        </w:rPr>
        <w:t>经评标委员会认定评分畸高、畸低的。</w:t>
      </w:r>
    </w:p>
    <w:p w14:paraId="667EE946">
      <w:pPr>
        <w:pStyle w:val="40"/>
        <w:spacing w:line="360" w:lineRule="auto"/>
        <w:rPr>
          <w:color w:val="auto"/>
          <w:highlight w:val="none"/>
        </w:rPr>
      </w:pPr>
      <w:r>
        <w:rPr>
          <w:rFonts w:hint="eastAsia"/>
          <w:color w:val="auto"/>
          <w:highlight w:val="none"/>
          <w:lang w:val="en-US"/>
        </w:rPr>
        <w:t>15.</w:t>
      </w:r>
      <w:r>
        <w:rPr>
          <w:rFonts w:hint="eastAsia"/>
          <w:color w:val="auto"/>
          <w:highlight w:val="none"/>
        </w:rPr>
        <w:t>各投标人的最终得分为评标委员会所有成员对各投标人评标得分汇总后的算术平均值。</w:t>
      </w:r>
    </w:p>
    <w:p w14:paraId="3AEF0ACB">
      <w:pPr>
        <w:pStyle w:val="40"/>
        <w:spacing w:line="360" w:lineRule="auto"/>
        <w:rPr>
          <w:color w:val="auto"/>
          <w:highlight w:val="none"/>
        </w:rPr>
      </w:pPr>
      <w:r>
        <w:rPr>
          <w:rFonts w:hint="eastAsia"/>
          <w:color w:val="auto"/>
          <w:highlight w:val="none"/>
        </w:rPr>
        <w:t>15.1除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5876A42E">
      <w:pPr>
        <w:pStyle w:val="40"/>
        <w:spacing w:line="360" w:lineRule="auto"/>
        <w:rPr>
          <w:color w:val="auto"/>
          <w:highlight w:val="none"/>
        </w:rPr>
      </w:pPr>
      <w:r>
        <w:rPr>
          <w:rFonts w:hint="eastAsia"/>
          <w:color w:val="auto"/>
          <w:highlight w:val="none"/>
        </w:rPr>
        <w:t>15.2采购人或者采购代理机构不得通过对样品进行检测、对投标人进行考察等方式改变评审结果。</w:t>
      </w:r>
    </w:p>
    <w:p w14:paraId="09AB1BF6">
      <w:pPr>
        <w:pStyle w:val="4"/>
        <w:spacing w:line="360" w:lineRule="auto"/>
        <w:rPr>
          <w:color w:val="auto"/>
          <w:highlight w:val="none"/>
          <w:lang w:val="zh-CN"/>
        </w:rPr>
      </w:pPr>
      <w:r>
        <w:rPr>
          <w:rFonts w:hint="eastAsia"/>
          <w:color w:val="auto"/>
          <w:highlight w:val="none"/>
          <w:lang w:val="zh-CN"/>
        </w:rPr>
        <w:t>（</w:t>
      </w:r>
      <w:r>
        <w:rPr>
          <w:rFonts w:hint="eastAsia"/>
          <w:color w:val="auto"/>
          <w:highlight w:val="none"/>
        </w:rPr>
        <w:t>六</w:t>
      </w:r>
      <w:r>
        <w:rPr>
          <w:rFonts w:hint="eastAsia"/>
          <w:color w:val="auto"/>
          <w:highlight w:val="none"/>
          <w:lang w:val="zh-CN"/>
        </w:rPr>
        <w:t>）排序与推荐</w:t>
      </w:r>
    </w:p>
    <w:p w14:paraId="6588C960">
      <w:pPr>
        <w:pStyle w:val="40"/>
        <w:spacing w:line="360" w:lineRule="auto"/>
        <w:rPr>
          <w:color w:val="auto"/>
          <w:highlight w:val="none"/>
        </w:rPr>
      </w:pPr>
      <w:r>
        <w:rPr>
          <w:rFonts w:hint="eastAsia"/>
          <w:color w:val="auto"/>
          <w:highlight w:val="none"/>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6BA86310">
      <w:pPr>
        <w:pStyle w:val="40"/>
        <w:spacing w:line="360" w:lineRule="auto"/>
        <w:rPr>
          <w:color w:val="auto"/>
          <w:highlight w:val="none"/>
        </w:rPr>
      </w:pPr>
      <w:r>
        <w:rPr>
          <w:rFonts w:hint="eastAsia"/>
          <w:color w:val="auto"/>
          <w:highlight w:val="none"/>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1971CF6E">
      <w:pPr>
        <w:pStyle w:val="40"/>
        <w:spacing w:line="360" w:lineRule="auto"/>
        <w:rPr>
          <w:color w:val="auto"/>
          <w:highlight w:val="none"/>
        </w:rPr>
      </w:pPr>
      <w:r>
        <w:rPr>
          <w:rFonts w:hint="eastAsia"/>
          <w:color w:val="auto"/>
          <w:highlight w:val="none"/>
        </w:rPr>
        <w:t>18.中标候选人推荐家数详见“投标人须知前附表”。</w:t>
      </w:r>
    </w:p>
    <w:p w14:paraId="2446E475">
      <w:pPr>
        <w:pStyle w:val="4"/>
        <w:spacing w:line="360" w:lineRule="auto"/>
        <w:rPr>
          <w:color w:val="auto"/>
          <w:highlight w:val="none"/>
          <w:lang w:val="zh-CN"/>
        </w:rPr>
      </w:pPr>
      <w:r>
        <w:rPr>
          <w:rFonts w:hint="eastAsia"/>
          <w:color w:val="auto"/>
          <w:highlight w:val="none"/>
          <w:lang w:val="zh-CN"/>
        </w:rPr>
        <w:t>（</w:t>
      </w:r>
      <w:r>
        <w:rPr>
          <w:rFonts w:hint="eastAsia"/>
          <w:color w:val="auto"/>
          <w:highlight w:val="none"/>
        </w:rPr>
        <w:t>七</w:t>
      </w:r>
      <w:r>
        <w:rPr>
          <w:rFonts w:hint="eastAsia"/>
          <w:color w:val="auto"/>
          <w:highlight w:val="none"/>
          <w:lang w:val="zh-CN"/>
        </w:rPr>
        <w:t>）编写评标报告</w:t>
      </w:r>
    </w:p>
    <w:p w14:paraId="01CAB92A">
      <w:pPr>
        <w:pStyle w:val="40"/>
        <w:spacing w:line="360" w:lineRule="auto"/>
        <w:rPr>
          <w:color w:val="auto"/>
          <w:highlight w:val="none"/>
        </w:rPr>
      </w:pPr>
      <w:r>
        <w:rPr>
          <w:rFonts w:hint="eastAsia"/>
          <w:color w:val="auto"/>
          <w:highlight w:val="none"/>
          <w:lang w:val="en-US"/>
        </w:rPr>
        <w:t>19.</w:t>
      </w:r>
      <w:r>
        <w:rPr>
          <w:rFonts w:hint="eastAsia"/>
          <w:color w:val="auto"/>
          <w:highlight w:val="none"/>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bookmarkStart w:id="315" w:name="_Toc102056217"/>
      <w:bookmarkStart w:id="316" w:name="_Toc163492906"/>
      <w:bookmarkStart w:id="317" w:name="_Toc102119852"/>
      <w:bookmarkStart w:id="318" w:name="_Toc102116021"/>
      <w:bookmarkStart w:id="319" w:name="_Toc102116151"/>
      <w:bookmarkStart w:id="320" w:name="_Toc102114919"/>
      <w:bookmarkStart w:id="321" w:name="_Toc102057717"/>
      <w:bookmarkStart w:id="322" w:name="_Toc155185913"/>
    </w:p>
    <w:p w14:paraId="50EDB4E6">
      <w:pPr>
        <w:pStyle w:val="4"/>
        <w:spacing w:line="360" w:lineRule="auto"/>
        <w:rPr>
          <w:color w:val="auto"/>
          <w:highlight w:val="none"/>
          <w:lang w:val="zh-CN"/>
        </w:rPr>
      </w:pPr>
      <w:r>
        <w:rPr>
          <w:rFonts w:hint="eastAsia"/>
          <w:color w:val="auto"/>
          <w:highlight w:val="none"/>
          <w:lang w:val="zh-CN"/>
        </w:rPr>
        <w:t>（</w:t>
      </w:r>
      <w:r>
        <w:rPr>
          <w:rFonts w:hint="eastAsia"/>
          <w:color w:val="auto"/>
          <w:highlight w:val="none"/>
        </w:rPr>
        <w:t>八</w:t>
      </w:r>
      <w:r>
        <w:rPr>
          <w:rFonts w:hint="eastAsia"/>
          <w:color w:val="auto"/>
          <w:highlight w:val="none"/>
          <w:lang w:val="zh-CN"/>
        </w:rPr>
        <w:t>）</w:t>
      </w:r>
      <w:r>
        <w:rPr>
          <w:rFonts w:hint="eastAsia"/>
          <w:color w:val="auto"/>
          <w:highlight w:val="none"/>
        </w:rPr>
        <w:t>投标无效及</w:t>
      </w:r>
      <w:r>
        <w:rPr>
          <w:rFonts w:hint="eastAsia"/>
          <w:color w:val="auto"/>
          <w:highlight w:val="none"/>
          <w:lang w:val="zh-CN"/>
        </w:rPr>
        <w:t>应予废标的情形</w:t>
      </w:r>
      <w:bookmarkEnd w:id="315"/>
      <w:bookmarkEnd w:id="316"/>
      <w:bookmarkEnd w:id="317"/>
      <w:bookmarkEnd w:id="318"/>
      <w:bookmarkEnd w:id="319"/>
      <w:bookmarkEnd w:id="320"/>
      <w:bookmarkEnd w:id="321"/>
      <w:bookmarkEnd w:id="322"/>
    </w:p>
    <w:p w14:paraId="2C996FA0">
      <w:pPr>
        <w:pStyle w:val="40"/>
        <w:spacing w:line="360" w:lineRule="auto"/>
        <w:rPr>
          <w:color w:val="auto"/>
          <w:highlight w:val="none"/>
        </w:rPr>
      </w:pPr>
      <w:r>
        <w:rPr>
          <w:rFonts w:hint="eastAsia"/>
          <w:color w:val="auto"/>
          <w:highlight w:val="none"/>
        </w:rPr>
        <w:t>20.投标人存在下列情形之一的，</w:t>
      </w:r>
      <w:r>
        <w:rPr>
          <w:rFonts w:hint="eastAsia"/>
          <w:b/>
          <w:bCs/>
          <w:color w:val="auto"/>
          <w:highlight w:val="none"/>
        </w:rPr>
        <w:t>投标无效</w:t>
      </w:r>
      <w:r>
        <w:rPr>
          <w:rFonts w:hint="eastAsia"/>
          <w:color w:val="auto"/>
          <w:highlight w:val="none"/>
        </w:rPr>
        <w:t>：</w:t>
      </w:r>
    </w:p>
    <w:p w14:paraId="09FAAF31">
      <w:pPr>
        <w:pStyle w:val="40"/>
        <w:spacing w:line="360" w:lineRule="auto"/>
        <w:rPr>
          <w:color w:val="auto"/>
          <w:highlight w:val="none"/>
        </w:rPr>
      </w:pPr>
      <w:r>
        <w:rPr>
          <w:rFonts w:hint="eastAsia"/>
          <w:color w:val="auto"/>
          <w:highlight w:val="none"/>
          <w:lang w:val="en-US"/>
        </w:rPr>
        <w:t>20.</w:t>
      </w:r>
      <w:r>
        <w:rPr>
          <w:rFonts w:hint="eastAsia"/>
          <w:color w:val="auto"/>
          <w:highlight w:val="none"/>
        </w:rPr>
        <w:t>1</w:t>
      </w:r>
      <w:r>
        <w:rPr>
          <w:rFonts w:hint="eastAsia"/>
          <w:color w:val="auto"/>
          <w:highlight w:val="none"/>
          <w:lang w:val="en-US"/>
        </w:rPr>
        <w:t>投标人</w:t>
      </w:r>
      <w:r>
        <w:rPr>
          <w:rFonts w:hint="eastAsia"/>
          <w:color w:val="auto"/>
          <w:highlight w:val="none"/>
        </w:rPr>
        <w:t>不具备《中华人民共和国政府采购法》第二十二条规定条件</w:t>
      </w:r>
      <w:r>
        <w:rPr>
          <w:rFonts w:hint="eastAsia"/>
          <w:color w:val="auto"/>
          <w:highlight w:val="none"/>
          <w:lang w:val="en-US"/>
        </w:rPr>
        <w:t>；</w:t>
      </w:r>
    </w:p>
    <w:p w14:paraId="4A343761">
      <w:pPr>
        <w:pStyle w:val="40"/>
        <w:spacing w:line="360" w:lineRule="auto"/>
        <w:rPr>
          <w:color w:val="auto"/>
          <w:highlight w:val="none"/>
          <w:lang w:val="en-US"/>
        </w:rPr>
      </w:pPr>
      <w:r>
        <w:rPr>
          <w:rFonts w:hint="eastAsia"/>
          <w:color w:val="auto"/>
          <w:highlight w:val="none"/>
          <w:lang w:val="en-US"/>
        </w:rPr>
        <w:t>20.</w:t>
      </w:r>
      <w:r>
        <w:rPr>
          <w:rFonts w:hint="eastAsia"/>
          <w:color w:val="auto"/>
          <w:highlight w:val="none"/>
        </w:rPr>
        <w:t>2投标文件未按招标文件要求签署、盖章的</w:t>
      </w:r>
      <w:r>
        <w:rPr>
          <w:rFonts w:hint="eastAsia"/>
          <w:color w:val="auto"/>
          <w:highlight w:val="none"/>
          <w:lang w:val="en-US"/>
        </w:rPr>
        <w:t>；</w:t>
      </w:r>
    </w:p>
    <w:p w14:paraId="6DC27FCE">
      <w:pPr>
        <w:pStyle w:val="40"/>
        <w:spacing w:line="360" w:lineRule="auto"/>
        <w:rPr>
          <w:color w:val="auto"/>
          <w:highlight w:val="none"/>
        </w:rPr>
      </w:pPr>
      <w:r>
        <w:rPr>
          <w:rFonts w:hint="eastAsia"/>
          <w:color w:val="auto"/>
          <w:highlight w:val="none"/>
        </w:rPr>
        <w:t>20.3不具备招标文件中规定的资格要求的（投标人未提供有效资格文件的，视为投标人不具备招标文件中规定的资格要求）；</w:t>
      </w:r>
    </w:p>
    <w:p w14:paraId="5895DA51">
      <w:pPr>
        <w:pStyle w:val="40"/>
        <w:spacing w:line="360" w:lineRule="auto"/>
        <w:rPr>
          <w:color w:val="auto"/>
          <w:highlight w:val="none"/>
        </w:rPr>
      </w:pPr>
      <w:r>
        <w:rPr>
          <w:rFonts w:hint="eastAsia"/>
          <w:color w:val="auto"/>
          <w:highlight w:val="none"/>
          <w:lang w:val="en-US"/>
        </w:rPr>
        <w:t>20.</w:t>
      </w:r>
      <w:r>
        <w:rPr>
          <w:rFonts w:hint="eastAsia"/>
          <w:color w:val="auto"/>
          <w:highlight w:val="none"/>
        </w:rPr>
        <w:t>4</w:t>
      </w:r>
      <w:r>
        <w:rPr>
          <w:rFonts w:hint="eastAsia"/>
          <w:color w:val="auto"/>
          <w:highlight w:val="none"/>
          <w:lang w:val="en-US"/>
        </w:rPr>
        <w:t>投标</w:t>
      </w:r>
      <w:r>
        <w:rPr>
          <w:rFonts w:hint="eastAsia"/>
          <w:color w:val="auto"/>
          <w:highlight w:val="none"/>
        </w:rPr>
        <w:t>文件提供虚假材料的</w:t>
      </w:r>
      <w:r>
        <w:rPr>
          <w:rFonts w:hint="eastAsia"/>
          <w:color w:val="auto"/>
          <w:highlight w:val="none"/>
          <w:lang w:val="en-US"/>
        </w:rPr>
        <w:t>；</w:t>
      </w:r>
    </w:p>
    <w:p w14:paraId="4B9F6704">
      <w:pPr>
        <w:pStyle w:val="40"/>
        <w:spacing w:line="360" w:lineRule="auto"/>
        <w:rPr>
          <w:color w:val="auto"/>
          <w:highlight w:val="none"/>
        </w:rPr>
      </w:pPr>
      <w:r>
        <w:rPr>
          <w:rFonts w:hint="eastAsia"/>
          <w:color w:val="auto"/>
          <w:highlight w:val="none"/>
          <w:lang w:val="en-US"/>
        </w:rPr>
        <w:t>20.</w:t>
      </w:r>
      <w:r>
        <w:rPr>
          <w:rFonts w:hint="eastAsia"/>
          <w:color w:val="auto"/>
          <w:highlight w:val="none"/>
        </w:rPr>
        <w:t>5</w:t>
      </w:r>
      <w:r>
        <w:rPr>
          <w:rFonts w:hint="eastAsia"/>
          <w:color w:val="auto"/>
          <w:highlight w:val="none"/>
          <w:lang w:val="en-US"/>
        </w:rPr>
        <w:t>投标</w:t>
      </w:r>
      <w:r>
        <w:rPr>
          <w:rFonts w:hint="eastAsia"/>
          <w:color w:val="auto"/>
          <w:highlight w:val="none"/>
        </w:rPr>
        <w:t>文件不满足</w:t>
      </w:r>
      <w:r>
        <w:rPr>
          <w:rFonts w:hint="eastAsia"/>
          <w:color w:val="auto"/>
          <w:highlight w:val="none"/>
          <w:lang w:val="en-US"/>
        </w:rPr>
        <w:t>招标</w:t>
      </w:r>
      <w:r>
        <w:rPr>
          <w:rFonts w:hint="eastAsia"/>
          <w:color w:val="auto"/>
          <w:highlight w:val="none"/>
        </w:rPr>
        <w:t>文件中标注“★”号的实质性条款（或指标）要求的</w:t>
      </w:r>
      <w:r>
        <w:rPr>
          <w:rFonts w:hint="eastAsia"/>
          <w:color w:val="auto"/>
          <w:highlight w:val="none"/>
          <w:lang w:val="en-US"/>
        </w:rPr>
        <w:t>；</w:t>
      </w:r>
    </w:p>
    <w:p w14:paraId="4F70DC3B">
      <w:pPr>
        <w:pStyle w:val="40"/>
        <w:spacing w:line="360" w:lineRule="auto"/>
        <w:rPr>
          <w:color w:val="auto"/>
          <w:highlight w:val="none"/>
          <w:lang w:val="en-US"/>
        </w:rPr>
      </w:pPr>
      <w:r>
        <w:rPr>
          <w:rFonts w:hint="eastAsia"/>
          <w:color w:val="auto"/>
          <w:highlight w:val="none"/>
          <w:lang w:val="en-US"/>
        </w:rPr>
        <w:t>20.</w:t>
      </w:r>
      <w:r>
        <w:rPr>
          <w:rFonts w:hint="eastAsia"/>
          <w:color w:val="auto"/>
          <w:highlight w:val="none"/>
        </w:rPr>
        <w:t>6</w:t>
      </w:r>
      <w:r>
        <w:rPr>
          <w:rFonts w:hint="eastAsia"/>
          <w:color w:val="auto"/>
          <w:highlight w:val="none"/>
          <w:lang w:val="en-US"/>
        </w:rPr>
        <w:t>投标人</w:t>
      </w:r>
      <w:r>
        <w:rPr>
          <w:rFonts w:hint="eastAsia"/>
          <w:color w:val="auto"/>
          <w:highlight w:val="none"/>
        </w:rPr>
        <w:t>报价超过招标文件中规定的最高限价或者预算金额的</w:t>
      </w:r>
      <w:r>
        <w:rPr>
          <w:rFonts w:hint="eastAsia"/>
          <w:color w:val="auto"/>
          <w:highlight w:val="none"/>
          <w:lang w:val="en-US"/>
        </w:rPr>
        <w:t>；</w:t>
      </w:r>
    </w:p>
    <w:p w14:paraId="1AEE9E00">
      <w:pPr>
        <w:pStyle w:val="40"/>
        <w:spacing w:line="360" w:lineRule="auto"/>
        <w:rPr>
          <w:color w:val="auto"/>
          <w:highlight w:val="none"/>
        </w:rPr>
      </w:pPr>
      <w:r>
        <w:rPr>
          <w:rFonts w:hint="eastAsia"/>
          <w:color w:val="auto"/>
          <w:highlight w:val="none"/>
          <w:lang w:val="en-US"/>
        </w:rPr>
        <w:t>20.</w:t>
      </w:r>
      <w:r>
        <w:rPr>
          <w:rFonts w:hint="eastAsia"/>
          <w:color w:val="auto"/>
          <w:highlight w:val="none"/>
        </w:rPr>
        <w:t>7联合体的供应商未提交各方共同签署的</w:t>
      </w:r>
      <w:r>
        <w:rPr>
          <w:rFonts w:hint="eastAsia"/>
          <w:color w:val="auto"/>
          <w:highlight w:val="none"/>
          <w:lang w:val="en-US"/>
        </w:rPr>
        <w:t>联合体</w:t>
      </w:r>
      <w:r>
        <w:rPr>
          <w:rFonts w:hint="eastAsia"/>
          <w:color w:val="auto"/>
          <w:highlight w:val="none"/>
        </w:rPr>
        <w:t>协议</w:t>
      </w:r>
      <w:r>
        <w:rPr>
          <w:rFonts w:hint="eastAsia"/>
          <w:color w:val="auto"/>
          <w:highlight w:val="none"/>
          <w:lang w:val="en-US"/>
        </w:rPr>
        <w:t>的；</w:t>
      </w:r>
    </w:p>
    <w:p w14:paraId="26DB1B37">
      <w:pPr>
        <w:pStyle w:val="40"/>
        <w:spacing w:line="360" w:lineRule="auto"/>
        <w:rPr>
          <w:color w:val="auto"/>
          <w:highlight w:val="none"/>
        </w:rPr>
      </w:pPr>
      <w:r>
        <w:rPr>
          <w:rFonts w:hint="eastAsia"/>
          <w:color w:val="auto"/>
          <w:highlight w:val="none"/>
        </w:rPr>
        <w:t>20.8投标人未按招标文件的规定交纳投标保证金的；</w:t>
      </w:r>
    </w:p>
    <w:p w14:paraId="66775D04">
      <w:pPr>
        <w:pStyle w:val="40"/>
        <w:spacing w:line="360" w:lineRule="auto"/>
        <w:rPr>
          <w:color w:val="auto"/>
          <w:highlight w:val="none"/>
        </w:rPr>
      </w:pPr>
      <w:r>
        <w:rPr>
          <w:rFonts w:hint="eastAsia"/>
          <w:color w:val="auto"/>
          <w:highlight w:val="none"/>
          <w:lang w:val="en-US"/>
        </w:rPr>
        <w:t>20.</w:t>
      </w:r>
      <w:r>
        <w:rPr>
          <w:rFonts w:hint="eastAsia"/>
          <w:color w:val="auto"/>
          <w:highlight w:val="none"/>
        </w:rPr>
        <w:t>9评审期间，</w:t>
      </w:r>
      <w:r>
        <w:rPr>
          <w:rFonts w:hint="eastAsia"/>
          <w:color w:val="auto"/>
          <w:highlight w:val="none"/>
          <w:lang w:val="en-US"/>
        </w:rPr>
        <w:t>投标人</w:t>
      </w:r>
      <w:r>
        <w:rPr>
          <w:rFonts w:hint="eastAsia"/>
          <w:color w:val="auto"/>
          <w:highlight w:val="none"/>
        </w:rPr>
        <w:t>没有按评标委员会的要求提交经授权代表签字的澄清、说明、补正或改变了</w:t>
      </w:r>
      <w:r>
        <w:rPr>
          <w:rFonts w:hint="eastAsia"/>
          <w:color w:val="auto"/>
          <w:highlight w:val="none"/>
          <w:lang w:val="en-US"/>
        </w:rPr>
        <w:t>投标</w:t>
      </w:r>
      <w:r>
        <w:rPr>
          <w:rFonts w:hint="eastAsia"/>
          <w:color w:val="auto"/>
          <w:highlight w:val="none"/>
        </w:rPr>
        <w:t>文件的实质性内容</w:t>
      </w:r>
      <w:r>
        <w:rPr>
          <w:rFonts w:hint="eastAsia"/>
          <w:color w:val="auto"/>
          <w:highlight w:val="none"/>
          <w:lang w:val="en-US"/>
        </w:rPr>
        <w:t>的；</w:t>
      </w:r>
    </w:p>
    <w:p w14:paraId="5E4A4083">
      <w:pPr>
        <w:pStyle w:val="40"/>
        <w:spacing w:line="360" w:lineRule="auto"/>
        <w:rPr>
          <w:color w:val="auto"/>
          <w:highlight w:val="none"/>
          <w:lang w:val="en-US"/>
        </w:rPr>
      </w:pPr>
      <w:r>
        <w:rPr>
          <w:rFonts w:hint="eastAsia"/>
          <w:color w:val="auto"/>
          <w:highlight w:val="none"/>
          <w:lang w:val="en-US"/>
        </w:rPr>
        <w:t>20.</w:t>
      </w:r>
      <w:r>
        <w:rPr>
          <w:rFonts w:hint="eastAsia"/>
          <w:color w:val="auto"/>
          <w:highlight w:val="none"/>
        </w:rPr>
        <w:t>10</w:t>
      </w:r>
      <w:r>
        <w:rPr>
          <w:rFonts w:hint="eastAsia"/>
          <w:color w:val="auto"/>
          <w:highlight w:val="none"/>
          <w:lang w:val="en-US"/>
        </w:rPr>
        <w:t>投标人</w:t>
      </w:r>
      <w:r>
        <w:rPr>
          <w:rFonts w:hint="eastAsia"/>
          <w:color w:val="auto"/>
          <w:highlight w:val="none"/>
        </w:rPr>
        <w:t>对采购人、采购代理机构、评标委员会及其工作人员施加影响，有碍公平、公正</w:t>
      </w:r>
      <w:r>
        <w:rPr>
          <w:rFonts w:hint="eastAsia"/>
          <w:color w:val="auto"/>
          <w:highlight w:val="none"/>
          <w:lang w:val="en-US"/>
        </w:rPr>
        <w:t>的；</w:t>
      </w:r>
    </w:p>
    <w:p w14:paraId="3895BAC3">
      <w:pPr>
        <w:pStyle w:val="40"/>
        <w:spacing w:line="360" w:lineRule="auto"/>
        <w:rPr>
          <w:color w:val="auto"/>
          <w:highlight w:val="none"/>
        </w:rPr>
      </w:pPr>
      <w:r>
        <w:rPr>
          <w:rFonts w:hint="eastAsia"/>
          <w:color w:val="auto"/>
          <w:highlight w:val="none"/>
        </w:rPr>
        <w:t>20.11投标文件含有采购人不能接受的附加条件的；</w:t>
      </w:r>
    </w:p>
    <w:p w14:paraId="36220CB5">
      <w:pPr>
        <w:pStyle w:val="40"/>
        <w:spacing w:line="360" w:lineRule="auto"/>
        <w:rPr>
          <w:color w:val="auto"/>
          <w:highlight w:val="none"/>
          <w:lang w:val="en-US"/>
        </w:rPr>
      </w:pPr>
      <w:r>
        <w:rPr>
          <w:rFonts w:hint="eastAsia"/>
          <w:color w:val="auto"/>
          <w:highlight w:val="none"/>
          <w:lang w:val="en-US"/>
        </w:rPr>
        <w:t>20.</w:t>
      </w:r>
      <w:r>
        <w:rPr>
          <w:rFonts w:hint="eastAsia"/>
          <w:color w:val="auto"/>
          <w:highlight w:val="none"/>
        </w:rPr>
        <w:t>1</w:t>
      </w:r>
      <w:r>
        <w:rPr>
          <w:rFonts w:hint="eastAsia"/>
          <w:color w:val="auto"/>
          <w:highlight w:val="none"/>
          <w:lang w:val="en-US"/>
        </w:rPr>
        <w:t>2</w:t>
      </w:r>
      <w:r>
        <w:rPr>
          <w:rFonts w:hint="eastAsia"/>
          <w:color w:val="auto"/>
          <w:highlight w:val="none"/>
        </w:rPr>
        <w:t>法律、法规、规章规定属于</w:t>
      </w:r>
      <w:r>
        <w:rPr>
          <w:rFonts w:hint="eastAsia"/>
          <w:color w:val="auto"/>
          <w:highlight w:val="none"/>
          <w:lang w:val="en-US"/>
        </w:rPr>
        <w:t>投标</w:t>
      </w:r>
      <w:r>
        <w:rPr>
          <w:rFonts w:hint="eastAsia"/>
          <w:color w:val="auto"/>
          <w:highlight w:val="none"/>
        </w:rPr>
        <w:t>无效的其他情形。</w:t>
      </w:r>
    </w:p>
    <w:p w14:paraId="426C2B8F">
      <w:pPr>
        <w:pStyle w:val="40"/>
        <w:spacing w:line="360" w:lineRule="auto"/>
        <w:rPr>
          <w:color w:val="auto"/>
          <w:highlight w:val="none"/>
        </w:rPr>
      </w:pPr>
      <w:r>
        <w:rPr>
          <w:rFonts w:hint="eastAsia"/>
          <w:color w:val="auto"/>
          <w:highlight w:val="none"/>
        </w:rPr>
        <w:t>21.有下列情形之一的，视为投标人串通投标，其</w:t>
      </w:r>
      <w:r>
        <w:rPr>
          <w:rFonts w:hint="eastAsia"/>
          <w:b/>
          <w:bCs/>
          <w:color w:val="auto"/>
          <w:highlight w:val="none"/>
        </w:rPr>
        <w:t>投标无效</w:t>
      </w:r>
      <w:r>
        <w:rPr>
          <w:rFonts w:hint="eastAsia"/>
          <w:color w:val="auto"/>
          <w:highlight w:val="none"/>
        </w:rPr>
        <w:t>：</w:t>
      </w:r>
    </w:p>
    <w:p w14:paraId="0E3BD1D8">
      <w:pPr>
        <w:pStyle w:val="40"/>
        <w:spacing w:line="360" w:lineRule="auto"/>
        <w:rPr>
          <w:color w:val="auto"/>
          <w:highlight w:val="none"/>
        </w:rPr>
      </w:pPr>
      <w:r>
        <w:rPr>
          <w:rFonts w:hint="eastAsia"/>
          <w:color w:val="auto"/>
          <w:highlight w:val="none"/>
        </w:rPr>
        <w:t>21.1不同投标人的投标文件由同一单位或者个人编制；</w:t>
      </w:r>
    </w:p>
    <w:p w14:paraId="3F5DBA62">
      <w:pPr>
        <w:pStyle w:val="40"/>
        <w:spacing w:line="360" w:lineRule="auto"/>
        <w:rPr>
          <w:color w:val="auto"/>
          <w:highlight w:val="none"/>
        </w:rPr>
      </w:pPr>
      <w:r>
        <w:rPr>
          <w:rFonts w:hint="eastAsia"/>
          <w:color w:val="auto"/>
          <w:highlight w:val="none"/>
        </w:rPr>
        <w:t>21.2不同投标人委托同一单位或者个人办理投标事宜；</w:t>
      </w:r>
    </w:p>
    <w:p w14:paraId="283FB4D0">
      <w:pPr>
        <w:pStyle w:val="40"/>
        <w:spacing w:line="360" w:lineRule="auto"/>
        <w:rPr>
          <w:color w:val="auto"/>
          <w:highlight w:val="none"/>
        </w:rPr>
      </w:pPr>
      <w:r>
        <w:rPr>
          <w:rFonts w:hint="eastAsia"/>
          <w:color w:val="auto"/>
          <w:highlight w:val="none"/>
        </w:rPr>
        <w:t>21.3不同投标人的投标文件载明的项目管理成员或者联系人员为同一人；</w:t>
      </w:r>
    </w:p>
    <w:p w14:paraId="262A57C6">
      <w:pPr>
        <w:pStyle w:val="40"/>
        <w:spacing w:line="360" w:lineRule="auto"/>
        <w:rPr>
          <w:color w:val="auto"/>
          <w:highlight w:val="none"/>
        </w:rPr>
      </w:pPr>
      <w:r>
        <w:rPr>
          <w:rFonts w:hint="eastAsia"/>
          <w:color w:val="auto"/>
          <w:highlight w:val="none"/>
        </w:rPr>
        <w:t>21.4不同投标人的投标文件异常一致或者投标报价呈规律性差异；</w:t>
      </w:r>
    </w:p>
    <w:p w14:paraId="2973A595">
      <w:pPr>
        <w:pStyle w:val="40"/>
        <w:spacing w:line="360" w:lineRule="auto"/>
        <w:rPr>
          <w:color w:val="auto"/>
          <w:highlight w:val="none"/>
        </w:rPr>
      </w:pPr>
      <w:r>
        <w:rPr>
          <w:rFonts w:hint="eastAsia"/>
          <w:color w:val="auto"/>
          <w:highlight w:val="none"/>
        </w:rPr>
        <w:t>21.5不同投标人的投标文件相互混装；</w:t>
      </w:r>
    </w:p>
    <w:p w14:paraId="2685A9AA">
      <w:pPr>
        <w:pStyle w:val="40"/>
        <w:spacing w:line="360" w:lineRule="auto"/>
        <w:rPr>
          <w:color w:val="auto"/>
          <w:highlight w:val="none"/>
        </w:rPr>
      </w:pPr>
      <w:r>
        <w:rPr>
          <w:rFonts w:hint="eastAsia"/>
          <w:color w:val="auto"/>
          <w:highlight w:val="none"/>
        </w:rPr>
        <w:t>21.6不同投标人的投标保证金从同一单位或者个人的账户转出；</w:t>
      </w:r>
    </w:p>
    <w:p w14:paraId="60CAB75F">
      <w:pPr>
        <w:pStyle w:val="40"/>
        <w:spacing w:line="360" w:lineRule="auto"/>
        <w:rPr>
          <w:color w:val="auto"/>
          <w:highlight w:val="none"/>
          <w:lang w:val="en-US"/>
        </w:rPr>
      </w:pPr>
      <w:r>
        <w:rPr>
          <w:rFonts w:hint="eastAsia"/>
          <w:color w:val="auto"/>
          <w:highlight w:val="none"/>
          <w:lang w:val="en-US"/>
        </w:rPr>
        <w:t>21.7</w:t>
      </w:r>
      <w:r>
        <w:rPr>
          <w:rFonts w:hint="eastAsia"/>
          <w:color w:val="auto"/>
          <w:highlight w:val="none"/>
        </w:rPr>
        <w:t>不同投标人使用同一电脑（机器特征值一致：如MAC地址等）或使用同一电子密钥，编制或上传电子投标文件</w:t>
      </w:r>
      <w:r>
        <w:rPr>
          <w:rFonts w:hint="eastAsia"/>
          <w:color w:val="auto"/>
          <w:highlight w:val="none"/>
          <w:lang w:val="en-US"/>
        </w:rPr>
        <w:t>；</w:t>
      </w:r>
    </w:p>
    <w:p w14:paraId="1987154C">
      <w:pPr>
        <w:pStyle w:val="40"/>
        <w:spacing w:line="360" w:lineRule="auto"/>
        <w:rPr>
          <w:color w:val="auto"/>
          <w:highlight w:val="none"/>
        </w:rPr>
      </w:pPr>
      <w:r>
        <w:rPr>
          <w:rFonts w:hint="eastAsia"/>
          <w:color w:val="auto"/>
          <w:highlight w:val="none"/>
        </w:rPr>
        <w:t>21.8法律、法规、规章规定属于投标人串通投标的其他情形。</w:t>
      </w:r>
    </w:p>
    <w:p w14:paraId="146888A1">
      <w:pPr>
        <w:pStyle w:val="40"/>
        <w:spacing w:line="360" w:lineRule="auto"/>
        <w:rPr>
          <w:color w:val="auto"/>
          <w:highlight w:val="none"/>
        </w:rPr>
      </w:pPr>
      <w:r>
        <w:rPr>
          <w:rFonts w:hint="eastAsia"/>
          <w:color w:val="auto"/>
          <w:highlight w:val="none"/>
          <w:lang w:val="en-US"/>
        </w:rPr>
        <w:t>22</w:t>
      </w:r>
      <w:r>
        <w:rPr>
          <w:rFonts w:hint="eastAsia"/>
          <w:color w:val="auto"/>
          <w:highlight w:val="none"/>
        </w:rPr>
        <w:t>.根据《中华人民共和国政府采购法》第三十六条之规定，在招标采购过程中，出现下列情形之一的，应予</w:t>
      </w:r>
      <w:r>
        <w:rPr>
          <w:rFonts w:hint="eastAsia"/>
          <w:b/>
          <w:bCs/>
          <w:color w:val="auto"/>
          <w:highlight w:val="none"/>
        </w:rPr>
        <w:t>废标</w:t>
      </w:r>
      <w:r>
        <w:rPr>
          <w:rFonts w:hint="eastAsia"/>
          <w:color w:val="auto"/>
          <w:highlight w:val="none"/>
        </w:rPr>
        <w:t>：</w:t>
      </w:r>
    </w:p>
    <w:p w14:paraId="7704B722">
      <w:pPr>
        <w:pStyle w:val="40"/>
        <w:spacing w:line="360" w:lineRule="auto"/>
        <w:rPr>
          <w:color w:val="auto"/>
          <w:highlight w:val="none"/>
        </w:rPr>
      </w:pPr>
      <w:r>
        <w:rPr>
          <w:rFonts w:hint="eastAsia"/>
          <w:color w:val="auto"/>
          <w:highlight w:val="none"/>
          <w:lang w:val="en-US"/>
        </w:rPr>
        <w:t>22</w:t>
      </w:r>
      <w:r>
        <w:rPr>
          <w:rFonts w:hint="eastAsia"/>
          <w:color w:val="auto"/>
          <w:highlight w:val="none"/>
        </w:rPr>
        <w:t>.1符合专业条件的供应商或者对招标文件作实质响应的供应商不足3家的；</w:t>
      </w:r>
    </w:p>
    <w:p w14:paraId="226CF36C">
      <w:pPr>
        <w:pStyle w:val="40"/>
        <w:spacing w:line="360" w:lineRule="auto"/>
        <w:rPr>
          <w:color w:val="auto"/>
          <w:highlight w:val="none"/>
        </w:rPr>
      </w:pPr>
      <w:r>
        <w:rPr>
          <w:rFonts w:hint="eastAsia"/>
          <w:color w:val="auto"/>
          <w:highlight w:val="none"/>
          <w:lang w:val="en-US"/>
        </w:rPr>
        <w:t>22</w:t>
      </w:r>
      <w:r>
        <w:rPr>
          <w:rFonts w:hint="eastAsia"/>
          <w:color w:val="auto"/>
          <w:highlight w:val="none"/>
        </w:rPr>
        <w:t>.2出现影响采购公正的违法、违规行为的；</w:t>
      </w:r>
    </w:p>
    <w:p w14:paraId="7D6A5B84">
      <w:pPr>
        <w:pStyle w:val="40"/>
        <w:spacing w:line="360" w:lineRule="auto"/>
        <w:rPr>
          <w:color w:val="auto"/>
          <w:highlight w:val="none"/>
        </w:rPr>
      </w:pPr>
      <w:r>
        <w:rPr>
          <w:rFonts w:hint="eastAsia"/>
          <w:color w:val="auto"/>
          <w:highlight w:val="none"/>
          <w:lang w:val="en-US"/>
        </w:rPr>
        <w:t>22</w:t>
      </w:r>
      <w:r>
        <w:rPr>
          <w:rFonts w:hint="eastAsia"/>
          <w:color w:val="auto"/>
          <w:highlight w:val="none"/>
        </w:rPr>
        <w:t>.3投标人的报价均超过了采购预算，采购人不能支付的；</w:t>
      </w:r>
    </w:p>
    <w:p w14:paraId="6B5268BD">
      <w:pPr>
        <w:pStyle w:val="40"/>
        <w:spacing w:line="360" w:lineRule="auto"/>
        <w:rPr>
          <w:color w:val="auto"/>
          <w:highlight w:val="none"/>
          <w:lang w:val="en-US"/>
        </w:rPr>
      </w:pPr>
      <w:r>
        <w:rPr>
          <w:rFonts w:hint="eastAsia"/>
          <w:color w:val="auto"/>
          <w:highlight w:val="none"/>
          <w:lang w:val="en-US"/>
        </w:rPr>
        <w:t>22</w:t>
      </w:r>
      <w:r>
        <w:rPr>
          <w:rFonts w:hint="eastAsia"/>
          <w:color w:val="auto"/>
          <w:highlight w:val="none"/>
        </w:rPr>
        <w:t>.4因重大变故，采购任务取消的</w:t>
      </w:r>
      <w:r>
        <w:rPr>
          <w:rFonts w:hint="eastAsia"/>
          <w:color w:val="auto"/>
          <w:highlight w:val="none"/>
          <w:lang w:val="en-US"/>
        </w:rPr>
        <w:t>；</w:t>
      </w:r>
    </w:p>
    <w:p w14:paraId="3080F542">
      <w:pPr>
        <w:pStyle w:val="40"/>
        <w:spacing w:line="360" w:lineRule="auto"/>
        <w:rPr>
          <w:color w:val="auto"/>
          <w:highlight w:val="none"/>
        </w:rPr>
      </w:pPr>
      <w:r>
        <w:rPr>
          <w:rFonts w:hint="eastAsia"/>
          <w:color w:val="auto"/>
          <w:highlight w:val="none"/>
          <w:lang w:val="en-US"/>
        </w:rPr>
        <w:t xml:space="preserve">22.5 </w:t>
      </w:r>
      <w:r>
        <w:rPr>
          <w:rFonts w:hint="eastAsia"/>
          <w:color w:val="auto"/>
          <w:highlight w:val="none"/>
        </w:rPr>
        <w:t>法律、法规、规章规定属于</w:t>
      </w:r>
      <w:r>
        <w:rPr>
          <w:rFonts w:hint="eastAsia"/>
          <w:color w:val="auto"/>
          <w:highlight w:val="none"/>
          <w:lang w:val="en-US"/>
        </w:rPr>
        <w:t>废标</w:t>
      </w:r>
      <w:r>
        <w:rPr>
          <w:rFonts w:hint="eastAsia"/>
          <w:color w:val="auto"/>
          <w:highlight w:val="none"/>
        </w:rPr>
        <w:t>的其他情形。</w:t>
      </w:r>
    </w:p>
    <w:p w14:paraId="544DFCC8">
      <w:pPr>
        <w:pStyle w:val="40"/>
        <w:spacing w:line="360" w:lineRule="auto"/>
        <w:rPr>
          <w:color w:val="auto"/>
          <w:highlight w:val="none"/>
        </w:rPr>
      </w:pPr>
      <w:r>
        <w:rPr>
          <w:rFonts w:hint="eastAsia"/>
          <w:color w:val="auto"/>
          <w:highlight w:val="none"/>
          <w:lang w:val="en-US"/>
        </w:rPr>
        <w:t>23.</w:t>
      </w:r>
      <w:r>
        <w:rPr>
          <w:rFonts w:hint="eastAsia"/>
          <w:color w:val="auto"/>
          <w:highlight w:val="none"/>
        </w:rPr>
        <w:t>废标后，采购人应当将废标理由通知所有投标人。</w:t>
      </w:r>
    </w:p>
    <w:p w14:paraId="71C09912">
      <w:pPr>
        <w:pStyle w:val="4"/>
        <w:spacing w:line="360" w:lineRule="auto"/>
        <w:rPr>
          <w:color w:val="auto"/>
          <w:highlight w:val="none"/>
          <w:lang w:val="zh-CN"/>
        </w:rPr>
      </w:pPr>
      <w:bookmarkStart w:id="323" w:name="_Toc155185914"/>
      <w:bookmarkStart w:id="324" w:name="_Toc163492907"/>
      <w:bookmarkStart w:id="325" w:name="_Toc102116022"/>
      <w:bookmarkStart w:id="326" w:name="_Toc102114920"/>
      <w:bookmarkStart w:id="327" w:name="_Toc102057718"/>
      <w:bookmarkStart w:id="328" w:name="_Toc102116152"/>
      <w:bookmarkStart w:id="329" w:name="_Toc102119853"/>
      <w:bookmarkStart w:id="330" w:name="_Toc102056218"/>
      <w:r>
        <w:rPr>
          <w:rFonts w:hint="eastAsia"/>
          <w:color w:val="auto"/>
          <w:highlight w:val="none"/>
          <w:lang w:val="zh-CN"/>
        </w:rPr>
        <w:t>（</w:t>
      </w:r>
      <w:r>
        <w:rPr>
          <w:rFonts w:hint="eastAsia"/>
          <w:color w:val="auto"/>
          <w:highlight w:val="none"/>
        </w:rPr>
        <w:t>九</w:t>
      </w:r>
      <w:r>
        <w:rPr>
          <w:rFonts w:hint="eastAsia"/>
          <w:color w:val="auto"/>
          <w:highlight w:val="none"/>
          <w:lang w:val="zh-CN"/>
        </w:rPr>
        <w:t>）停止评标的情形</w:t>
      </w:r>
      <w:bookmarkEnd w:id="323"/>
      <w:bookmarkEnd w:id="324"/>
      <w:bookmarkEnd w:id="325"/>
      <w:bookmarkEnd w:id="326"/>
      <w:bookmarkEnd w:id="327"/>
      <w:bookmarkEnd w:id="328"/>
      <w:bookmarkEnd w:id="329"/>
      <w:bookmarkEnd w:id="330"/>
    </w:p>
    <w:p w14:paraId="31F6076D">
      <w:pPr>
        <w:pStyle w:val="40"/>
        <w:spacing w:line="360" w:lineRule="auto"/>
        <w:rPr>
          <w:color w:val="auto"/>
          <w:highlight w:val="none"/>
        </w:rPr>
      </w:pPr>
      <w:r>
        <w:rPr>
          <w:rFonts w:hint="eastAsia"/>
          <w:color w:val="auto"/>
          <w:highlight w:val="none"/>
          <w:lang w:val="en-US"/>
        </w:rPr>
        <w:t>24</w:t>
      </w:r>
      <w:r>
        <w:rPr>
          <w:rFonts w:hint="eastAsia"/>
          <w:color w:val="auto"/>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48A99303">
      <w:pPr>
        <w:pStyle w:val="4"/>
        <w:spacing w:line="360" w:lineRule="auto"/>
        <w:rPr>
          <w:color w:val="auto"/>
          <w:highlight w:val="none"/>
          <w:lang w:val="zh-CN"/>
        </w:rPr>
      </w:pPr>
      <w:r>
        <w:rPr>
          <w:rFonts w:hint="eastAsia"/>
          <w:color w:val="auto"/>
          <w:highlight w:val="none"/>
          <w:lang w:val="zh-CN"/>
        </w:rPr>
        <w:t>（</w:t>
      </w:r>
      <w:r>
        <w:rPr>
          <w:rFonts w:hint="eastAsia"/>
          <w:color w:val="auto"/>
          <w:highlight w:val="none"/>
        </w:rPr>
        <w:t>十</w:t>
      </w:r>
      <w:r>
        <w:rPr>
          <w:rFonts w:hint="eastAsia"/>
          <w:color w:val="auto"/>
          <w:highlight w:val="none"/>
          <w:lang w:val="zh-CN"/>
        </w:rPr>
        <w:t>）重新开展采购</w:t>
      </w:r>
    </w:p>
    <w:p w14:paraId="1AABB138">
      <w:pPr>
        <w:pStyle w:val="40"/>
        <w:spacing w:line="360" w:lineRule="auto"/>
        <w:rPr>
          <w:color w:val="auto"/>
          <w:highlight w:val="none"/>
        </w:rPr>
      </w:pPr>
      <w:r>
        <w:rPr>
          <w:rFonts w:hint="eastAsia"/>
          <w:color w:val="auto"/>
          <w:highlight w:val="none"/>
          <w:lang w:val="en-US"/>
        </w:rPr>
        <w:t>25.</w:t>
      </w:r>
      <w:r>
        <w:rPr>
          <w:rFonts w:hint="eastAsia"/>
          <w:color w:val="auto"/>
          <w:highlight w:val="none"/>
        </w:rPr>
        <w:t>有《中华人民共和国政府采购法》第七十一条、第七十二条规定的违法行为之一，影响或者可能影响中标结果的，依照下列规定处理：</w:t>
      </w:r>
    </w:p>
    <w:p w14:paraId="42F40F5C">
      <w:pPr>
        <w:pStyle w:val="40"/>
        <w:spacing w:line="360" w:lineRule="auto"/>
        <w:rPr>
          <w:color w:val="auto"/>
          <w:highlight w:val="none"/>
        </w:rPr>
      </w:pPr>
      <w:r>
        <w:rPr>
          <w:rFonts w:hint="eastAsia"/>
          <w:color w:val="auto"/>
          <w:highlight w:val="none"/>
          <w:lang w:val="en-US"/>
        </w:rPr>
        <w:t>25</w:t>
      </w:r>
      <w:r>
        <w:rPr>
          <w:rFonts w:hint="eastAsia"/>
          <w:color w:val="auto"/>
          <w:highlight w:val="none"/>
        </w:rPr>
        <w:t>.1未确定中标供应商的，终止本次政府采购活动，重新开展政府采购活动。</w:t>
      </w:r>
    </w:p>
    <w:p w14:paraId="2ACB6AC1">
      <w:pPr>
        <w:pStyle w:val="40"/>
        <w:spacing w:line="360" w:lineRule="auto"/>
        <w:rPr>
          <w:color w:val="auto"/>
          <w:highlight w:val="none"/>
        </w:rPr>
      </w:pPr>
      <w:r>
        <w:rPr>
          <w:rFonts w:hint="eastAsia"/>
          <w:color w:val="auto"/>
          <w:highlight w:val="none"/>
          <w:lang w:val="en-US"/>
        </w:rPr>
        <w:t>25</w:t>
      </w:r>
      <w:r>
        <w:rPr>
          <w:rFonts w:hint="eastAsia"/>
          <w:color w:val="auto"/>
          <w:highlight w:val="none"/>
        </w:rPr>
        <w:t>.2已确定中标供应商但尚未签订政府采购合同的，中标结果无效，从合格的中标候选人中另行确定中标供应商；没有合格的中标候选人的，重新开展政府采购活动。</w:t>
      </w:r>
    </w:p>
    <w:p w14:paraId="014060BD">
      <w:pPr>
        <w:pStyle w:val="40"/>
        <w:spacing w:line="360" w:lineRule="auto"/>
        <w:rPr>
          <w:color w:val="auto"/>
          <w:highlight w:val="none"/>
        </w:rPr>
      </w:pPr>
      <w:r>
        <w:rPr>
          <w:rFonts w:hint="eastAsia"/>
          <w:color w:val="auto"/>
          <w:highlight w:val="none"/>
          <w:lang w:val="en-US"/>
        </w:rPr>
        <w:t>25</w:t>
      </w:r>
      <w:r>
        <w:rPr>
          <w:rFonts w:hint="eastAsia"/>
          <w:color w:val="auto"/>
          <w:highlight w:val="none"/>
        </w:rPr>
        <w:t>.3政府采购合同已签订但尚未履行的，撤销合同，从合格的中标候选人中另行确定中标供应商；没有合格的中标候选人的，重新开展政府采购活动。</w:t>
      </w:r>
    </w:p>
    <w:p w14:paraId="7F20C341">
      <w:pPr>
        <w:pStyle w:val="40"/>
        <w:spacing w:line="360" w:lineRule="auto"/>
        <w:rPr>
          <w:color w:val="auto"/>
          <w:highlight w:val="none"/>
        </w:rPr>
      </w:pPr>
      <w:r>
        <w:rPr>
          <w:rFonts w:hint="eastAsia"/>
          <w:color w:val="auto"/>
          <w:highlight w:val="none"/>
          <w:lang w:val="en-US"/>
        </w:rPr>
        <w:t>25</w:t>
      </w:r>
      <w:r>
        <w:rPr>
          <w:rFonts w:hint="eastAsia"/>
          <w:color w:val="auto"/>
          <w:highlight w:val="none"/>
        </w:rPr>
        <w:t>.4政府采购合同已经履行，给采购人、供应商造成损失的，由责任人承担赔偿责任。</w:t>
      </w:r>
    </w:p>
    <w:p w14:paraId="593C3FD3">
      <w:pPr>
        <w:pStyle w:val="40"/>
        <w:spacing w:line="360" w:lineRule="auto"/>
        <w:rPr>
          <w:color w:val="auto"/>
          <w:highlight w:val="none"/>
        </w:rPr>
      </w:pPr>
      <w:r>
        <w:rPr>
          <w:rFonts w:hint="eastAsia"/>
          <w:color w:val="auto"/>
          <w:highlight w:val="none"/>
          <w:lang w:val="en-US"/>
        </w:rPr>
        <w:t>25</w:t>
      </w:r>
      <w:r>
        <w:rPr>
          <w:rFonts w:hint="eastAsia"/>
          <w:color w:val="auto"/>
          <w:highlight w:val="none"/>
        </w:rPr>
        <w:t>.5政府采购当事人有其他违反《中华人民共和国政府采购法》或者《中华人民共和国政府采购法实施条例》等法律法规规定的行为，经改正后仍然影响或者可能影响中标结果或者依法被认定为中标无效的，依照</w:t>
      </w:r>
      <w:r>
        <w:rPr>
          <w:rFonts w:hint="eastAsia"/>
          <w:color w:val="auto"/>
          <w:highlight w:val="none"/>
          <w:lang w:val="en-US"/>
        </w:rPr>
        <w:t>25</w:t>
      </w:r>
      <w:r>
        <w:rPr>
          <w:rFonts w:hint="eastAsia"/>
          <w:color w:val="auto"/>
          <w:highlight w:val="none"/>
        </w:rPr>
        <w:t>.1—</w:t>
      </w:r>
      <w:r>
        <w:rPr>
          <w:rFonts w:hint="eastAsia"/>
          <w:color w:val="auto"/>
          <w:highlight w:val="none"/>
          <w:lang w:val="en-US"/>
        </w:rPr>
        <w:t>25</w:t>
      </w:r>
      <w:r>
        <w:rPr>
          <w:rFonts w:hint="eastAsia"/>
          <w:color w:val="auto"/>
          <w:highlight w:val="none"/>
        </w:rPr>
        <w:t>.4规定处理。</w:t>
      </w:r>
    </w:p>
    <w:bookmarkEnd w:id="295"/>
    <w:bookmarkEnd w:id="296"/>
    <w:bookmarkEnd w:id="297"/>
    <w:bookmarkEnd w:id="298"/>
    <w:bookmarkEnd w:id="299"/>
    <w:bookmarkEnd w:id="300"/>
    <w:bookmarkEnd w:id="301"/>
    <w:bookmarkEnd w:id="302"/>
    <w:bookmarkEnd w:id="303"/>
    <w:bookmarkEnd w:id="304"/>
    <w:p w14:paraId="4F854E49">
      <w:pPr>
        <w:pStyle w:val="3"/>
        <w:spacing w:line="360" w:lineRule="auto"/>
        <w:rPr>
          <w:color w:val="auto"/>
          <w:highlight w:val="none"/>
        </w:rPr>
      </w:pPr>
      <w:bookmarkStart w:id="331" w:name="_Toc8700"/>
      <w:r>
        <w:rPr>
          <w:rFonts w:hint="eastAsia"/>
          <w:color w:val="auto"/>
          <w:highlight w:val="none"/>
          <w:lang w:val="zh-CN"/>
        </w:rPr>
        <w:t>三、评标</w:t>
      </w:r>
      <w:r>
        <w:rPr>
          <w:rFonts w:hint="eastAsia"/>
          <w:color w:val="auto"/>
          <w:highlight w:val="none"/>
        </w:rPr>
        <w:t>其他要求</w:t>
      </w:r>
      <w:bookmarkEnd w:id="331"/>
    </w:p>
    <w:p w14:paraId="61DC3CD3">
      <w:pPr>
        <w:pStyle w:val="40"/>
        <w:spacing w:line="360" w:lineRule="auto"/>
        <w:rPr>
          <w:color w:val="auto"/>
          <w:highlight w:val="none"/>
        </w:rPr>
      </w:pPr>
      <w:r>
        <w:rPr>
          <w:rFonts w:hint="eastAsia"/>
          <w:color w:val="auto"/>
          <w:highlight w:val="none"/>
        </w:rPr>
        <w:t>【可根据项目的情况增加上述内容中未包含的要求】</w:t>
      </w:r>
    </w:p>
    <w:p w14:paraId="0E9A7B99">
      <w:pPr>
        <w:pStyle w:val="3"/>
        <w:rPr>
          <w:color w:val="auto"/>
          <w:highlight w:val="none"/>
          <w:lang w:val="zh-CN"/>
        </w:rPr>
      </w:pPr>
      <w:bookmarkStart w:id="332" w:name="_Toc155185915"/>
      <w:bookmarkStart w:id="333" w:name="_Toc3058"/>
      <w:bookmarkStart w:id="334" w:name="_Toc163492908"/>
      <w:r>
        <w:rPr>
          <w:rFonts w:hint="eastAsia"/>
          <w:color w:val="auto"/>
          <w:highlight w:val="none"/>
        </w:rPr>
        <w:t>四</w:t>
      </w:r>
      <w:r>
        <w:rPr>
          <w:rFonts w:hint="eastAsia"/>
          <w:color w:val="auto"/>
          <w:highlight w:val="none"/>
          <w:lang w:val="zh-CN"/>
        </w:rPr>
        <w:t>、评标标准</w:t>
      </w:r>
      <w:bookmarkEnd w:id="332"/>
      <w:bookmarkEnd w:id="333"/>
      <w:bookmarkEnd w:id="334"/>
    </w:p>
    <w:p w14:paraId="588165D1">
      <w:pPr>
        <w:pStyle w:val="4"/>
        <w:rPr>
          <w:color w:val="auto"/>
          <w:highlight w:val="none"/>
          <w:lang w:val="zh-CN"/>
        </w:rPr>
      </w:pPr>
      <w:bookmarkStart w:id="335" w:name="_Toc163492909"/>
      <w:r>
        <w:rPr>
          <w:rFonts w:hint="eastAsia"/>
          <w:color w:val="auto"/>
          <w:highlight w:val="none"/>
          <w:lang w:val="zh-CN"/>
        </w:rPr>
        <w:t>（一）符合性审查表</w:t>
      </w:r>
      <w:bookmarkEnd w:id="335"/>
    </w:p>
    <w:tbl>
      <w:tblPr>
        <w:tblStyle w:val="32"/>
        <w:tblW w:w="5510" w:type="pct"/>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6"/>
        <w:gridCol w:w="1843"/>
        <w:gridCol w:w="6708"/>
        <w:gridCol w:w="789"/>
        <w:gridCol w:w="1072"/>
      </w:tblGrid>
      <w:tr w14:paraId="2D9F4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58" w:type="pct"/>
            <w:vMerge w:val="restart"/>
            <w:shd w:val="clear" w:color="auto" w:fill="D8D8D8" w:themeFill="background1" w:themeFillShade="D9"/>
            <w:vAlign w:val="center"/>
          </w:tcPr>
          <w:p w14:paraId="0320B0C2">
            <w:pPr>
              <w:pStyle w:val="52"/>
              <w:jc w:val="center"/>
              <w:rPr>
                <w:rFonts w:cs="宋体"/>
                <w:b/>
                <w:bCs/>
                <w:color w:val="auto"/>
                <w:sz w:val="21"/>
                <w:szCs w:val="21"/>
                <w:highlight w:val="none"/>
                <w:lang w:val="zh-CN"/>
              </w:rPr>
            </w:pPr>
            <w:r>
              <w:rPr>
                <w:rFonts w:hint="eastAsia" w:cs="宋体"/>
                <w:b/>
                <w:bCs/>
                <w:color w:val="auto"/>
                <w:sz w:val="21"/>
                <w:szCs w:val="21"/>
                <w:highlight w:val="none"/>
                <w:lang w:val="zh-CN"/>
              </w:rPr>
              <w:t>序号</w:t>
            </w:r>
          </w:p>
        </w:tc>
        <w:tc>
          <w:tcPr>
            <w:tcW w:w="839" w:type="pct"/>
            <w:vMerge w:val="restart"/>
            <w:shd w:val="clear" w:color="auto" w:fill="D8D8D8" w:themeFill="background1" w:themeFillShade="D9"/>
            <w:vAlign w:val="center"/>
          </w:tcPr>
          <w:p w14:paraId="46DFEA99">
            <w:pPr>
              <w:pStyle w:val="52"/>
              <w:jc w:val="center"/>
              <w:rPr>
                <w:rFonts w:cs="宋体"/>
                <w:b/>
                <w:bCs/>
                <w:color w:val="auto"/>
                <w:sz w:val="21"/>
                <w:szCs w:val="21"/>
                <w:highlight w:val="none"/>
                <w:lang w:val="zh-CN"/>
              </w:rPr>
            </w:pPr>
            <w:r>
              <w:rPr>
                <w:rFonts w:hint="eastAsia" w:cs="宋体"/>
                <w:b/>
                <w:bCs/>
                <w:color w:val="auto"/>
                <w:sz w:val="21"/>
                <w:szCs w:val="21"/>
                <w:highlight w:val="none"/>
                <w:lang w:val="zh-CN"/>
              </w:rPr>
              <w:t>审查项名称</w:t>
            </w:r>
          </w:p>
        </w:tc>
        <w:tc>
          <w:tcPr>
            <w:tcW w:w="3054" w:type="pct"/>
            <w:vMerge w:val="restart"/>
            <w:shd w:val="clear" w:color="auto" w:fill="D8D8D8" w:themeFill="background1" w:themeFillShade="D9"/>
            <w:vAlign w:val="center"/>
          </w:tcPr>
          <w:p w14:paraId="29B0B4E6">
            <w:pPr>
              <w:pStyle w:val="52"/>
              <w:jc w:val="center"/>
              <w:rPr>
                <w:rFonts w:cs="宋体"/>
                <w:b/>
                <w:bCs/>
                <w:color w:val="auto"/>
                <w:sz w:val="21"/>
                <w:szCs w:val="21"/>
                <w:highlight w:val="none"/>
                <w:lang w:val="zh-CN"/>
              </w:rPr>
            </w:pPr>
            <w:r>
              <w:rPr>
                <w:rFonts w:hint="eastAsia" w:cs="宋体"/>
                <w:b/>
                <w:bCs/>
                <w:color w:val="auto"/>
                <w:sz w:val="21"/>
                <w:szCs w:val="21"/>
                <w:highlight w:val="none"/>
                <w:lang w:val="zh-CN"/>
              </w:rPr>
              <w:t>审查内容</w:t>
            </w:r>
          </w:p>
        </w:tc>
        <w:tc>
          <w:tcPr>
            <w:tcW w:w="847" w:type="pct"/>
            <w:gridSpan w:val="2"/>
            <w:shd w:val="clear" w:color="auto" w:fill="D8D8D8" w:themeFill="background1" w:themeFillShade="D9"/>
            <w:vAlign w:val="center"/>
          </w:tcPr>
          <w:p w14:paraId="16F4E126">
            <w:pPr>
              <w:pStyle w:val="52"/>
              <w:jc w:val="center"/>
              <w:rPr>
                <w:rFonts w:cs="宋体"/>
                <w:b/>
                <w:bCs/>
                <w:color w:val="auto"/>
                <w:sz w:val="21"/>
                <w:szCs w:val="21"/>
                <w:highlight w:val="none"/>
              </w:rPr>
            </w:pPr>
            <w:r>
              <w:rPr>
                <w:rFonts w:hint="eastAsia" w:cs="宋体"/>
                <w:b/>
                <w:bCs/>
                <w:color w:val="auto"/>
                <w:sz w:val="21"/>
                <w:szCs w:val="21"/>
                <w:highlight w:val="none"/>
              </w:rPr>
              <w:t>审查结果</w:t>
            </w:r>
          </w:p>
        </w:tc>
      </w:tr>
      <w:tr w14:paraId="09E10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58" w:type="pct"/>
            <w:vMerge w:val="continue"/>
            <w:shd w:val="clear" w:color="auto" w:fill="D8D8D8" w:themeFill="background1" w:themeFillShade="D9"/>
            <w:vAlign w:val="center"/>
          </w:tcPr>
          <w:p w14:paraId="0921C618">
            <w:pPr>
              <w:pStyle w:val="52"/>
              <w:jc w:val="center"/>
              <w:rPr>
                <w:rFonts w:cs="宋体"/>
                <w:b/>
                <w:bCs/>
                <w:color w:val="auto"/>
                <w:sz w:val="21"/>
                <w:szCs w:val="21"/>
                <w:highlight w:val="none"/>
                <w:lang w:val="zh-CN"/>
              </w:rPr>
            </w:pPr>
          </w:p>
        </w:tc>
        <w:tc>
          <w:tcPr>
            <w:tcW w:w="839" w:type="pct"/>
            <w:vMerge w:val="continue"/>
            <w:shd w:val="clear" w:color="auto" w:fill="D8D8D8" w:themeFill="background1" w:themeFillShade="D9"/>
            <w:vAlign w:val="center"/>
          </w:tcPr>
          <w:p w14:paraId="749E57CF">
            <w:pPr>
              <w:pStyle w:val="52"/>
              <w:jc w:val="center"/>
              <w:rPr>
                <w:rFonts w:cs="宋体"/>
                <w:b/>
                <w:bCs/>
                <w:color w:val="auto"/>
                <w:sz w:val="21"/>
                <w:szCs w:val="21"/>
                <w:highlight w:val="none"/>
                <w:lang w:val="zh-CN"/>
              </w:rPr>
            </w:pPr>
          </w:p>
        </w:tc>
        <w:tc>
          <w:tcPr>
            <w:tcW w:w="3054" w:type="pct"/>
            <w:vMerge w:val="continue"/>
            <w:shd w:val="clear" w:color="auto" w:fill="D8D8D8" w:themeFill="background1" w:themeFillShade="D9"/>
            <w:vAlign w:val="center"/>
          </w:tcPr>
          <w:p w14:paraId="2654EAEE">
            <w:pPr>
              <w:pStyle w:val="52"/>
              <w:jc w:val="center"/>
              <w:rPr>
                <w:rFonts w:cs="宋体"/>
                <w:b/>
                <w:bCs/>
                <w:color w:val="auto"/>
                <w:sz w:val="21"/>
                <w:szCs w:val="21"/>
                <w:highlight w:val="none"/>
                <w:lang w:val="zh-CN"/>
              </w:rPr>
            </w:pPr>
          </w:p>
        </w:tc>
        <w:tc>
          <w:tcPr>
            <w:tcW w:w="359" w:type="pct"/>
            <w:shd w:val="clear" w:color="auto" w:fill="D8D8D8" w:themeFill="background1" w:themeFillShade="D9"/>
            <w:vAlign w:val="center"/>
          </w:tcPr>
          <w:p w14:paraId="69B93464">
            <w:pPr>
              <w:pStyle w:val="52"/>
              <w:jc w:val="center"/>
              <w:rPr>
                <w:rFonts w:cs="宋体"/>
                <w:b/>
                <w:bCs/>
                <w:color w:val="auto"/>
                <w:sz w:val="21"/>
                <w:szCs w:val="21"/>
                <w:highlight w:val="none"/>
              </w:rPr>
            </w:pPr>
            <w:r>
              <w:rPr>
                <w:rFonts w:hint="eastAsia" w:cs="宋体"/>
                <w:b/>
                <w:bCs/>
                <w:color w:val="auto"/>
                <w:sz w:val="21"/>
                <w:szCs w:val="21"/>
                <w:highlight w:val="none"/>
              </w:rPr>
              <w:t>符合</w:t>
            </w:r>
          </w:p>
        </w:tc>
        <w:tc>
          <w:tcPr>
            <w:tcW w:w="487" w:type="pct"/>
            <w:shd w:val="clear" w:color="auto" w:fill="D8D8D8" w:themeFill="background1" w:themeFillShade="D9"/>
            <w:vAlign w:val="center"/>
          </w:tcPr>
          <w:p w14:paraId="4D402C48">
            <w:pPr>
              <w:pStyle w:val="52"/>
              <w:jc w:val="center"/>
              <w:rPr>
                <w:rFonts w:cs="宋体"/>
                <w:b/>
                <w:bCs/>
                <w:color w:val="auto"/>
                <w:sz w:val="21"/>
                <w:szCs w:val="21"/>
                <w:highlight w:val="none"/>
              </w:rPr>
            </w:pPr>
            <w:r>
              <w:rPr>
                <w:rFonts w:hint="eastAsia" w:cs="宋体"/>
                <w:b/>
                <w:bCs/>
                <w:color w:val="auto"/>
                <w:sz w:val="21"/>
                <w:szCs w:val="21"/>
                <w:highlight w:val="none"/>
              </w:rPr>
              <w:t>不符合</w:t>
            </w:r>
          </w:p>
        </w:tc>
      </w:tr>
      <w:tr w14:paraId="0F115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trPr>
        <w:tc>
          <w:tcPr>
            <w:tcW w:w="258" w:type="pct"/>
            <w:shd w:val="clear" w:color="auto" w:fill="auto"/>
            <w:vAlign w:val="center"/>
          </w:tcPr>
          <w:p w14:paraId="7BC75223">
            <w:pPr>
              <w:pStyle w:val="52"/>
              <w:ind w:left="420" w:hanging="420"/>
              <w:jc w:val="center"/>
              <w:rPr>
                <w:rFonts w:cs="宋体"/>
                <w:color w:val="auto"/>
                <w:sz w:val="21"/>
                <w:szCs w:val="21"/>
                <w:highlight w:val="none"/>
                <w:lang w:val="zh-CN"/>
              </w:rPr>
            </w:pPr>
            <w:r>
              <w:rPr>
                <w:rFonts w:hint="eastAsia" w:cs="宋体"/>
                <w:color w:val="auto"/>
                <w:sz w:val="21"/>
                <w:szCs w:val="21"/>
                <w:highlight w:val="none"/>
                <w:lang w:val="zh-CN"/>
              </w:rPr>
              <w:t>1</w:t>
            </w:r>
          </w:p>
        </w:tc>
        <w:tc>
          <w:tcPr>
            <w:tcW w:w="839" w:type="pct"/>
            <w:vAlign w:val="center"/>
          </w:tcPr>
          <w:p w14:paraId="2AE3866C">
            <w:pPr>
              <w:pStyle w:val="62"/>
              <w:spacing w:line="360" w:lineRule="exact"/>
              <w:ind w:left="120" w:leftChars="50"/>
              <w:rPr>
                <w:rFonts w:cs="宋体"/>
                <w:color w:val="auto"/>
                <w:sz w:val="21"/>
                <w:szCs w:val="21"/>
                <w:highlight w:val="none"/>
                <w:lang w:val="zh-CN"/>
              </w:rPr>
            </w:pPr>
            <w:r>
              <w:rPr>
                <w:rFonts w:hint="eastAsia" w:ascii="宋体" w:hAnsi="宋体" w:cs="宋体"/>
                <w:color w:val="auto"/>
                <w:sz w:val="21"/>
                <w:szCs w:val="21"/>
                <w:highlight w:val="none"/>
              </w:rPr>
              <w:t>投标人名称</w:t>
            </w:r>
          </w:p>
        </w:tc>
        <w:tc>
          <w:tcPr>
            <w:tcW w:w="3054" w:type="pct"/>
            <w:shd w:val="clear" w:color="auto" w:fill="auto"/>
            <w:vAlign w:val="center"/>
          </w:tcPr>
          <w:p w14:paraId="5AA3E45E">
            <w:pPr>
              <w:pStyle w:val="62"/>
              <w:spacing w:line="360" w:lineRule="exact"/>
              <w:ind w:left="120" w:leftChars="50"/>
              <w:rPr>
                <w:rFonts w:cs="宋体"/>
                <w:color w:val="auto"/>
                <w:sz w:val="21"/>
                <w:szCs w:val="21"/>
                <w:highlight w:val="none"/>
                <w:lang w:val="zh-CN"/>
              </w:rPr>
            </w:pPr>
            <w:r>
              <w:rPr>
                <w:rFonts w:hint="eastAsia" w:ascii="宋体" w:hAnsi="宋体" w:cs="宋体"/>
                <w:color w:val="auto"/>
                <w:sz w:val="21"/>
                <w:szCs w:val="21"/>
                <w:highlight w:val="none"/>
              </w:rPr>
              <w:t>是否与营业执照、资质证书一致或事业单位法人证书一致</w:t>
            </w:r>
          </w:p>
        </w:tc>
        <w:tc>
          <w:tcPr>
            <w:tcW w:w="359" w:type="pct"/>
            <w:shd w:val="clear" w:color="auto" w:fill="auto"/>
            <w:vAlign w:val="center"/>
          </w:tcPr>
          <w:p w14:paraId="6B6BA21B">
            <w:pPr>
              <w:pStyle w:val="52"/>
              <w:rPr>
                <w:rFonts w:cs="宋体"/>
                <w:color w:val="auto"/>
                <w:sz w:val="21"/>
                <w:szCs w:val="21"/>
                <w:highlight w:val="none"/>
                <w:lang w:val="zh-CN"/>
              </w:rPr>
            </w:pPr>
          </w:p>
        </w:tc>
        <w:tc>
          <w:tcPr>
            <w:tcW w:w="487" w:type="pct"/>
            <w:shd w:val="clear" w:color="auto" w:fill="auto"/>
            <w:vAlign w:val="center"/>
          </w:tcPr>
          <w:p w14:paraId="202A6825">
            <w:pPr>
              <w:pStyle w:val="52"/>
              <w:rPr>
                <w:rFonts w:cs="宋体"/>
                <w:color w:val="auto"/>
                <w:sz w:val="21"/>
                <w:szCs w:val="21"/>
                <w:highlight w:val="none"/>
                <w:lang w:val="zh-CN"/>
              </w:rPr>
            </w:pPr>
          </w:p>
        </w:tc>
      </w:tr>
      <w:tr w14:paraId="0AA46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trPr>
        <w:tc>
          <w:tcPr>
            <w:tcW w:w="258" w:type="pct"/>
            <w:shd w:val="clear" w:color="auto" w:fill="auto"/>
            <w:vAlign w:val="center"/>
          </w:tcPr>
          <w:p w14:paraId="36AF43ED">
            <w:pPr>
              <w:pStyle w:val="52"/>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cs="宋体"/>
                <w:color w:val="auto"/>
                <w:sz w:val="21"/>
                <w:szCs w:val="21"/>
                <w:highlight w:val="none"/>
                <w:lang w:val="zh-CN"/>
              </w:rPr>
              <w:t>2</w:t>
            </w:r>
          </w:p>
        </w:tc>
        <w:tc>
          <w:tcPr>
            <w:tcW w:w="839" w:type="pct"/>
            <w:vAlign w:val="center"/>
          </w:tcPr>
          <w:p w14:paraId="02771B05">
            <w:pPr>
              <w:pStyle w:val="52"/>
              <w:rPr>
                <w:rFonts w:hint="eastAsia" w:cs="宋体"/>
                <w:color w:val="auto"/>
                <w:sz w:val="21"/>
                <w:szCs w:val="21"/>
                <w:highlight w:val="none"/>
                <w:lang w:val="zh-CN"/>
              </w:rPr>
            </w:pPr>
            <w:r>
              <w:rPr>
                <w:rFonts w:hint="eastAsia" w:cs="宋体"/>
                <w:color w:val="auto"/>
                <w:sz w:val="21"/>
                <w:szCs w:val="21"/>
                <w:highlight w:val="none"/>
                <w:lang w:val="zh-CN"/>
              </w:rPr>
              <w:t>投标文件</w:t>
            </w:r>
            <w:r>
              <w:rPr>
                <w:rFonts w:hint="eastAsia" w:cs="宋体"/>
                <w:color w:val="auto"/>
                <w:sz w:val="21"/>
                <w:szCs w:val="21"/>
                <w:highlight w:val="none"/>
              </w:rPr>
              <w:t>签署</w:t>
            </w:r>
          </w:p>
        </w:tc>
        <w:tc>
          <w:tcPr>
            <w:tcW w:w="3054" w:type="pct"/>
            <w:shd w:val="clear" w:color="auto" w:fill="auto"/>
            <w:vAlign w:val="center"/>
          </w:tcPr>
          <w:p w14:paraId="403A6C67">
            <w:pPr>
              <w:pStyle w:val="52"/>
              <w:rPr>
                <w:rFonts w:hint="eastAsia" w:cs="宋体"/>
                <w:color w:val="auto"/>
                <w:sz w:val="21"/>
                <w:szCs w:val="21"/>
                <w:highlight w:val="none"/>
              </w:rPr>
            </w:pPr>
            <w:r>
              <w:rPr>
                <w:rFonts w:hint="eastAsia" w:cs="宋体"/>
                <w:color w:val="auto"/>
                <w:sz w:val="21"/>
                <w:szCs w:val="21"/>
                <w:highlight w:val="none"/>
              </w:rPr>
              <w:t>投标文件按招标文件要求签署、盖章的</w:t>
            </w:r>
          </w:p>
        </w:tc>
        <w:tc>
          <w:tcPr>
            <w:tcW w:w="359" w:type="pct"/>
            <w:shd w:val="clear" w:color="auto" w:fill="auto"/>
            <w:vAlign w:val="center"/>
          </w:tcPr>
          <w:p w14:paraId="340ACD05">
            <w:pPr>
              <w:pStyle w:val="52"/>
              <w:rPr>
                <w:rFonts w:cs="宋体"/>
                <w:color w:val="auto"/>
                <w:sz w:val="21"/>
                <w:szCs w:val="21"/>
                <w:highlight w:val="none"/>
                <w:lang w:val="zh-CN"/>
              </w:rPr>
            </w:pPr>
          </w:p>
        </w:tc>
        <w:tc>
          <w:tcPr>
            <w:tcW w:w="487" w:type="pct"/>
            <w:shd w:val="clear" w:color="auto" w:fill="auto"/>
            <w:vAlign w:val="center"/>
          </w:tcPr>
          <w:p w14:paraId="56BF6C32">
            <w:pPr>
              <w:pStyle w:val="52"/>
              <w:rPr>
                <w:rFonts w:cs="宋体"/>
                <w:color w:val="auto"/>
                <w:sz w:val="21"/>
                <w:szCs w:val="21"/>
                <w:highlight w:val="none"/>
                <w:lang w:val="zh-CN"/>
              </w:rPr>
            </w:pPr>
          </w:p>
        </w:tc>
      </w:tr>
      <w:tr w14:paraId="21CEC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trPr>
        <w:tc>
          <w:tcPr>
            <w:tcW w:w="258" w:type="pct"/>
            <w:shd w:val="clear" w:color="auto" w:fill="auto"/>
            <w:vAlign w:val="center"/>
          </w:tcPr>
          <w:p w14:paraId="3F10C055">
            <w:pPr>
              <w:pStyle w:val="52"/>
              <w:ind w:left="420" w:leftChars="0" w:hanging="420" w:firstLineChars="0"/>
              <w:jc w:val="center"/>
              <w:rPr>
                <w:rFonts w:ascii="宋体" w:hAnsi="宋体" w:eastAsia="宋体" w:cs="宋体"/>
                <w:color w:val="auto"/>
                <w:kern w:val="2"/>
                <w:sz w:val="21"/>
                <w:szCs w:val="21"/>
                <w:highlight w:val="none"/>
                <w:lang w:val="zh-CN" w:eastAsia="zh-CN" w:bidi="ar-SA"/>
              </w:rPr>
            </w:pPr>
            <w:r>
              <w:rPr>
                <w:rFonts w:hint="eastAsia" w:cs="宋体"/>
                <w:color w:val="auto"/>
                <w:sz w:val="21"/>
                <w:szCs w:val="21"/>
                <w:highlight w:val="none"/>
                <w:lang w:val="zh-CN"/>
              </w:rPr>
              <w:t>3</w:t>
            </w:r>
          </w:p>
        </w:tc>
        <w:tc>
          <w:tcPr>
            <w:tcW w:w="839" w:type="pct"/>
            <w:shd w:val="clear" w:color="auto" w:fill="auto"/>
            <w:vAlign w:val="center"/>
          </w:tcPr>
          <w:p w14:paraId="314F5C4B">
            <w:pPr>
              <w:pStyle w:val="52"/>
              <w:rPr>
                <w:rFonts w:cs="宋体"/>
                <w:color w:val="auto"/>
                <w:sz w:val="21"/>
                <w:szCs w:val="21"/>
                <w:highlight w:val="none"/>
                <w:lang w:val="zh-CN"/>
              </w:rPr>
            </w:pPr>
            <w:r>
              <w:rPr>
                <w:rFonts w:hint="eastAsia" w:cs="宋体"/>
                <w:color w:val="auto"/>
                <w:sz w:val="21"/>
                <w:szCs w:val="21"/>
                <w:highlight w:val="none"/>
                <w:lang w:val="zh-CN"/>
              </w:rPr>
              <w:t>实质性要求</w:t>
            </w:r>
          </w:p>
        </w:tc>
        <w:tc>
          <w:tcPr>
            <w:tcW w:w="3054" w:type="pct"/>
            <w:shd w:val="clear" w:color="auto" w:fill="auto"/>
            <w:vAlign w:val="center"/>
          </w:tcPr>
          <w:p w14:paraId="338A2211">
            <w:pPr>
              <w:pStyle w:val="52"/>
              <w:rPr>
                <w:rFonts w:cs="宋体"/>
                <w:color w:val="auto"/>
                <w:sz w:val="21"/>
                <w:szCs w:val="21"/>
                <w:highlight w:val="none"/>
                <w:lang w:val="zh-CN"/>
              </w:rPr>
            </w:pPr>
            <w:r>
              <w:rPr>
                <w:rFonts w:hint="eastAsia" w:cs="宋体"/>
                <w:color w:val="auto"/>
                <w:sz w:val="21"/>
                <w:szCs w:val="21"/>
                <w:highlight w:val="none"/>
              </w:rPr>
              <w:t>投标</w:t>
            </w:r>
            <w:r>
              <w:rPr>
                <w:rFonts w:hint="eastAsia" w:cs="宋体"/>
                <w:color w:val="auto"/>
                <w:sz w:val="21"/>
                <w:szCs w:val="21"/>
                <w:highlight w:val="none"/>
                <w:lang w:val="zh-CN"/>
              </w:rPr>
              <w:t>文件满足</w:t>
            </w:r>
            <w:r>
              <w:rPr>
                <w:rFonts w:hint="eastAsia" w:cs="宋体"/>
                <w:color w:val="auto"/>
                <w:sz w:val="21"/>
                <w:szCs w:val="21"/>
                <w:highlight w:val="none"/>
              </w:rPr>
              <w:t>招标</w:t>
            </w:r>
            <w:r>
              <w:rPr>
                <w:rFonts w:hint="eastAsia" w:cs="宋体"/>
                <w:color w:val="auto"/>
                <w:sz w:val="21"/>
                <w:szCs w:val="21"/>
                <w:highlight w:val="none"/>
                <w:lang w:val="zh-CN"/>
              </w:rPr>
              <w:t>文件中标注“★”号的实质性条款（或指标）要求的</w:t>
            </w:r>
            <w:r>
              <w:rPr>
                <w:rFonts w:hint="eastAsia" w:cs="宋体"/>
                <w:color w:val="auto"/>
                <w:sz w:val="21"/>
                <w:szCs w:val="21"/>
                <w:highlight w:val="none"/>
              </w:rPr>
              <w:t>，具体详见</w:t>
            </w:r>
            <w:r>
              <w:rPr>
                <w:rFonts w:hint="eastAsia" w:cs="宋体"/>
                <w:color w:val="auto"/>
                <w:sz w:val="21"/>
                <w:szCs w:val="21"/>
                <w:highlight w:val="none"/>
                <w:lang w:val="zh-CN"/>
              </w:rPr>
              <w:t>“实质性响应一览表”</w:t>
            </w:r>
          </w:p>
        </w:tc>
        <w:tc>
          <w:tcPr>
            <w:tcW w:w="359" w:type="pct"/>
            <w:shd w:val="clear" w:color="auto" w:fill="auto"/>
            <w:vAlign w:val="center"/>
          </w:tcPr>
          <w:p w14:paraId="2BC782F6">
            <w:pPr>
              <w:pStyle w:val="52"/>
              <w:rPr>
                <w:rFonts w:cs="宋体"/>
                <w:color w:val="auto"/>
                <w:sz w:val="21"/>
                <w:szCs w:val="21"/>
                <w:highlight w:val="none"/>
                <w:lang w:val="zh-CN"/>
              </w:rPr>
            </w:pPr>
          </w:p>
        </w:tc>
        <w:tc>
          <w:tcPr>
            <w:tcW w:w="487" w:type="pct"/>
            <w:shd w:val="clear" w:color="auto" w:fill="auto"/>
            <w:vAlign w:val="center"/>
          </w:tcPr>
          <w:p w14:paraId="001EF984">
            <w:pPr>
              <w:pStyle w:val="52"/>
              <w:rPr>
                <w:rFonts w:cs="宋体"/>
                <w:color w:val="auto"/>
                <w:sz w:val="21"/>
                <w:szCs w:val="21"/>
                <w:highlight w:val="none"/>
                <w:lang w:val="zh-CN"/>
              </w:rPr>
            </w:pPr>
          </w:p>
        </w:tc>
      </w:tr>
      <w:tr w14:paraId="2C849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rPr>
        <w:tc>
          <w:tcPr>
            <w:tcW w:w="258" w:type="pct"/>
            <w:shd w:val="clear" w:color="auto" w:fill="auto"/>
            <w:vAlign w:val="center"/>
          </w:tcPr>
          <w:p w14:paraId="77849165">
            <w:pPr>
              <w:pStyle w:val="52"/>
              <w:rPr>
                <w:rFonts w:ascii="宋体" w:hAnsi="宋体" w:eastAsia="宋体" w:cs="宋体"/>
                <w:color w:val="auto"/>
                <w:kern w:val="2"/>
                <w:sz w:val="21"/>
                <w:szCs w:val="21"/>
                <w:highlight w:val="none"/>
                <w:lang w:val="zh-CN" w:eastAsia="zh-CN" w:bidi="ar-SA"/>
              </w:rPr>
            </w:pPr>
            <w:r>
              <w:rPr>
                <w:rFonts w:hint="eastAsia" w:cs="宋体"/>
                <w:color w:val="auto"/>
                <w:sz w:val="21"/>
                <w:szCs w:val="21"/>
                <w:highlight w:val="none"/>
              </w:rPr>
              <w:t>4</w:t>
            </w:r>
          </w:p>
        </w:tc>
        <w:tc>
          <w:tcPr>
            <w:tcW w:w="839" w:type="pct"/>
            <w:vAlign w:val="center"/>
          </w:tcPr>
          <w:p w14:paraId="200AC13E">
            <w:pPr>
              <w:pStyle w:val="52"/>
              <w:rPr>
                <w:rFonts w:cs="宋体"/>
                <w:color w:val="auto"/>
                <w:sz w:val="21"/>
                <w:szCs w:val="21"/>
                <w:highlight w:val="none"/>
                <w:lang w:val="zh-CN"/>
              </w:rPr>
            </w:pPr>
            <w:r>
              <w:rPr>
                <w:rFonts w:hint="eastAsia" w:cs="宋体"/>
                <w:color w:val="auto"/>
                <w:sz w:val="21"/>
                <w:szCs w:val="21"/>
                <w:highlight w:val="none"/>
                <w:lang w:val="zh-CN"/>
              </w:rPr>
              <w:t>投标报价</w:t>
            </w:r>
          </w:p>
        </w:tc>
        <w:tc>
          <w:tcPr>
            <w:tcW w:w="3054" w:type="pct"/>
            <w:shd w:val="clear" w:color="auto" w:fill="auto"/>
            <w:vAlign w:val="center"/>
          </w:tcPr>
          <w:p w14:paraId="2BD12F0E">
            <w:pPr>
              <w:pStyle w:val="52"/>
              <w:rPr>
                <w:rFonts w:cs="宋体"/>
                <w:color w:val="auto"/>
                <w:sz w:val="21"/>
                <w:szCs w:val="21"/>
                <w:highlight w:val="none"/>
              </w:rPr>
            </w:pPr>
            <w:r>
              <w:rPr>
                <w:rFonts w:hint="eastAsia" w:cs="宋体"/>
                <w:color w:val="auto"/>
                <w:sz w:val="21"/>
                <w:szCs w:val="21"/>
                <w:highlight w:val="none"/>
              </w:rPr>
              <w:t>投标人报价未超过招标文件中规定的最高限价或者预算金额的，同时投标单价未高于本项目单个采购设备最高限价单价的</w:t>
            </w:r>
          </w:p>
        </w:tc>
        <w:tc>
          <w:tcPr>
            <w:tcW w:w="359" w:type="pct"/>
            <w:shd w:val="clear" w:color="auto" w:fill="auto"/>
            <w:vAlign w:val="center"/>
          </w:tcPr>
          <w:p w14:paraId="14304199">
            <w:pPr>
              <w:pStyle w:val="52"/>
              <w:rPr>
                <w:rFonts w:cs="宋体"/>
                <w:color w:val="auto"/>
                <w:sz w:val="21"/>
                <w:szCs w:val="21"/>
                <w:highlight w:val="none"/>
                <w:lang w:val="zh-CN"/>
              </w:rPr>
            </w:pPr>
          </w:p>
        </w:tc>
        <w:tc>
          <w:tcPr>
            <w:tcW w:w="487" w:type="pct"/>
            <w:shd w:val="clear" w:color="auto" w:fill="auto"/>
            <w:vAlign w:val="center"/>
          </w:tcPr>
          <w:p w14:paraId="0771840D">
            <w:pPr>
              <w:pStyle w:val="52"/>
              <w:rPr>
                <w:rFonts w:cs="宋体"/>
                <w:color w:val="auto"/>
                <w:sz w:val="21"/>
                <w:szCs w:val="21"/>
                <w:highlight w:val="none"/>
                <w:lang w:val="zh-CN"/>
              </w:rPr>
            </w:pPr>
          </w:p>
        </w:tc>
      </w:tr>
      <w:tr w14:paraId="42CDD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6" w:hRule="atLeast"/>
        </w:trPr>
        <w:tc>
          <w:tcPr>
            <w:tcW w:w="258" w:type="pct"/>
            <w:shd w:val="clear" w:color="auto" w:fill="auto"/>
            <w:vAlign w:val="center"/>
          </w:tcPr>
          <w:p w14:paraId="287FFD09">
            <w:pPr>
              <w:pStyle w:val="52"/>
              <w:ind w:left="420" w:leftChars="0" w:hanging="420" w:firstLineChars="0"/>
              <w:jc w:val="center"/>
              <w:rPr>
                <w:rFonts w:ascii="宋体" w:hAnsi="宋体" w:eastAsia="宋体" w:cs="宋体"/>
                <w:color w:val="auto"/>
                <w:kern w:val="2"/>
                <w:sz w:val="21"/>
                <w:szCs w:val="21"/>
                <w:highlight w:val="none"/>
                <w:lang w:val="zh-CN" w:eastAsia="zh-CN" w:bidi="ar-SA"/>
              </w:rPr>
            </w:pPr>
            <w:r>
              <w:rPr>
                <w:rFonts w:hint="eastAsia" w:cs="宋体"/>
                <w:color w:val="auto"/>
                <w:sz w:val="21"/>
                <w:szCs w:val="21"/>
                <w:highlight w:val="none"/>
                <w:lang w:val="zh-CN"/>
              </w:rPr>
              <w:t>5</w:t>
            </w:r>
          </w:p>
        </w:tc>
        <w:tc>
          <w:tcPr>
            <w:tcW w:w="839" w:type="pct"/>
            <w:shd w:val="clear" w:color="auto" w:fill="auto"/>
            <w:vAlign w:val="center"/>
          </w:tcPr>
          <w:p w14:paraId="194EF400">
            <w:pPr>
              <w:pStyle w:val="52"/>
              <w:rPr>
                <w:rFonts w:cs="宋体"/>
                <w:color w:val="auto"/>
                <w:sz w:val="21"/>
                <w:szCs w:val="21"/>
                <w:highlight w:val="none"/>
                <w:lang w:val="zh-CN"/>
              </w:rPr>
            </w:pPr>
            <w:r>
              <w:rPr>
                <w:rFonts w:hint="eastAsia" w:cs="宋体"/>
                <w:color w:val="auto"/>
                <w:sz w:val="21"/>
                <w:szCs w:val="21"/>
                <w:highlight w:val="none"/>
              </w:rPr>
              <w:t>采购清单</w:t>
            </w:r>
          </w:p>
        </w:tc>
        <w:tc>
          <w:tcPr>
            <w:tcW w:w="3054" w:type="pct"/>
            <w:shd w:val="clear" w:color="auto" w:fill="auto"/>
            <w:vAlign w:val="center"/>
          </w:tcPr>
          <w:p w14:paraId="304D1200">
            <w:pPr>
              <w:pStyle w:val="52"/>
              <w:rPr>
                <w:rFonts w:cs="宋体"/>
                <w:color w:val="auto"/>
                <w:sz w:val="21"/>
                <w:szCs w:val="21"/>
                <w:highlight w:val="none"/>
              </w:rPr>
            </w:pPr>
            <w:r>
              <w:rPr>
                <w:rFonts w:hint="eastAsia" w:cs="宋体"/>
                <w:color w:val="auto"/>
                <w:sz w:val="21"/>
                <w:szCs w:val="21"/>
                <w:highlight w:val="none"/>
              </w:rPr>
              <w:t>未改变招标文件提供的采购标的清单数量和缺漏项的</w:t>
            </w:r>
          </w:p>
        </w:tc>
        <w:tc>
          <w:tcPr>
            <w:tcW w:w="359" w:type="pct"/>
            <w:shd w:val="clear" w:color="auto" w:fill="auto"/>
            <w:vAlign w:val="center"/>
          </w:tcPr>
          <w:p w14:paraId="526BAE06">
            <w:pPr>
              <w:pStyle w:val="52"/>
              <w:rPr>
                <w:rFonts w:cs="宋体"/>
                <w:color w:val="auto"/>
                <w:sz w:val="21"/>
                <w:szCs w:val="21"/>
                <w:highlight w:val="none"/>
                <w:lang w:val="zh-CN"/>
              </w:rPr>
            </w:pPr>
          </w:p>
        </w:tc>
        <w:tc>
          <w:tcPr>
            <w:tcW w:w="487" w:type="pct"/>
            <w:shd w:val="clear" w:color="auto" w:fill="auto"/>
            <w:vAlign w:val="center"/>
          </w:tcPr>
          <w:p w14:paraId="0A13D4F9">
            <w:pPr>
              <w:pStyle w:val="52"/>
              <w:rPr>
                <w:rFonts w:cs="宋体"/>
                <w:color w:val="auto"/>
                <w:sz w:val="21"/>
                <w:szCs w:val="21"/>
                <w:highlight w:val="none"/>
                <w:lang w:val="zh-CN"/>
              </w:rPr>
            </w:pPr>
          </w:p>
        </w:tc>
      </w:tr>
      <w:tr w14:paraId="3BB23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trPr>
        <w:tc>
          <w:tcPr>
            <w:tcW w:w="258" w:type="pct"/>
            <w:shd w:val="clear" w:color="auto" w:fill="auto"/>
            <w:vAlign w:val="center"/>
          </w:tcPr>
          <w:p w14:paraId="1FEFD057">
            <w:pPr>
              <w:pStyle w:val="52"/>
              <w:ind w:left="420" w:leftChars="0" w:hanging="420" w:firstLineChars="0"/>
              <w:jc w:val="center"/>
              <w:rPr>
                <w:rFonts w:ascii="宋体" w:hAnsi="宋体" w:eastAsia="宋体" w:cs="宋体"/>
                <w:color w:val="auto"/>
                <w:kern w:val="2"/>
                <w:sz w:val="21"/>
                <w:szCs w:val="21"/>
                <w:highlight w:val="none"/>
                <w:lang w:val="zh-CN" w:eastAsia="zh-CN" w:bidi="ar-SA"/>
              </w:rPr>
            </w:pPr>
            <w:r>
              <w:rPr>
                <w:rFonts w:hint="eastAsia" w:cs="宋体"/>
                <w:color w:val="auto"/>
                <w:sz w:val="21"/>
                <w:szCs w:val="21"/>
                <w:highlight w:val="none"/>
                <w:lang w:val="zh-CN"/>
              </w:rPr>
              <w:t>6</w:t>
            </w:r>
          </w:p>
        </w:tc>
        <w:tc>
          <w:tcPr>
            <w:tcW w:w="839" w:type="pct"/>
            <w:vAlign w:val="center"/>
          </w:tcPr>
          <w:p w14:paraId="1A4E0920">
            <w:pPr>
              <w:pStyle w:val="52"/>
              <w:rPr>
                <w:rFonts w:cs="宋体"/>
                <w:color w:val="auto"/>
                <w:sz w:val="21"/>
                <w:szCs w:val="21"/>
                <w:highlight w:val="none"/>
              </w:rPr>
            </w:pPr>
            <w:r>
              <w:rPr>
                <w:rFonts w:hint="eastAsia" w:cs="宋体"/>
                <w:color w:val="auto"/>
                <w:sz w:val="21"/>
                <w:szCs w:val="21"/>
                <w:highlight w:val="none"/>
              </w:rPr>
              <w:t>虚假材料</w:t>
            </w:r>
          </w:p>
        </w:tc>
        <w:tc>
          <w:tcPr>
            <w:tcW w:w="3054" w:type="pct"/>
            <w:shd w:val="clear" w:color="auto" w:fill="auto"/>
            <w:vAlign w:val="center"/>
          </w:tcPr>
          <w:p w14:paraId="437DDDB9">
            <w:pPr>
              <w:pStyle w:val="52"/>
              <w:rPr>
                <w:rFonts w:cs="宋体"/>
                <w:color w:val="auto"/>
                <w:sz w:val="21"/>
                <w:szCs w:val="21"/>
                <w:highlight w:val="none"/>
                <w:lang w:val="zh-CN"/>
              </w:rPr>
            </w:pPr>
            <w:r>
              <w:rPr>
                <w:rFonts w:hint="eastAsia" w:cs="宋体"/>
                <w:color w:val="auto"/>
                <w:sz w:val="21"/>
                <w:szCs w:val="21"/>
                <w:highlight w:val="none"/>
              </w:rPr>
              <w:t>投标</w:t>
            </w:r>
            <w:r>
              <w:rPr>
                <w:rFonts w:hint="eastAsia" w:cs="宋体"/>
                <w:color w:val="auto"/>
                <w:sz w:val="21"/>
                <w:szCs w:val="21"/>
                <w:highlight w:val="none"/>
                <w:lang w:val="zh-CN"/>
              </w:rPr>
              <w:t>文件</w:t>
            </w:r>
            <w:r>
              <w:rPr>
                <w:rFonts w:hint="eastAsia" w:cs="宋体"/>
                <w:color w:val="auto"/>
                <w:sz w:val="21"/>
                <w:szCs w:val="21"/>
                <w:highlight w:val="none"/>
              </w:rPr>
              <w:t>未</w:t>
            </w:r>
            <w:r>
              <w:rPr>
                <w:rFonts w:hint="eastAsia" w:cs="宋体"/>
                <w:color w:val="auto"/>
                <w:sz w:val="21"/>
                <w:szCs w:val="21"/>
                <w:highlight w:val="none"/>
                <w:lang w:val="zh-CN"/>
              </w:rPr>
              <w:t>提供虚假材料的</w:t>
            </w:r>
          </w:p>
        </w:tc>
        <w:tc>
          <w:tcPr>
            <w:tcW w:w="359" w:type="pct"/>
            <w:shd w:val="clear" w:color="auto" w:fill="auto"/>
            <w:vAlign w:val="center"/>
          </w:tcPr>
          <w:p w14:paraId="4447895D">
            <w:pPr>
              <w:pStyle w:val="52"/>
              <w:rPr>
                <w:rFonts w:cs="宋体"/>
                <w:color w:val="auto"/>
                <w:sz w:val="21"/>
                <w:szCs w:val="21"/>
                <w:highlight w:val="none"/>
                <w:lang w:val="zh-CN"/>
              </w:rPr>
            </w:pPr>
          </w:p>
        </w:tc>
        <w:tc>
          <w:tcPr>
            <w:tcW w:w="487" w:type="pct"/>
            <w:shd w:val="clear" w:color="auto" w:fill="auto"/>
            <w:vAlign w:val="center"/>
          </w:tcPr>
          <w:p w14:paraId="2767EFD0">
            <w:pPr>
              <w:pStyle w:val="52"/>
              <w:rPr>
                <w:rFonts w:cs="宋体"/>
                <w:color w:val="auto"/>
                <w:sz w:val="21"/>
                <w:szCs w:val="21"/>
                <w:highlight w:val="none"/>
                <w:lang w:val="zh-CN"/>
              </w:rPr>
            </w:pPr>
          </w:p>
        </w:tc>
      </w:tr>
      <w:tr w14:paraId="41178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atLeast"/>
        </w:trPr>
        <w:tc>
          <w:tcPr>
            <w:tcW w:w="258" w:type="pct"/>
            <w:shd w:val="clear" w:color="auto" w:fill="auto"/>
            <w:vAlign w:val="center"/>
          </w:tcPr>
          <w:p w14:paraId="6F516B8F">
            <w:pPr>
              <w:pStyle w:val="52"/>
              <w:jc w:val="center"/>
              <w:rPr>
                <w:rFonts w:ascii="宋体" w:hAnsi="宋体" w:eastAsia="宋体" w:cs="宋体"/>
                <w:color w:val="auto"/>
                <w:kern w:val="2"/>
                <w:sz w:val="21"/>
                <w:szCs w:val="21"/>
                <w:highlight w:val="none"/>
                <w:lang w:val="zh-CN" w:eastAsia="zh-CN" w:bidi="ar-SA"/>
              </w:rPr>
            </w:pPr>
            <w:r>
              <w:rPr>
                <w:rFonts w:hint="eastAsia" w:cs="宋体"/>
                <w:color w:val="auto"/>
                <w:sz w:val="21"/>
                <w:szCs w:val="21"/>
                <w:highlight w:val="none"/>
              </w:rPr>
              <w:t>7</w:t>
            </w:r>
          </w:p>
        </w:tc>
        <w:tc>
          <w:tcPr>
            <w:tcW w:w="839" w:type="pct"/>
            <w:vAlign w:val="center"/>
          </w:tcPr>
          <w:p w14:paraId="09AB11BB">
            <w:pPr>
              <w:pStyle w:val="62"/>
              <w:spacing w:line="360" w:lineRule="exact"/>
              <w:rPr>
                <w:rFonts w:hint="default"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产品的符合性</w:t>
            </w:r>
          </w:p>
        </w:tc>
        <w:tc>
          <w:tcPr>
            <w:tcW w:w="3054" w:type="pct"/>
            <w:shd w:val="clear" w:color="auto" w:fill="auto"/>
            <w:vAlign w:val="center"/>
          </w:tcPr>
          <w:p w14:paraId="672C253B">
            <w:pPr>
              <w:pStyle w:val="62"/>
              <w:spacing w:line="360" w:lineRule="exact"/>
              <w:ind w:left="120" w:leftChars="50"/>
              <w:rPr>
                <w:rFonts w:cs="宋体"/>
                <w:color w:val="auto"/>
                <w:sz w:val="21"/>
                <w:szCs w:val="21"/>
                <w:highlight w:val="none"/>
              </w:rPr>
            </w:pPr>
            <w:r>
              <w:rPr>
                <w:rFonts w:hint="eastAsia" w:ascii="宋体" w:hAnsi="宋体" w:cs="宋体"/>
                <w:color w:val="auto"/>
                <w:sz w:val="21"/>
                <w:szCs w:val="21"/>
                <w:highlight w:val="none"/>
              </w:rPr>
              <w:t>有效期内的产品的医疗器械注册证或备案证明(提供所投产品(配件)或整机注册证或备案证明);生产厂家医疗器械生产许可证或第一类医疗器械生产备案凭证。(根据所投内容提供)</w:t>
            </w:r>
          </w:p>
        </w:tc>
        <w:tc>
          <w:tcPr>
            <w:tcW w:w="359" w:type="pct"/>
            <w:shd w:val="clear" w:color="auto" w:fill="auto"/>
            <w:vAlign w:val="center"/>
          </w:tcPr>
          <w:p w14:paraId="63628ABB">
            <w:pPr>
              <w:pStyle w:val="52"/>
              <w:rPr>
                <w:rFonts w:cs="宋体"/>
                <w:color w:val="auto"/>
                <w:sz w:val="21"/>
                <w:szCs w:val="21"/>
                <w:highlight w:val="none"/>
                <w:lang w:val="zh-CN"/>
              </w:rPr>
            </w:pPr>
          </w:p>
        </w:tc>
        <w:tc>
          <w:tcPr>
            <w:tcW w:w="487" w:type="pct"/>
            <w:shd w:val="clear" w:color="auto" w:fill="auto"/>
            <w:vAlign w:val="center"/>
          </w:tcPr>
          <w:p w14:paraId="6A7FFAD5">
            <w:pPr>
              <w:pStyle w:val="52"/>
              <w:rPr>
                <w:rFonts w:cs="宋体"/>
                <w:color w:val="auto"/>
                <w:sz w:val="21"/>
                <w:szCs w:val="21"/>
                <w:highlight w:val="none"/>
                <w:lang w:val="zh-CN"/>
              </w:rPr>
            </w:pPr>
          </w:p>
        </w:tc>
      </w:tr>
      <w:tr w14:paraId="24C76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trPr>
        <w:tc>
          <w:tcPr>
            <w:tcW w:w="258" w:type="pct"/>
            <w:shd w:val="clear" w:color="auto" w:fill="auto"/>
            <w:vAlign w:val="center"/>
          </w:tcPr>
          <w:p w14:paraId="0F10C076">
            <w:pPr>
              <w:pStyle w:val="52"/>
              <w:ind w:left="420" w:leftChars="0" w:hanging="420" w:firstLineChars="0"/>
              <w:jc w:val="center"/>
              <w:rPr>
                <w:rFonts w:ascii="宋体" w:hAnsi="宋体" w:eastAsia="宋体" w:cs="宋体"/>
                <w:color w:val="auto"/>
                <w:kern w:val="2"/>
                <w:sz w:val="21"/>
                <w:szCs w:val="21"/>
                <w:highlight w:val="none"/>
                <w:lang w:val="zh-CN" w:eastAsia="zh-CN" w:bidi="ar-SA"/>
              </w:rPr>
            </w:pPr>
            <w:r>
              <w:rPr>
                <w:rFonts w:hint="eastAsia" w:cs="宋体"/>
                <w:color w:val="auto"/>
                <w:sz w:val="21"/>
                <w:szCs w:val="21"/>
                <w:highlight w:val="none"/>
              </w:rPr>
              <w:t>8</w:t>
            </w:r>
          </w:p>
        </w:tc>
        <w:tc>
          <w:tcPr>
            <w:tcW w:w="839" w:type="pct"/>
            <w:vAlign w:val="center"/>
          </w:tcPr>
          <w:p w14:paraId="17D6094F">
            <w:pPr>
              <w:pStyle w:val="52"/>
              <w:rPr>
                <w:rFonts w:cs="宋体"/>
                <w:color w:val="auto"/>
                <w:sz w:val="21"/>
                <w:szCs w:val="21"/>
                <w:highlight w:val="none"/>
              </w:rPr>
            </w:pPr>
            <w:r>
              <w:rPr>
                <w:rFonts w:hint="eastAsia" w:cs="宋体"/>
                <w:color w:val="auto"/>
                <w:sz w:val="21"/>
                <w:szCs w:val="21"/>
                <w:highlight w:val="none"/>
              </w:rPr>
              <w:t>投标保证金</w:t>
            </w:r>
          </w:p>
        </w:tc>
        <w:tc>
          <w:tcPr>
            <w:tcW w:w="3054" w:type="pct"/>
            <w:shd w:val="clear" w:color="auto" w:fill="auto"/>
            <w:vAlign w:val="center"/>
          </w:tcPr>
          <w:p w14:paraId="086E921A">
            <w:pPr>
              <w:pStyle w:val="52"/>
              <w:rPr>
                <w:rFonts w:cs="宋体"/>
                <w:color w:val="auto"/>
                <w:sz w:val="21"/>
                <w:szCs w:val="21"/>
                <w:highlight w:val="none"/>
                <w:lang w:val="zh-CN"/>
              </w:rPr>
            </w:pPr>
            <w:r>
              <w:rPr>
                <w:rFonts w:hint="eastAsia" w:cs="宋体"/>
                <w:color w:val="auto"/>
                <w:sz w:val="21"/>
                <w:szCs w:val="21"/>
                <w:highlight w:val="none"/>
              </w:rPr>
              <w:t>投标人按招标文件的规定交纳投标保证金的</w:t>
            </w:r>
          </w:p>
        </w:tc>
        <w:tc>
          <w:tcPr>
            <w:tcW w:w="359" w:type="pct"/>
            <w:shd w:val="clear" w:color="auto" w:fill="auto"/>
            <w:vAlign w:val="center"/>
          </w:tcPr>
          <w:p w14:paraId="180D7171">
            <w:pPr>
              <w:pStyle w:val="52"/>
              <w:rPr>
                <w:rFonts w:cs="宋体"/>
                <w:color w:val="auto"/>
                <w:sz w:val="21"/>
                <w:szCs w:val="21"/>
                <w:highlight w:val="none"/>
                <w:lang w:val="zh-CN"/>
              </w:rPr>
            </w:pPr>
          </w:p>
        </w:tc>
        <w:tc>
          <w:tcPr>
            <w:tcW w:w="487" w:type="pct"/>
            <w:shd w:val="clear" w:color="auto" w:fill="auto"/>
            <w:vAlign w:val="center"/>
          </w:tcPr>
          <w:p w14:paraId="2B0826B9">
            <w:pPr>
              <w:pStyle w:val="52"/>
              <w:rPr>
                <w:rFonts w:cs="宋体"/>
                <w:color w:val="auto"/>
                <w:sz w:val="21"/>
                <w:szCs w:val="21"/>
                <w:highlight w:val="none"/>
                <w:lang w:val="zh-CN"/>
              </w:rPr>
            </w:pPr>
          </w:p>
        </w:tc>
      </w:tr>
      <w:tr w14:paraId="41844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trPr>
        <w:tc>
          <w:tcPr>
            <w:tcW w:w="258" w:type="pct"/>
            <w:shd w:val="clear" w:color="auto" w:fill="auto"/>
            <w:vAlign w:val="center"/>
          </w:tcPr>
          <w:p w14:paraId="2B30644F">
            <w:pPr>
              <w:pStyle w:val="52"/>
              <w:ind w:left="420" w:leftChars="0" w:hanging="420" w:firstLineChars="0"/>
              <w:jc w:val="center"/>
              <w:rPr>
                <w:rFonts w:ascii="宋体" w:hAnsi="宋体" w:eastAsia="宋体" w:cs="宋体"/>
                <w:color w:val="auto"/>
                <w:kern w:val="2"/>
                <w:sz w:val="21"/>
                <w:szCs w:val="21"/>
                <w:highlight w:val="none"/>
                <w:lang w:val="zh-CN" w:eastAsia="zh-CN" w:bidi="ar-SA"/>
              </w:rPr>
            </w:pPr>
            <w:r>
              <w:rPr>
                <w:rFonts w:hint="eastAsia" w:cs="宋体"/>
                <w:color w:val="auto"/>
                <w:sz w:val="21"/>
                <w:szCs w:val="21"/>
                <w:highlight w:val="none"/>
              </w:rPr>
              <w:t>9</w:t>
            </w:r>
          </w:p>
        </w:tc>
        <w:tc>
          <w:tcPr>
            <w:tcW w:w="839" w:type="pct"/>
            <w:vAlign w:val="center"/>
          </w:tcPr>
          <w:p w14:paraId="68A4E944">
            <w:pPr>
              <w:pStyle w:val="52"/>
              <w:rPr>
                <w:rFonts w:cs="宋体"/>
                <w:color w:val="auto"/>
                <w:sz w:val="21"/>
                <w:szCs w:val="21"/>
                <w:highlight w:val="none"/>
              </w:rPr>
            </w:pPr>
            <w:r>
              <w:rPr>
                <w:rFonts w:hint="eastAsia" w:cs="宋体"/>
                <w:color w:val="auto"/>
                <w:sz w:val="21"/>
                <w:szCs w:val="21"/>
                <w:highlight w:val="none"/>
              </w:rPr>
              <w:t>投标文件的澄清、说明、补正</w:t>
            </w:r>
          </w:p>
        </w:tc>
        <w:tc>
          <w:tcPr>
            <w:tcW w:w="3054" w:type="pct"/>
            <w:shd w:val="clear" w:color="auto" w:fill="auto"/>
            <w:vAlign w:val="center"/>
          </w:tcPr>
          <w:p w14:paraId="3EBF7D9C">
            <w:pPr>
              <w:pStyle w:val="52"/>
              <w:rPr>
                <w:rFonts w:cs="宋体"/>
                <w:color w:val="auto"/>
                <w:sz w:val="21"/>
                <w:szCs w:val="21"/>
                <w:highlight w:val="none"/>
                <w:lang w:val="zh-CN"/>
              </w:rPr>
            </w:pPr>
            <w:r>
              <w:rPr>
                <w:rFonts w:hint="eastAsia" w:cs="宋体"/>
                <w:color w:val="auto"/>
                <w:sz w:val="21"/>
                <w:szCs w:val="21"/>
                <w:highlight w:val="none"/>
                <w:lang w:val="zh-CN"/>
              </w:rPr>
              <w:t>评审期间，</w:t>
            </w:r>
            <w:r>
              <w:rPr>
                <w:rFonts w:hint="eastAsia" w:cs="宋体"/>
                <w:color w:val="auto"/>
                <w:sz w:val="21"/>
                <w:szCs w:val="21"/>
                <w:highlight w:val="none"/>
              </w:rPr>
              <w:t>投标人</w:t>
            </w:r>
            <w:r>
              <w:rPr>
                <w:rFonts w:hint="eastAsia" w:cs="宋体"/>
                <w:color w:val="auto"/>
                <w:sz w:val="21"/>
                <w:szCs w:val="21"/>
                <w:highlight w:val="none"/>
                <w:lang w:val="zh-CN"/>
              </w:rPr>
              <w:t>按评标委员会的要求提交经授权代表签字的澄清、说明、补正或</w:t>
            </w:r>
            <w:r>
              <w:rPr>
                <w:rFonts w:hint="eastAsia" w:cs="宋体"/>
                <w:color w:val="auto"/>
                <w:sz w:val="21"/>
                <w:szCs w:val="21"/>
                <w:highlight w:val="none"/>
              </w:rPr>
              <w:t>未</w:t>
            </w:r>
            <w:r>
              <w:rPr>
                <w:rFonts w:hint="eastAsia" w:cs="宋体"/>
                <w:color w:val="auto"/>
                <w:sz w:val="21"/>
                <w:szCs w:val="21"/>
                <w:highlight w:val="none"/>
                <w:lang w:val="zh-CN"/>
              </w:rPr>
              <w:t>改变</w:t>
            </w:r>
            <w:r>
              <w:rPr>
                <w:rFonts w:hint="eastAsia" w:cs="宋体"/>
                <w:color w:val="auto"/>
                <w:sz w:val="21"/>
                <w:szCs w:val="21"/>
                <w:highlight w:val="none"/>
              </w:rPr>
              <w:t>投标</w:t>
            </w:r>
            <w:r>
              <w:rPr>
                <w:rFonts w:hint="eastAsia" w:cs="宋体"/>
                <w:color w:val="auto"/>
                <w:sz w:val="21"/>
                <w:szCs w:val="21"/>
                <w:highlight w:val="none"/>
                <w:lang w:val="zh-CN"/>
              </w:rPr>
              <w:t>文件的实质性内容</w:t>
            </w:r>
          </w:p>
        </w:tc>
        <w:tc>
          <w:tcPr>
            <w:tcW w:w="359" w:type="pct"/>
            <w:shd w:val="clear" w:color="auto" w:fill="auto"/>
            <w:vAlign w:val="center"/>
          </w:tcPr>
          <w:p w14:paraId="48C2658E">
            <w:pPr>
              <w:pStyle w:val="52"/>
              <w:rPr>
                <w:rFonts w:cs="宋体"/>
                <w:color w:val="auto"/>
                <w:sz w:val="21"/>
                <w:szCs w:val="21"/>
                <w:highlight w:val="none"/>
                <w:lang w:val="zh-CN"/>
              </w:rPr>
            </w:pPr>
          </w:p>
        </w:tc>
        <w:tc>
          <w:tcPr>
            <w:tcW w:w="487" w:type="pct"/>
            <w:shd w:val="clear" w:color="auto" w:fill="auto"/>
            <w:vAlign w:val="center"/>
          </w:tcPr>
          <w:p w14:paraId="24E78B5D">
            <w:pPr>
              <w:pStyle w:val="52"/>
              <w:rPr>
                <w:rFonts w:cs="宋体"/>
                <w:color w:val="auto"/>
                <w:sz w:val="21"/>
                <w:szCs w:val="21"/>
                <w:highlight w:val="none"/>
                <w:lang w:val="zh-CN"/>
              </w:rPr>
            </w:pPr>
          </w:p>
        </w:tc>
      </w:tr>
      <w:tr w14:paraId="793AC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58" w:type="pct"/>
            <w:shd w:val="clear" w:color="auto" w:fill="auto"/>
            <w:vAlign w:val="center"/>
          </w:tcPr>
          <w:p w14:paraId="55D07438">
            <w:pPr>
              <w:pStyle w:val="52"/>
              <w:ind w:left="420" w:leftChars="0" w:hanging="420" w:firstLineChars="0"/>
              <w:jc w:val="center"/>
              <w:rPr>
                <w:rFonts w:ascii="宋体" w:hAnsi="宋体" w:eastAsia="宋体" w:cs="宋体"/>
                <w:color w:val="auto"/>
                <w:kern w:val="2"/>
                <w:sz w:val="21"/>
                <w:szCs w:val="21"/>
                <w:highlight w:val="none"/>
                <w:lang w:val="zh-CN" w:eastAsia="zh-CN" w:bidi="ar-SA"/>
              </w:rPr>
            </w:pPr>
            <w:r>
              <w:rPr>
                <w:rFonts w:hint="eastAsia" w:cs="宋体"/>
                <w:color w:val="auto"/>
                <w:sz w:val="21"/>
                <w:szCs w:val="21"/>
                <w:highlight w:val="none"/>
              </w:rPr>
              <w:t>10</w:t>
            </w:r>
          </w:p>
        </w:tc>
        <w:tc>
          <w:tcPr>
            <w:tcW w:w="839" w:type="pct"/>
            <w:vAlign w:val="center"/>
          </w:tcPr>
          <w:p w14:paraId="4028F438">
            <w:pPr>
              <w:pStyle w:val="52"/>
              <w:rPr>
                <w:rFonts w:cs="宋体"/>
                <w:color w:val="auto"/>
                <w:sz w:val="21"/>
                <w:szCs w:val="21"/>
                <w:highlight w:val="none"/>
              </w:rPr>
            </w:pPr>
            <w:r>
              <w:rPr>
                <w:rFonts w:hint="eastAsia" w:cs="宋体"/>
                <w:color w:val="auto"/>
                <w:sz w:val="21"/>
                <w:szCs w:val="21"/>
                <w:highlight w:val="none"/>
              </w:rPr>
              <w:t>投标人影响评标</w:t>
            </w:r>
          </w:p>
        </w:tc>
        <w:tc>
          <w:tcPr>
            <w:tcW w:w="3054" w:type="pct"/>
            <w:shd w:val="clear" w:color="auto" w:fill="auto"/>
            <w:vAlign w:val="center"/>
          </w:tcPr>
          <w:p w14:paraId="5907C3EE">
            <w:pPr>
              <w:pStyle w:val="52"/>
              <w:rPr>
                <w:rFonts w:cs="宋体"/>
                <w:color w:val="auto"/>
                <w:sz w:val="21"/>
                <w:szCs w:val="21"/>
                <w:highlight w:val="none"/>
              </w:rPr>
            </w:pPr>
            <w:r>
              <w:rPr>
                <w:rFonts w:hint="eastAsia" w:cs="宋体"/>
                <w:color w:val="auto"/>
                <w:sz w:val="21"/>
                <w:szCs w:val="21"/>
                <w:highlight w:val="none"/>
              </w:rPr>
              <w:t>投标人</w:t>
            </w:r>
            <w:r>
              <w:rPr>
                <w:rFonts w:hint="eastAsia" w:cs="宋体"/>
                <w:color w:val="auto"/>
                <w:sz w:val="21"/>
                <w:szCs w:val="21"/>
                <w:highlight w:val="none"/>
                <w:lang w:val="zh-CN"/>
              </w:rPr>
              <w:t>对采购人、采购代理机构、评标委员会及其工作人员</w:t>
            </w:r>
            <w:r>
              <w:rPr>
                <w:rFonts w:hint="eastAsia" w:cs="宋体"/>
                <w:color w:val="auto"/>
                <w:sz w:val="21"/>
                <w:szCs w:val="21"/>
                <w:highlight w:val="none"/>
              </w:rPr>
              <w:t>未</w:t>
            </w:r>
            <w:r>
              <w:rPr>
                <w:rFonts w:hint="eastAsia" w:cs="宋体"/>
                <w:color w:val="auto"/>
                <w:sz w:val="21"/>
                <w:szCs w:val="21"/>
                <w:highlight w:val="none"/>
                <w:lang w:val="zh-CN"/>
              </w:rPr>
              <w:t>施加影响，</w:t>
            </w:r>
            <w:r>
              <w:rPr>
                <w:rFonts w:hint="eastAsia" w:cs="宋体"/>
                <w:color w:val="auto"/>
                <w:sz w:val="21"/>
                <w:szCs w:val="21"/>
                <w:highlight w:val="none"/>
              </w:rPr>
              <w:t>无</w:t>
            </w:r>
            <w:r>
              <w:rPr>
                <w:rFonts w:hint="eastAsia" w:cs="宋体"/>
                <w:color w:val="auto"/>
                <w:sz w:val="21"/>
                <w:szCs w:val="21"/>
                <w:highlight w:val="none"/>
                <w:lang w:val="zh-CN"/>
              </w:rPr>
              <w:t>有碍公平、公正</w:t>
            </w:r>
            <w:r>
              <w:rPr>
                <w:rFonts w:hint="eastAsia" w:cs="宋体"/>
                <w:color w:val="auto"/>
                <w:sz w:val="21"/>
                <w:szCs w:val="21"/>
                <w:highlight w:val="none"/>
              </w:rPr>
              <w:t>的</w:t>
            </w:r>
          </w:p>
        </w:tc>
        <w:tc>
          <w:tcPr>
            <w:tcW w:w="359" w:type="pct"/>
            <w:shd w:val="clear" w:color="auto" w:fill="auto"/>
            <w:vAlign w:val="center"/>
          </w:tcPr>
          <w:p w14:paraId="62328BA3">
            <w:pPr>
              <w:pStyle w:val="52"/>
              <w:rPr>
                <w:rFonts w:cs="宋体"/>
                <w:color w:val="auto"/>
                <w:sz w:val="21"/>
                <w:szCs w:val="21"/>
                <w:highlight w:val="none"/>
                <w:lang w:val="zh-CN"/>
              </w:rPr>
            </w:pPr>
          </w:p>
        </w:tc>
        <w:tc>
          <w:tcPr>
            <w:tcW w:w="487" w:type="pct"/>
            <w:shd w:val="clear" w:color="auto" w:fill="auto"/>
            <w:vAlign w:val="center"/>
          </w:tcPr>
          <w:p w14:paraId="10877670">
            <w:pPr>
              <w:pStyle w:val="52"/>
              <w:rPr>
                <w:rFonts w:cs="宋体"/>
                <w:color w:val="auto"/>
                <w:sz w:val="21"/>
                <w:szCs w:val="21"/>
                <w:highlight w:val="none"/>
                <w:lang w:val="zh-CN"/>
              </w:rPr>
            </w:pPr>
          </w:p>
        </w:tc>
      </w:tr>
      <w:tr w14:paraId="02BC6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258" w:type="pct"/>
            <w:shd w:val="clear" w:color="auto" w:fill="auto"/>
            <w:vAlign w:val="center"/>
          </w:tcPr>
          <w:p w14:paraId="1644FFEE">
            <w:pPr>
              <w:pStyle w:val="52"/>
              <w:ind w:left="420" w:leftChars="0" w:hanging="420" w:firstLineChars="0"/>
              <w:jc w:val="center"/>
              <w:rPr>
                <w:rFonts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11</w:t>
            </w:r>
          </w:p>
        </w:tc>
        <w:tc>
          <w:tcPr>
            <w:tcW w:w="839" w:type="pct"/>
            <w:vAlign w:val="center"/>
          </w:tcPr>
          <w:p w14:paraId="45068D7E">
            <w:pPr>
              <w:pStyle w:val="52"/>
              <w:rPr>
                <w:rFonts w:cs="宋体"/>
                <w:color w:val="auto"/>
                <w:sz w:val="21"/>
                <w:szCs w:val="21"/>
                <w:highlight w:val="none"/>
                <w:lang w:val="zh-CN"/>
              </w:rPr>
            </w:pPr>
            <w:r>
              <w:rPr>
                <w:rFonts w:hint="eastAsia" w:cs="宋体"/>
                <w:color w:val="auto"/>
                <w:sz w:val="21"/>
                <w:szCs w:val="21"/>
                <w:highlight w:val="none"/>
              </w:rPr>
              <w:t>围标串标情形</w:t>
            </w:r>
          </w:p>
        </w:tc>
        <w:tc>
          <w:tcPr>
            <w:tcW w:w="3054" w:type="pct"/>
            <w:shd w:val="clear" w:color="auto" w:fill="auto"/>
            <w:vAlign w:val="center"/>
          </w:tcPr>
          <w:p w14:paraId="42996F80">
            <w:pPr>
              <w:pStyle w:val="52"/>
              <w:rPr>
                <w:rFonts w:cs="宋体"/>
                <w:color w:val="auto"/>
                <w:sz w:val="21"/>
                <w:szCs w:val="21"/>
                <w:highlight w:val="none"/>
              </w:rPr>
            </w:pPr>
            <w:r>
              <w:rPr>
                <w:rFonts w:hint="eastAsia" w:cs="宋体"/>
                <w:color w:val="auto"/>
                <w:sz w:val="21"/>
                <w:szCs w:val="21"/>
                <w:highlight w:val="none"/>
              </w:rPr>
              <w:t>没有</w:t>
            </w:r>
            <w:r>
              <w:rPr>
                <w:rFonts w:hint="eastAsia" w:cs="宋体"/>
                <w:color w:val="auto"/>
                <w:sz w:val="21"/>
                <w:szCs w:val="21"/>
                <w:highlight w:val="none"/>
                <w:lang w:val="zh-CN"/>
              </w:rPr>
              <w:t>“第五章 评标方法及标准”</w:t>
            </w:r>
            <w:r>
              <w:rPr>
                <w:rFonts w:hint="eastAsia" w:cs="宋体"/>
                <w:color w:val="auto"/>
                <w:sz w:val="21"/>
                <w:szCs w:val="21"/>
                <w:highlight w:val="none"/>
              </w:rPr>
              <w:t>第21条情形之一的</w:t>
            </w:r>
          </w:p>
        </w:tc>
        <w:tc>
          <w:tcPr>
            <w:tcW w:w="359" w:type="pct"/>
            <w:shd w:val="clear" w:color="auto" w:fill="auto"/>
            <w:vAlign w:val="center"/>
          </w:tcPr>
          <w:p w14:paraId="38689CD4">
            <w:pPr>
              <w:pStyle w:val="52"/>
              <w:rPr>
                <w:rFonts w:cs="宋体"/>
                <w:color w:val="auto"/>
                <w:sz w:val="21"/>
                <w:szCs w:val="21"/>
                <w:highlight w:val="none"/>
                <w:lang w:val="zh-CN"/>
              </w:rPr>
            </w:pPr>
          </w:p>
        </w:tc>
        <w:tc>
          <w:tcPr>
            <w:tcW w:w="487" w:type="pct"/>
            <w:shd w:val="clear" w:color="auto" w:fill="auto"/>
            <w:vAlign w:val="center"/>
          </w:tcPr>
          <w:p w14:paraId="5B36F125">
            <w:pPr>
              <w:pStyle w:val="52"/>
              <w:rPr>
                <w:rFonts w:cs="宋体"/>
                <w:color w:val="auto"/>
                <w:sz w:val="21"/>
                <w:szCs w:val="21"/>
                <w:highlight w:val="none"/>
                <w:lang w:val="zh-CN"/>
              </w:rPr>
            </w:pPr>
          </w:p>
        </w:tc>
      </w:tr>
      <w:tr w14:paraId="33649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258" w:type="pct"/>
            <w:shd w:val="clear" w:color="auto" w:fill="auto"/>
            <w:vAlign w:val="center"/>
          </w:tcPr>
          <w:p w14:paraId="787B4154">
            <w:pPr>
              <w:pStyle w:val="52"/>
              <w:ind w:left="420" w:leftChars="0" w:hanging="420" w:firstLineChars="0"/>
              <w:jc w:val="center"/>
              <w:rPr>
                <w:rFonts w:hint="default" w:eastAsia="宋体" w:cs="宋体"/>
                <w:color w:val="auto"/>
                <w:sz w:val="21"/>
                <w:szCs w:val="21"/>
                <w:highlight w:val="none"/>
                <w:lang w:val="en-US" w:eastAsia="zh-CN"/>
              </w:rPr>
            </w:pPr>
            <w:r>
              <w:rPr>
                <w:rFonts w:hint="eastAsia" w:cs="宋体"/>
                <w:color w:val="auto"/>
                <w:sz w:val="21"/>
                <w:szCs w:val="21"/>
                <w:highlight w:val="none"/>
                <w:lang w:val="en-US" w:eastAsia="zh-CN"/>
              </w:rPr>
              <w:t>12</w:t>
            </w:r>
          </w:p>
        </w:tc>
        <w:tc>
          <w:tcPr>
            <w:tcW w:w="839" w:type="pct"/>
            <w:vAlign w:val="center"/>
          </w:tcPr>
          <w:p w14:paraId="1A3BD245">
            <w:pPr>
              <w:pStyle w:val="52"/>
              <w:rPr>
                <w:rFonts w:hint="eastAsia" w:cs="宋体"/>
                <w:color w:val="auto"/>
                <w:sz w:val="21"/>
                <w:szCs w:val="21"/>
                <w:highlight w:val="none"/>
              </w:rPr>
            </w:pPr>
            <w:r>
              <w:rPr>
                <w:rFonts w:hint="eastAsia" w:cs="宋体"/>
                <w:color w:val="auto"/>
                <w:sz w:val="21"/>
                <w:szCs w:val="21"/>
                <w:highlight w:val="none"/>
              </w:rPr>
              <w:t>附加条件</w:t>
            </w:r>
          </w:p>
        </w:tc>
        <w:tc>
          <w:tcPr>
            <w:tcW w:w="3054" w:type="pct"/>
            <w:shd w:val="clear" w:color="auto" w:fill="auto"/>
            <w:vAlign w:val="center"/>
          </w:tcPr>
          <w:p w14:paraId="44A6AD75">
            <w:pPr>
              <w:pStyle w:val="52"/>
              <w:rPr>
                <w:rFonts w:hint="eastAsia" w:cs="宋体"/>
                <w:color w:val="auto"/>
                <w:sz w:val="21"/>
                <w:szCs w:val="21"/>
                <w:highlight w:val="none"/>
              </w:rPr>
            </w:pPr>
            <w:r>
              <w:rPr>
                <w:rFonts w:hint="eastAsia" w:cs="宋体"/>
                <w:color w:val="auto"/>
                <w:sz w:val="21"/>
                <w:szCs w:val="21"/>
                <w:highlight w:val="none"/>
              </w:rPr>
              <w:t>投标文件没有采购人不能接受的附加条件的</w:t>
            </w:r>
          </w:p>
        </w:tc>
        <w:tc>
          <w:tcPr>
            <w:tcW w:w="359" w:type="pct"/>
            <w:shd w:val="clear" w:color="auto" w:fill="auto"/>
            <w:vAlign w:val="center"/>
          </w:tcPr>
          <w:p w14:paraId="069848B3">
            <w:pPr>
              <w:pStyle w:val="52"/>
              <w:rPr>
                <w:rFonts w:cs="宋体"/>
                <w:color w:val="auto"/>
                <w:sz w:val="21"/>
                <w:szCs w:val="21"/>
                <w:highlight w:val="none"/>
                <w:lang w:val="zh-CN"/>
              </w:rPr>
            </w:pPr>
          </w:p>
        </w:tc>
        <w:tc>
          <w:tcPr>
            <w:tcW w:w="487" w:type="pct"/>
            <w:shd w:val="clear" w:color="auto" w:fill="auto"/>
            <w:vAlign w:val="center"/>
          </w:tcPr>
          <w:p w14:paraId="1F088BD1">
            <w:pPr>
              <w:pStyle w:val="52"/>
              <w:rPr>
                <w:rFonts w:cs="宋体"/>
                <w:color w:val="auto"/>
                <w:sz w:val="21"/>
                <w:szCs w:val="21"/>
                <w:highlight w:val="none"/>
                <w:lang w:val="zh-CN"/>
              </w:rPr>
            </w:pPr>
          </w:p>
        </w:tc>
      </w:tr>
    </w:tbl>
    <w:p w14:paraId="75659FF6">
      <w:pPr>
        <w:rPr>
          <w:color w:val="auto"/>
          <w:highlight w:val="none"/>
        </w:rPr>
      </w:pPr>
    </w:p>
    <w:p w14:paraId="45281DF6">
      <w:pPr>
        <w:rPr>
          <w:rFonts w:hint="eastAsia"/>
          <w:color w:val="auto"/>
          <w:highlight w:val="none"/>
        </w:rPr>
      </w:pPr>
      <w:r>
        <w:rPr>
          <w:rFonts w:hint="eastAsia"/>
          <w:color w:val="auto"/>
          <w:highlight w:val="none"/>
        </w:rPr>
        <w:br w:type="page"/>
      </w:r>
    </w:p>
    <w:p w14:paraId="3FF05C3C">
      <w:pPr>
        <w:rPr>
          <w:color w:val="auto"/>
          <w:highlight w:val="none"/>
        </w:rPr>
      </w:pPr>
      <w:r>
        <w:rPr>
          <w:rFonts w:hint="eastAsia"/>
          <w:color w:val="auto"/>
          <w:highlight w:val="none"/>
        </w:rPr>
        <w:t>符合性审查表－附表</w:t>
      </w:r>
    </w:p>
    <w:p w14:paraId="04051F27">
      <w:pPr>
        <w:rPr>
          <w:color w:val="auto"/>
          <w:highlight w:val="none"/>
        </w:rPr>
      </w:pPr>
    </w:p>
    <w:p w14:paraId="664CFDEC">
      <w:pPr>
        <w:pStyle w:val="4"/>
        <w:jc w:val="center"/>
        <w:rPr>
          <w:color w:val="auto"/>
          <w:highlight w:val="none"/>
          <w:lang w:val="zh-CN"/>
        </w:rPr>
      </w:pPr>
      <w:r>
        <w:rPr>
          <w:rFonts w:hint="eastAsia"/>
          <w:color w:val="auto"/>
          <w:highlight w:val="none"/>
          <w:lang w:val="zh-CN"/>
        </w:rPr>
        <w:t>实质性响应一览表</w:t>
      </w:r>
    </w:p>
    <w:p w14:paraId="77CEC047">
      <w:pPr>
        <w:rPr>
          <w:color w:val="auto"/>
          <w:highlight w:val="none"/>
        </w:rPr>
      </w:pPr>
      <w:r>
        <w:rPr>
          <w:rFonts w:hint="eastAsia"/>
          <w:color w:val="auto"/>
          <w:highlight w:val="none"/>
        </w:rPr>
        <w:t>（投标人须对本附表所有内容逐条响应且无负偏离，否则其</w:t>
      </w:r>
      <w:r>
        <w:rPr>
          <w:rFonts w:hint="eastAsia"/>
          <w:b/>
          <w:color w:val="auto"/>
          <w:highlight w:val="none"/>
        </w:rPr>
        <w:t>投标无效</w:t>
      </w:r>
      <w:r>
        <w:rPr>
          <w:rFonts w:hint="eastAsia"/>
          <w:color w:val="auto"/>
          <w:highlight w:val="none"/>
        </w:rPr>
        <w:t>）</w:t>
      </w:r>
    </w:p>
    <w:p w14:paraId="036C9422">
      <w:pPr>
        <w:pStyle w:val="25"/>
        <w:rPr>
          <w:color w:val="auto"/>
          <w:highlight w:val="none"/>
        </w:rPr>
      </w:pPr>
    </w:p>
    <w:tbl>
      <w:tblPr>
        <w:tblStyle w:val="32"/>
        <w:tblW w:w="524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2248"/>
        <w:gridCol w:w="4806"/>
        <w:gridCol w:w="2112"/>
        <w:gridCol w:w="824"/>
      </w:tblGrid>
      <w:tr w14:paraId="6B671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19" w:type="pct"/>
            <w:vMerge w:val="restart"/>
            <w:vAlign w:val="center"/>
          </w:tcPr>
          <w:p w14:paraId="199A29D2">
            <w:pPr>
              <w:rPr>
                <w:color w:val="auto"/>
                <w:highlight w:val="none"/>
              </w:rPr>
            </w:pPr>
            <w:r>
              <w:rPr>
                <w:rFonts w:hint="eastAsia"/>
                <w:color w:val="auto"/>
                <w:highlight w:val="none"/>
              </w:rPr>
              <w:t>序号</w:t>
            </w:r>
          </w:p>
        </w:tc>
        <w:tc>
          <w:tcPr>
            <w:tcW w:w="3375" w:type="pct"/>
            <w:gridSpan w:val="2"/>
            <w:vAlign w:val="center"/>
          </w:tcPr>
          <w:p w14:paraId="67BE1654">
            <w:pPr>
              <w:rPr>
                <w:color w:val="auto"/>
                <w:highlight w:val="none"/>
              </w:rPr>
            </w:pPr>
            <w:r>
              <w:rPr>
                <w:rFonts w:hint="eastAsia"/>
                <w:color w:val="auto"/>
                <w:highlight w:val="none"/>
              </w:rPr>
              <w:t>招标文件要求的实质性响应内容</w:t>
            </w:r>
          </w:p>
        </w:tc>
        <w:tc>
          <w:tcPr>
            <w:tcW w:w="1010" w:type="pct"/>
            <w:vMerge w:val="restart"/>
            <w:vAlign w:val="center"/>
          </w:tcPr>
          <w:p w14:paraId="409D8146">
            <w:pPr>
              <w:rPr>
                <w:color w:val="auto"/>
                <w:highlight w:val="none"/>
              </w:rPr>
            </w:pPr>
            <w:r>
              <w:rPr>
                <w:rFonts w:hint="eastAsia"/>
                <w:color w:val="auto"/>
                <w:highlight w:val="none"/>
              </w:rPr>
              <w:t>投标文件响应的具体内容</w:t>
            </w:r>
          </w:p>
        </w:tc>
        <w:tc>
          <w:tcPr>
            <w:tcW w:w="394" w:type="pct"/>
            <w:vMerge w:val="restart"/>
            <w:vAlign w:val="center"/>
          </w:tcPr>
          <w:p w14:paraId="0C265132">
            <w:pPr>
              <w:rPr>
                <w:color w:val="auto"/>
                <w:highlight w:val="none"/>
              </w:rPr>
            </w:pPr>
            <w:r>
              <w:rPr>
                <w:rFonts w:hint="eastAsia"/>
                <w:color w:val="auto"/>
                <w:highlight w:val="none"/>
              </w:rPr>
              <w:t>备注</w:t>
            </w:r>
          </w:p>
        </w:tc>
      </w:tr>
      <w:tr w14:paraId="661F0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9" w:type="pct"/>
            <w:vMerge w:val="continue"/>
            <w:vAlign w:val="center"/>
          </w:tcPr>
          <w:p w14:paraId="43277F0E">
            <w:pPr>
              <w:rPr>
                <w:color w:val="auto"/>
                <w:highlight w:val="none"/>
              </w:rPr>
            </w:pPr>
          </w:p>
        </w:tc>
        <w:tc>
          <w:tcPr>
            <w:tcW w:w="1075" w:type="pct"/>
            <w:shd w:val="clear" w:color="auto" w:fill="auto"/>
            <w:vAlign w:val="center"/>
          </w:tcPr>
          <w:p w14:paraId="68AABD23">
            <w:pPr>
              <w:rPr>
                <w:color w:val="auto"/>
                <w:highlight w:val="none"/>
              </w:rPr>
            </w:pPr>
            <w:r>
              <w:rPr>
                <w:rFonts w:hint="eastAsia"/>
                <w:color w:val="auto"/>
                <w:highlight w:val="none"/>
              </w:rPr>
              <w:t>实质性要求</w:t>
            </w:r>
          </w:p>
        </w:tc>
        <w:tc>
          <w:tcPr>
            <w:tcW w:w="2299" w:type="pct"/>
            <w:shd w:val="clear" w:color="auto" w:fill="auto"/>
            <w:vAlign w:val="center"/>
          </w:tcPr>
          <w:p w14:paraId="118B57CF">
            <w:pPr>
              <w:rPr>
                <w:color w:val="auto"/>
                <w:highlight w:val="none"/>
              </w:rPr>
            </w:pPr>
            <w:r>
              <w:rPr>
                <w:rFonts w:hint="eastAsia"/>
                <w:color w:val="auto"/>
                <w:highlight w:val="none"/>
              </w:rPr>
              <w:t>招标文件中的规定</w:t>
            </w:r>
          </w:p>
        </w:tc>
        <w:tc>
          <w:tcPr>
            <w:tcW w:w="1010" w:type="pct"/>
            <w:vMerge w:val="continue"/>
            <w:vAlign w:val="center"/>
          </w:tcPr>
          <w:p w14:paraId="78FD0687">
            <w:pPr>
              <w:rPr>
                <w:color w:val="auto"/>
                <w:highlight w:val="none"/>
              </w:rPr>
            </w:pPr>
          </w:p>
        </w:tc>
        <w:tc>
          <w:tcPr>
            <w:tcW w:w="394" w:type="pct"/>
            <w:vMerge w:val="continue"/>
            <w:vAlign w:val="center"/>
          </w:tcPr>
          <w:p w14:paraId="4EC40F06">
            <w:pPr>
              <w:rPr>
                <w:color w:val="auto"/>
                <w:highlight w:val="none"/>
              </w:rPr>
            </w:pPr>
          </w:p>
        </w:tc>
      </w:tr>
      <w:tr w14:paraId="336F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9" w:type="pct"/>
            <w:vAlign w:val="center"/>
          </w:tcPr>
          <w:p w14:paraId="253B1F1F">
            <w:pPr>
              <w:rPr>
                <w:color w:val="auto"/>
                <w:highlight w:val="none"/>
              </w:rPr>
            </w:pPr>
            <w:r>
              <w:rPr>
                <w:rFonts w:hint="eastAsia"/>
                <w:color w:val="auto"/>
                <w:highlight w:val="none"/>
              </w:rPr>
              <w:t>1</w:t>
            </w:r>
          </w:p>
        </w:tc>
        <w:tc>
          <w:tcPr>
            <w:tcW w:w="1075" w:type="pct"/>
            <w:shd w:val="clear" w:color="auto" w:fill="auto"/>
            <w:vAlign w:val="center"/>
          </w:tcPr>
          <w:p w14:paraId="72930845">
            <w:pPr>
              <w:rPr>
                <w:rFonts w:hint="eastAsia"/>
                <w:color w:val="auto"/>
                <w:highlight w:val="none"/>
              </w:rPr>
            </w:pPr>
            <w:r>
              <w:rPr>
                <w:rFonts w:hint="eastAsia"/>
                <w:color w:val="auto"/>
                <w:highlight w:val="none"/>
              </w:rPr>
              <w:t>投标内容</w:t>
            </w:r>
          </w:p>
        </w:tc>
        <w:tc>
          <w:tcPr>
            <w:tcW w:w="2299" w:type="pct"/>
            <w:shd w:val="clear" w:color="auto" w:fill="auto"/>
            <w:vAlign w:val="center"/>
          </w:tcPr>
          <w:p w14:paraId="101111DB">
            <w:pPr>
              <w:rPr>
                <w:rFonts w:hint="eastAsia"/>
                <w:color w:val="auto"/>
                <w:highlight w:val="none"/>
              </w:rPr>
            </w:pPr>
            <w:r>
              <w:rPr>
                <w:rFonts w:hint="eastAsia"/>
                <w:color w:val="auto"/>
                <w:highlight w:val="none"/>
              </w:rPr>
              <w:t>对采购标的全部报价，无缺项漏项或改变清单数量</w:t>
            </w:r>
          </w:p>
        </w:tc>
        <w:tc>
          <w:tcPr>
            <w:tcW w:w="1010" w:type="pct"/>
            <w:vAlign w:val="center"/>
          </w:tcPr>
          <w:p w14:paraId="2FE92BA3">
            <w:pPr>
              <w:rPr>
                <w:color w:val="auto"/>
                <w:highlight w:val="none"/>
              </w:rPr>
            </w:pPr>
            <w:r>
              <w:rPr>
                <w:rFonts w:hint="eastAsia"/>
                <w:color w:val="auto"/>
                <w:highlight w:val="none"/>
              </w:rPr>
              <w:t>【投标人在此处填写投标文件的相关内容】</w:t>
            </w:r>
          </w:p>
        </w:tc>
        <w:tc>
          <w:tcPr>
            <w:tcW w:w="394" w:type="pct"/>
            <w:vAlign w:val="center"/>
          </w:tcPr>
          <w:p w14:paraId="0B8BAF59">
            <w:pPr>
              <w:rPr>
                <w:color w:val="auto"/>
                <w:highlight w:val="none"/>
              </w:rPr>
            </w:pPr>
          </w:p>
        </w:tc>
      </w:tr>
      <w:tr w14:paraId="3748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9" w:type="pct"/>
            <w:vAlign w:val="center"/>
          </w:tcPr>
          <w:p w14:paraId="5EA4BE25">
            <w:pPr>
              <w:rPr>
                <w:color w:val="auto"/>
                <w:highlight w:val="none"/>
              </w:rPr>
            </w:pPr>
            <w:r>
              <w:rPr>
                <w:color w:val="auto"/>
                <w:highlight w:val="none"/>
              </w:rPr>
              <w:t>2</w:t>
            </w:r>
          </w:p>
        </w:tc>
        <w:tc>
          <w:tcPr>
            <w:tcW w:w="1075" w:type="pct"/>
            <w:shd w:val="clear" w:color="auto" w:fill="auto"/>
            <w:vAlign w:val="center"/>
          </w:tcPr>
          <w:p w14:paraId="7CDACC94">
            <w:pPr>
              <w:rPr>
                <w:color w:val="auto"/>
                <w:highlight w:val="none"/>
              </w:rPr>
            </w:pPr>
            <w:r>
              <w:rPr>
                <w:rFonts w:hint="eastAsia"/>
                <w:color w:val="auto"/>
                <w:highlight w:val="none"/>
              </w:rPr>
              <w:t>投标有效期</w:t>
            </w:r>
          </w:p>
        </w:tc>
        <w:tc>
          <w:tcPr>
            <w:tcW w:w="2299" w:type="pct"/>
            <w:shd w:val="clear" w:color="auto" w:fill="auto"/>
            <w:vAlign w:val="center"/>
          </w:tcPr>
          <w:p w14:paraId="17758DB7">
            <w:pPr>
              <w:rPr>
                <w:color w:val="auto"/>
                <w:highlight w:val="none"/>
              </w:rPr>
            </w:pPr>
            <w:r>
              <w:rPr>
                <w:rFonts w:hint="eastAsia"/>
                <w:color w:val="auto"/>
                <w:highlight w:val="none"/>
              </w:rPr>
              <w:t>招标文件“第二章 投标须知”关于投标有效期的规定</w:t>
            </w:r>
          </w:p>
        </w:tc>
        <w:tc>
          <w:tcPr>
            <w:tcW w:w="1010" w:type="pct"/>
            <w:shd w:val="clear" w:color="auto" w:fill="auto"/>
            <w:vAlign w:val="center"/>
          </w:tcPr>
          <w:p w14:paraId="014F72FE">
            <w:pPr>
              <w:rPr>
                <w:color w:val="auto"/>
                <w:highlight w:val="none"/>
              </w:rPr>
            </w:pPr>
          </w:p>
        </w:tc>
        <w:tc>
          <w:tcPr>
            <w:tcW w:w="394" w:type="pct"/>
            <w:vAlign w:val="center"/>
          </w:tcPr>
          <w:p w14:paraId="5BAC044E">
            <w:pPr>
              <w:rPr>
                <w:color w:val="auto"/>
                <w:highlight w:val="none"/>
              </w:rPr>
            </w:pPr>
          </w:p>
        </w:tc>
      </w:tr>
      <w:tr w14:paraId="3731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219" w:type="pct"/>
            <w:vAlign w:val="center"/>
          </w:tcPr>
          <w:p w14:paraId="75C68D54">
            <w:pPr>
              <w:rPr>
                <w:color w:val="auto"/>
                <w:highlight w:val="none"/>
              </w:rPr>
            </w:pPr>
            <w:r>
              <w:rPr>
                <w:color w:val="auto"/>
                <w:highlight w:val="none"/>
              </w:rPr>
              <w:t>3</w:t>
            </w:r>
          </w:p>
        </w:tc>
        <w:tc>
          <w:tcPr>
            <w:tcW w:w="1075" w:type="pct"/>
            <w:shd w:val="clear" w:color="auto" w:fill="auto"/>
            <w:vAlign w:val="center"/>
          </w:tcPr>
          <w:p w14:paraId="15F11483">
            <w:pPr>
              <w:rPr>
                <w:color w:val="auto"/>
                <w:highlight w:val="none"/>
              </w:rPr>
            </w:pPr>
            <w:r>
              <w:rPr>
                <w:rFonts w:hint="eastAsia"/>
                <w:color w:val="auto"/>
                <w:highlight w:val="none"/>
              </w:rPr>
              <w:t>交货期</w:t>
            </w:r>
          </w:p>
        </w:tc>
        <w:tc>
          <w:tcPr>
            <w:tcW w:w="2299" w:type="pct"/>
            <w:shd w:val="clear" w:color="auto" w:fill="auto"/>
            <w:vAlign w:val="center"/>
          </w:tcPr>
          <w:p w14:paraId="0F03E702">
            <w:pPr>
              <w:rPr>
                <w:color w:val="auto"/>
                <w:highlight w:val="none"/>
              </w:rPr>
            </w:pPr>
            <w:r>
              <w:rPr>
                <w:rFonts w:hint="eastAsia"/>
                <w:color w:val="auto"/>
                <w:highlight w:val="none"/>
              </w:rPr>
              <w:t>招标文件“第三章 采购需求”-商务要求关于交货期的规定</w:t>
            </w:r>
          </w:p>
        </w:tc>
        <w:tc>
          <w:tcPr>
            <w:tcW w:w="1010" w:type="pct"/>
            <w:shd w:val="clear" w:color="auto" w:fill="auto"/>
            <w:vAlign w:val="center"/>
          </w:tcPr>
          <w:p w14:paraId="2AD07C46">
            <w:pPr>
              <w:rPr>
                <w:color w:val="auto"/>
                <w:highlight w:val="none"/>
              </w:rPr>
            </w:pPr>
          </w:p>
        </w:tc>
        <w:tc>
          <w:tcPr>
            <w:tcW w:w="394" w:type="pct"/>
            <w:vAlign w:val="center"/>
          </w:tcPr>
          <w:p w14:paraId="126CC4D5">
            <w:pPr>
              <w:rPr>
                <w:color w:val="auto"/>
                <w:highlight w:val="none"/>
              </w:rPr>
            </w:pPr>
          </w:p>
        </w:tc>
      </w:tr>
      <w:tr w14:paraId="50D0C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219" w:type="pct"/>
            <w:shd w:val="clear" w:color="auto" w:fill="auto"/>
            <w:vAlign w:val="center"/>
          </w:tcPr>
          <w:p w14:paraId="028055D4">
            <w:pPr>
              <w:rPr>
                <w:rFonts w:ascii="宋体" w:hAnsi="宋体" w:eastAsia="宋体" w:cstheme="minorBidi"/>
                <w:color w:val="auto"/>
                <w:kern w:val="2"/>
                <w:sz w:val="24"/>
                <w:szCs w:val="22"/>
                <w:highlight w:val="none"/>
                <w:lang w:val="en-US" w:eastAsia="zh-CN" w:bidi="ar-SA"/>
              </w:rPr>
            </w:pPr>
            <w:r>
              <w:rPr>
                <w:color w:val="auto"/>
                <w:highlight w:val="none"/>
              </w:rPr>
              <w:t>4</w:t>
            </w:r>
          </w:p>
        </w:tc>
        <w:tc>
          <w:tcPr>
            <w:tcW w:w="1075" w:type="pct"/>
            <w:shd w:val="clear" w:color="auto" w:fill="auto"/>
            <w:vAlign w:val="center"/>
          </w:tcPr>
          <w:p w14:paraId="26313532">
            <w:pPr>
              <w:rPr>
                <w:rFonts w:hint="eastAsia" w:eastAsia="宋体"/>
                <w:color w:val="auto"/>
                <w:highlight w:val="none"/>
                <w:lang w:val="en-US" w:eastAsia="zh-CN"/>
              </w:rPr>
            </w:pPr>
            <w:r>
              <w:rPr>
                <w:rFonts w:hint="eastAsia"/>
                <w:color w:val="auto"/>
                <w:highlight w:val="none"/>
                <w:lang w:val="en-US" w:eastAsia="zh-CN"/>
              </w:rPr>
              <w:t>质保期</w:t>
            </w:r>
          </w:p>
        </w:tc>
        <w:tc>
          <w:tcPr>
            <w:tcW w:w="2299" w:type="pct"/>
            <w:shd w:val="clear" w:color="auto" w:fill="auto"/>
            <w:vAlign w:val="center"/>
          </w:tcPr>
          <w:p w14:paraId="5D4DD72E">
            <w:pPr>
              <w:rPr>
                <w:rFonts w:hint="eastAsia"/>
                <w:color w:val="auto"/>
                <w:highlight w:val="none"/>
              </w:rPr>
            </w:pPr>
            <w:r>
              <w:rPr>
                <w:rFonts w:hint="eastAsia"/>
                <w:color w:val="auto"/>
                <w:highlight w:val="none"/>
              </w:rPr>
              <w:t>招标文件“第三章 采购需求”-商务要求关于</w:t>
            </w:r>
            <w:r>
              <w:rPr>
                <w:rFonts w:hint="eastAsia"/>
                <w:color w:val="auto"/>
                <w:highlight w:val="none"/>
                <w:lang w:val="en-US" w:eastAsia="zh-CN"/>
              </w:rPr>
              <w:t>质保期</w:t>
            </w:r>
            <w:r>
              <w:rPr>
                <w:rFonts w:hint="eastAsia"/>
                <w:color w:val="auto"/>
                <w:highlight w:val="none"/>
              </w:rPr>
              <w:t>的规定</w:t>
            </w:r>
          </w:p>
        </w:tc>
        <w:tc>
          <w:tcPr>
            <w:tcW w:w="1010" w:type="pct"/>
            <w:shd w:val="clear" w:color="auto" w:fill="auto"/>
            <w:vAlign w:val="center"/>
          </w:tcPr>
          <w:p w14:paraId="4D102718">
            <w:pPr>
              <w:rPr>
                <w:color w:val="auto"/>
                <w:highlight w:val="none"/>
              </w:rPr>
            </w:pPr>
          </w:p>
        </w:tc>
        <w:tc>
          <w:tcPr>
            <w:tcW w:w="394" w:type="pct"/>
            <w:vAlign w:val="center"/>
          </w:tcPr>
          <w:p w14:paraId="75599C63">
            <w:pPr>
              <w:rPr>
                <w:color w:val="auto"/>
                <w:highlight w:val="none"/>
              </w:rPr>
            </w:pPr>
          </w:p>
        </w:tc>
      </w:tr>
      <w:tr w14:paraId="5EFE1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19" w:type="pct"/>
            <w:shd w:val="clear" w:color="auto" w:fill="auto"/>
            <w:vAlign w:val="center"/>
          </w:tcPr>
          <w:p w14:paraId="2838ABBD">
            <w:pPr>
              <w:rPr>
                <w:rFonts w:ascii="宋体" w:hAnsi="宋体" w:eastAsia="宋体" w:cstheme="minorBidi"/>
                <w:color w:val="auto"/>
                <w:kern w:val="2"/>
                <w:sz w:val="24"/>
                <w:szCs w:val="22"/>
                <w:highlight w:val="none"/>
                <w:lang w:val="en-US" w:eastAsia="zh-CN" w:bidi="ar-SA"/>
              </w:rPr>
            </w:pPr>
            <w:r>
              <w:rPr>
                <w:color w:val="auto"/>
                <w:highlight w:val="none"/>
              </w:rPr>
              <w:t>5</w:t>
            </w:r>
          </w:p>
        </w:tc>
        <w:tc>
          <w:tcPr>
            <w:tcW w:w="1075" w:type="pct"/>
            <w:shd w:val="clear" w:color="auto" w:fill="auto"/>
            <w:vAlign w:val="center"/>
          </w:tcPr>
          <w:p w14:paraId="314377D8">
            <w:pPr>
              <w:rPr>
                <w:color w:val="auto"/>
                <w:highlight w:val="none"/>
              </w:rPr>
            </w:pPr>
            <w:r>
              <w:rPr>
                <w:rFonts w:hint="eastAsia"/>
                <w:color w:val="auto"/>
                <w:highlight w:val="none"/>
              </w:rPr>
              <w:t>交货地点</w:t>
            </w:r>
          </w:p>
        </w:tc>
        <w:tc>
          <w:tcPr>
            <w:tcW w:w="2299" w:type="pct"/>
            <w:shd w:val="clear" w:color="auto" w:fill="auto"/>
            <w:vAlign w:val="center"/>
          </w:tcPr>
          <w:p w14:paraId="478BBD9F">
            <w:pPr>
              <w:pStyle w:val="52"/>
              <w:rPr>
                <w:color w:val="auto"/>
                <w:highlight w:val="none"/>
              </w:rPr>
            </w:pPr>
            <w:r>
              <w:rPr>
                <w:rFonts w:hint="eastAsia"/>
                <w:color w:val="auto"/>
                <w:highlight w:val="none"/>
              </w:rPr>
              <w:t>招标文件“第三章 采购需求”-商务要求关于交货地点的规定</w:t>
            </w:r>
          </w:p>
        </w:tc>
        <w:tc>
          <w:tcPr>
            <w:tcW w:w="1010" w:type="pct"/>
            <w:shd w:val="clear" w:color="auto" w:fill="auto"/>
            <w:vAlign w:val="center"/>
          </w:tcPr>
          <w:p w14:paraId="7509D5A0">
            <w:pPr>
              <w:rPr>
                <w:color w:val="auto"/>
                <w:highlight w:val="none"/>
              </w:rPr>
            </w:pPr>
          </w:p>
        </w:tc>
        <w:tc>
          <w:tcPr>
            <w:tcW w:w="394" w:type="pct"/>
            <w:vAlign w:val="center"/>
          </w:tcPr>
          <w:p w14:paraId="46A2E521">
            <w:pPr>
              <w:rPr>
                <w:color w:val="auto"/>
                <w:highlight w:val="none"/>
              </w:rPr>
            </w:pPr>
          </w:p>
        </w:tc>
      </w:tr>
      <w:tr w14:paraId="6839B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19" w:type="pct"/>
            <w:shd w:val="clear" w:color="auto" w:fill="auto"/>
            <w:vAlign w:val="center"/>
          </w:tcPr>
          <w:p w14:paraId="31C4DECB">
            <w:pPr>
              <w:rPr>
                <w:rFonts w:hint="eastAsia" w:ascii="宋体" w:hAnsi="宋体" w:eastAsia="宋体" w:cstheme="minorBidi"/>
                <w:color w:val="auto"/>
                <w:kern w:val="2"/>
                <w:sz w:val="24"/>
                <w:szCs w:val="22"/>
                <w:highlight w:val="none"/>
                <w:lang w:val="en-US" w:eastAsia="zh-CN" w:bidi="ar-SA"/>
              </w:rPr>
            </w:pPr>
            <w:r>
              <w:rPr>
                <w:color w:val="auto"/>
                <w:highlight w:val="none"/>
              </w:rPr>
              <w:t>6</w:t>
            </w:r>
          </w:p>
        </w:tc>
        <w:tc>
          <w:tcPr>
            <w:tcW w:w="1075" w:type="pct"/>
            <w:shd w:val="clear" w:color="auto" w:fill="auto"/>
            <w:vAlign w:val="center"/>
          </w:tcPr>
          <w:p w14:paraId="559F50D4">
            <w:pPr>
              <w:rPr>
                <w:color w:val="auto"/>
                <w:highlight w:val="none"/>
              </w:rPr>
            </w:pPr>
            <w:r>
              <w:rPr>
                <w:rFonts w:hint="eastAsia"/>
                <w:color w:val="auto"/>
                <w:highlight w:val="none"/>
              </w:rPr>
              <w:t>付款方式</w:t>
            </w:r>
          </w:p>
        </w:tc>
        <w:tc>
          <w:tcPr>
            <w:tcW w:w="2299" w:type="pct"/>
            <w:shd w:val="clear" w:color="auto" w:fill="auto"/>
            <w:vAlign w:val="center"/>
          </w:tcPr>
          <w:p w14:paraId="17226E88">
            <w:pPr>
              <w:pStyle w:val="52"/>
              <w:rPr>
                <w:color w:val="auto"/>
                <w:highlight w:val="none"/>
              </w:rPr>
            </w:pPr>
            <w:r>
              <w:rPr>
                <w:rFonts w:hint="eastAsia"/>
                <w:color w:val="auto"/>
                <w:highlight w:val="none"/>
              </w:rPr>
              <w:t>招标文件“第三章 采购需求”-商务要求关于付款方式的规定</w:t>
            </w:r>
          </w:p>
        </w:tc>
        <w:tc>
          <w:tcPr>
            <w:tcW w:w="1010" w:type="pct"/>
            <w:shd w:val="clear" w:color="auto" w:fill="auto"/>
            <w:vAlign w:val="center"/>
          </w:tcPr>
          <w:p w14:paraId="3082F776">
            <w:pPr>
              <w:rPr>
                <w:color w:val="auto"/>
                <w:highlight w:val="none"/>
              </w:rPr>
            </w:pPr>
          </w:p>
        </w:tc>
        <w:tc>
          <w:tcPr>
            <w:tcW w:w="394" w:type="pct"/>
            <w:vAlign w:val="center"/>
          </w:tcPr>
          <w:p w14:paraId="7366B4E7">
            <w:pPr>
              <w:rPr>
                <w:color w:val="auto"/>
                <w:highlight w:val="none"/>
              </w:rPr>
            </w:pPr>
          </w:p>
        </w:tc>
      </w:tr>
      <w:tr w14:paraId="65970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19" w:type="pct"/>
            <w:shd w:val="clear" w:color="auto" w:fill="auto"/>
            <w:vAlign w:val="center"/>
          </w:tcPr>
          <w:p w14:paraId="0D0775E0">
            <w:pPr>
              <w:rPr>
                <w:rFonts w:hint="eastAsia" w:ascii="宋体" w:hAnsi="宋体" w:eastAsia="宋体" w:cstheme="minorBidi"/>
                <w:color w:val="auto"/>
                <w:kern w:val="2"/>
                <w:sz w:val="24"/>
                <w:szCs w:val="22"/>
                <w:highlight w:val="none"/>
                <w:lang w:val="en-US" w:eastAsia="zh-CN" w:bidi="ar-SA"/>
              </w:rPr>
            </w:pPr>
            <w:r>
              <w:rPr>
                <w:color w:val="auto"/>
                <w:highlight w:val="none"/>
              </w:rPr>
              <w:t>7</w:t>
            </w:r>
          </w:p>
        </w:tc>
        <w:tc>
          <w:tcPr>
            <w:tcW w:w="1075" w:type="pct"/>
            <w:shd w:val="clear" w:color="auto" w:fill="auto"/>
            <w:vAlign w:val="center"/>
          </w:tcPr>
          <w:p w14:paraId="24A6C475">
            <w:pPr>
              <w:rPr>
                <w:rFonts w:hint="eastAsia"/>
                <w:color w:val="auto"/>
                <w:highlight w:val="none"/>
              </w:rPr>
            </w:pPr>
            <w:r>
              <w:rPr>
                <w:rFonts w:hint="eastAsia"/>
                <w:color w:val="auto"/>
                <w:highlight w:val="none"/>
              </w:rPr>
              <w:t>履约保证金</w:t>
            </w:r>
          </w:p>
        </w:tc>
        <w:tc>
          <w:tcPr>
            <w:tcW w:w="2299" w:type="pct"/>
            <w:shd w:val="clear" w:color="auto" w:fill="auto"/>
            <w:vAlign w:val="center"/>
          </w:tcPr>
          <w:p w14:paraId="384FE1A3">
            <w:pPr>
              <w:pStyle w:val="52"/>
              <w:rPr>
                <w:rFonts w:hint="eastAsia"/>
                <w:color w:val="auto"/>
                <w:highlight w:val="none"/>
              </w:rPr>
            </w:pPr>
            <w:r>
              <w:rPr>
                <w:rFonts w:hint="eastAsia"/>
                <w:color w:val="auto"/>
                <w:highlight w:val="none"/>
              </w:rPr>
              <w:t>招标文件“第三章 采购需求”-商务要求关于履约保证金的规定</w:t>
            </w:r>
          </w:p>
        </w:tc>
        <w:tc>
          <w:tcPr>
            <w:tcW w:w="1010" w:type="pct"/>
            <w:shd w:val="clear" w:color="auto" w:fill="auto"/>
            <w:vAlign w:val="center"/>
          </w:tcPr>
          <w:p w14:paraId="6AD49D55">
            <w:pPr>
              <w:rPr>
                <w:color w:val="auto"/>
                <w:highlight w:val="none"/>
              </w:rPr>
            </w:pPr>
          </w:p>
        </w:tc>
        <w:tc>
          <w:tcPr>
            <w:tcW w:w="394" w:type="pct"/>
            <w:vAlign w:val="center"/>
          </w:tcPr>
          <w:p w14:paraId="3019B68B">
            <w:pPr>
              <w:rPr>
                <w:color w:val="auto"/>
                <w:highlight w:val="none"/>
              </w:rPr>
            </w:pPr>
          </w:p>
        </w:tc>
      </w:tr>
      <w:tr w14:paraId="79888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 w:type="pct"/>
            <w:shd w:val="clear" w:color="auto" w:fill="auto"/>
            <w:vAlign w:val="center"/>
          </w:tcPr>
          <w:p w14:paraId="0055FC82">
            <w:pPr>
              <w:jc w:val="center"/>
              <w:rPr>
                <w:rFonts w:ascii="宋体" w:hAnsi="宋体" w:eastAsia="宋体" w:cstheme="minorBidi"/>
                <w:color w:val="auto"/>
                <w:kern w:val="2"/>
                <w:sz w:val="24"/>
                <w:szCs w:val="22"/>
                <w:highlight w:val="none"/>
                <w:lang w:val="en-US" w:eastAsia="zh-CN" w:bidi="ar-SA"/>
              </w:rPr>
            </w:pPr>
            <w:r>
              <w:rPr>
                <w:rFonts w:hint="eastAsia"/>
                <w:color w:val="auto"/>
                <w:highlight w:val="none"/>
              </w:rPr>
              <w:t>8</w:t>
            </w:r>
          </w:p>
        </w:tc>
        <w:tc>
          <w:tcPr>
            <w:tcW w:w="1075" w:type="pct"/>
            <w:shd w:val="clear" w:color="auto" w:fill="auto"/>
            <w:vAlign w:val="center"/>
          </w:tcPr>
          <w:p w14:paraId="4E209C92">
            <w:pPr>
              <w:rPr>
                <w:color w:val="auto"/>
                <w:highlight w:val="none"/>
              </w:rPr>
            </w:pPr>
            <w:r>
              <w:rPr>
                <w:rFonts w:hint="eastAsia"/>
                <w:color w:val="auto"/>
                <w:highlight w:val="none"/>
              </w:rPr>
              <w:t>技术要求</w:t>
            </w:r>
          </w:p>
        </w:tc>
        <w:tc>
          <w:tcPr>
            <w:tcW w:w="2299" w:type="pct"/>
            <w:shd w:val="clear" w:color="auto" w:fill="auto"/>
            <w:vAlign w:val="center"/>
          </w:tcPr>
          <w:p w14:paraId="5EE35B91">
            <w:pPr>
              <w:rPr>
                <w:color w:val="auto"/>
                <w:highlight w:val="none"/>
              </w:rPr>
            </w:pPr>
            <w:r>
              <w:rPr>
                <w:rFonts w:hint="eastAsia"/>
                <w:color w:val="auto"/>
                <w:highlight w:val="none"/>
              </w:rPr>
              <w:t>如有，详见招标文件“第三章 采购需求”关于技术要求★的规定，以及非★条款重大偏差的规定</w:t>
            </w:r>
          </w:p>
        </w:tc>
        <w:tc>
          <w:tcPr>
            <w:tcW w:w="1010" w:type="pct"/>
            <w:shd w:val="clear" w:color="auto" w:fill="auto"/>
            <w:vAlign w:val="center"/>
          </w:tcPr>
          <w:p w14:paraId="64A6E0DC">
            <w:pPr>
              <w:rPr>
                <w:color w:val="auto"/>
                <w:highlight w:val="none"/>
              </w:rPr>
            </w:pPr>
          </w:p>
        </w:tc>
        <w:tc>
          <w:tcPr>
            <w:tcW w:w="394" w:type="pct"/>
            <w:vAlign w:val="center"/>
          </w:tcPr>
          <w:p w14:paraId="6B4F0C14">
            <w:pPr>
              <w:rPr>
                <w:color w:val="auto"/>
                <w:highlight w:val="none"/>
              </w:rPr>
            </w:pPr>
          </w:p>
        </w:tc>
      </w:tr>
      <w:tr w14:paraId="64F3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19" w:type="pct"/>
            <w:vAlign w:val="center"/>
          </w:tcPr>
          <w:p w14:paraId="678646A1">
            <w:pPr>
              <w:jc w:val="center"/>
              <w:rPr>
                <w:rFonts w:hint="eastAsia" w:eastAsia="宋体"/>
                <w:color w:val="auto"/>
                <w:highlight w:val="none"/>
                <w:lang w:val="en-US" w:eastAsia="zh-CN"/>
              </w:rPr>
            </w:pPr>
            <w:r>
              <w:rPr>
                <w:rFonts w:hint="eastAsia"/>
                <w:color w:val="auto"/>
                <w:highlight w:val="none"/>
                <w:lang w:val="en-US" w:eastAsia="zh-CN"/>
              </w:rPr>
              <w:t>9</w:t>
            </w:r>
          </w:p>
        </w:tc>
        <w:tc>
          <w:tcPr>
            <w:tcW w:w="1075" w:type="pct"/>
            <w:shd w:val="clear" w:color="auto" w:fill="auto"/>
            <w:vAlign w:val="center"/>
          </w:tcPr>
          <w:p w14:paraId="1551FDD1">
            <w:pPr>
              <w:rPr>
                <w:color w:val="auto"/>
                <w:highlight w:val="none"/>
                <w:lang w:val="zh-CN"/>
              </w:rPr>
            </w:pPr>
            <w:r>
              <w:rPr>
                <w:rFonts w:hint="eastAsia"/>
                <w:color w:val="auto"/>
                <w:highlight w:val="none"/>
                <w:lang w:val="zh-CN"/>
              </w:rPr>
              <w:t>其他实质性要求</w:t>
            </w:r>
          </w:p>
        </w:tc>
        <w:tc>
          <w:tcPr>
            <w:tcW w:w="2299" w:type="pct"/>
            <w:vAlign w:val="center"/>
          </w:tcPr>
          <w:p w14:paraId="2C752AA0">
            <w:pPr>
              <w:rPr>
                <w:rFonts w:hint="eastAsia"/>
                <w:color w:val="auto"/>
                <w:highlight w:val="none"/>
              </w:rPr>
            </w:pPr>
            <w:r>
              <w:rPr>
                <w:color w:val="auto"/>
                <w:highlight w:val="none"/>
              </w:rPr>
              <w:t>详见招标文件中明确投标无效的条款规定</w:t>
            </w:r>
          </w:p>
        </w:tc>
        <w:tc>
          <w:tcPr>
            <w:tcW w:w="1010" w:type="pct"/>
            <w:vAlign w:val="center"/>
          </w:tcPr>
          <w:p w14:paraId="3BB46F5D">
            <w:pPr>
              <w:rPr>
                <w:color w:val="auto"/>
                <w:highlight w:val="none"/>
              </w:rPr>
            </w:pPr>
          </w:p>
        </w:tc>
        <w:tc>
          <w:tcPr>
            <w:tcW w:w="394" w:type="pct"/>
            <w:vAlign w:val="center"/>
          </w:tcPr>
          <w:p w14:paraId="7CEA9578">
            <w:pPr>
              <w:rPr>
                <w:color w:val="auto"/>
                <w:highlight w:val="none"/>
              </w:rPr>
            </w:pPr>
          </w:p>
        </w:tc>
      </w:tr>
    </w:tbl>
    <w:p w14:paraId="41E9489E">
      <w:pPr>
        <w:rPr>
          <w:color w:val="auto"/>
          <w:highlight w:val="none"/>
        </w:rPr>
      </w:pPr>
    </w:p>
    <w:p w14:paraId="4A094F51">
      <w:pPr>
        <w:rPr>
          <w:color w:val="auto"/>
          <w:highlight w:val="none"/>
        </w:rPr>
      </w:pPr>
      <w:r>
        <w:rPr>
          <w:rFonts w:hint="eastAsia"/>
          <w:color w:val="auto"/>
          <w:highlight w:val="none"/>
        </w:rPr>
        <w:t>注：“实质性响应一览表”中的内容为参考，可根据项目情况自行设置。</w:t>
      </w:r>
    </w:p>
    <w:p w14:paraId="66A2A46A">
      <w:pPr>
        <w:rPr>
          <w:color w:val="auto"/>
          <w:highlight w:val="none"/>
          <w:lang w:val="zh-CN"/>
        </w:rPr>
      </w:pPr>
      <w:bookmarkStart w:id="336" w:name="_Toc163492910"/>
      <w:bookmarkStart w:id="337" w:name="_Toc155185917"/>
      <w:r>
        <w:rPr>
          <w:rFonts w:hint="eastAsia"/>
          <w:color w:val="auto"/>
          <w:highlight w:val="none"/>
          <w:lang w:val="zh-CN"/>
        </w:rPr>
        <w:br w:type="page"/>
      </w:r>
    </w:p>
    <w:p w14:paraId="37226D73">
      <w:pPr>
        <w:pStyle w:val="4"/>
        <w:rPr>
          <w:color w:val="auto"/>
          <w:highlight w:val="none"/>
          <w:lang w:val="zh-CN"/>
        </w:rPr>
      </w:pPr>
      <w:r>
        <w:rPr>
          <w:rFonts w:hint="eastAsia"/>
          <w:color w:val="auto"/>
          <w:highlight w:val="none"/>
          <w:lang w:val="zh-CN"/>
        </w:rPr>
        <w:t>（二）评分标准</w:t>
      </w:r>
      <w:bookmarkEnd w:id="336"/>
      <w:bookmarkEnd w:id="337"/>
    </w:p>
    <w:tbl>
      <w:tblPr>
        <w:tblStyle w:val="32"/>
        <w:tblW w:w="10062" w:type="dxa"/>
        <w:jc w:val="center"/>
        <w:tblLayout w:type="autofit"/>
        <w:tblCellMar>
          <w:top w:w="0" w:type="dxa"/>
          <w:left w:w="108" w:type="dxa"/>
          <w:bottom w:w="0" w:type="dxa"/>
          <w:right w:w="108" w:type="dxa"/>
        </w:tblCellMar>
      </w:tblPr>
      <w:tblGrid>
        <w:gridCol w:w="955"/>
        <w:gridCol w:w="1140"/>
        <w:gridCol w:w="1320"/>
        <w:gridCol w:w="5947"/>
        <w:gridCol w:w="700"/>
      </w:tblGrid>
      <w:tr w14:paraId="60572622">
        <w:tblPrEx>
          <w:tblCellMar>
            <w:top w:w="0" w:type="dxa"/>
            <w:left w:w="108" w:type="dxa"/>
            <w:bottom w:w="0" w:type="dxa"/>
            <w:right w:w="108" w:type="dxa"/>
          </w:tblCellMar>
        </w:tblPrEx>
        <w:trPr>
          <w:trHeight w:val="310" w:hRule="atLeast"/>
          <w:jc w:val="center"/>
        </w:trPr>
        <w:tc>
          <w:tcPr>
            <w:tcW w:w="2095" w:type="dxa"/>
            <w:gridSpan w:val="2"/>
            <w:tcBorders>
              <w:top w:val="single" w:color="000000" w:sz="4" w:space="0"/>
              <w:left w:val="single" w:color="000000" w:sz="4" w:space="0"/>
              <w:bottom w:val="single" w:color="000000" w:sz="4" w:space="0"/>
              <w:right w:val="single" w:color="000000" w:sz="4" w:space="0"/>
            </w:tcBorders>
            <w:vAlign w:val="center"/>
          </w:tcPr>
          <w:p w14:paraId="534B4566">
            <w:pPr>
              <w:spacing w:line="360" w:lineRule="exact"/>
              <w:rPr>
                <w:color w:val="auto"/>
                <w:sz w:val="21"/>
                <w:szCs w:val="21"/>
                <w:highlight w:val="none"/>
              </w:rPr>
            </w:pPr>
            <w:r>
              <w:rPr>
                <w:rFonts w:hint="eastAsia"/>
                <w:color w:val="auto"/>
                <w:sz w:val="21"/>
                <w:szCs w:val="21"/>
                <w:highlight w:val="none"/>
                <w:lang w:bidi="ar"/>
              </w:rPr>
              <w:t>评分因素</w:t>
            </w:r>
          </w:p>
        </w:tc>
        <w:tc>
          <w:tcPr>
            <w:tcW w:w="1320" w:type="dxa"/>
            <w:tcBorders>
              <w:top w:val="single" w:color="000000" w:sz="4" w:space="0"/>
              <w:left w:val="single" w:color="000000" w:sz="4" w:space="0"/>
              <w:bottom w:val="single" w:color="000000" w:sz="4" w:space="0"/>
              <w:right w:val="single" w:color="000000" w:sz="4" w:space="0"/>
            </w:tcBorders>
            <w:vAlign w:val="center"/>
          </w:tcPr>
          <w:p w14:paraId="7B3268BD">
            <w:pPr>
              <w:spacing w:line="360" w:lineRule="exact"/>
              <w:rPr>
                <w:color w:val="auto"/>
                <w:sz w:val="21"/>
                <w:szCs w:val="21"/>
                <w:highlight w:val="none"/>
              </w:rPr>
            </w:pPr>
            <w:r>
              <w:rPr>
                <w:rFonts w:hint="eastAsia"/>
                <w:color w:val="auto"/>
                <w:sz w:val="21"/>
                <w:szCs w:val="21"/>
                <w:highlight w:val="none"/>
                <w:lang w:bidi="ar"/>
              </w:rPr>
              <w:t>评分点</w:t>
            </w:r>
          </w:p>
        </w:tc>
        <w:tc>
          <w:tcPr>
            <w:tcW w:w="5947" w:type="dxa"/>
            <w:tcBorders>
              <w:top w:val="single" w:color="000000" w:sz="4" w:space="0"/>
              <w:left w:val="single" w:color="000000" w:sz="4" w:space="0"/>
              <w:bottom w:val="single" w:color="000000" w:sz="4" w:space="0"/>
              <w:right w:val="single" w:color="000000" w:sz="4" w:space="0"/>
            </w:tcBorders>
            <w:vAlign w:val="center"/>
          </w:tcPr>
          <w:p w14:paraId="2422B5AF">
            <w:pPr>
              <w:spacing w:line="360" w:lineRule="exact"/>
              <w:rPr>
                <w:color w:val="auto"/>
                <w:sz w:val="21"/>
                <w:szCs w:val="21"/>
                <w:highlight w:val="none"/>
              </w:rPr>
            </w:pPr>
            <w:r>
              <w:rPr>
                <w:rFonts w:hint="eastAsia"/>
                <w:color w:val="auto"/>
                <w:sz w:val="21"/>
                <w:szCs w:val="21"/>
                <w:highlight w:val="none"/>
                <w:lang w:bidi="ar"/>
              </w:rPr>
              <w:t>评分标准</w:t>
            </w:r>
          </w:p>
        </w:tc>
        <w:tc>
          <w:tcPr>
            <w:tcW w:w="700" w:type="dxa"/>
            <w:tcBorders>
              <w:top w:val="single" w:color="000000" w:sz="4" w:space="0"/>
              <w:left w:val="single" w:color="000000" w:sz="4" w:space="0"/>
              <w:bottom w:val="single" w:color="000000" w:sz="4" w:space="0"/>
              <w:right w:val="single" w:color="000000" w:sz="4" w:space="0"/>
            </w:tcBorders>
            <w:vAlign w:val="center"/>
          </w:tcPr>
          <w:p w14:paraId="7E11858F">
            <w:pPr>
              <w:spacing w:line="360" w:lineRule="exact"/>
              <w:rPr>
                <w:color w:val="auto"/>
                <w:sz w:val="21"/>
                <w:szCs w:val="21"/>
                <w:highlight w:val="none"/>
              </w:rPr>
            </w:pPr>
            <w:r>
              <w:rPr>
                <w:rFonts w:hint="eastAsia"/>
                <w:color w:val="auto"/>
                <w:sz w:val="21"/>
                <w:szCs w:val="21"/>
                <w:highlight w:val="none"/>
                <w:lang w:bidi="ar"/>
              </w:rPr>
              <w:t>分值</w:t>
            </w:r>
          </w:p>
        </w:tc>
      </w:tr>
      <w:tr w14:paraId="52C9108C">
        <w:tblPrEx>
          <w:tblCellMar>
            <w:top w:w="0" w:type="dxa"/>
            <w:left w:w="108" w:type="dxa"/>
            <w:bottom w:w="0" w:type="dxa"/>
            <w:right w:w="108" w:type="dxa"/>
          </w:tblCellMar>
        </w:tblPrEx>
        <w:trPr>
          <w:trHeight w:val="1160" w:hRule="atLeast"/>
          <w:jc w:val="center"/>
        </w:trPr>
        <w:tc>
          <w:tcPr>
            <w:tcW w:w="955" w:type="dxa"/>
            <w:vMerge w:val="restart"/>
            <w:tcBorders>
              <w:top w:val="single" w:color="000000" w:sz="4" w:space="0"/>
              <w:left w:val="single" w:color="000000" w:sz="4" w:space="0"/>
              <w:bottom w:val="single" w:color="000000" w:sz="4" w:space="0"/>
              <w:right w:val="single" w:color="000000" w:sz="4" w:space="0"/>
            </w:tcBorders>
            <w:vAlign w:val="center"/>
          </w:tcPr>
          <w:p w14:paraId="637D849F">
            <w:pPr>
              <w:spacing w:line="360" w:lineRule="exact"/>
              <w:rPr>
                <w:color w:val="auto"/>
                <w:sz w:val="21"/>
                <w:szCs w:val="21"/>
                <w:highlight w:val="none"/>
              </w:rPr>
            </w:pPr>
            <w:r>
              <w:rPr>
                <w:rFonts w:hint="eastAsia"/>
                <w:color w:val="auto"/>
                <w:sz w:val="21"/>
                <w:szCs w:val="21"/>
                <w:highlight w:val="none"/>
                <w:lang w:bidi="ar"/>
              </w:rPr>
              <w:t>详细评审</w:t>
            </w:r>
          </w:p>
        </w:tc>
        <w:tc>
          <w:tcPr>
            <w:tcW w:w="1140" w:type="dxa"/>
            <w:tcBorders>
              <w:top w:val="single" w:color="000000" w:sz="4" w:space="0"/>
              <w:left w:val="single" w:color="000000" w:sz="4" w:space="0"/>
              <w:bottom w:val="single" w:color="000000" w:sz="4" w:space="0"/>
              <w:right w:val="single" w:color="000000" w:sz="4" w:space="0"/>
            </w:tcBorders>
            <w:vAlign w:val="center"/>
          </w:tcPr>
          <w:p w14:paraId="6F5349C4">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价格评审（30分）</w:t>
            </w:r>
          </w:p>
        </w:tc>
        <w:tc>
          <w:tcPr>
            <w:tcW w:w="1320" w:type="dxa"/>
            <w:tcBorders>
              <w:top w:val="single" w:color="000000" w:sz="4" w:space="0"/>
              <w:left w:val="single" w:color="000000" w:sz="4" w:space="0"/>
              <w:bottom w:val="single" w:color="000000" w:sz="4" w:space="0"/>
              <w:right w:val="single" w:color="000000" w:sz="4" w:space="0"/>
            </w:tcBorders>
            <w:vAlign w:val="center"/>
          </w:tcPr>
          <w:p w14:paraId="090E3E19">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投标报价</w:t>
            </w:r>
          </w:p>
          <w:p w14:paraId="4C6A15A1">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（30分）</w:t>
            </w:r>
          </w:p>
        </w:tc>
        <w:tc>
          <w:tcPr>
            <w:tcW w:w="5947" w:type="dxa"/>
            <w:tcBorders>
              <w:top w:val="single" w:color="000000" w:sz="4" w:space="0"/>
              <w:left w:val="single" w:color="000000" w:sz="4" w:space="0"/>
              <w:bottom w:val="single" w:color="000000" w:sz="4" w:space="0"/>
              <w:right w:val="single" w:color="000000" w:sz="4" w:space="0"/>
            </w:tcBorders>
            <w:vAlign w:val="center"/>
          </w:tcPr>
          <w:p w14:paraId="20AFEC64">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价格分采用低价优先法计算，即满足采购文件要求且投标价格最低的投标报价为评标基准价，其价格分为满分30分。其他供应商的价格分统一按照下列公式计算：</w:t>
            </w:r>
          </w:p>
          <w:p w14:paraId="09ABAAB6">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投标报价得分=(评标基准价／投标报价)×价格分值×100%，小数点保留2位。</w:t>
            </w:r>
          </w:p>
        </w:tc>
        <w:tc>
          <w:tcPr>
            <w:tcW w:w="700" w:type="dxa"/>
            <w:tcBorders>
              <w:top w:val="single" w:color="000000" w:sz="4" w:space="0"/>
              <w:left w:val="single" w:color="000000" w:sz="4" w:space="0"/>
              <w:bottom w:val="single" w:color="000000" w:sz="4" w:space="0"/>
              <w:right w:val="single" w:color="000000" w:sz="4" w:space="0"/>
            </w:tcBorders>
            <w:vAlign w:val="center"/>
          </w:tcPr>
          <w:p w14:paraId="1C40625D">
            <w:pPr>
              <w:spacing w:line="360" w:lineRule="exact"/>
              <w:rPr>
                <w:color w:val="auto"/>
                <w:sz w:val="21"/>
                <w:szCs w:val="21"/>
                <w:highlight w:val="none"/>
              </w:rPr>
            </w:pPr>
            <w:r>
              <w:rPr>
                <w:rFonts w:hint="eastAsia"/>
                <w:color w:val="auto"/>
                <w:sz w:val="21"/>
                <w:szCs w:val="21"/>
                <w:highlight w:val="none"/>
                <w:lang w:bidi="ar"/>
              </w:rPr>
              <w:t>30</w:t>
            </w:r>
          </w:p>
        </w:tc>
      </w:tr>
      <w:tr w14:paraId="5F7A6380">
        <w:tblPrEx>
          <w:tblCellMar>
            <w:top w:w="0" w:type="dxa"/>
            <w:left w:w="108" w:type="dxa"/>
            <w:bottom w:w="0" w:type="dxa"/>
            <w:right w:w="108" w:type="dxa"/>
          </w:tblCellMar>
        </w:tblPrEx>
        <w:trPr>
          <w:trHeight w:val="90" w:hRule="atLeast"/>
          <w:jc w:val="center"/>
        </w:trPr>
        <w:tc>
          <w:tcPr>
            <w:tcW w:w="955" w:type="dxa"/>
            <w:vMerge w:val="continue"/>
            <w:tcBorders>
              <w:top w:val="single" w:color="000000" w:sz="4" w:space="0"/>
              <w:left w:val="single" w:color="000000" w:sz="4" w:space="0"/>
              <w:bottom w:val="single" w:color="000000" w:sz="4" w:space="0"/>
              <w:right w:val="single" w:color="000000" w:sz="4" w:space="0"/>
            </w:tcBorders>
            <w:vAlign w:val="center"/>
          </w:tcPr>
          <w:p w14:paraId="3D48819E">
            <w:pPr>
              <w:spacing w:line="360" w:lineRule="exact"/>
              <w:rPr>
                <w:color w:val="auto"/>
                <w:sz w:val="21"/>
                <w:szCs w:val="21"/>
                <w:highlight w:val="none"/>
              </w:rPr>
            </w:pPr>
          </w:p>
        </w:tc>
        <w:tc>
          <w:tcPr>
            <w:tcW w:w="1140" w:type="dxa"/>
            <w:vMerge w:val="restart"/>
            <w:tcBorders>
              <w:top w:val="single" w:color="000000" w:sz="4" w:space="0"/>
              <w:left w:val="single" w:color="000000" w:sz="4" w:space="0"/>
              <w:right w:val="single" w:color="000000" w:sz="4" w:space="0"/>
            </w:tcBorders>
            <w:vAlign w:val="center"/>
          </w:tcPr>
          <w:p w14:paraId="4EE967CE">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商务</w:t>
            </w:r>
            <w:r>
              <w:rPr>
                <w:rFonts w:hint="eastAsia" w:cs="宋体"/>
                <w:color w:val="auto"/>
                <w:kern w:val="0"/>
                <w:sz w:val="21"/>
                <w:szCs w:val="21"/>
                <w:highlight w:val="none"/>
                <w:lang w:val="en-US" w:eastAsia="zh-CN" w:bidi="ar-SA"/>
              </w:rPr>
              <w:t>技术</w:t>
            </w:r>
            <w:r>
              <w:rPr>
                <w:rFonts w:hint="eastAsia" w:ascii="宋体" w:hAnsi="宋体" w:eastAsia="宋体" w:cs="宋体"/>
                <w:color w:val="auto"/>
                <w:kern w:val="0"/>
                <w:sz w:val="21"/>
                <w:szCs w:val="21"/>
                <w:highlight w:val="none"/>
                <w:lang w:val="en-US" w:eastAsia="zh-CN" w:bidi="ar-SA"/>
              </w:rPr>
              <w:t>评审</w:t>
            </w:r>
            <w:r>
              <w:rPr>
                <w:rFonts w:hint="eastAsia" w:cs="宋体"/>
                <w:color w:val="auto"/>
                <w:kern w:val="0"/>
                <w:sz w:val="21"/>
                <w:szCs w:val="21"/>
                <w:highlight w:val="none"/>
                <w:lang w:val="en-US" w:eastAsia="zh-CN" w:bidi="ar-SA"/>
              </w:rPr>
              <w:t>（70分）</w:t>
            </w:r>
          </w:p>
        </w:tc>
        <w:tc>
          <w:tcPr>
            <w:tcW w:w="1320" w:type="dxa"/>
            <w:tcBorders>
              <w:top w:val="single" w:color="000000" w:sz="4" w:space="0"/>
              <w:left w:val="single" w:color="000000" w:sz="4" w:space="0"/>
              <w:bottom w:val="single" w:color="000000" w:sz="4" w:space="0"/>
              <w:right w:val="single" w:color="000000" w:sz="4" w:space="0"/>
            </w:tcBorders>
            <w:vAlign w:val="center"/>
          </w:tcPr>
          <w:p w14:paraId="4E196451">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业绩（</w:t>
            </w:r>
            <w:r>
              <w:rPr>
                <w:rFonts w:hint="eastAsia" w:cs="宋体"/>
                <w:color w:val="auto"/>
                <w:kern w:val="0"/>
                <w:sz w:val="21"/>
                <w:szCs w:val="21"/>
                <w:highlight w:val="none"/>
                <w:lang w:val="en-US" w:eastAsia="zh-CN" w:bidi="ar-SA"/>
              </w:rPr>
              <w:t>5</w:t>
            </w:r>
            <w:r>
              <w:rPr>
                <w:rFonts w:hint="eastAsia" w:ascii="宋体" w:hAnsi="宋体" w:eastAsia="宋体" w:cs="宋体"/>
                <w:color w:val="auto"/>
                <w:kern w:val="0"/>
                <w:sz w:val="21"/>
                <w:szCs w:val="21"/>
                <w:highlight w:val="none"/>
                <w:lang w:val="en-US" w:eastAsia="zh-CN" w:bidi="ar-SA"/>
              </w:rPr>
              <w:t>分）</w:t>
            </w:r>
          </w:p>
        </w:tc>
        <w:tc>
          <w:tcPr>
            <w:tcW w:w="5947" w:type="dxa"/>
            <w:tcBorders>
              <w:top w:val="single" w:color="000000" w:sz="4" w:space="0"/>
              <w:left w:val="single" w:color="000000" w:sz="4" w:space="0"/>
              <w:bottom w:val="single" w:color="000000" w:sz="4" w:space="0"/>
              <w:right w:val="single" w:color="000000" w:sz="4" w:space="0"/>
            </w:tcBorders>
            <w:vAlign w:val="center"/>
          </w:tcPr>
          <w:p w14:paraId="5FD4D75E">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自2023年5月1日至投标截止时间已完成或正在进行的所投产品业绩【提供采购合同和和至少一张该合同下的发票】，每提供一项得1分，满分5分。</w:t>
            </w:r>
          </w:p>
          <w:p w14:paraId="4122E58C">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Hans" w:bidi="ar-SA"/>
              </w:rPr>
              <w:t>注：业绩证明材料需符合以下要求，否则不予计分：①业绩时间以合同签订日期为准；②合同需完整体现签订双方信息、签订时间、服务内容及双方盖章等核心要素，缺失任一要素均不计分；③业绩发票双方信息与合同甲乙双方信息一致；④业绩关键信息存在模糊不清、无法辨识情形的，该业绩不予认可。</w:t>
            </w:r>
          </w:p>
        </w:tc>
        <w:tc>
          <w:tcPr>
            <w:tcW w:w="700" w:type="dxa"/>
            <w:tcBorders>
              <w:top w:val="single" w:color="000000" w:sz="4" w:space="0"/>
              <w:left w:val="single" w:color="000000" w:sz="4" w:space="0"/>
              <w:bottom w:val="single" w:color="000000" w:sz="4" w:space="0"/>
              <w:right w:val="single" w:color="000000" w:sz="4" w:space="0"/>
            </w:tcBorders>
            <w:vAlign w:val="center"/>
          </w:tcPr>
          <w:p w14:paraId="278CB6FD">
            <w:pPr>
              <w:spacing w:line="360" w:lineRule="exact"/>
              <w:rPr>
                <w:rFonts w:hint="default" w:eastAsia="宋体"/>
                <w:color w:val="auto"/>
                <w:sz w:val="21"/>
                <w:szCs w:val="21"/>
                <w:highlight w:val="none"/>
                <w:lang w:val="en-US" w:eastAsia="zh-CN"/>
              </w:rPr>
            </w:pPr>
            <w:r>
              <w:rPr>
                <w:rFonts w:hint="eastAsia"/>
                <w:color w:val="auto"/>
                <w:sz w:val="21"/>
                <w:szCs w:val="21"/>
                <w:highlight w:val="none"/>
                <w:lang w:val="en-US" w:eastAsia="zh-CN"/>
              </w:rPr>
              <w:t>5</w:t>
            </w:r>
          </w:p>
        </w:tc>
      </w:tr>
      <w:tr w14:paraId="5437A904">
        <w:tblPrEx>
          <w:tblCellMar>
            <w:top w:w="0" w:type="dxa"/>
            <w:left w:w="108" w:type="dxa"/>
            <w:bottom w:w="0" w:type="dxa"/>
            <w:right w:w="108" w:type="dxa"/>
          </w:tblCellMar>
        </w:tblPrEx>
        <w:trPr>
          <w:trHeight w:val="227" w:hRule="atLeast"/>
          <w:jc w:val="center"/>
        </w:trPr>
        <w:tc>
          <w:tcPr>
            <w:tcW w:w="955" w:type="dxa"/>
            <w:vMerge w:val="continue"/>
            <w:tcBorders>
              <w:top w:val="single" w:color="000000" w:sz="4" w:space="0"/>
              <w:left w:val="single" w:color="000000" w:sz="4" w:space="0"/>
              <w:bottom w:val="single" w:color="000000" w:sz="4" w:space="0"/>
              <w:right w:val="single" w:color="000000" w:sz="4" w:space="0"/>
            </w:tcBorders>
            <w:vAlign w:val="center"/>
          </w:tcPr>
          <w:p w14:paraId="58D1DFA7">
            <w:pPr>
              <w:spacing w:line="360" w:lineRule="exact"/>
              <w:rPr>
                <w:color w:val="auto"/>
                <w:sz w:val="21"/>
                <w:szCs w:val="21"/>
                <w:highlight w:val="none"/>
              </w:rPr>
            </w:pPr>
          </w:p>
        </w:tc>
        <w:tc>
          <w:tcPr>
            <w:tcW w:w="1140" w:type="dxa"/>
            <w:vMerge w:val="continue"/>
            <w:tcBorders>
              <w:left w:val="single" w:color="000000" w:sz="4" w:space="0"/>
              <w:right w:val="single" w:color="000000" w:sz="4" w:space="0"/>
            </w:tcBorders>
            <w:vAlign w:val="center"/>
          </w:tcPr>
          <w:p w14:paraId="16BB362F">
            <w:pPr>
              <w:widowControl/>
              <w:spacing w:line="240" w:lineRule="auto"/>
              <w:rPr>
                <w:rFonts w:hint="eastAsia" w:ascii="宋体" w:hAnsi="宋体" w:eastAsia="宋体" w:cs="宋体"/>
                <w:color w:val="auto"/>
                <w:kern w:val="0"/>
                <w:sz w:val="21"/>
                <w:szCs w:val="21"/>
                <w:highlight w:val="none"/>
                <w:lang w:val="en-US" w:eastAsia="zh-CN" w:bidi="ar-SA"/>
              </w:rPr>
            </w:pPr>
          </w:p>
        </w:tc>
        <w:tc>
          <w:tcPr>
            <w:tcW w:w="1320" w:type="dxa"/>
            <w:tcBorders>
              <w:top w:val="single" w:color="000000" w:sz="4" w:space="0"/>
              <w:left w:val="single" w:color="000000" w:sz="4" w:space="0"/>
              <w:bottom w:val="single" w:color="000000" w:sz="4" w:space="0"/>
              <w:right w:val="single" w:color="000000" w:sz="4" w:space="0"/>
            </w:tcBorders>
            <w:vAlign w:val="center"/>
          </w:tcPr>
          <w:p w14:paraId="0F81DD23">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产品技术参数响应（</w:t>
            </w:r>
            <w:r>
              <w:rPr>
                <w:rFonts w:hint="eastAsia" w:cs="宋体"/>
                <w:color w:val="auto"/>
                <w:kern w:val="0"/>
                <w:sz w:val="21"/>
                <w:szCs w:val="21"/>
                <w:highlight w:val="none"/>
                <w:lang w:val="en-US" w:eastAsia="zh-CN" w:bidi="ar-SA"/>
              </w:rPr>
              <w:t>43.5</w:t>
            </w:r>
            <w:r>
              <w:rPr>
                <w:rFonts w:hint="eastAsia" w:ascii="宋体" w:hAnsi="宋体" w:eastAsia="宋体" w:cs="宋体"/>
                <w:color w:val="auto"/>
                <w:kern w:val="0"/>
                <w:sz w:val="21"/>
                <w:szCs w:val="21"/>
                <w:highlight w:val="none"/>
                <w:lang w:val="en-US" w:eastAsia="zh-CN" w:bidi="ar-SA"/>
              </w:rPr>
              <w:t>分）</w:t>
            </w:r>
          </w:p>
        </w:tc>
        <w:tc>
          <w:tcPr>
            <w:tcW w:w="5947" w:type="dxa"/>
            <w:tcBorders>
              <w:top w:val="single" w:color="000000" w:sz="4" w:space="0"/>
              <w:left w:val="single" w:color="000000" w:sz="4" w:space="0"/>
              <w:bottom w:val="single" w:color="auto" w:sz="4" w:space="0"/>
              <w:right w:val="single" w:color="000000" w:sz="4" w:space="0"/>
            </w:tcBorders>
            <w:vAlign w:val="center"/>
          </w:tcPr>
          <w:p w14:paraId="0DD6E88C">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投标人完全满足招标文件第三章 采购需求中“三、技术要求”的得满分，技术参数内容共计3</w:t>
            </w:r>
            <w:r>
              <w:rPr>
                <w:rFonts w:hint="eastAsia" w:cs="宋体"/>
                <w:color w:val="auto"/>
                <w:kern w:val="0"/>
                <w:sz w:val="21"/>
                <w:szCs w:val="21"/>
                <w:highlight w:val="none"/>
                <w:lang w:val="en-US" w:eastAsia="zh-CN" w:bidi="ar-SA"/>
              </w:rPr>
              <w:t>1</w:t>
            </w:r>
            <w:r>
              <w:rPr>
                <w:rFonts w:hint="eastAsia" w:ascii="宋体" w:hAnsi="宋体" w:eastAsia="宋体" w:cs="宋体"/>
                <w:color w:val="auto"/>
                <w:kern w:val="0"/>
                <w:sz w:val="21"/>
                <w:szCs w:val="21"/>
                <w:highlight w:val="none"/>
                <w:lang w:val="en-US" w:eastAsia="zh-CN" w:bidi="ar-SA"/>
              </w:rPr>
              <w:t>项，其中标记标记“★”的为核心参数共计2项，不允许出现负偏离，否则视为无效投标</w:t>
            </w:r>
            <w:r>
              <w:rPr>
                <w:rFonts w:hint="eastAsia" w:ascii="宋体" w:hAnsi="宋体" w:eastAsia="宋体" w:cs="宋体"/>
                <w:color w:val="auto"/>
                <w:highlight w:val="none"/>
                <w:lang w:eastAsia="zh-CN"/>
              </w:rPr>
              <w:t>。</w:t>
            </w:r>
          </w:p>
          <w:p w14:paraId="088A1D42">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一般参数共计</w:t>
            </w:r>
            <w:r>
              <w:rPr>
                <w:rFonts w:hint="eastAsia" w:cs="宋体"/>
                <w:color w:val="auto"/>
                <w:kern w:val="0"/>
                <w:sz w:val="21"/>
                <w:szCs w:val="21"/>
                <w:highlight w:val="none"/>
                <w:lang w:val="en-US" w:eastAsia="zh-CN" w:bidi="ar-SA"/>
              </w:rPr>
              <w:t>29</w:t>
            </w:r>
            <w:r>
              <w:rPr>
                <w:rFonts w:hint="eastAsia" w:ascii="宋体" w:hAnsi="宋体" w:eastAsia="宋体" w:cs="宋体"/>
                <w:color w:val="auto"/>
                <w:kern w:val="0"/>
                <w:sz w:val="21"/>
                <w:szCs w:val="21"/>
                <w:highlight w:val="none"/>
                <w:lang w:val="en-US" w:eastAsia="zh-CN" w:bidi="ar-SA"/>
              </w:rPr>
              <w:t>项，无偏离或正偏离的得</w:t>
            </w:r>
            <w:r>
              <w:rPr>
                <w:rFonts w:hint="eastAsia" w:cs="宋体"/>
                <w:color w:val="auto"/>
                <w:kern w:val="0"/>
                <w:sz w:val="21"/>
                <w:szCs w:val="21"/>
                <w:highlight w:val="none"/>
                <w:lang w:val="en-US" w:eastAsia="zh-CN" w:bidi="ar-SA"/>
              </w:rPr>
              <w:t>43.5</w:t>
            </w:r>
            <w:r>
              <w:rPr>
                <w:rFonts w:hint="eastAsia" w:ascii="宋体" w:hAnsi="宋体" w:eastAsia="宋体" w:cs="宋体"/>
                <w:color w:val="auto"/>
                <w:kern w:val="0"/>
                <w:sz w:val="21"/>
                <w:szCs w:val="21"/>
                <w:highlight w:val="none"/>
                <w:lang w:val="en-US" w:eastAsia="zh-CN" w:bidi="ar-SA"/>
              </w:rPr>
              <w:t>分，每有1项参数负偏离的扣1</w:t>
            </w:r>
            <w:r>
              <w:rPr>
                <w:rFonts w:hint="eastAsia" w:cs="宋体"/>
                <w:color w:val="auto"/>
                <w:kern w:val="0"/>
                <w:sz w:val="21"/>
                <w:szCs w:val="21"/>
                <w:highlight w:val="none"/>
                <w:lang w:val="en-US" w:eastAsia="zh-CN" w:bidi="ar-SA"/>
              </w:rPr>
              <w:t>.5</w:t>
            </w:r>
            <w:r>
              <w:rPr>
                <w:rFonts w:hint="eastAsia" w:ascii="宋体" w:hAnsi="宋体" w:eastAsia="宋体" w:cs="宋体"/>
                <w:color w:val="auto"/>
                <w:kern w:val="0"/>
                <w:sz w:val="21"/>
                <w:szCs w:val="21"/>
                <w:highlight w:val="none"/>
                <w:lang w:val="en-US" w:eastAsia="zh-CN" w:bidi="ar-SA"/>
              </w:rPr>
              <w:t>分，</w:t>
            </w:r>
            <w:r>
              <w:rPr>
                <w:rFonts w:hint="eastAsia" w:cs="宋体"/>
                <w:color w:val="auto"/>
                <w:kern w:val="0"/>
                <w:sz w:val="21"/>
                <w:szCs w:val="21"/>
                <w:highlight w:val="none"/>
                <w:lang w:val="en-US" w:eastAsia="zh-CN" w:bidi="ar-SA"/>
              </w:rPr>
              <w:t>最低0分</w:t>
            </w:r>
            <w:r>
              <w:rPr>
                <w:rFonts w:hint="eastAsia" w:ascii="宋体" w:hAnsi="宋体" w:eastAsia="宋体" w:cs="宋体"/>
                <w:color w:val="auto"/>
                <w:kern w:val="0"/>
                <w:sz w:val="21"/>
                <w:szCs w:val="21"/>
                <w:highlight w:val="none"/>
                <w:lang w:val="en-US" w:eastAsia="zh-CN" w:bidi="ar-SA"/>
              </w:rPr>
              <w:t>；</w:t>
            </w:r>
          </w:p>
          <w:p w14:paraId="11AF01A9">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注：</w:t>
            </w:r>
          </w:p>
          <w:p w14:paraId="76299CFE">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（1）供应商应在《技术条款响应表》中按要求逐条按顺序响应，未逐条响应或未写明偏离说明的，将视同为负偏离；</w:t>
            </w:r>
          </w:p>
          <w:p w14:paraId="21606556">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投标人须结合所投产品的实际参数值，并提供相关证明材料，若技术参数有明确证明材料形式要求的，必须按要求提供，未提供或不符合要求的，视为不响应技术参数，若技术参数无明确证明材料形式要求的，投标人需提供完整有效的产品检测报告（具备法定检测机构认证）或详细技术规格说明书（技术白皮书）或官方彩色样本资料产品彩页等证明材料，以证明其参数满足要求，否则视为负偏离。若以上证明材料表述不一致的，按照产品检测报告、详细技术规格说明书、官方彩色样本资料的顺序优先认定。</w:t>
            </w:r>
          </w:p>
          <w:p w14:paraId="21DF5487">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（3）中标产品交付标准必须以投标文件中技术参数为准，如有虚假应标采购人有权终止合同，并将追究其法律责任。</w:t>
            </w:r>
          </w:p>
        </w:tc>
        <w:tc>
          <w:tcPr>
            <w:tcW w:w="700" w:type="dxa"/>
            <w:tcBorders>
              <w:top w:val="single" w:color="000000" w:sz="4" w:space="0"/>
              <w:left w:val="single" w:color="000000" w:sz="4" w:space="0"/>
              <w:bottom w:val="single" w:color="auto" w:sz="4" w:space="0"/>
              <w:right w:val="single" w:color="000000" w:sz="4" w:space="0"/>
            </w:tcBorders>
            <w:vAlign w:val="center"/>
          </w:tcPr>
          <w:p w14:paraId="2020324B">
            <w:pPr>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bidi="ar"/>
              </w:rPr>
              <w:t>43.5</w:t>
            </w:r>
          </w:p>
        </w:tc>
      </w:tr>
      <w:tr w14:paraId="0A634E0F">
        <w:tblPrEx>
          <w:tblCellMar>
            <w:top w:w="0" w:type="dxa"/>
            <w:left w:w="108" w:type="dxa"/>
            <w:bottom w:w="0" w:type="dxa"/>
            <w:right w:w="108" w:type="dxa"/>
          </w:tblCellMar>
        </w:tblPrEx>
        <w:trPr>
          <w:trHeight w:val="227" w:hRule="atLeast"/>
          <w:jc w:val="center"/>
        </w:trPr>
        <w:tc>
          <w:tcPr>
            <w:tcW w:w="955" w:type="dxa"/>
            <w:vMerge w:val="continue"/>
            <w:tcBorders>
              <w:top w:val="single" w:color="000000" w:sz="4" w:space="0"/>
              <w:left w:val="single" w:color="000000" w:sz="4" w:space="0"/>
              <w:bottom w:val="single" w:color="000000" w:sz="4" w:space="0"/>
              <w:right w:val="single" w:color="000000" w:sz="4" w:space="0"/>
            </w:tcBorders>
            <w:vAlign w:val="center"/>
          </w:tcPr>
          <w:p w14:paraId="629D772D">
            <w:pPr>
              <w:spacing w:line="360" w:lineRule="exact"/>
              <w:rPr>
                <w:color w:val="auto"/>
                <w:sz w:val="21"/>
                <w:szCs w:val="21"/>
                <w:highlight w:val="none"/>
              </w:rPr>
            </w:pPr>
          </w:p>
        </w:tc>
        <w:tc>
          <w:tcPr>
            <w:tcW w:w="1140" w:type="dxa"/>
            <w:vMerge w:val="continue"/>
            <w:tcBorders>
              <w:left w:val="single" w:color="000000" w:sz="4" w:space="0"/>
              <w:right w:val="single" w:color="000000" w:sz="4" w:space="0"/>
            </w:tcBorders>
            <w:vAlign w:val="center"/>
          </w:tcPr>
          <w:p w14:paraId="662464EF">
            <w:pPr>
              <w:widowControl/>
              <w:spacing w:line="240" w:lineRule="auto"/>
              <w:rPr>
                <w:rFonts w:hint="eastAsia" w:ascii="宋体" w:hAnsi="宋体" w:eastAsia="宋体" w:cs="宋体"/>
                <w:color w:val="auto"/>
                <w:kern w:val="0"/>
                <w:sz w:val="21"/>
                <w:szCs w:val="21"/>
                <w:highlight w:val="none"/>
                <w:lang w:val="en-US" w:eastAsia="zh-CN" w:bidi="ar-SA"/>
              </w:rPr>
            </w:pPr>
          </w:p>
        </w:tc>
        <w:tc>
          <w:tcPr>
            <w:tcW w:w="1320" w:type="dxa"/>
            <w:tcBorders>
              <w:top w:val="single" w:color="000000" w:sz="4" w:space="0"/>
              <w:left w:val="single" w:color="000000" w:sz="4" w:space="0"/>
              <w:bottom w:val="single" w:color="000000" w:sz="4" w:space="0"/>
              <w:right w:val="single" w:color="000000" w:sz="4" w:space="0"/>
            </w:tcBorders>
            <w:vAlign w:val="center"/>
          </w:tcPr>
          <w:p w14:paraId="07F402EF">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en-US" w:bidi="ar-SA"/>
              </w:rPr>
              <w:t>实施</w:t>
            </w:r>
            <w:r>
              <w:rPr>
                <w:rFonts w:hint="eastAsia" w:ascii="宋体" w:hAnsi="宋体" w:eastAsia="宋体" w:cs="宋体"/>
                <w:color w:val="auto"/>
                <w:kern w:val="0"/>
                <w:sz w:val="21"/>
                <w:szCs w:val="21"/>
                <w:highlight w:val="none"/>
                <w:lang w:val="en-US" w:eastAsia="zh-CN" w:bidi="ar-SA"/>
              </w:rPr>
              <w:t>方案（6分）</w:t>
            </w:r>
          </w:p>
        </w:tc>
        <w:tc>
          <w:tcPr>
            <w:tcW w:w="5947" w:type="dxa"/>
            <w:tcBorders>
              <w:top w:val="single" w:color="auto" w:sz="4" w:space="0"/>
              <w:left w:val="single" w:color="000000" w:sz="4" w:space="0"/>
              <w:bottom w:val="single" w:color="auto" w:sz="4" w:space="0"/>
              <w:right w:val="single" w:color="000000" w:sz="4" w:space="0"/>
            </w:tcBorders>
            <w:vAlign w:val="top"/>
          </w:tcPr>
          <w:p w14:paraId="4FA84E89">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根据投标人</w:t>
            </w:r>
            <w:r>
              <w:rPr>
                <w:rFonts w:hint="eastAsia" w:ascii="宋体" w:hAnsi="宋体" w:eastAsia="宋体" w:cs="宋体"/>
                <w:color w:val="auto"/>
                <w:kern w:val="0"/>
                <w:sz w:val="21"/>
                <w:szCs w:val="21"/>
                <w:highlight w:val="none"/>
                <w:lang w:val="en-US" w:eastAsia="zh-Hans" w:bidi="ar-SA"/>
              </w:rPr>
              <w:t>提供</w:t>
            </w:r>
            <w:r>
              <w:rPr>
                <w:rFonts w:hint="eastAsia" w:ascii="宋体" w:hAnsi="宋体" w:eastAsia="宋体" w:cs="宋体"/>
                <w:color w:val="auto"/>
                <w:kern w:val="0"/>
                <w:sz w:val="21"/>
                <w:szCs w:val="21"/>
                <w:highlight w:val="none"/>
                <w:lang w:val="en-US" w:eastAsia="zh-CN" w:bidi="ar-SA"/>
              </w:rPr>
              <w:t>的配送及安装实施方案进行综合评审，内容包括但不限于：</w:t>
            </w:r>
          </w:p>
          <w:p w14:paraId="3F662440">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1.供货方案（包括供货时效保障、备货及库存保障、运输安全管控等）</w:t>
            </w:r>
          </w:p>
          <w:p w14:paraId="6DCA24BA">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2.质量保证</w:t>
            </w:r>
            <w:r>
              <w:rPr>
                <w:rFonts w:hint="eastAsia" w:ascii="宋体" w:hAnsi="宋体" w:eastAsia="宋体" w:cs="宋体"/>
                <w:color w:val="auto"/>
                <w:kern w:val="0"/>
                <w:sz w:val="21"/>
                <w:szCs w:val="21"/>
                <w:highlight w:val="none"/>
                <w:lang w:val="en-US" w:eastAsia="zh-Hans" w:bidi="ar-SA"/>
              </w:rPr>
              <w:t>方案</w:t>
            </w:r>
            <w:r>
              <w:rPr>
                <w:rFonts w:hint="eastAsia" w:ascii="宋体" w:hAnsi="宋体" w:eastAsia="宋体" w:cs="宋体"/>
                <w:color w:val="auto"/>
                <w:kern w:val="0"/>
                <w:sz w:val="21"/>
                <w:szCs w:val="21"/>
                <w:highlight w:val="none"/>
                <w:lang w:val="en-US" w:eastAsia="zh-CN" w:bidi="ar-SA"/>
              </w:rPr>
              <w:t>（包括质量目标承诺、全流程检验管控、检测能力保障等）</w:t>
            </w:r>
          </w:p>
          <w:p w14:paraId="7DC6CB89">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3.进度保证方案（包括总进度及阶段分解、资源配置保障、进度管控</w:t>
            </w:r>
            <w:r>
              <w:rPr>
                <w:rFonts w:hint="eastAsia" w:ascii="宋体" w:hAnsi="宋体" w:eastAsia="宋体" w:cs="宋体"/>
                <w:color w:val="auto"/>
                <w:kern w:val="0"/>
                <w:sz w:val="21"/>
                <w:szCs w:val="21"/>
                <w:highlight w:val="none"/>
                <w:lang w:val="en-US" w:eastAsia="zh-Hans" w:bidi="ar-SA"/>
              </w:rPr>
              <w:t>措施</w:t>
            </w:r>
            <w:r>
              <w:rPr>
                <w:rFonts w:hint="eastAsia" w:ascii="宋体" w:hAnsi="宋体" w:eastAsia="宋体" w:cs="宋体"/>
                <w:color w:val="auto"/>
                <w:kern w:val="0"/>
                <w:sz w:val="21"/>
                <w:szCs w:val="21"/>
                <w:highlight w:val="none"/>
                <w:lang w:val="en-US" w:eastAsia="zh-CN" w:bidi="ar-SA"/>
              </w:rPr>
              <w:t>、延误应急处置等）</w:t>
            </w:r>
          </w:p>
          <w:p w14:paraId="6AD73236">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4.安装调试方案（包括安装调试流程及标准、安装</w:t>
            </w:r>
            <w:r>
              <w:rPr>
                <w:rFonts w:hint="eastAsia" w:ascii="宋体" w:hAnsi="宋体" w:eastAsia="宋体" w:cs="宋体"/>
                <w:color w:val="auto"/>
                <w:kern w:val="0"/>
                <w:sz w:val="21"/>
                <w:szCs w:val="21"/>
                <w:highlight w:val="none"/>
                <w:lang w:val="en-US" w:eastAsia="zh-Hans" w:bidi="ar-SA"/>
              </w:rPr>
              <w:t>人员</w:t>
            </w:r>
            <w:r>
              <w:rPr>
                <w:rFonts w:hint="eastAsia" w:ascii="宋体" w:hAnsi="宋体" w:eastAsia="宋体" w:cs="宋体"/>
                <w:color w:val="auto"/>
                <w:kern w:val="0"/>
                <w:sz w:val="21"/>
                <w:szCs w:val="21"/>
                <w:highlight w:val="none"/>
                <w:lang w:val="en-US" w:eastAsia="zh-CN" w:bidi="ar-SA"/>
              </w:rPr>
              <w:t>保障、安装安全管控、调试验收保障等）</w:t>
            </w:r>
          </w:p>
          <w:p w14:paraId="154D197E">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上内容</w:t>
            </w:r>
            <w:r>
              <w:rPr>
                <w:rFonts w:hint="eastAsia" w:ascii="宋体" w:hAnsi="宋体" w:eastAsia="宋体" w:cs="宋体"/>
                <w:color w:val="auto"/>
                <w:kern w:val="0"/>
                <w:sz w:val="21"/>
                <w:szCs w:val="21"/>
                <w:highlight w:val="none"/>
                <w:lang w:val="en-US" w:eastAsia="zh-Hans" w:bidi="ar-SA"/>
              </w:rPr>
              <w:t>完整</w:t>
            </w:r>
            <w:r>
              <w:rPr>
                <w:rFonts w:hint="eastAsia" w:ascii="宋体" w:hAnsi="宋体" w:eastAsia="宋体" w:cs="宋体"/>
                <w:color w:val="auto"/>
                <w:kern w:val="0"/>
                <w:sz w:val="21"/>
                <w:szCs w:val="21"/>
                <w:highlight w:val="none"/>
                <w:lang w:val="en-US" w:eastAsia="zh-CN" w:bidi="ar-SA"/>
              </w:rPr>
              <w:t xml:space="preserve">且完全满足项目要求得6分，每缺失一项内容扣1.5分，每项内容中每有一处内容缺陷扣 0.75分，扣完为止。(缺陷是指：指方案内容缺项、内容表述不完整、缺少任意一项内容的针对性描述分析或缺少关键分析点，方案内容生搬硬造、表述前后矛盾、无连贯性，内容存在逻辑漏洞、常识错误、科学原理错误、措施保障安排并不适用本项目特性或非专门针对本项目制定、方案中提出的措施举措不利于本项目目标的实现、现有技术条件下不可能出现的情形等任意一种情形。) </w:t>
            </w:r>
          </w:p>
        </w:tc>
        <w:tc>
          <w:tcPr>
            <w:tcW w:w="700" w:type="dxa"/>
            <w:tcBorders>
              <w:top w:val="single" w:color="auto" w:sz="4" w:space="0"/>
              <w:left w:val="single" w:color="000000" w:sz="4" w:space="0"/>
              <w:bottom w:val="single" w:color="auto" w:sz="4" w:space="0"/>
              <w:right w:val="single" w:color="000000" w:sz="4" w:space="0"/>
            </w:tcBorders>
            <w:vAlign w:val="center"/>
          </w:tcPr>
          <w:p w14:paraId="580ED3C4">
            <w:pPr>
              <w:spacing w:line="360" w:lineRule="exact"/>
              <w:jc w:val="center"/>
              <w:rPr>
                <w:rFonts w:hint="eastAsia" w:eastAsia="宋体"/>
                <w:color w:val="auto"/>
                <w:sz w:val="21"/>
                <w:szCs w:val="21"/>
                <w:highlight w:val="none"/>
                <w:lang w:eastAsia="zh-CN"/>
              </w:rPr>
            </w:pPr>
            <w:r>
              <w:rPr>
                <w:rFonts w:hint="eastAsia"/>
                <w:color w:val="auto"/>
                <w:sz w:val="21"/>
                <w:szCs w:val="21"/>
                <w:highlight w:val="none"/>
                <w:lang w:val="en-US" w:eastAsia="zh-CN"/>
              </w:rPr>
              <w:t>6</w:t>
            </w:r>
          </w:p>
        </w:tc>
      </w:tr>
      <w:tr w14:paraId="08DDFEC8">
        <w:tblPrEx>
          <w:tblCellMar>
            <w:top w:w="0" w:type="dxa"/>
            <w:left w:w="108" w:type="dxa"/>
            <w:bottom w:w="0" w:type="dxa"/>
            <w:right w:w="108" w:type="dxa"/>
          </w:tblCellMar>
        </w:tblPrEx>
        <w:trPr>
          <w:trHeight w:val="227" w:hRule="atLeast"/>
          <w:jc w:val="center"/>
        </w:trPr>
        <w:tc>
          <w:tcPr>
            <w:tcW w:w="955" w:type="dxa"/>
            <w:vMerge w:val="continue"/>
            <w:tcBorders>
              <w:top w:val="single" w:color="000000" w:sz="4" w:space="0"/>
              <w:left w:val="single" w:color="000000" w:sz="4" w:space="0"/>
              <w:bottom w:val="single" w:color="000000" w:sz="4" w:space="0"/>
              <w:right w:val="single" w:color="000000" w:sz="4" w:space="0"/>
            </w:tcBorders>
            <w:vAlign w:val="center"/>
          </w:tcPr>
          <w:p w14:paraId="1BA8BEE1">
            <w:pPr>
              <w:spacing w:line="360" w:lineRule="exact"/>
              <w:rPr>
                <w:color w:val="auto"/>
                <w:sz w:val="21"/>
                <w:szCs w:val="21"/>
                <w:highlight w:val="none"/>
              </w:rPr>
            </w:pPr>
          </w:p>
        </w:tc>
        <w:tc>
          <w:tcPr>
            <w:tcW w:w="1140" w:type="dxa"/>
            <w:vMerge w:val="continue"/>
            <w:tcBorders>
              <w:left w:val="single" w:color="000000" w:sz="4" w:space="0"/>
              <w:right w:val="single" w:color="000000" w:sz="4" w:space="0"/>
            </w:tcBorders>
            <w:vAlign w:val="center"/>
          </w:tcPr>
          <w:p w14:paraId="0D9FDEE3">
            <w:pPr>
              <w:widowControl/>
              <w:spacing w:line="240" w:lineRule="auto"/>
              <w:rPr>
                <w:rFonts w:hint="eastAsia" w:ascii="宋体" w:hAnsi="宋体" w:eastAsia="宋体" w:cs="宋体"/>
                <w:color w:val="auto"/>
                <w:kern w:val="0"/>
                <w:sz w:val="21"/>
                <w:szCs w:val="21"/>
                <w:highlight w:val="none"/>
                <w:lang w:val="en-US" w:eastAsia="zh-CN" w:bidi="ar-SA"/>
              </w:rPr>
            </w:pPr>
          </w:p>
        </w:tc>
        <w:tc>
          <w:tcPr>
            <w:tcW w:w="1320" w:type="dxa"/>
            <w:tcBorders>
              <w:top w:val="single" w:color="000000" w:sz="4" w:space="0"/>
              <w:left w:val="single" w:color="000000" w:sz="4" w:space="0"/>
              <w:bottom w:val="single" w:color="000000" w:sz="4" w:space="0"/>
              <w:right w:val="single" w:color="000000" w:sz="4" w:space="0"/>
            </w:tcBorders>
            <w:vAlign w:val="center"/>
          </w:tcPr>
          <w:p w14:paraId="108B7A7B">
            <w:pPr>
              <w:pStyle w:val="86"/>
              <w:spacing w:before="265" w:line="240" w:lineRule="auto"/>
              <w:ind w:right="106"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培训（4分）</w:t>
            </w:r>
          </w:p>
        </w:tc>
        <w:tc>
          <w:tcPr>
            <w:tcW w:w="5947" w:type="dxa"/>
            <w:tcBorders>
              <w:top w:val="single" w:color="auto" w:sz="4" w:space="0"/>
              <w:left w:val="single" w:color="000000" w:sz="4" w:space="0"/>
              <w:bottom w:val="single" w:color="auto" w:sz="4" w:space="0"/>
              <w:right w:val="single" w:color="000000" w:sz="4" w:space="0"/>
            </w:tcBorders>
            <w:vAlign w:val="top"/>
          </w:tcPr>
          <w:p w14:paraId="21E4D951">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根据投标人提供的培训方案进行综合评审，内容包括但不限于：</w:t>
            </w:r>
          </w:p>
          <w:p w14:paraId="03E1405F">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①培训内容</w:t>
            </w:r>
          </w:p>
          <w:p w14:paraId="042113B8">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②培训方式</w:t>
            </w:r>
          </w:p>
          <w:p w14:paraId="6176AEA5">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③培训时间</w:t>
            </w:r>
          </w:p>
          <w:p w14:paraId="5876CB7B">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④预期培训效果</w:t>
            </w:r>
          </w:p>
          <w:p w14:paraId="0A6A882D">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以上内容完整且完全满足项目要求得</w:t>
            </w:r>
            <w:r>
              <w:rPr>
                <w:rFonts w:hint="eastAsia" w:cs="宋体"/>
                <w:color w:val="auto"/>
                <w:kern w:val="0"/>
                <w:sz w:val="21"/>
                <w:szCs w:val="21"/>
                <w:highlight w:val="none"/>
                <w:lang w:val="en-US" w:eastAsia="zh-CN" w:bidi="ar-SA"/>
              </w:rPr>
              <w:t>4</w:t>
            </w:r>
            <w:r>
              <w:rPr>
                <w:rFonts w:hint="eastAsia" w:ascii="宋体" w:hAnsi="宋体" w:eastAsia="宋体" w:cs="宋体"/>
                <w:color w:val="auto"/>
                <w:kern w:val="0"/>
                <w:sz w:val="21"/>
                <w:szCs w:val="21"/>
                <w:highlight w:val="none"/>
                <w:lang w:val="en-US" w:eastAsia="zh-CN" w:bidi="ar-SA"/>
              </w:rPr>
              <w:t>分，每缺失一项内容扣</w:t>
            </w:r>
            <w:r>
              <w:rPr>
                <w:rFonts w:hint="eastAsia" w:cs="宋体"/>
                <w:color w:val="auto"/>
                <w:kern w:val="0"/>
                <w:sz w:val="21"/>
                <w:szCs w:val="21"/>
                <w:highlight w:val="none"/>
                <w:lang w:val="en-US" w:eastAsia="zh-CN" w:bidi="ar-SA"/>
              </w:rPr>
              <w:t>1</w:t>
            </w:r>
            <w:r>
              <w:rPr>
                <w:rFonts w:hint="eastAsia" w:ascii="宋体" w:hAnsi="宋体" w:eastAsia="宋体" w:cs="宋体"/>
                <w:color w:val="auto"/>
                <w:kern w:val="0"/>
                <w:sz w:val="21"/>
                <w:szCs w:val="21"/>
                <w:highlight w:val="none"/>
                <w:lang w:val="en-US" w:eastAsia="zh-CN" w:bidi="ar-SA"/>
              </w:rPr>
              <w:t>分，每项内容中每有一处内容缺陷扣 0.5分，扣完为止。(缺陷是指：指方案内容缺项、内容表述不完整、缺少任意一项内容的针对性描述分析或缺少关键分析点，方案内容生搬硬造、表述前后矛盾、无连贯性，内容存在逻辑漏洞、常识错误、科学原理错误、措施保障安排并不适用本项目特性或非专门针对本项目制定、方案中提出的措施举措不利于本项目目标的实现、现有技术条件下不可能出现的情形等任意一种情形。)</w:t>
            </w:r>
          </w:p>
        </w:tc>
        <w:tc>
          <w:tcPr>
            <w:tcW w:w="700" w:type="dxa"/>
            <w:tcBorders>
              <w:top w:val="single" w:color="auto" w:sz="4" w:space="0"/>
              <w:left w:val="single" w:color="000000" w:sz="4" w:space="0"/>
              <w:bottom w:val="single" w:color="auto" w:sz="4" w:space="0"/>
              <w:right w:val="single" w:color="000000" w:sz="4" w:space="0"/>
            </w:tcBorders>
            <w:vAlign w:val="center"/>
          </w:tcPr>
          <w:p w14:paraId="5E24FB4E">
            <w:pPr>
              <w:spacing w:line="360" w:lineRule="exact"/>
              <w:jc w:val="center"/>
              <w:rPr>
                <w:rFonts w:hint="eastAsia" w:eastAsia="宋体"/>
                <w:color w:val="auto"/>
                <w:sz w:val="21"/>
                <w:szCs w:val="21"/>
                <w:highlight w:val="none"/>
                <w:lang w:eastAsia="zh-CN"/>
              </w:rPr>
            </w:pPr>
            <w:r>
              <w:rPr>
                <w:rFonts w:hint="eastAsia"/>
                <w:color w:val="auto"/>
                <w:sz w:val="21"/>
                <w:szCs w:val="21"/>
                <w:highlight w:val="none"/>
                <w:lang w:val="en-US" w:eastAsia="zh-CN"/>
              </w:rPr>
              <w:t>4</w:t>
            </w:r>
          </w:p>
        </w:tc>
      </w:tr>
      <w:tr w14:paraId="722FC5A2">
        <w:tblPrEx>
          <w:tblCellMar>
            <w:top w:w="0" w:type="dxa"/>
            <w:left w:w="108" w:type="dxa"/>
            <w:bottom w:w="0" w:type="dxa"/>
            <w:right w:w="108" w:type="dxa"/>
          </w:tblCellMar>
        </w:tblPrEx>
        <w:trPr>
          <w:trHeight w:val="1450" w:hRule="atLeast"/>
          <w:jc w:val="center"/>
        </w:trPr>
        <w:tc>
          <w:tcPr>
            <w:tcW w:w="955" w:type="dxa"/>
            <w:vMerge w:val="continue"/>
            <w:tcBorders>
              <w:top w:val="single" w:color="000000" w:sz="4" w:space="0"/>
              <w:left w:val="single" w:color="000000" w:sz="4" w:space="0"/>
              <w:bottom w:val="single" w:color="000000" w:sz="4" w:space="0"/>
              <w:right w:val="single" w:color="000000" w:sz="4" w:space="0"/>
            </w:tcBorders>
            <w:vAlign w:val="center"/>
          </w:tcPr>
          <w:p w14:paraId="21D88DAF">
            <w:pPr>
              <w:spacing w:line="360" w:lineRule="exact"/>
              <w:rPr>
                <w:color w:val="auto"/>
                <w:sz w:val="21"/>
                <w:szCs w:val="21"/>
                <w:highlight w:val="none"/>
              </w:rPr>
            </w:pPr>
          </w:p>
        </w:tc>
        <w:tc>
          <w:tcPr>
            <w:tcW w:w="1140" w:type="dxa"/>
            <w:vMerge w:val="continue"/>
            <w:tcBorders>
              <w:left w:val="single" w:color="000000" w:sz="4" w:space="0"/>
              <w:right w:val="single" w:color="000000" w:sz="4" w:space="0"/>
            </w:tcBorders>
            <w:vAlign w:val="center"/>
          </w:tcPr>
          <w:p w14:paraId="3362F21F">
            <w:pPr>
              <w:widowControl/>
              <w:spacing w:line="240" w:lineRule="auto"/>
              <w:rPr>
                <w:rFonts w:hint="eastAsia" w:ascii="宋体" w:hAnsi="宋体" w:eastAsia="宋体" w:cs="宋体"/>
                <w:color w:val="auto"/>
                <w:kern w:val="0"/>
                <w:sz w:val="21"/>
                <w:szCs w:val="21"/>
                <w:highlight w:val="none"/>
                <w:lang w:val="en-US" w:eastAsia="zh-CN" w:bidi="ar-SA"/>
              </w:rPr>
            </w:pPr>
          </w:p>
        </w:tc>
        <w:tc>
          <w:tcPr>
            <w:tcW w:w="1320" w:type="dxa"/>
            <w:tcBorders>
              <w:top w:val="single" w:color="000000" w:sz="4" w:space="0"/>
              <w:left w:val="single" w:color="000000" w:sz="4" w:space="0"/>
              <w:bottom w:val="single" w:color="000000" w:sz="4" w:space="0"/>
              <w:right w:val="single" w:color="000000" w:sz="4" w:space="0"/>
            </w:tcBorders>
            <w:vAlign w:val="center"/>
          </w:tcPr>
          <w:p w14:paraId="2E1AE221">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售后服务（</w:t>
            </w:r>
            <w:r>
              <w:rPr>
                <w:rFonts w:hint="eastAsia" w:cs="宋体"/>
                <w:color w:val="auto"/>
                <w:kern w:val="0"/>
                <w:sz w:val="21"/>
                <w:szCs w:val="21"/>
                <w:highlight w:val="none"/>
                <w:lang w:val="en-US" w:eastAsia="zh-CN" w:bidi="ar-SA"/>
              </w:rPr>
              <w:t>7.5</w:t>
            </w:r>
            <w:r>
              <w:rPr>
                <w:rFonts w:hint="eastAsia" w:ascii="宋体" w:hAnsi="宋体" w:eastAsia="宋体" w:cs="宋体"/>
                <w:color w:val="auto"/>
                <w:kern w:val="0"/>
                <w:sz w:val="21"/>
                <w:szCs w:val="21"/>
                <w:highlight w:val="none"/>
                <w:lang w:val="en-US" w:eastAsia="zh-CN" w:bidi="ar-SA"/>
              </w:rPr>
              <w:t>分）</w:t>
            </w:r>
          </w:p>
        </w:tc>
        <w:tc>
          <w:tcPr>
            <w:tcW w:w="5947" w:type="dxa"/>
            <w:tcBorders>
              <w:top w:val="single" w:color="auto" w:sz="4" w:space="0"/>
              <w:left w:val="single" w:color="000000" w:sz="4" w:space="0"/>
              <w:bottom w:val="single" w:color="auto" w:sz="4" w:space="0"/>
              <w:right w:val="single" w:color="000000" w:sz="4" w:space="0"/>
            </w:tcBorders>
            <w:vAlign w:val="top"/>
          </w:tcPr>
          <w:p w14:paraId="42917660">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1.厂家具备稳定的专业维护工程师，具备稳定的技术支持，并具备相应的资格证明，1小时内响应，3小时内到达（包括所有节假日）得 </w:t>
            </w:r>
            <w:r>
              <w:rPr>
                <w:rFonts w:hint="eastAsia" w:cs="宋体"/>
                <w:color w:val="auto"/>
                <w:kern w:val="0"/>
                <w:sz w:val="21"/>
                <w:szCs w:val="21"/>
                <w:highlight w:val="none"/>
                <w:lang w:val="en-US" w:eastAsia="zh-CN" w:bidi="ar-SA"/>
              </w:rPr>
              <w:t>3</w:t>
            </w:r>
            <w:r>
              <w:rPr>
                <w:rFonts w:hint="eastAsia" w:ascii="宋体" w:hAnsi="宋体" w:eastAsia="宋体" w:cs="宋体"/>
                <w:color w:val="auto"/>
                <w:kern w:val="0"/>
                <w:sz w:val="21"/>
                <w:szCs w:val="21"/>
                <w:highlight w:val="none"/>
                <w:lang w:val="en-US" w:eastAsia="zh-CN" w:bidi="ar-SA"/>
              </w:rPr>
              <w:t>分（需提供证明材料及承诺书）</w:t>
            </w:r>
          </w:p>
          <w:p w14:paraId="6A18DD6D">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2.投标人应拥有完善的售后服务保障体系（</w:t>
            </w:r>
            <w:r>
              <w:rPr>
                <w:rFonts w:hint="eastAsia" w:cs="宋体"/>
                <w:color w:val="auto"/>
                <w:kern w:val="0"/>
                <w:sz w:val="21"/>
                <w:szCs w:val="21"/>
                <w:highlight w:val="none"/>
                <w:lang w:val="en-US" w:eastAsia="zh-CN" w:bidi="ar-SA"/>
              </w:rPr>
              <w:t>3</w:t>
            </w:r>
            <w:r>
              <w:rPr>
                <w:rFonts w:hint="eastAsia" w:ascii="宋体" w:hAnsi="宋体" w:eastAsia="宋体" w:cs="宋体"/>
                <w:color w:val="auto"/>
                <w:kern w:val="0"/>
                <w:sz w:val="21"/>
                <w:szCs w:val="21"/>
                <w:highlight w:val="none"/>
                <w:lang w:val="en-US" w:eastAsia="zh-CN" w:bidi="ar-SA"/>
              </w:rPr>
              <w:t>分）；附相应证明材料，否则不得分。</w:t>
            </w:r>
          </w:p>
          <w:p w14:paraId="24B3D727">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3.投标人</w:t>
            </w:r>
            <w:r>
              <w:rPr>
                <w:rFonts w:hint="eastAsia" w:cs="宋体"/>
                <w:color w:val="auto"/>
                <w:kern w:val="0"/>
                <w:sz w:val="21"/>
                <w:szCs w:val="21"/>
                <w:highlight w:val="none"/>
                <w:lang w:val="en-US" w:eastAsia="zh-CN" w:bidi="ar-SA"/>
              </w:rPr>
              <w:t>在合同履行期间</w:t>
            </w:r>
            <w:r>
              <w:rPr>
                <w:rFonts w:hint="eastAsia" w:ascii="宋体" w:hAnsi="宋体" w:eastAsia="宋体" w:cs="宋体"/>
                <w:color w:val="auto"/>
                <w:kern w:val="0"/>
                <w:sz w:val="21"/>
                <w:szCs w:val="21"/>
                <w:highlight w:val="none"/>
                <w:lang w:val="en-US" w:eastAsia="zh-CN" w:bidi="ar-SA"/>
              </w:rPr>
              <w:t>保证常规配件供应</w:t>
            </w:r>
            <w:r>
              <w:rPr>
                <w:rFonts w:hint="eastAsia" w:cs="宋体"/>
                <w:color w:val="auto"/>
                <w:kern w:val="0"/>
                <w:sz w:val="21"/>
                <w:szCs w:val="21"/>
                <w:highlight w:val="none"/>
                <w:lang w:val="en-US" w:eastAsia="zh-CN" w:bidi="ar-SA"/>
              </w:rPr>
              <w:t>的能力</w:t>
            </w:r>
            <w:r>
              <w:rPr>
                <w:rFonts w:hint="eastAsia" w:ascii="宋体" w:hAnsi="宋体" w:eastAsia="宋体" w:cs="宋体"/>
                <w:color w:val="auto"/>
                <w:kern w:val="0"/>
                <w:sz w:val="21"/>
                <w:szCs w:val="21"/>
                <w:highlight w:val="none"/>
                <w:lang w:val="en-US" w:eastAsia="zh-CN" w:bidi="ar-SA"/>
              </w:rPr>
              <w:t>（1</w:t>
            </w:r>
            <w:r>
              <w:rPr>
                <w:rFonts w:hint="eastAsia" w:cs="宋体"/>
                <w:color w:val="auto"/>
                <w:kern w:val="0"/>
                <w:sz w:val="21"/>
                <w:szCs w:val="21"/>
                <w:highlight w:val="none"/>
                <w:lang w:val="en-US" w:eastAsia="zh-CN" w:bidi="ar-SA"/>
              </w:rPr>
              <w:t>.5</w:t>
            </w:r>
            <w:r>
              <w:rPr>
                <w:rFonts w:hint="eastAsia" w:ascii="宋体" w:hAnsi="宋体" w:eastAsia="宋体" w:cs="宋体"/>
                <w:color w:val="auto"/>
                <w:kern w:val="0"/>
                <w:sz w:val="21"/>
                <w:szCs w:val="21"/>
                <w:highlight w:val="none"/>
                <w:lang w:val="en-US" w:eastAsia="zh-CN" w:bidi="ar-SA"/>
              </w:rPr>
              <w:t>分）；附相应证明材料</w:t>
            </w:r>
            <w:r>
              <w:rPr>
                <w:rFonts w:hint="eastAsia" w:cs="宋体"/>
                <w:color w:val="auto"/>
                <w:kern w:val="0"/>
                <w:sz w:val="21"/>
                <w:szCs w:val="21"/>
                <w:highlight w:val="none"/>
                <w:lang w:val="en-US" w:eastAsia="zh-CN" w:bidi="ar-SA"/>
              </w:rPr>
              <w:t>或承诺</w:t>
            </w:r>
            <w:r>
              <w:rPr>
                <w:rFonts w:hint="eastAsia" w:ascii="宋体" w:hAnsi="宋体" w:eastAsia="宋体" w:cs="宋体"/>
                <w:color w:val="auto"/>
                <w:kern w:val="0"/>
                <w:sz w:val="21"/>
                <w:szCs w:val="21"/>
                <w:highlight w:val="none"/>
                <w:lang w:val="en-US" w:eastAsia="zh-CN" w:bidi="ar-SA"/>
              </w:rPr>
              <w:t>，否则不得分。</w:t>
            </w:r>
          </w:p>
        </w:tc>
        <w:tc>
          <w:tcPr>
            <w:tcW w:w="700" w:type="dxa"/>
            <w:tcBorders>
              <w:top w:val="single" w:color="auto" w:sz="4" w:space="0"/>
              <w:left w:val="single" w:color="000000" w:sz="4" w:space="0"/>
              <w:bottom w:val="single" w:color="auto" w:sz="4" w:space="0"/>
              <w:right w:val="single" w:color="000000" w:sz="4" w:space="0"/>
            </w:tcBorders>
            <w:vAlign w:val="center"/>
          </w:tcPr>
          <w:p w14:paraId="04F9647C">
            <w:pPr>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r>
      <w:tr w14:paraId="6ED9AE1C">
        <w:tblPrEx>
          <w:tblCellMar>
            <w:top w:w="0" w:type="dxa"/>
            <w:left w:w="108" w:type="dxa"/>
            <w:bottom w:w="0" w:type="dxa"/>
            <w:right w:w="108" w:type="dxa"/>
          </w:tblCellMar>
        </w:tblPrEx>
        <w:trPr>
          <w:trHeight w:val="1450" w:hRule="atLeast"/>
          <w:jc w:val="center"/>
        </w:trPr>
        <w:tc>
          <w:tcPr>
            <w:tcW w:w="955" w:type="dxa"/>
            <w:vMerge w:val="continue"/>
            <w:tcBorders>
              <w:top w:val="single" w:color="000000" w:sz="4" w:space="0"/>
              <w:left w:val="single" w:color="000000" w:sz="4" w:space="0"/>
              <w:bottom w:val="single" w:color="000000" w:sz="4" w:space="0"/>
              <w:right w:val="single" w:color="000000" w:sz="4" w:space="0"/>
            </w:tcBorders>
            <w:vAlign w:val="center"/>
          </w:tcPr>
          <w:p w14:paraId="5BBC1C92">
            <w:pPr>
              <w:spacing w:line="360" w:lineRule="exact"/>
              <w:rPr>
                <w:color w:val="auto"/>
                <w:sz w:val="21"/>
                <w:szCs w:val="21"/>
                <w:highlight w:val="none"/>
              </w:rPr>
            </w:pPr>
          </w:p>
        </w:tc>
        <w:tc>
          <w:tcPr>
            <w:tcW w:w="1140" w:type="dxa"/>
            <w:vMerge w:val="continue"/>
            <w:tcBorders>
              <w:left w:val="single" w:color="000000" w:sz="4" w:space="0"/>
              <w:bottom w:val="single" w:color="000000" w:sz="4" w:space="0"/>
              <w:right w:val="single" w:color="000000" w:sz="4" w:space="0"/>
            </w:tcBorders>
            <w:vAlign w:val="center"/>
          </w:tcPr>
          <w:p w14:paraId="02FB7A2F">
            <w:pPr>
              <w:widowControl/>
              <w:spacing w:line="240" w:lineRule="auto"/>
              <w:rPr>
                <w:rFonts w:hint="eastAsia" w:ascii="宋体" w:hAnsi="宋体" w:eastAsia="宋体" w:cs="宋体"/>
                <w:color w:val="auto"/>
                <w:kern w:val="0"/>
                <w:sz w:val="21"/>
                <w:szCs w:val="21"/>
                <w:highlight w:val="none"/>
                <w:lang w:val="en-US" w:eastAsia="zh-CN" w:bidi="ar-SA"/>
              </w:rPr>
            </w:pPr>
          </w:p>
        </w:tc>
        <w:tc>
          <w:tcPr>
            <w:tcW w:w="1320" w:type="dxa"/>
            <w:tcBorders>
              <w:top w:val="single" w:color="000000" w:sz="4" w:space="0"/>
              <w:left w:val="single" w:color="000000" w:sz="4" w:space="0"/>
              <w:bottom w:val="single" w:color="000000" w:sz="4" w:space="0"/>
              <w:right w:val="single" w:color="000000" w:sz="4" w:space="0"/>
            </w:tcBorders>
            <w:vAlign w:val="center"/>
          </w:tcPr>
          <w:p w14:paraId="480B3700">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en-US" w:bidi="ar-SA"/>
              </w:rPr>
              <w:t>应急服务方案（</w:t>
            </w:r>
            <w:r>
              <w:rPr>
                <w:rFonts w:hint="eastAsia" w:cs="宋体"/>
                <w:color w:val="auto"/>
                <w:kern w:val="0"/>
                <w:sz w:val="21"/>
                <w:szCs w:val="21"/>
                <w:highlight w:val="none"/>
                <w:lang w:val="en-US" w:eastAsia="zh-CN" w:bidi="ar-SA"/>
              </w:rPr>
              <w:t>4</w:t>
            </w:r>
            <w:r>
              <w:rPr>
                <w:rFonts w:hint="eastAsia" w:ascii="宋体" w:hAnsi="宋体" w:eastAsia="宋体" w:cs="宋体"/>
                <w:color w:val="auto"/>
                <w:kern w:val="0"/>
                <w:sz w:val="21"/>
                <w:szCs w:val="21"/>
                <w:highlight w:val="none"/>
                <w:lang w:val="en-US" w:eastAsia="zh-CN" w:bidi="ar-SA"/>
              </w:rPr>
              <w:t>分</w:t>
            </w:r>
            <w:r>
              <w:rPr>
                <w:rFonts w:hint="eastAsia" w:ascii="宋体" w:hAnsi="宋体" w:eastAsia="宋体" w:cs="宋体"/>
                <w:color w:val="auto"/>
                <w:kern w:val="0"/>
                <w:sz w:val="21"/>
                <w:szCs w:val="21"/>
                <w:highlight w:val="none"/>
                <w:lang w:val="en-US" w:eastAsia="en-US" w:bidi="ar-SA"/>
              </w:rPr>
              <w:t>）</w:t>
            </w:r>
          </w:p>
        </w:tc>
        <w:tc>
          <w:tcPr>
            <w:tcW w:w="5947" w:type="dxa"/>
            <w:tcBorders>
              <w:top w:val="single" w:color="auto" w:sz="4" w:space="0"/>
              <w:left w:val="single" w:color="000000" w:sz="4" w:space="0"/>
              <w:bottom w:val="single" w:color="auto" w:sz="4" w:space="0"/>
              <w:right w:val="single" w:color="000000" w:sz="4" w:space="0"/>
            </w:tcBorders>
            <w:vAlign w:val="top"/>
          </w:tcPr>
          <w:p w14:paraId="19A9B4B5">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提供针对本项目的应急服务方案，包括：</w:t>
            </w:r>
          </w:p>
          <w:p w14:paraId="56D2260D">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1.应急响应程序（包括应急服务流程图、应急联络机制、分级应急处置机制等）；</w:t>
            </w:r>
          </w:p>
          <w:p w14:paraId="08C60CD6">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 一般故障、重大故障、停机故障分级处置时限；</w:t>
            </w:r>
          </w:p>
          <w:p w14:paraId="00337ABF">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 重大故障、停机故障的技术支持；</w:t>
            </w:r>
          </w:p>
          <w:p w14:paraId="0A6CD6D1">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 突发公共卫生事件应急保障（包括批量患者救治、突发急救、公共卫生应急演练等）</w:t>
            </w:r>
          </w:p>
          <w:p w14:paraId="7A21D713">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以上内容完整且完全满足项目要求得</w:t>
            </w:r>
            <w:r>
              <w:rPr>
                <w:rFonts w:hint="eastAsia" w:cs="宋体"/>
                <w:color w:val="auto"/>
                <w:kern w:val="0"/>
                <w:sz w:val="21"/>
                <w:szCs w:val="21"/>
                <w:highlight w:val="none"/>
                <w:lang w:val="en-US" w:eastAsia="zh-CN" w:bidi="ar-SA"/>
              </w:rPr>
              <w:t>4</w:t>
            </w:r>
            <w:r>
              <w:rPr>
                <w:rFonts w:hint="eastAsia" w:ascii="宋体" w:hAnsi="宋体" w:eastAsia="宋体" w:cs="宋体"/>
                <w:color w:val="auto"/>
                <w:kern w:val="0"/>
                <w:sz w:val="21"/>
                <w:szCs w:val="21"/>
                <w:highlight w:val="none"/>
                <w:lang w:val="en-US" w:eastAsia="zh-CN" w:bidi="ar-SA"/>
              </w:rPr>
              <w:t>分，每缺失一项内容扣1分，每项内容中每有一处内容缺陷扣0.</w:t>
            </w:r>
            <w:r>
              <w:rPr>
                <w:rFonts w:hint="eastAsia" w:cs="宋体"/>
                <w:color w:val="auto"/>
                <w:kern w:val="0"/>
                <w:sz w:val="21"/>
                <w:szCs w:val="21"/>
                <w:highlight w:val="none"/>
                <w:lang w:val="en-US" w:eastAsia="zh-CN" w:bidi="ar-SA"/>
              </w:rPr>
              <w:t>5</w:t>
            </w:r>
            <w:r>
              <w:rPr>
                <w:rFonts w:hint="eastAsia" w:ascii="宋体" w:hAnsi="宋体" w:eastAsia="宋体" w:cs="宋体"/>
                <w:color w:val="auto"/>
                <w:kern w:val="0"/>
                <w:sz w:val="21"/>
                <w:szCs w:val="21"/>
                <w:highlight w:val="none"/>
                <w:lang w:val="en-US" w:eastAsia="zh-CN" w:bidi="ar-SA"/>
              </w:rPr>
              <w:t>分，扣完为止。(缺陷是指：指方案内容缺项、内容表述不完整、缺少任意一项内容的针对性描述分析或缺少关键分析点，方案内容生搬硬造、表述前后矛盾、无连贯性，内容存在逻辑漏洞、常识错误、科学原理错误、措施保障安排并不适用本项目特性或非专门针对本项目制定、方案中提出的措施举措不利于本项目目标的实现、现有技术条件下不可能出现的情形等任意一种情形。)</w:t>
            </w:r>
          </w:p>
        </w:tc>
        <w:tc>
          <w:tcPr>
            <w:tcW w:w="700" w:type="dxa"/>
            <w:tcBorders>
              <w:top w:val="single" w:color="auto" w:sz="4" w:space="0"/>
              <w:left w:val="single" w:color="000000" w:sz="4" w:space="0"/>
              <w:bottom w:val="single" w:color="auto" w:sz="4" w:space="0"/>
              <w:right w:val="single" w:color="000000" w:sz="4" w:space="0"/>
            </w:tcBorders>
            <w:vAlign w:val="center"/>
          </w:tcPr>
          <w:p w14:paraId="4DD1742D">
            <w:pPr>
              <w:widowControl/>
              <w:spacing w:line="240" w:lineRule="auto"/>
              <w:rPr>
                <w:rFonts w:hint="default" w:ascii="宋体" w:hAnsi="宋体" w:eastAsia="宋体" w:cs="宋体"/>
                <w:color w:val="auto"/>
                <w:kern w:val="0"/>
                <w:sz w:val="21"/>
                <w:szCs w:val="21"/>
                <w:highlight w:val="none"/>
                <w:lang w:val="en-US" w:eastAsia="zh-CN" w:bidi="ar-SA"/>
              </w:rPr>
            </w:pPr>
            <w:r>
              <w:rPr>
                <w:rFonts w:hint="eastAsia" w:cs="宋体"/>
                <w:color w:val="auto"/>
                <w:kern w:val="0"/>
                <w:sz w:val="21"/>
                <w:szCs w:val="21"/>
                <w:highlight w:val="none"/>
                <w:lang w:val="en-US" w:eastAsia="zh-CN" w:bidi="ar-SA"/>
              </w:rPr>
              <w:t>4</w:t>
            </w:r>
          </w:p>
        </w:tc>
      </w:tr>
      <w:tr w14:paraId="089805D1">
        <w:tblPrEx>
          <w:tblCellMar>
            <w:top w:w="0" w:type="dxa"/>
            <w:left w:w="108" w:type="dxa"/>
            <w:bottom w:w="0" w:type="dxa"/>
            <w:right w:w="108" w:type="dxa"/>
          </w:tblCellMar>
        </w:tblPrEx>
        <w:trPr>
          <w:trHeight w:val="310" w:hRule="atLeast"/>
          <w:jc w:val="center"/>
        </w:trPr>
        <w:tc>
          <w:tcPr>
            <w:tcW w:w="955" w:type="dxa"/>
            <w:vMerge w:val="restart"/>
            <w:tcBorders>
              <w:top w:val="single" w:color="000000" w:sz="4" w:space="0"/>
              <w:left w:val="single" w:color="000000" w:sz="4" w:space="0"/>
              <w:bottom w:val="single" w:color="000000" w:sz="4" w:space="0"/>
              <w:right w:val="single" w:color="000000" w:sz="4" w:space="0"/>
            </w:tcBorders>
            <w:vAlign w:val="center"/>
          </w:tcPr>
          <w:p w14:paraId="441235B8">
            <w:pPr>
              <w:spacing w:line="360" w:lineRule="exact"/>
              <w:rPr>
                <w:color w:val="auto"/>
                <w:sz w:val="21"/>
                <w:szCs w:val="21"/>
                <w:highlight w:val="none"/>
              </w:rPr>
            </w:pPr>
          </w:p>
        </w:tc>
        <w:tc>
          <w:tcPr>
            <w:tcW w:w="8407" w:type="dxa"/>
            <w:gridSpan w:val="3"/>
            <w:tcBorders>
              <w:top w:val="single" w:color="000000" w:sz="4" w:space="0"/>
              <w:left w:val="single" w:color="000000" w:sz="4" w:space="0"/>
              <w:bottom w:val="single" w:color="000000" w:sz="4" w:space="0"/>
              <w:right w:val="single" w:color="000000" w:sz="4" w:space="0"/>
            </w:tcBorders>
            <w:vAlign w:val="center"/>
          </w:tcPr>
          <w:p w14:paraId="010A5129">
            <w:pPr>
              <w:spacing w:line="360" w:lineRule="exact"/>
              <w:jc w:val="center"/>
              <w:rPr>
                <w:color w:val="auto"/>
                <w:sz w:val="21"/>
                <w:szCs w:val="21"/>
                <w:highlight w:val="none"/>
              </w:rPr>
            </w:pPr>
            <w:r>
              <w:rPr>
                <w:rFonts w:hint="eastAsia"/>
                <w:color w:val="auto"/>
                <w:sz w:val="21"/>
                <w:szCs w:val="21"/>
                <w:highlight w:val="none"/>
                <w:lang w:bidi="ar"/>
              </w:rPr>
              <w:t>合计</w:t>
            </w:r>
          </w:p>
        </w:tc>
        <w:tc>
          <w:tcPr>
            <w:tcW w:w="700" w:type="dxa"/>
            <w:tcBorders>
              <w:top w:val="single" w:color="000000" w:sz="4" w:space="0"/>
              <w:left w:val="single" w:color="000000" w:sz="4" w:space="0"/>
              <w:bottom w:val="single" w:color="000000" w:sz="4" w:space="0"/>
              <w:right w:val="single" w:color="000000" w:sz="4" w:space="0"/>
            </w:tcBorders>
            <w:vAlign w:val="center"/>
          </w:tcPr>
          <w:p w14:paraId="2DE2C4FA">
            <w:pPr>
              <w:spacing w:line="360" w:lineRule="exact"/>
              <w:rPr>
                <w:color w:val="auto"/>
                <w:sz w:val="21"/>
                <w:szCs w:val="21"/>
                <w:highlight w:val="none"/>
              </w:rPr>
            </w:pPr>
            <w:r>
              <w:rPr>
                <w:rFonts w:hint="eastAsia"/>
                <w:color w:val="auto"/>
                <w:sz w:val="21"/>
                <w:szCs w:val="21"/>
                <w:highlight w:val="none"/>
                <w:lang w:bidi="ar"/>
              </w:rPr>
              <w:t>100</w:t>
            </w:r>
          </w:p>
        </w:tc>
      </w:tr>
      <w:tr w14:paraId="3899961E">
        <w:tblPrEx>
          <w:tblCellMar>
            <w:top w:w="0" w:type="dxa"/>
            <w:left w:w="108" w:type="dxa"/>
            <w:bottom w:w="0" w:type="dxa"/>
            <w:right w:w="108" w:type="dxa"/>
          </w:tblCellMar>
        </w:tblPrEx>
        <w:trPr>
          <w:trHeight w:val="555" w:hRule="atLeast"/>
          <w:jc w:val="center"/>
        </w:trPr>
        <w:tc>
          <w:tcPr>
            <w:tcW w:w="955" w:type="dxa"/>
            <w:vMerge w:val="continue"/>
            <w:tcBorders>
              <w:top w:val="single" w:color="000000" w:sz="4" w:space="0"/>
              <w:left w:val="single" w:color="000000" w:sz="4" w:space="0"/>
              <w:bottom w:val="single" w:color="auto" w:sz="4" w:space="0"/>
              <w:right w:val="single" w:color="000000" w:sz="4" w:space="0"/>
            </w:tcBorders>
            <w:vAlign w:val="center"/>
          </w:tcPr>
          <w:p w14:paraId="08207F18">
            <w:pPr>
              <w:spacing w:line="360" w:lineRule="exact"/>
              <w:rPr>
                <w:color w:val="auto"/>
                <w:sz w:val="21"/>
                <w:szCs w:val="21"/>
                <w:highlight w:val="none"/>
              </w:rPr>
            </w:pPr>
          </w:p>
        </w:tc>
        <w:tc>
          <w:tcPr>
            <w:tcW w:w="9107" w:type="dxa"/>
            <w:gridSpan w:val="4"/>
            <w:tcBorders>
              <w:top w:val="single" w:color="000000" w:sz="4" w:space="0"/>
              <w:left w:val="single" w:color="000000" w:sz="4" w:space="0"/>
              <w:bottom w:val="single" w:color="auto" w:sz="4" w:space="0"/>
              <w:right w:val="single" w:color="000000" w:sz="4" w:space="0"/>
            </w:tcBorders>
            <w:vAlign w:val="center"/>
          </w:tcPr>
          <w:p w14:paraId="05FAA035">
            <w:pPr>
              <w:spacing w:line="360" w:lineRule="exact"/>
              <w:rPr>
                <w:color w:val="auto"/>
                <w:sz w:val="21"/>
                <w:szCs w:val="21"/>
                <w:highlight w:val="none"/>
              </w:rPr>
            </w:pPr>
            <w:r>
              <w:rPr>
                <w:rFonts w:hint="eastAsia"/>
                <w:color w:val="auto"/>
                <w:sz w:val="21"/>
                <w:szCs w:val="21"/>
                <w:highlight w:val="none"/>
                <w:lang w:bidi="ar"/>
              </w:rPr>
              <w:t>注：评分分值计算保留小数点后两位，小数点后第三位“四舍五入”</w:t>
            </w:r>
          </w:p>
        </w:tc>
      </w:tr>
      <w:tr w14:paraId="0D5F6D15">
        <w:tblPrEx>
          <w:tblCellMar>
            <w:top w:w="0" w:type="dxa"/>
            <w:left w:w="108" w:type="dxa"/>
            <w:bottom w:w="0" w:type="dxa"/>
            <w:right w:w="108" w:type="dxa"/>
          </w:tblCellMar>
        </w:tblPrEx>
        <w:trPr>
          <w:trHeight w:val="680" w:hRule="atLeast"/>
          <w:jc w:val="center"/>
        </w:trPr>
        <w:tc>
          <w:tcPr>
            <w:tcW w:w="2095" w:type="dxa"/>
            <w:gridSpan w:val="2"/>
            <w:tcBorders>
              <w:top w:val="single" w:color="auto" w:sz="4" w:space="0"/>
              <w:left w:val="single" w:color="auto" w:sz="4" w:space="0"/>
              <w:bottom w:val="single" w:color="auto" w:sz="4" w:space="0"/>
              <w:right w:val="single" w:color="auto" w:sz="4" w:space="0"/>
            </w:tcBorders>
            <w:vAlign w:val="center"/>
          </w:tcPr>
          <w:p w14:paraId="69CCB70E">
            <w:pPr>
              <w:spacing w:line="360" w:lineRule="exact"/>
              <w:rPr>
                <w:color w:val="auto"/>
                <w:sz w:val="21"/>
                <w:szCs w:val="21"/>
                <w:highlight w:val="none"/>
              </w:rPr>
            </w:pPr>
            <w:r>
              <w:rPr>
                <w:rFonts w:hint="eastAsia"/>
                <w:color w:val="auto"/>
                <w:sz w:val="21"/>
                <w:szCs w:val="21"/>
                <w:highlight w:val="none"/>
                <w:lang w:bidi="ar"/>
              </w:rPr>
              <w:t>备注</w:t>
            </w:r>
          </w:p>
        </w:tc>
        <w:tc>
          <w:tcPr>
            <w:tcW w:w="7967" w:type="dxa"/>
            <w:gridSpan w:val="3"/>
            <w:tcBorders>
              <w:top w:val="single" w:color="auto" w:sz="4" w:space="0"/>
              <w:left w:val="single" w:color="auto" w:sz="4" w:space="0"/>
              <w:bottom w:val="single" w:color="auto" w:sz="4" w:space="0"/>
              <w:right w:val="single" w:color="auto" w:sz="4" w:space="0"/>
            </w:tcBorders>
            <w:vAlign w:val="center"/>
          </w:tcPr>
          <w:p w14:paraId="5186A4BA">
            <w:pPr>
              <w:spacing w:line="360" w:lineRule="exact"/>
              <w:rPr>
                <w:color w:val="auto"/>
                <w:sz w:val="21"/>
                <w:szCs w:val="21"/>
                <w:highlight w:val="none"/>
              </w:rPr>
            </w:pPr>
            <w:r>
              <w:rPr>
                <w:rFonts w:hint="eastAsia"/>
                <w:color w:val="auto"/>
                <w:sz w:val="21"/>
                <w:szCs w:val="21"/>
                <w:highlight w:val="none"/>
                <w:lang w:bidi="ar"/>
              </w:rPr>
              <w:t>1.供应商提供的所有数据及材料，必须真实有效，如发现弄虚作假，取消中标资格，并上报上级财政主管部门。</w:t>
            </w:r>
          </w:p>
        </w:tc>
      </w:tr>
    </w:tbl>
    <w:p w14:paraId="0D8914C4">
      <w:pPr>
        <w:pStyle w:val="40"/>
        <w:rPr>
          <w:color w:val="auto"/>
          <w:highlight w:val="none"/>
        </w:rPr>
      </w:pPr>
    </w:p>
    <w:p w14:paraId="0914C7FA">
      <w:pPr>
        <w:pStyle w:val="40"/>
        <w:rPr>
          <w:color w:val="auto"/>
          <w:highlight w:val="none"/>
        </w:rPr>
      </w:pPr>
    </w:p>
    <w:p w14:paraId="0AB93DDD">
      <w:pPr>
        <w:pStyle w:val="40"/>
        <w:rPr>
          <w:color w:val="auto"/>
          <w:highlight w:val="none"/>
        </w:rPr>
      </w:pPr>
    </w:p>
    <w:p w14:paraId="207DA1D2">
      <w:pPr>
        <w:rPr>
          <w:rFonts w:hint="eastAsia"/>
          <w:color w:val="auto"/>
          <w:highlight w:val="none"/>
          <w:lang w:val="zh-CN"/>
        </w:rPr>
      </w:pPr>
      <w:bookmarkStart w:id="338" w:name="_Toc163492912"/>
      <w:bookmarkStart w:id="339" w:name="_Toc155185918"/>
      <w:r>
        <w:rPr>
          <w:rFonts w:hint="eastAsia"/>
          <w:color w:val="auto"/>
          <w:highlight w:val="none"/>
          <w:lang w:val="zh-CN"/>
        </w:rPr>
        <w:br w:type="page"/>
      </w:r>
    </w:p>
    <w:bookmarkEnd w:id="338"/>
    <w:bookmarkEnd w:id="339"/>
    <w:p w14:paraId="674C75A1">
      <w:pPr>
        <w:pStyle w:val="2"/>
        <w:rPr>
          <w:color w:val="auto"/>
          <w:highlight w:val="none"/>
          <w:lang w:val="zh-CN"/>
        </w:rPr>
      </w:pPr>
      <w:bookmarkStart w:id="340" w:name="_Toc16332"/>
      <w:bookmarkStart w:id="341" w:name="_Toc163492913"/>
      <w:bookmarkStart w:id="342" w:name="_Toc4092"/>
      <w:bookmarkStart w:id="343" w:name="_Toc155185919"/>
      <w:r>
        <w:rPr>
          <w:rFonts w:hint="eastAsia"/>
          <w:color w:val="auto"/>
          <w:highlight w:val="none"/>
          <w:lang w:val="zh-CN"/>
        </w:rPr>
        <w:t>第六章 合同草案</w:t>
      </w:r>
      <w:bookmarkEnd w:id="340"/>
    </w:p>
    <w:p w14:paraId="205FE7CB">
      <w:pPr>
        <w:spacing w:line="360" w:lineRule="auto"/>
        <w:ind w:firstLine="601"/>
        <w:jc w:val="center"/>
        <w:rPr>
          <w:rFonts w:ascii="宋体" w:hAnsi="宋体"/>
          <w:b/>
          <w:sz w:val="36"/>
          <w:szCs w:val="44"/>
        </w:rPr>
      </w:pPr>
      <w:r>
        <w:rPr>
          <w:rFonts w:ascii="宋体" w:hAnsi="宋体"/>
          <w:sz w:val="24"/>
          <w:szCs w:val="44"/>
        </w:rPr>
        <w:t>（</w:t>
      </w:r>
      <w:r>
        <w:rPr>
          <w:rFonts w:hint="eastAsia" w:ascii="宋体" w:hAnsi="宋体"/>
          <w:sz w:val="24"/>
          <w:szCs w:val="44"/>
        </w:rPr>
        <w:t>此</w:t>
      </w:r>
      <w:r>
        <w:rPr>
          <w:rFonts w:ascii="宋体" w:hAnsi="宋体"/>
          <w:sz w:val="24"/>
          <w:szCs w:val="44"/>
        </w:rPr>
        <w:t>合同为模板，具体签订合同依照采购文件及响应文件，甲乙双方协商为准）</w:t>
      </w:r>
    </w:p>
    <w:p w14:paraId="524DDD43">
      <w:pPr>
        <w:widowControl w:val="0"/>
        <w:spacing w:line="560" w:lineRule="exact"/>
        <w:ind w:firstLine="601"/>
        <w:jc w:val="center"/>
        <w:rPr>
          <w:rFonts w:hint="eastAsia" w:ascii="宋体" w:hAnsi="宋体"/>
          <w:b/>
          <w:sz w:val="11"/>
          <w:szCs w:val="11"/>
        </w:rPr>
      </w:pPr>
      <w:r>
        <w:rPr>
          <w:rFonts w:hint="eastAsia" w:ascii="宋体" w:hAnsi="宋体"/>
          <w:b/>
          <w:sz w:val="22"/>
          <w:szCs w:val="22"/>
        </w:rPr>
        <w:t xml:space="preserve">                                              </w:t>
      </w:r>
    </w:p>
    <w:p w14:paraId="2910CB8C">
      <w:pPr>
        <w:widowControl w:val="0"/>
        <w:spacing w:line="560" w:lineRule="exact"/>
        <w:ind w:firstLine="601"/>
        <w:jc w:val="center"/>
        <w:rPr>
          <w:rFonts w:hint="eastAsia" w:ascii="宋体" w:hAnsi="宋体"/>
          <w:b/>
          <w:sz w:val="11"/>
          <w:szCs w:val="11"/>
        </w:rPr>
      </w:pPr>
    </w:p>
    <w:p w14:paraId="16A95756">
      <w:pPr>
        <w:widowControl w:val="0"/>
        <w:spacing w:line="560" w:lineRule="exact"/>
        <w:ind w:firstLine="601"/>
        <w:jc w:val="center"/>
        <w:rPr>
          <w:rFonts w:ascii="仿宋" w:hAnsi="仿宋" w:eastAsia="仿宋"/>
          <w:b/>
          <w:sz w:val="44"/>
          <w:szCs w:val="44"/>
        </w:rPr>
      </w:pPr>
    </w:p>
    <w:p w14:paraId="64778C53">
      <w:pPr>
        <w:widowControl w:val="0"/>
        <w:spacing w:line="560" w:lineRule="exact"/>
        <w:ind w:firstLine="601"/>
        <w:jc w:val="center"/>
        <w:rPr>
          <w:rFonts w:hint="eastAsia" w:ascii="仿宋" w:hAnsi="仿宋" w:eastAsia="仿宋"/>
          <w:b/>
          <w:sz w:val="44"/>
          <w:szCs w:val="44"/>
        </w:rPr>
      </w:pPr>
    </w:p>
    <w:p w14:paraId="5FC4393C">
      <w:pPr>
        <w:widowControl w:val="0"/>
        <w:spacing w:line="560" w:lineRule="exact"/>
        <w:ind w:firstLine="601"/>
        <w:jc w:val="center"/>
        <w:rPr>
          <w:rFonts w:hint="eastAsia" w:ascii="仿宋" w:hAnsi="仿宋" w:eastAsia="仿宋"/>
          <w:b/>
          <w:sz w:val="44"/>
          <w:szCs w:val="44"/>
        </w:rPr>
      </w:pPr>
    </w:p>
    <w:p w14:paraId="28B1AA61">
      <w:pPr>
        <w:widowControl w:val="0"/>
        <w:spacing w:line="560" w:lineRule="exact"/>
        <w:ind w:firstLine="601"/>
        <w:jc w:val="center"/>
        <w:rPr>
          <w:rFonts w:hint="eastAsia" w:ascii="仿宋" w:hAnsi="仿宋" w:eastAsia="仿宋"/>
          <w:b/>
          <w:sz w:val="44"/>
          <w:szCs w:val="44"/>
        </w:rPr>
      </w:pPr>
    </w:p>
    <w:p w14:paraId="5D10EF9F">
      <w:pPr>
        <w:widowControl w:val="0"/>
        <w:spacing w:line="560" w:lineRule="exact"/>
        <w:ind w:firstLine="601"/>
        <w:jc w:val="center"/>
        <w:rPr>
          <w:rFonts w:hint="eastAsia" w:ascii="仿宋" w:hAnsi="仿宋" w:eastAsia="仿宋"/>
          <w:b/>
          <w:sz w:val="44"/>
          <w:szCs w:val="44"/>
        </w:rPr>
      </w:pPr>
      <w:r>
        <w:rPr>
          <w:rFonts w:hint="eastAsia" w:ascii="仿宋" w:hAnsi="仿宋" w:eastAsia="仿宋"/>
          <w:b/>
          <w:sz w:val="44"/>
          <w:szCs w:val="44"/>
        </w:rPr>
        <w:t>新疆医科大学附属肿瘤医院</w:t>
      </w:r>
    </w:p>
    <w:p w14:paraId="638B22D4">
      <w:pPr>
        <w:widowControl w:val="0"/>
        <w:spacing w:line="560" w:lineRule="exact"/>
        <w:ind w:firstLine="601"/>
        <w:jc w:val="center"/>
        <w:rPr>
          <w:rFonts w:hint="eastAsia" w:ascii="仿宋" w:hAnsi="仿宋" w:eastAsia="仿宋"/>
          <w:b/>
          <w:sz w:val="44"/>
          <w:szCs w:val="44"/>
        </w:rPr>
      </w:pPr>
      <w:r>
        <w:rPr>
          <w:rFonts w:hint="eastAsia" w:ascii="仿宋" w:hAnsi="仿宋" w:eastAsia="仿宋"/>
          <w:b/>
          <w:sz w:val="44"/>
          <w:szCs w:val="44"/>
        </w:rPr>
        <w:t>采购合同书</w:t>
      </w:r>
    </w:p>
    <w:p w14:paraId="4BBF6405">
      <w:pPr>
        <w:widowControl w:val="0"/>
        <w:spacing w:line="560" w:lineRule="exact"/>
        <w:ind w:firstLine="601"/>
        <w:jc w:val="center"/>
        <w:rPr>
          <w:rFonts w:hint="eastAsia" w:ascii="仿宋" w:hAnsi="仿宋" w:eastAsia="仿宋"/>
          <w:b/>
          <w:sz w:val="32"/>
          <w:szCs w:val="32"/>
        </w:rPr>
      </w:pPr>
    </w:p>
    <w:p w14:paraId="7BEE490B">
      <w:pPr>
        <w:widowControl w:val="0"/>
        <w:spacing w:line="560" w:lineRule="exact"/>
        <w:jc w:val="both"/>
        <w:rPr>
          <w:rFonts w:hint="eastAsia" w:ascii="仿宋" w:hAnsi="仿宋" w:eastAsia="仿宋"/>
          <w:b/>
          <w:sz w:val="24"/>
          <w:szCs w:val="20"/>
        </w:rPr>
      </w:pPr>
    </w:p>
    <w:p w14:paraId="08952031">
      <w:pPr>
        <w:widowControl w:val="0"/>
        <w:spacing w:line="560" w:lineRule="exact"/>
        <w:rPr>
          <w:rFonts w:hint="eastAsia" w:ascii="仿宋" w:hAnsi="仿宋" w:eastAsia="仿宋"/>
          <w:b/>
          <w:sz w:val="30"/>
          <w:szCs w:val="30"/>
        </w:rPr>
      </w:pPr>
    </w:p>
    <w:p w14:paraId="3FC06EF0">
      <w:pPr>
        <w:widowControl w:val="0"/>
        <w:autoSpaceDE w:val="0"/>
        <w:autoSpaceDN w:val="0"/>
        <w:spacing w:line="360" w:lineRule="auto"/>
        <w:ind w:left="181" w:firstLine="641"/>
        <w:jc w:val="both"/>
        <w:rPr>
          <w:rFonts w:hint="eastAsia" w:ascii="Calibri" w:hAnsi="Calibri"/>
          <w:b/>
          <w:sz w:val="24"/>
          <w:szCs w:val="20"/>
        </w:rPr>
      </w:pPr>
    </w:p>
    <w:p w14:paraId="5B99EC8C">
      <w:pPr>
        <w:widowControl w:val="0"/>
        <w:spacing w:line="560" w:lineRule="exact"/>
        <w:rPr>
          <w:rFonts w:ascii="仿宋" w:hAnsi="仿宋" w:eastAsia="仿宋"/>
          <w:b/>
          <w:sz w:val="30"/>
          <w:szCs w:val="30"/>
        </w:rPr>
      </w:pPr>
    </w:p>
    <w:p w14:paraId="3157EBB0">
      <w:pPr>
        <w:widowControl w:val="0"/>
        <w:spacing w:line="560" w:lineRule="exact"/>
        <w:ind w:firstLine="1355" w:firstLineChars="450"/>
        <w:rPr>
          <w:rFonts w:hint="eastAsia" w:ascii="仿宋" w:hAnsi="仿宋" w:eastAsia="仿宋"/>
          <w:b/>
          <w:sz w:val="30"/>
          <w:szCs w:val="30"/>
        </w:rPr>
      </w:pPr>
      <w:r>
        <w:rPr>
          <w:rFonts w:hint="eastAsia" w:ascii="仿宋" w:hAnsi="仿宋" w:eastAsia="仿宋"/>
          <w:b/>
          <w:sz w:val="30"/>
          <w:szCs w:val="30"/>
        </w:rPr>
        <w:t>买  方：新疆医科大学附属肿瘤医院</w:t>
      </w:r>
    </w:p>
    <w:p w14:paraId="765894ED">
      <w:pPr>
        <w:widowControl w:val="0"/>
        <w:spacing w:line="560" w:lineRule="exact"/>
        <w:rPr>
          <w:rFonts w:hint="eastAsia" w:ascii="仿宋" w:hAnsi="仿宋" w:eastAsia="仿宋"/>
          <w:b/>
          <w:sz w:val="30"/>
          <w:szCs w:val="30"/>
        </w:rPr>
      </w:pPr>
    </w:p>
    <w:p w14:paraId="292CD99B">
      <w:pPr>
        <w:widowControl w:val="0"/>
        <w:spacing w:line="560" w:lineRule="exact"/>
        <w:ind w:firstLine="1355" w:firstLineChars="450"/>
        <w:rPr>
          <w:rFonts w:hint="eastAsia" w:ascii="仿宋" w:hAnsi="仿宋" w:eastAsia="仿宋"/>
          <w:b/>
          <w:sz w:val="30"/>
          <w:szCs w:val="30"/>
        </w:rPr>
      </w:pPr>
      <w:r>
        <w:rPr>
          <w:rFonts w:hint="eastAsia" w:ascii="仿宋" w:hAnsi="仿宋" w:eastAsia="仿宋"/>
          <w:b/>
          <w:sz w:val="30"/>
          <w:szCs w:val="30"/>
        </w:rPr>
        <w:t xml:space="preserve">卖  方： </w:t>
      </w:r>
    </w:p>
    <w:p w14:paraId="300062B9">
      <w:pPr>
        <w:widowControl w:val="0"/>
        <w:spacing w:line="560" w:lineRule="exact"/>
        <w:ind w:firstLine="1355" w:firstLineChars="450"/>
        <w:rPr>
          <w:rFonts w:hint="eastAsia" w:ascii="仿宋" w:hAnsi="仿宋" w:eastAsia="仿宋"/>
          <w:b/>
          <w:sz w:val="30"/>
          <w:szCs w:val="30"/>
        </w:rPr>
      </w:pPr>
    </w:p>
    <w:p w14:paraId="71F3A3BD">
      <w:pPr>
        <w:widowControl w:val="0"/>
        <w:spacing w:line="560" w:lineRule="exact"/>
        <w:ind w:firstLine="1355" w:firstLineChars="450"/>
        <w:rPr>
          <w:rFonts w:hint="eastAsia" w:ascii="仿宋" w:hAnsi="仿宋" w:eastAsia="仿宋"/>
          <w:b/>
          <w:sz w:val="30"/>
          <w:szCs w:val="30"/>
        </w:rPr>
      </w:pPr>
      <w:r>
        <w:rPr>
          <w:rFonts w:hint="eastAsia" w:ascii="仿宋" w:hAnsi="仿宋" w:eastAsia="仿宋"/>
          <w:b/>
          <w:sz w:val="30"/>
          <w:szCs w:val="30"/>
        </w:rPr>
        <w:t>签约地点：新疆乌鲁木齐市新市区</w:t>
      </w:r>
    </w:p>
    <w:p w14:paraId="54897410">
      <w:pPr>
        <w:widowControl w:val="0"/>
        <w:spacing w:line="560" w:lineRule="exact"/>
        <w:ind w:firstLine="1355" w:firstLineChars="450"/>
        <w:rPr>
          <w:rFonts w:hint="eastAsia" w:ascii="仿宋" w:hAnsi="仿宋" w:eastAsia="仿宋"/>
          <w:b/>
          <w:sz w:val="30"/>
          <w:szCs w:val="30"/>
        </w:rPr>
      </w:pPr>
    </w:p>
    <w:p w14:paraId="4F04CF2D">
      <w:pPr>
        <w:widowControl w:val="0"/>
        <w:spacing w:line="560" w:lineRule="exact"/>
        <w:ind w:firstLine="1355" w:firstLineChars="450"/>
        <w:rPr>
          <w:rFonts w:hint="eastAsia" w:ascii="仿宋" w:hAnsi="仿宋" w:eastAsia="仿宋"/>
          <w:b/>
          <w:sz w:val="30"/>
          <w:szCs w:val="30"/>
          <w:highlight w:val="yellow"/>
        </w:rPr>
      </w:pPr>
      <w:r>
        <w:rPr>
          <w:rFonts w:hint="eastAsia" w:ascii="仿宋" w:hAnsi="仿宋" w:eastAsia="仿宋"/>
          <w:b/>
          <w:sz w:val="30"/>
          <w:szCs w:val="30"/>
        </w:rPr>
        <w:t>合同编号：</w:t>
      </w:r>
    </w:p>
    <w:p w14:paraId="143D7AD4">
      <w:pPr>
        <w:widowControl w:val="0"/>
        <w:spacing w:line="560" w:lineRule="exact"/>
        <w:jc w:val="both"/>
        <w:rPr>
          <w:rFonts w:hint="eastAsia" w:ascii="仿宋" w:hAnsi="仿宋" w:eastAsia="仿宋"/>
          <w:b/>
          <w:sz w:val="24"/>
          <w:szCs w:val="20"/>
        </w:rPr>
      </w:pPr>
      <w:r>
        <w:rPr>
          <w:rFonts w:hint="eastAsia" w:ascii="仿宋" w:hAnsi="仿宋" w:eastAsia="仿宋"/>
          <w:b/>
          <w:sz w:val="30"/>
          <w:szCs w:val="30"/>
        </w:rPr>
        <w:br w:type="page"/>
      </w:r>
      <w:r>
        <w:rPr>
          <w:rFonts w:hint="eastAsia" w:ascii="仿宋" w:hAnsi="仿宋" w:eastAsia="仿宋"/>
          <w:b/>
          <w:sz w:val="24"/>
          <w:szCs w:val="20"/>
        </w:rPr>
        <w:t>甲方（买方）：新疆医科大学附属肿瘤医院</w:t>
      </w:r>
    </w:p>
    <w:p w14:paraId="7E28B971">
      <w:pPr>
        <w:widowControl w:val="0"/>
        <w:spacing w:line="520" w:lineRule="exact"/>
        <w:jc w:val="both"/>
        <w:rPr>
          <w:rFonts w:hint="eastAsia" w:ascii="仿宋" w:hAnsi="仿宋" w:eastAsia="仿宋"/>
          <w:b/>
          <w:sz w:val="24"/>
          <w:szCs w:val="20"/>
        </w:rPr>
      </w:pPr>
      <w:r>
        <w:rPr>
          <w:rFonts w:hint="eastAsia" w:ascii="仿宋" w:hAnsi="仿宋" w:eastAsia="仿宋"/>
          <w:b/>
          <w:sz w:val="24"/>
          <w:szCs w:val="20"/>
        </w:rPr>
        <w:t>地址：新疆乌鲁木齐市新市区苏州东街789号</w:t>
      </w:r>
    </w:p>
    <w:p w14:paraId="61B136BB">
      <w:pPr>
        <w:widowControl w:val="0"/>
        <w:spacing w:line="520" w:lineRule="exact"/>
        <w:jc w:val="both"/>
        <w:rPr>
          <w:rFonts w:hint="eastAsia" w:ascii="仿宋" w:hAnsi="仿宋" w:eastAsia="仿宋"/>
          <w:b/>
          <w:sz w:val="24"/>
          <w:szCs w:val="20"/>
        </w:rPr>
      </w:pPr>
      <w:r>
        <w:rPr>
          <w:rFonts w:hint="eastAsia" w:ascii="仿宋" w:hAnsi="仿宋" w:eastAsia="仿宋"/>
          <w:b/>
          <w:sz w:val="24"/>
          <w:szCs w:val="20"/>
        </w:rPr>
        <w:t>电话：0991-7968132</w:t>
      </w:r>
    </w:p>
    <w:p w14:paraId="39D380B9">
      <w:pPr>
        <w:widowControl w:val="0"/>
        <w:spacing w:line="520" w:lineRule="exact"/>
        <w:jc w:val="both"/>
        <w:rPr>
          <w:rFonts w:hint="eastAsia" w:ascii="仿宋" w:hAnsi="仿宋" w:eastAsia="仿宋"/>
          <w:b/>
          <w:sz w:val="24"/>
          <w:szCs w:val="20"/>
        </w:rPr>
      </w:pPr>
    </w:p>
    <w:p w14:paraId="775396BA">
      <w:pPr>
        <w:widowControl w:val="0"/>
        <w:spacing w:line="520" w:lineRule="exact"/>
        <w:jc w:val="both"/>
        <w:rPr>
          <w:rFonts w:hint="eastAsia" w:ascii="仿宋" w:hAnsi="仿宋" w:eastAsia="仿宋"/>
          <w:b/>
          <w:sz w:val="24"/>
          <w:szCs w:val="20"/>
        </w:rPr>
      </w:pPr>
      <w:r>
        <w:rPr>
          <w:rFonts w:hint="eastAsia" w:ascii="仿宋" w:hAnsi="仿宋" w:eastAsia="仿宋"/>
          <w:b/>
          <w:sz w:val="24"/>
          <w:szCs w:val="20"/>
        </w:rPr>
        <w:t xml:space="preserve">乙方（卖方）： </w:t>
      </w:r>
    </w:p>
    <w:p w14:paraId="0F419841">
      <w:pPr>
        <w:widowControl w:val="0"/>
        <w:spacing w:line="520" w:lineRule="exact"/>
        <w:jc w:val="both"/>
        <w:rPr>
          <w:rFonts w:hint="eastAsia" w:ascii="仿宋" w:hAnsi="仿宋" w:eastAsia="仿宋"/>
          <w:b/>
          <w:sz w:val="24"/>
          <w:szCs w:val="20"/>
        </w:rPr>
      </w:pPr>
      <w:r>
        <w:rPr>
          <w:rFonts w:hint="eastAsia" w:ascii="仿宋" w:hAnsi="仿宋" w:eastAsia="仿宋"/>
          <w:b/>
          <w:sz w:val="24"/>
          <w:szCs w:val="20"/>
        </w:rPr>
        <w:t>地址：</w:t>
      </w:r>
    </w:p>
    <w:p w14:paraId="3BEE2E73">
      <w:pPr>
        <w:widowControl w:val="0"/>
        <w:spacing w:line="520" w:lineRule="exact"/>
        <w:jc w:val="both"/>
        <w:rPr>
          <w:rFonts w:hint="eastAsia" w:ascii="仿宋" w:hAnsi="仿宋" w:eastAsia="仿宋"/>
          <w:b/>
          <w:sz w:val="24"/>
          <w:szCs w:val="20"/>
        </w:rPr>
      </w:pPr>
      <w:r>
        <w:rPr>
          <w:rFonts w:hint="eastAsia" w:ascii="仿宋" w:hAnsi="仿宋" w:eastAsia="仿宋"/>
          <w:b/>
          <w:sz w:val="24"/>
          <w:szCs w:val="20"/>
        </w:rPr>
        <w:t>电话：</w:t>
      </w:r>
    </w:p>
    <w:p w14:paraId="4144C367">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u w:val="single"/>
        </w:rPr>
        <w:t>新疆医科大学附属肿瘤医院</w:t>
      </w:r>
      <w:r>
        <w:rPr>
          <w:rFonts w:hint="eastAsia" w:ascii="仿宋" w:hAnsi="仿宋" w:eastAsia="仿宋"/>
          <w:bCs/>
          <w:sz w:val="24"/>
          <w:szCs w:val="20"/>
        </w:rPr>
        <w:t>（以下简称甲方）</w:t>
      </w:r>
      <w:r>
        <w:rPr>
          <w:rFonts w:hint="eastAsia" w:ascii="仿宋" w:hAnsi="仿宋" w:eastAsia="仿宋"/>
          <w:bCs/>
          <w:sz w:val="24"/>
          <w:szCs w:val="20"/>
          <w:u w:val="single"/>
        </w:rPr>
        <w:t xml:space="preserve">          </w:t>
      </w:r>
      <w:r>
        <w:rPr>
          <w:rFonts w:hint="eastAsia" w:ascii="仿宋" w:hAnsi="仿宋" w:eastAsia="仿宋"/>
          <w:bCs/>
          <w:sz w:val="24"/>
          <w:szCs w:val="20"/>
        </w:rPr>
        <w:t>（以下简称乙方）就</w:t>
      </w:r>
      <w:r>
        <w:rPr>
          <w:rFonts w:hint="eastAsia" w:ascii="仿宋" w:hAnsi="仿宋" w:eastAsia="仿宋"/>
          <w:bCs/>
          <w:sz w:val="24"/>
          <w:szCs w:val="20"/>
          <w:u w:val="single"/>
        </w:rPr>
        <w:t xml:space="preserve"> </w:t>
      </w:r>
      <w:r>
        <w:rPr>
          <w:rFonts w:hint="eastAsia" w:ascii="仿宋" w:hAnsi="仿宋" w:eastAsia="仿宋"/>
          <w:bCs/>
          <w:sz w:val="24"/>
          <w:u w:val="single"/>
        </w:rPr>
        <w:t xml:space="preserve">      </w:t>
      </w:r>
      <w:r>
        <w:rPr>
          <w:rFonts w:hint="eastAsia" w:ascii="仿宋" w:hAnsi="仿宋" w:eastAsia="仿宋"/>
          <w:bCs/>
          <w:sz w:val="24"/>
          <w:szCs w:val="20"/>
        </w:rPr>
        <w:t>采购、安装事宜，根据《中华人民共和国政府采购法》《中华人民共和国民法典》等规定，本着平等、自愿、互利、互惠的原则，经各方协商一致，订立本合同。</w:t>
      </w:r>
    </w:p>
    <w:p w14:paraId="58651739">
      <w:pPr>
        <w:widowControl w:val="0"/>
        <w:spacing w:line="520" w:lineRule="exact"/>
        <w:ind w:firstLine="480" w:firstLineChars="200"/>
        <w:jc w:val="center"/>
        <w:rPr>
          <w:rFonts w:hint="eastAsia" w:ascii="仿宋" w:hAnsi="仿宋" w:eastAsia="仿宋"/>
          <w:bCs/>
          <w:sz w:val="24"/>
          <w:szCs w:val="20"/>
        </w:rPr>
      </w:pPr>
      <w:r>
        <w:rPr>
          <w:rFonts w:hint="eastAsia" w:ascii="仿宋" w:hAnsi="仿宋" w:eastAsia="仿宋"/>
          <w:bCs/>
          <w:sz w:val="24"/>
          <w:szCs w:val="20"/>
        </w:rPr>
        <w:t>第一部分 通用条款</w:t>
      </w:r>
    </w:p>
    <w:p w14:paraId="557A6CC5">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在此供应的货物，乙方同意做如下保证：</w:t>
      </w:r>
    </w:p>
    <w:p w14:paraId="2589EBD0">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一、供应的货物不存在任何担保物权、留置权、知识产权纠纷或其他任何权利瑕疵，其规格、品质和数量均需与本合同的约定严格相符。</w:t>
      </w:r>
    </w:p>
    <w:p w14:paraId="386CDE07">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二、不能将甲方全部或部分付款看作是对有缺陷的工艺或不合格货物的认可。</w:t>
      </w:r>
    </w:p>
    <w:p w14:paraId="137BAA44">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三、所供货物均须符合相应图纸和技术规范中的相关规定，并且不涉及任何侵权行为或任何索赔。</w:t>
      </w:r>
    </w:p>
    <w:p w14:paraId="720D00C5">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四、甲方收到本合同项下的货物，并不表示甲方自动放弃因延期交货、货物不合格或货物与本合同不相符造成的损失而提出索赔的权利。若货物名称、型号、规格、数量、质量等不符合本合同约定，甲方可在收货后随时向乙方提出异议，乙方应免费更换直至货物完全符合本合同约定，且乙方需承担逾期交货的责任。</w:t>
      </w:r>
    </w:p>
    <w:p w14:paraId="38D9D360">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甲方未提出异议的，乙方仍应于货物质保期内承担保固责任。甲方对货物的验收手续仅仅证明乙方交货的行为，并不能免除乙方应当承担的货物质量责任。</w:t>
      </w:r>
    </w:p>
    <w:p w14:paraId="50443B3A">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 xml:space="preserve">因乙方提供的货物存在质量瑕疵，导致甲方需向任何第三方承担违约或赔偿责任的，甲方在承担相应责任后，有权向乙方进行全额追偿。 </w:t>
      </w:r>
    </w:p>
    <w:p w14:paraId="0A26BC6E">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五、甲方有要求乙方延迟一段合理时间再行交货的权利。</w:t>
      </w:r>
    </w:p>
    <w:p w14:paraId="4B5570BA">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六、除非甲方要求，乙方必须在本合同规定时间内进行交货。乙方同意偿付甲方可能因无法按照本合同约定时间进行交货而引起的所有额外的违约金、赔偿金以及其他费用。</w:t>
      </w:r>
    </w:p>
    <w:p w14:paraId="3417CD61">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七、在甲方订立本合同所依据的基础项目合同终止时，甲方经书面通知可解除本合同，此种情况不做违约处理。</w:t>
      </w:r>
    </w:p>
    <w:p w14:paraId="1E8FC792">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八、所有交付到甲方现场的货物必须附有验收单。签字的验收单必须附在相应发票上作为本合同付款的前提条件。</w:t>
      </w:r>
    </w:p>
    <w:p w14:paraId="2FAF47E0">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九、所有交货费用均由乙方承担，乙方保证使甲方免于承担全部运费、快递费、保险费、装卸费、其他杂费以及由此带来的任何索赔，本合同专用条款有特别约定的，从特别约定。</w:t>
      </w:r>
    </w:p>
    <w:p w14:paraId="11C9356C">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十、乙方分批供应货物的，甲方有权对任何一批货物的数量进行抽查核实，如果实际数量与乙方所提供的数量有短缺的，则乙方此前所供货物的全部数量均应按本批货物短缺比例作相应减少计算。</w:t>
      </w:r>
    </w:p>
    <w:p w14:paraId="5B5B2A06">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 xml:space="preserve">十一、因乙方所交货物的权利瑕疵、品质瑕疵等导致甲方遭受任何损失的，乙方保证承担全部赔偿责任。因上述瑕疵导致甲方陷入索赔纠纷或诉讼中的，在该索赔纠纷或诉讼未得到解决之前，甲方的结算可按甲方的意见作延迟处理，直至上述索赔得到解决或乙方提供令甲方满意的赔偿为止。 </w:t>
      </w:r>
    </w:p>
    <w:p w14:paraId="65612056">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十二、因乙方全部或部分违约导致双方发生的诉讼/仲裁或甲方与第三方发生的诉讼/仲裁，乙方同意承担甲方因此而支出的全部诉讼费、律师费、调查费、交通费及其他合理费用。</w:t>
      </w:r>
    </w:p>
    <w:p w14:paraId="1B2ADB48">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十三、未经甲方-书面同意，乙方不得将本合同的工作内容全部或部分转让给任何第三人。</w:t>
      </w:r>
    </w:p>
    <w:p w14:paraId="2911D365">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十四、乙方声明、陈述和保证其是合法设立并有效存续的独立法人，其授权代表已获得法人授权可代表其签署合同。</w:t>
      </w:r>
    </w:p>
    <w:p w14:paraId="64C8E85B">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十五、甲方作为提供本合同的一方，已经郑重提醒乙方注意本合同的所有条款，并且甲方已经按照乙方的要求，对每一条款均予以了说明。本合同通用条款与专用条款约定不一致的，应以专用条款约定为准。</w:t>
      </w:r>
    </w:p>
    <w:p w14:paraId="35FD19BE">
      <w:pPr>
        <w:widowControl w:val="0"/>
        <w:spacing w:line="520" w:lineRule="exact"/>
        <w:ind w:firstLine="480" w:firstLineChars="200"/>
        <w:rPr>
          <w:rFonts w:hint="eastAsia" w:ascii="仿宋" w:hAnsi="仿宋" w:eastAsia="仿宋"/>
          <w:bCs/>
          <w:sz w:val="24"/>
          <w:szCs w:val="20"/>
        </w:rPr>
      </w:pPr>
    </w:p>
    <w:p w14:paraId="7C8472C8">
      <w:pPr>
        <w:widowControl w:val="0"/>
        <w:spacing w:line="520" w:lineRule="exact"/>
        <w:ind w:firstLine="482" w:firstLineChars="200"/>
        <w:jc w:val="center"/>
        <w:rPr>
          <w:rFonts w:hint="eastAsia" w:ascii="仿宋" w:hAnsi="仿宋" w:eastAsia="仿宋"/>
          <w:b/>
          <w:sz w:val="24"/>
          <w:szCs w:val="20"/>
        </w:rPr>
      </w:pPr>
      <w:r>
        <w:rPr>
          <w:rFonts w:hint="eastAsia" w:ascii="仿宋" w:hAnsi="仿宋" w:eastAsia="仿宋"/>
          <w:b/>
          <w:sz w:val="24"/>
          <w:szCs w:val="20"/>
        </w:rPr>
        <w:t>第二部分 专用条款</w:t>
      </w:r>
    </w:p>
    <w:p w14:paraId="694F7A83">
      <w:pPr>
        <w:widowControl w:val="0"/>
        <w:spacing w:line="520" w:lineRule="exact"/>
        <w:ind w:firstLine="482" w:firstLineChars="200"/>
        <w:rPr>
          <w:rFonts w:hint="eastAsia" w:ascii="仿宋" w:hAnsi="仿宋" w:eastAsia="仿宋"/>
          <w:b/>
          <w:sz w:val="24"/>
          <w:szCs w:val="20"/>
        </w:rPr>
      </w:pPr>
      <w:r>
        <w:rPr>
          <w:rFonts w:hint="eastAsia" w:ascii="仿宋" w:hAnsi="仿宋" w:eastAsia="仿宋"/>
          <w:b/>
          <w:sz w:val="24"/>
          <w:szCs w:val="20"/>
        </w:rPr>
        <w:t>一、合同标的</w:t>
      </w:r>
    </w:p>
    <w:p w14:paraId="684E9844">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1、货物</w:t>
      </w:r>
    </w:p>
    <w:p w14:paraId="61713064">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乙方提供的货物为全新产品，并符合本合同约定或双方另行约定的技术规格标准及相关的国家标准和行业标准，这些标准必须是合同签订时有关机构发布的最新的有效版本。除非技术规格中另有规定，计量单位均采用中华人民共和国法定计量单位。</w:t>
      </w:r>
    </w:p>
    <w:p w14:paraId="3A08F9FE">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注：乙方应保证，甲方在中华人民共和国使用该货物或货物的任何一部分时，免受第三方提出的侵犯其专利权、商标权、工业设计权或其他知识产权的起诉或索赔。</w:t>
      </w:r>
    </w:p>
    <w:p w14:paraId="5DB3B157">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2、数量及价格：详细技术要求见本合同尾部附件。</w:t>
      </w:r>
    </w:p>
    <w:p w14:paraId="35CFFC0A">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若双方就技术要求另有书面确认文件，且内容不一致时，以要求更严格、更详尽文件为准。</w:t>
      </w:r>
    </w:p>
    <w:tbl>
      <w:tblPr>
        <w:tblStyle w:val="32"/>
        <w:tblW w:w="1125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85"/>
        <w:gridCol w:w="1154"/>
        <w:gridCol w:w="1587"/>
        <w:gridCol w:w="1325"/>
        <w:gridCol w:w="1368"/>
        <w:gridCol w:w="645"/>
        <w:gridCol w:w="600"/>
        <w:gridCol w:w="1186"/>
        <w:gridCol w:w="1261"/>
        <w:gridCol w:w="750"/>
        <w:gridCol w:w="889"/>
      </w:tblGrid>
      <w:tr w14:paraId="2994C9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14:paraId="5BFE805E">
            <w:pPr>
              <w:autoSpaceDE w:val="0"/>
              <w:autoSpaceDN w:val="0"/>
              <w:spacing w:line="520" w:lineRule="exact"/>
              <w:jc w:val="center"/>
              <w:rPr>
                <w:rFonts w:hint="eastAsia" w:ascii="仿宋" w:hAnsi="仿宋" w:eastAsia="仿宋"/>
                <w:b/>
                <w:szCs w:val="21"/>
              </w:rPr>
            </w:pPr>
            <w:r>
              <w:rPr>
                <w:rFonts w:hint="eastAsia" w:ascii="仿宋" w:hAnsi="仿宋" w:eastAsia="仿宋"/>
                <w:b/>
                <w:szCs w:val="21"/>
              </w:rPr>
              <w:t>序号</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443ACAAA">
            <w:pPr>
              <w:spacing w:line="520" w:lineRule="exact"/>
              <w:jc w:val="center"/>
              <w:rPr>
                <w:rFonts w:hint="eastAsia" w:ascii="仿宋" w:hAnsi="仿宋" w:eastAsia="仿宋"/>
                <w:b/>
                <w:szCs w:val="21"/>
              </w:rPr>
            </w:pPr>
            <w:r>
              <w:rPr>
                <w:rFonts w:hint="eastAsia" w:ascii="仿宋" w:hAnsi="仿宋" w:eastAsia="仿宋"/>
                <w:b/>
                <w:szCs w:val="21"/>
              </w:rPr>
              <w:t>物品名称</w:t>
            </w:r>
          </w:p>
        </w:tc>
        <w:tc>
          <w:tcPr>
            <w:tcW w:w="1586" w:type="dxa"/>
            <w:tcBorders>
              <w:top w:val="single" w:color="auto" w:sz="4" w:space="0"/>
              <w:left w:val="single" w:color="auto" w:sz="4" w:space="0"/>
              <w:bottom w:val="single" w:color="auto" w:sz="4" w:space="0"/>
              <w:right w:val="single" w:color="auto" w:sz="4" w:space="0"/>
            </w:tcBorders>
            <w:noWrap w:val="0"/>
            <w:vAlign w:val="center"/>
          </w:tcPr>
          <w:p w14:paraId="5628CAE8">
            <w:pPr>
              <w:jc w:val="center"/>
              <w:rPr>
                <w:rFonts w:hint="eastAsia" w:ascii="仿宋" w:hAnsi="仿宋" w:eastAsia="仿宋"/>
                <w:b/>
                <w:szCs w:val="21"/>
              </w:rPr>
            </w:pPr>
            <w:r>
              <w:rPr>
                <w:rFonts w:hint="eastAsia" w:ascii="仿宋" w:hAnsi="仿宋" w:eastAsia="仿宋"/>
                <w:b/>
                <w:szCs w:val="21"/>
              </w:rPr>
              <w:t>产品注册证名称</w:t>
            </w:r>
          </w:p>
        </w:tc>
        <w:tc>
          <w:tcPr>
            <w:tcW w:w="1324" w:type="dxa"/>
            <w:tcBorders>
              <w:top w:val="single" w:color="auto" w:sz="4" w:space="0"/>
              <w:left w:val="single" w:color="auto" w:sz="4" w:space="0"/>
              <w:bottom w:val="single" w:color="auto" w:sz="4" w:space="0"/>
              <w:right w:val="single" w:color="auto" w:sz="4" w:space="0"/>
            </w:tcBorders>
            <w:noWrap w:val="0"/>
            <w:vAlign w:val="center"/>
          </w:tcPr>
          <w:p w14:paraId="5CAFEBFC">
            <w:pPr>
              <w:spacing w:line="520" w:lineRule="exact"/>
              <w:jc w:val="center"/>
              <w:rPr>
                <w:rFonts w:hint="eastAsia" w:ascii="仿宋" w:hAnsi="仿宋" w:eastAsia="仿宋"/>
                <w:b/>
                <w:szCs w:val="21"/>
              </w:rPr>
            </w:pPr>
            <w:r>
              <w:rPr>
                <w:rFonts w:hint="eastAsia" w:ascii="仿宋" w:hAnsi="仿宋" w:eastAsia="仿宋"/>
                <w:b/>
                <w:szCs w:val="21"/>
              </w:rPr>
              <w:t>生产厂家或</w:t>
            </w:r>
          </w:p>
          <w:p w14:paraId="0D038F6E">
            <w:pPr>
              <w:spacing w:line="520" w:lineRule="exact"/>
              <w:jc w:val="center"/>
              <w:rPr>
                <w:rFonts w:hint="eastAsia" w:ascii="仿宋" w:hAnsi="仿宋" w:eastAsia="仿宋"/>
                <w:b/>
                <w:szCs w:val="21"/>
              </w:rPr>
            </w:pPr>
            <w:r>
              <w:rPr>
                <w:rFonts w:hint="eastAsia" w:ascii="仿宋" w:hAnsi="仿宋" w:eastAsia="仿宋"/>
                <w:b/>
                <w:szCs w:val="21"/>
              </w:rPr>
              <w:t>品牌</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317F077E">
            <w:pPr>
              <w:spacing w:line="520" w:lineRule="exact"/>
              <w:jc w:val="center"/>
              <w:rPr>
                <w:rFonts w:hint="eastAsia" w:ascii="仿宋" w:hAnsi="仿宋" w:eastAsia="仿宋"/>
                <w:b/>
                <w:szCs w:val="21"/>
              </w:rPr>
            </w:pPr>
            <w:r>
              <w:rPr>
                <w:rFonts w:hint="eastAsia" w:ascii="仿宋" w:hAnsi="仿宋" w:eastAsia="仿宋"/>
                <w:b/>
                <w:szCs w:val="21"/>
              </w:rPr>
              <w:t>规格</w:t>
            </w:r>
          </w:p>
          <w:p w14:paraId="7DD7F391">
            <w:pPr>
              <w:spacing w:line="520" w:lineRule="exact"/>
              <w:jc w:val="center"/>
              <w:rPr>
                <w:rFonts w:hint="eastAsia" w:ascii="仿宋" w:hAnsi="仿宋" w:eastAsia="仿宋"/>
                <w:b/>
                <w:szCs w:val="21"/>
              </w:rPr>
            </w:pPr>
            <w:r>
              <w:rPr>
                <w:rFonts w:hint="eastAsia" w:ascii="仿宋" w:hAnsi="仿宋" w:eastAsia="仿宋"/>
                <w:b/>
                <w:szCs w:val="21"/>
              </w:rPr>
              <w:t>型号</w:t>
            </w:r>
          </w:p>
        </w:tc>
        <w:tc>
          <w:tcPr>
            <w:tcW w:w="645" w:type="dxa"/>
            <w:tcBorders>
              <w:top w:val="single" w:color="auto" w:sz="4" w:space="0"/>
              <w:left w:val="single" w:color="auto" w:sz="4" w:space="0"/>
              <w:bottom w:val="single" w:color="auto" w:sz="4" w:space="0"/>
              <w:right w:val="single" w:color="auto" w:sz="4" w:space="0"/>
            </w:tcBorders>
            <w:noWrap w:val="0"/>
            <w:vAlign w:val="center"/>
          </w:tcPr>
          <w:p w14:paraId="2026B535">
            <w:pPr>
              <w:spacing w:line="520" w:lineRule="exact"/>
              <w:jc w:val="center"/>
              <w:rPr>
                <w:rFonts w:hint="eastAsia" w:ascii="仿宋" w:hAnsi="仿宋" w:eastAsia="仿宋"/>
                <w:b/>
                <w:szCs w:val="21"/>
              </w:rPr>
            </w:pPr>
            <w:r>
              <w:rPr>
                <w:rFonts w:hint="eastAsia" w:ascii="仿宋" w:hAnsi="仿宋" w:eastAsia="仿宋"/>
                <w:b/>
                <w:szCs w:val="21"/>
              </w:rPr>
              <w:t>技术</w:t>
            </w:r>
          </w:p>
          <w:p w14:paraId="12EBB401">
            <w:pPr>
              <w:spacing w:line="520" w:lineRule="exact"/>
              <w:jc w:val="center"/>
              <w:rPr>
                <w:rFonts w:hint="eastAsia" w:ascii="仿宋" w:hAnsi="仿宋" w:eastAsia="仿宋"/>
                <w:b/>
                <w:szCs w:val="21"/>
              </w:rPr>
            </w:pPr>
            <w:r>
              <w:rPr>
                <w:rFonts w:hint="eastAsia" w:ascii="仿宋" w:hAnsi="仿宋" w:eastAsia="仿宋"/>
                <w:b/>
                <w:szCs w:val="21"/>
              </w:rPr>
              <w:t>参数</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51051229">
            <w:pPr>
              <w:spacing w:line="520" w:lineRule="exact"/>
              <w:jc w:val="center"/>
              <w:rPr>
                <w:rFonts w:hint="eastAsia" w:ascii="仿宋" w:hAnsi="仿宋" w:eastAsia="仿宋"/>
                <w:b/>
                <w:szCs w:val="21"/>
              </w:rPr>
            </w:pPr>
            <w:r>
              <w:rPr>
                <w:rFonts w:hint="eastAsia" w:ascii="仿宋" w:hAnsi="仿宋" w:eastAsia="仿宋"/>
                <w:b/>
                <w:szCs w:val="21"/>
              </w:rPr>
              <w:t>数量</w:t>
            </w:r>
          </w:p>
        </w:tc>
        <w:tc>
          <w:tcPr>
            <w:tcW w:w="1185" w:type="dxa"/>
            <w:tcBorders>
              <w:top w:val="single" w:color="auto" w:sz="4" w:space="0"/>
              <w:left w:val="single" w:color="auto" w:sz="4" w:space="0"/>
              <w:bottom w:val="single" w:color="auto" w:sz="4" w:space="0"/>
              <w:right w:val="single" w:color="auto" w:sz="4" w:space="0"/>
            </w:tcBorders>
            <w:noWrap w:val="0"/>
            <w:vAlign w:val="center"/>
          </w:tcPr>
          <w:p w14:paraId="4AFBE282">
            <w:pPr>
              <w:spacing w:line="520" w:lineRule="exact"/>
              <w:jc w:val="center"/>
              <w:rPr>
                <w:rFonts w:hint="eastAsia" w:ascii="仿宋" w:hAnsi="仿宋" w:eastAsia="仿宋"/>
                <w:b/>
                <w:szCs w:val="21"/>
              </w:rPr>
            </w:pPr>
            <w:r>
              <w:rPr>
                <w:rFonts w:hint="eastAsia" w:ascii="仿宋" w:hAnsi="仿宋" w:eastAsia="仿宋"/>
                <w:b/>
                <w:szCs w:val="21"/>
              </w:rPr>
              <w:t>含税单价</w:t>
            </w:r>
          </w:p>
          <w:p w14:paraId="319473DD">
            <w:pPr>
              <w:spacing w:line="520" w:lineRule="exact"/>
              <w:jc w:val="center"/>
              <w:rPr>
                <w:rFonts w:hint="eastAsia" w:ascii="仿宋" w:hAnsi="仿宋" w:eastAsia="仿宋"/>
                <w:b/>
                <w:szCs w:val="21"/>
              </w:rPr>
            </w:pPr>
            <w:r>
              <w:rPr>
                <w:rFonts w:hint="eastAsia" w:ascii="仿宋" w:hAnsi="仿宋" w:eastAsia="仿宋"/>
                <w:b/>
                <w:szCs w:val="21"/>
              </w:rPr>
              <w:t>（元）</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4C7ED76">
            <w:pPr>
              <w:spacing w:line="520" w:lineRule="exact"/>
              <w:jc w:val="center"/>
              <w:rPr>
                <w:rFonts w:hint="eastAsia" w:ascii="仿宋" w:hAnsi="仿宋" w:eastAsia="仿宋"/>
                <w:b/>
                <w:szCs w:val="21"/>
              </w:rPr>
            </w:pPr>
            <w:r>
              <w:rPr>
                <w:rFonts w:hint="eastAsia" w:ascii="仿宋" w:hAnsi="仿宋" w:eastAsia="仿宋"/>
                <w:b/>
                <w:szCs w:val="21"/>
              </w:rPr>
              <w:t>合计金额</w:t>
            </w:r>
          </w:p>
          <w:p w14:paraId="52D33936">
            <w:pPr>
              <w:spacing w:line="520" w:lineRule="exact"/>
              <w:jc w:val="center"/>
              <w:rPr>
                <w:rFonts w:hint="eastAsia" w:ascii="仿宋" w:hAnsi="仿宋" w:eastAsia="仿宋"/>
                <w:b/>
                <w:szCs w:val="21"/>
              </w:rPr>
            </w:pPr>
            <w:r>
              <w:rPr>
                <w:rFonts w:hint="eastAsia" w:ascii="仿宋" w:hAnsi="仿宋" w:eastAsia="仿宋"/>
                <w:b/>
                <w:szCs w:val="21"/>
              </w:rPr>
              <w:t>（元）</w:t>
            </w:r>
          </w:p>
        </w:tc>
        <w:tc>
          <w:tcPr>
            <w:tcW w:w="1639" w:type="dxa"/>
            <w:gridSpan w:val="2"/>
            <w:tcBorders>
              <w:top w:val="single" w:color="auto" w:sz="4" w:space="0"/>
              <w:left w:val="single" w:color="auto" w:sz="4" w:space="0"/>
              <w:bottom w:val="single" w:color="auto" w:sz="4" w:space="0"/>
              <w:right w:val="single" w:color="auto" w:sz="4" w:space="0"/>
            </w:tcBorders>
            <w:noWrap w:val="0"/>
            <w:vAlign w:val="center"/>
          </w:tcPr>
          <w:p w14:paraId="2A46EF8B">
            <w:pPr>
              <w:spacing w:line="520" w:lineRule="exact"/>
              <w:jc w:val="center"/>
              <w:rPr>
                <w:rFonts w:hint="eastAsia" w:ascii="仿宋" w:hAnsi="仿宋" w:eastAsia="仿宋"/>
                <w:b/>
                <w:szCs w:val="21"/>
              </w:rPr>
            </w:pPr>
            <w:r>
              <w:rPr>
                <w:rFonts w:hint="eastAsia" w:ascii="仿宋" w:hAnsi="仿宋" w:eastAsia="仿宋"/>
                <w:b/>
                <w:szCs w:val="21"/>
              </w:rPr>
              <w:t>备注</w:t>
            </w:r>
          </w:p>
        </w:tc>
      </w:tr>
      <w:tr w14:paraId="4F81AC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14:paraId="5F1E81B5">
            <w:pPr>
              <w:jc w:val="center"/>
              <w:rPr>
                <w:rFonts w:hint="eastAsia" w:ascii="仿宋" w:hAnsi="仿宋" w:eastAsia="仿宋"/>
                <w:b/>
                <w:szCs w:val="21"/>
              </w:rPr>
            </w:pPr>
            <w:r>
              <w:rPr>
                <w:rFonts w:hint="eastAsia" w:ascii="仿宋" w:hAnsi="仿宋" w:eastAsia="仿宋"/>
                <w:b/>
                <w:szCs w:val="21"/>
              </w:rPr>
              <w:t>1</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3E3612B4">
            <w:pPr>
              <w:jc w:val="center"/>
              <w:rPr>
                <w:rFonts w:hint="eastAsia" w:ascii="仿宋" w:hAnsi="仿宋" w:eastAsia="仿宋"/>
                <w:b/>
                <w:szCs w:val="21"/>
              </w:rPr>
            </w:pPr>
          </w:p>
        </w:tc>
        <w:tc>
          <w:tcPr>
            <w:tcW w:w="1586" w:type="dxa"/>
            <w:tcBorders>
              <w:top w:val="single" w:color="auto" w:sz="4" w:space="0"/>
              <w:left w:val="single" w:color="auto" w:sz="4" w:space="0"/>
              <w:bottom w:val="single" w:color="auto" w:sz="4" w:space="0"/>
              <w:right w:val="single" w:color="auto" w:sz="4" w:space="0"/>
            </w:tcBorders>
            <w:noWrap w:val="0"/>
            <w:vAlign w:val="center"/>
          </w:tcPr>
          <w:p w14:paraId="5A188A6C">
            <w:pPr>
              <w:jc w:val="center"/>
              <w:rPr>
                <w:rFonts w:hint="eastAsia" w:ascii="仿宋" w:hAnsi="仿宋" w:eastAsia="仿宋"/>
                <w:b/>
                <w:szCs w:val="21"/>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6B2B6E66">
            <w:pPr>
              <w:jc w:val="center"/>
              <w:rPr>
                <w:rFonts w:hint="eastAsia" w:ascii="仿宋" w:hAnsi="仿宋" w:eastAsia="仿宋"/>
                <w:b/>
                <w:szCs w:val="21"/>
              </w:rPr>
            </w:pPr>
          </w:p>
        </w:tc>
        <w:tc>
          <w:tcPr>
            <w:tcW w:w="1367" w:type="dxa"/>
            <w:tcBorders>
              <w:top w:val="single" w:color="auto" w:sz="4" w:space="0"/>
              <w:left w:val="single" w:color="auto" w:sz="4" w:space="0"/>
              <w:bottom w:val="single" w:color="auto" w:sz="4" w:space="0"/>
              <w:right w:val="single" w:color="auto" w:sz="4" w:space="0"/>
            </w:tcBorders>
            <w:noWrap w:val="0"/>
            <w:vAlign w:val="center"/>
          </w:tcPr>
          <w:p w14:paraId="1C6B4292">
            <w:pPr>
              <w:jc w:val="center"/>
              <w:rPr>
                <w:rFonts w:hint="eastAsia" w:ascii="仿宋" w:hAnsi="仿宋" w:eastAsia="仿宋"/>
                <w:b/>
                <w:szCs w:val="21"/>
              </w:rPr>
            </w:pPr>
          </w:p>
        </w:tc>
        <w:tc>
          <w:tcPr>
            <w:tcW w:w="645" w:type="dxa"/>
            <w:tcBorders>
              <w:top w:val="single" w:color="auto" w:sz="4" w:space="0"/>
              <w:left w:val="single" w:color="auto" w:sz="4" w:space="0"/>
              <w:bottom w:val="single" w:color="auto" w:sz="4" w:space="0"/>
              <w:right w:val="single" w:color="auto" w:sz="4" w:space="0"/>
            </w:tcBorders>
            <w:noWrap w:val="0"/>
            <w:vAlign w:val="center"/>
          </w:tcPr>
          <w:p w14:paraId="1D877FB1">
            <w:pPr>
              <w:jc w:val="center"/>
              <w:rPr>
                <w:rFonts w:hint="eastAsia" w:ascii="仿宋" w:hAnsi="仿宋" w:eastAsia="仿宋"/>
                <w:b/>
                <w:szCs w:val="21"/>
              </w:rPr>
            </w:pPr>
          </w:p>
        </w:tc>
        <w:tc>
          <w:tcPr>
            <w:tcW w:w="600" w:type="dxa"/>
            <w:tcBorders>
              <w:top w:val="single" w:color="auto" w:sz="4" w:space="0"/>
              <w:left w:val="single" w:color="auto" w:sz="4" w:space="0"/>
              <w:bottom w:val="single" w:color="auto" w:sz="4" w:space="0"/>
              <w:right w:val="single" w:color="auto" w:sz="4" w:space="0"/>
            </w:tcBorders>
            <w:noWrap w:val="0"/>
            <w:vAlign w:val="center"/>
          </w:tcPr>
          <w:p w14:paraId="20341AB8">
            <w:pPr>
              <w:jc w:val="center"/>
              <w:rPr>
                <w:rFonts w:hint="eastAsia" w:ascii="仿宋" w:hAnsi="仿宋" w:eastAsia="仿宋"/>
                <w:b/>
                <w:szCs w:val="21"/>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14:paraId="4D2EE786">
            <w:pPr>
              <w:jc w:val="center"/>
              <w:rPr>
                <w:rFonts w:hint="eastAsia" w:ascii="仿宋" w:hAnsi="仿宋" w:eastAsia="仿宋"/>
                <w:b/>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5E89EB6">
            <w:pPr>
              <w:jc w:val="center"/>
              <w:rPr>
                <w:rFonts w:hint="eastAsia" w:ascii="仿宋" w:hAnsi="仿宋" w:eastAsia="仿宋"/>
                <w:b/>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3A9432C7">
            <w:pPr>
              <w:jc w:val="center"/>
              <w:rPr>
                <w:rFonts w:hint="eastAsia" w:ascii="仿宋" w:hAnsi="仿宋" w:eastAsia="仿宋"/>
                <w:b/>
                <w:szCs w:val="21"/>
              </w:rPr>
            </w:pPr>
          </w:p>
        </w:tc>
        <w:tc>
          <w:tcPr>
            <w:tcW w:w="889" w:type="dxa"/>
            <w:vMerge w:val="restart"/>
            <w:tcBorders>
              <w:top w:val="single" w:color="auto" w:sz="4" w:space="0"/>
              <w:left w:val="single" w:color="auto" w:sz="4" w:space="0"/>
              <w:bottom w:val="single" w:color="auto" w:sz="4" w:space="0"/>
              <w:right w:val="single" w:color="auto" w:sz="4" w:space="0"/>
            </w:tcBorders>
            <w:noWrap w:val="0"/>
            <w:vAlign w:val="center"/>
          </w:tcPr>
          <w:p w14:paraId="298889BD">
            <w:pPr>
              <w:jc w:val="center"/>
              <w:rPr>
                <w:rFonts w:hint="eastAsia" w:ascii="仿宋" w:hAnsi="仿宋" w:eastAsia="仿宋"/>
                <w:b/>
                <w:szCs w:val="21"/>
              </w:rPr>
            </w:pPr>
          </w:p>
        </w:tc>
      </w:tr>
      <w:tr w14:paraId="1EA628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14:paraId="29723EFE">
            <w:pPr>
              <w:jc w:val="center"/>
              <w:rPr>
                <w:rFonts w:hint="eastAsia" w:ascii="仿宋" w:hAnsi="仿宋" w:eastAsia="仿宋"/>
                <w:b/>
                <w:szCs w:val="21"/>
              </w:rPr>
            </w:pPr>
            <w:r>
              <w:rPr>
                <w:rFonts w:hint="eastAsia" w:ascii="仿宋" w:hAnsi="仿宋" w:eastAsia="仿宋"/>
                <w:b/>
                <w:szCs w:val="21"/>
              </w:rPr>
              <w:t>2</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5C6AC272">
            <w:pPr>
              <w:jc w:val="center"/>
              <w:rPr>
                <w:rFonts w:hint="eastAsia" w:ascii="仿宋" w:hAnsi="仿宋" w:eastAsia="仿宋"/>
                <w:b/>
                <w:szCs w:val="21"/>
              </w:rPr>
            </w:pPr>
            <w:r>
              <w:rPr>
                <w:rFonts w:hint="eastAsia" w:ascii="仿宋" w:hAnsi="仿宋" w:eastAsia="仿宋"/>
                <w:b/>
                <w:szCs w:val="21"/>
              </w:rPr>
              <w:t>=</w:t>
            </w:r>
          </w:p>
        </w:tc>
        <w:tc>
          <w:tcPr>
            <w:tcW w:w="1586" w:type="dxa"/>
            <w:tcBorders>
              <w:top w:val="single" w:color="auto" w:sz="4" w:space="0"/>
              <w:left w:val="single" w:color="auto" w:sz="4" w:space="0"/>
              <w:bottom w:val="single" w:color="auto" w:sz="4" w:space="0"/>
              <w:right w:val="single" w:color="auto" w:sz="4" w:space="0"/>
            </w:tcBorders>
            <w:noWrap w:val="0"/>
            <w:vAlign w:val="center"/>
          </w:tcPr>
          <w:p w14:paraId="482C4FD8">
            <w:pPr>
              <w:jc w:val="center"/>
              <w:rPr>
                <w:rFonts w:hint="eastAsia" w:ascii="仿宋" w:hAnsi="仿宋" w:eastAsia="仿宋"/>
                <w:b/>
                <w:szCs w:val="21"/>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4CE913B7">
            <w:pPr>
              <w:jc w:val="center"/>
              <w:rPr>
                <w:rFonts w:hint="eastAsia" w:ascii="仿宋" w:hAnsi="仿宋" w:eastAsia="仿宋"/>
                <w:b/>
                <w:szCs w:val="21"/>
              </w:rPr>
            </w:pPr>
          </w:p>
        </w:tc>
        <w:tc>
          <w:tcPr>
            <w:tcW w:w="1367" w:type="dxa"/>
            <w:tcBorders>
              <w:top w:val="single" w:color="auto" w:sz="4" w:space="0"/>
              <w:left w:val="single" w:color="auto" w:sz="4" w:space="0"/>
              <w:bottom w:val="single" w:color="auto" w:sz="4" w:space="0"/>
              <w:right w:val="single" w:color="auto" w:sz="4" w:space="0"/>
            </w:tcBorders>
            <w:noWrap w:val="0"/>
            <w:vAlign w:val="center"/>
          </w:tcPr>
          <w:p w14:paraId="45A6D859">
            <w:pPr>
              <w:jc w:val="center"/>
              <w:rPr>
                <w:rFonts w:hint="eastAsia" w:ascii="仿宋" w:hAnsi="仿宋" w:eastAsia="仿宋"/>
                <w:b/>
                <w:szCs w:val="21"/>
              </w:rPr>
            </w:pPr>
          </w:p>
        </w:tc>
        <w:tc>
          <w:tcPr>
            <w:tcW w:w="645" w:type="dxa"/>
            <w:tcBorders>
              <w:top w:val="single" w:color="auto" w:sz="4" w:space="0"/>
              <w:left w:val="single" w:color="auto" w:sz="4" w:space="0"/>
              <w:bottom w:val="single" w:color="auto" w:sz="4" w:space="0"/>
              <w:right w:val="single" w:color="auto" w:sz="4" w:space="0"/>
            </w:tcBorders>
            <w:noWrap w:val="0"/>
            <w:vAlign w:val="center"/>
          </w:tcPr>
          <w:p w14:paraId="7EEB91DA">
            <w:pPr>
              <w:jc w:val="center"/>
              <w:rPr>
                <w:rFonts w:hint="eastAsia" w:ascii="仿宋" w:hAnsi="仿宋" w:eastAsia="仿宋"/>
                <w:b/>
                <w:szCs w:val="21"/>
              </w:rPr>
            </w:pPr>
          </w:p>
        </w:tc>
        <w:tc>
          <w:tcPr>
            <w:tcW w:w="600" w:type="dxa"/>
            <w:tcBorders>
              <w:top w:val="single" w:color="auto" w:sz="4" w:space="0"/>
              <w:left w:val="single" w:color="auto" w:sz="4" w:space="0"/>
              <w:bottom w:val="single" w:color="auto" w:sz="4" w:space="0"/>
              <w:right w:val="single" w:color="auto" w:sz="4" w:space="0"/>
            </w:tcBorders>
            <w:noWrap w:val="0"/>
            <w:vAlign w:val="center"/>
          </w:tcPr>
          <w:p w14:paraId="27847094">
            <w:pPr>
              <w:jc w:val="center"/>
              <w:rPr>
                <w:rFonts w:hint="eastAsia" w:ascii="仿宋" w:hAnsi="仿宋" w:eastAsia="仿宋"/>
                <w:b/>
                <w:szCs w:val="21"/>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14:paraId="3241460D">
            <w:pPr>
              <w:jc w:val="center"/>
              <w:rPr>
                <w:rFonts w:hint="eastAsia" w:ascii="仿宋" w:hAnsi="仿宋" w:eastAsia="仿宋"/>
                <w:b/>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5D88000">
            <w:pPr>
              <w:jc w:val="center"/>
              <w:rPr>
                <w:rFonts w:hint="eastAsia" w:ascii="仿宋" w:hAnsi="仿宋" w:eastAsia="仿宋"/>
                <w:b/>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793E570E">
            <w:pPr>
              <w:jc w:val="center"/>
              <w:rPr>
                <w:rFonts w:hint="eastAsia" w:ascii="仿宋" w:hAnsi="仿宋" w:eastAsia="仿宋"/>
                <w:b/>
                <w:szCs w:val="21"/>
              </w:rPr>
            </w:pPr>
          </w:p>
        </w:tc>
        <w:tc>
          <w:tcPr>
            <w:tcW w:w="889" w:type="dxa"/>
            <w:vMerge w:val="continue"/>
            <w:tcBorders>
              <w:top w:val="single" w:color="auto" w:sz="4" w:space="0"/>
              <w:left w:val="single" w:color="auto" w:sz="4" w:space="0"/>
              <w:bottom w:val="single" w:color="auto" w:sz="4" w:space="0"/>
              <w:right w:val="single" w:color="auto" w:sz="4" w:space="0"/>
            </w:tcBorders>
            <w:noWrap w:val="0"/>
            <w:vAlign w:val="center"/>
          </w:tcPr>
          <w:p w14:paraId="7A9D7B0E">
            <w:pPr>
              <w:rPr>
                <w:rFonts w:ascii="仿宋" w:hAnsi="仿宋" w:eastAsia="仿宋"/>
                <w:b/>
                <w:szCs w:val="21"/>
              </w:rPr>
            </w:pPr>
          </w:p>
        </w:tc>
      </w:tr>
      <w:tr w14:paraId="3F8159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14:paraId="37EE713C">
            <w:pPr>
              <w:jc w:val="center"/>
              <w:rPr>
                <w:rFonts w:hint="eastAsia" w:ascii="仿宋" w:hAnsi="仿宋" w:eastAsia="仿宋"/>
                <w:b/>
                <w:szCs w:val="21"/>
              </w:rPr>
            </w:pPr>
            <w:r>
              <w:rPr>
                <w:rFonts w:hint="eastAsia" w:ascii="仿宋" w:hAnsi="仿宋" w:eastAsia="仿宋"/>
                <w:b/>
                <w:szCs w:val="21"/>
              </w:rPr>
              <w:t>3</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0DAB8AF2">
            <w:pPr>
              <w:jc w:val="center"/>
              <w:rPr>
                <w:rFonts w:hint="eastAsia" w:ascii="仿宋" w:hAnsi="仿宋" w:eastAsia="仿宋"/>
                <w:b/>
                <w:szCs w:val="21"/>
              </w:rPr>
            </w:pPr>
          </w:p>
        </w:tc>
        <w:tc>
          <w:tcPr>
            <w:tcW w:w="1586" w:type="dxa"/>
            <w:tcBorders>
              <w:top w:val="single" w:color="auto" w:sz="4" w:space="0"/>
              <w:left w:val="single" w:color="auto" w:sz="4" w:space="0"/>
              <w:bottom w:val="single" w:color="auto" w:sz="4" w:space="0"/>
              <w:right w:val="single" w:color="auto" w:sz="4" w:space="0"/>
            </w:tcBorders>
            <w:noWrap w:val="0"/>
            <w:vAlign w:val="center"/>
          </w:tcPr>
          <w:p w14:paraId="6ACDA4D4">
            <w:pPr>
              <w:jc w:val="center"/>
              <w:rPr>
                <w:rFonts w:hint="eastAsia" w:ascii="仿宋" w:hAnsi="仿宋" w:eastAsia="仿宋"/>
                <w:b/>
                <w:szCs w:val="21"/>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171699BF">
            <w:pPr>
              <w:jc w:val="center"/>
              <w:rPr>
                <w:rFonts w:hint="eastAsia" w:ascii="仿宋" w:hAnsi="仿宋" w:eastAsia="仿宋"/>
                <w:b/>
                <w:szCs w:val="21"/>
              </w:rPr>
            </w:pPr>
          </w:p>
        </w:tc>
        <w:tc>
          <w:tcPr>
            <w:tcW w:w="1367" w:type="dxa"/>
            <w:tcBorders>
              <w:top w:val="single" w:color="auto" w:sz="4" w:space="0"/>
              <w:left w:val="single" w:color="auto" w:sz="4" w:space="0"/>
              <w:bottom w:val="single" w:color="auto" w:sz="4" w:space="0"/>
              <w:right w:val="single" w:color="auto" w:sz="4" w:space="0"/>
            </w:tcBorders>
            <w:noWrap w:val="0"/>
            <w:vAlign w:val="center"/>
          </w:tcPr>
          <w:p w14:paraId="13094C86">
            <w:pPr>
              <w:jc w:val="center"/>
              <w:rPr>
                <w:rFonts w:hint="eastAsia" w:ascii="仿宋" w:hAnsi="仿宋" w:eastAsia="仿宋"/>
                <w:b/>
                <w:szCs w:val="21"/>
              </w:rPr>
            </w:pPr>
          </w:p>
        </w:tc>
        <w:tc>
          <w:tcPr>
            <w:tcW w:w="645" w:type="dxa"/>
            <w:tcBorders>
              <w:top w:val="single" w:color="auto" w:sz="4" w:space="0"/>
              <w:left w:val="single" w:color="auto" w:sz="4" w:space="0"/>
              <w:bottom w:val="single" w:color="auto" w:sz="4" w:space="0"/>
              <w:right w:val="single" w:color="auto" w:sz="4" w:space="0"/>
            </w:tcBorders>
            <w:noWrap w:val="0"/>
            <w:vAlign w:val="center"/>
          </w:tcPr>
          <w:p w14:paraId="75AD09B6">
            <w:pPr>
              <w:jc w:val="center"/>
              <w:rPr>
                <w:rFonts w:hint="eastAsia" w:ascii="仿宋" w:hAnsi="仿宋" w:eastAsia="仿宋"/>
                <w:b/>
                <w:szCs w:val="21"/>
              </w:rPr>
            </w:pPr>
          </w:p>
        </w:tc>
        <w:tc>
          <w:tcPr>
            <w:tcW w:w="600" w:type="dxa"/>
            <w:tcBorders>
              <w:top w:val="single" w:color="auto" w:sz="4" w:space="0"/>
              <w:left w:val="single" w:color="auto" w:sz="4" w:space="0"/>
              <w:bottom w:val="single" w:color="auto" w:sz="4" w:space="0"/>
              <w:right w:val="single" w:color="auto" w:sz="4" w:space="0"/>
            </w:tcBorders>
            <w:noWrap w:val="0"/>
            <w:vAlign w:val="center"/>
          </w:tcPr>
          <w:p w14:paraId="27F60CA7">
            <w:pPr>
              <w:jc w:val="center"/>
              <w:rPr>
                <w:rFonts w:hint="eastAsia" w:ascii="仿宋" w:hAnsi="仿宋" w:eastAsia="仿宋"/>
                <w:b/>
                <w:szCs w:val="21"/>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14:paraId="2FF4ED4A">
            <w:pPr>
              <w:jc w:val="center"/>
              <w:rPr>
                <w:rFonts w:hint="eastAsia" w:ascii="仿宋" w:hAnsi="仿宋" w:eastAsia="仿宋"/>
                <w:b/>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45C309F">
            <w:pPr>
              <w:jc w:val="center"/>
              <w:rPr>
                <w:rFonts w:hint="eastAsia" w:ascii="仿宋" w:hAnsi="仿宋" w:eastAsia="仿宋"/>
                <w:b/>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5955B900">
            <w:pPr>
              <w:jc w:val="center"/>
              <w:rPr>
                <w:rFonts w:hint="eastAsia" w:ascii="仿宋" w:hAnsi="仿宋" w:eastAsia="仿宋"/>
                <w:b/>
                <w:szCs w:val="21"/>
              </w:rPr>
            </w:pPr>
          </w:p>
        </w:tc>
        <w:tc>
          <w:tcPr>
            <w:tcW w:w="889" w:type="dxa"/>
            <w:vMerge w:val="continue"/>
            <w:tcBorders>
              <w:top w:val="single" w:color="auto" w:sz="4" w:space="0"/>
              <w:left w:val="single" w:color="auto" w:sz="4" w:space="0"/>
              <w:bottom w:val="single" w:color="auto" w:sz="4" w:space="0"/>
              <w:right w:val="single" w:color="auto" w:sz="4" w:space="0"/>
            </w:tcBorders>
            <w:noWrap w:val="0"/>
            <w:vAlign w:val="center"/>
          </w:tcPr>
          <w:p w14:paraId="47A21331">
            <w:pPr>
              <w:rPr>
                <w:rFonts w:ascii="仿宋" w:hAnsi="仿宋" w:eastAsia="仿宋"/>
                <w:b/>
                <w:szCs w:val="21"/>
              </w:rPr>
            </w:pPr>
          </w:p>
        </w:tc>
      </w:tr>
    </w:tbl>
    <w:p w14:paraId="07237EFE">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3、本合同为固定总价，合同总价为人民币大写：</w:t>
      </w:r>
      <w:r>
        <w:rPr>
          <w:rFonts w:hint="eastAsia" w:ascii="仿宋" w:hAnsi="仿宋" w:eastAsia="仿宋"/>
          <w:sz w:val="24"/>
          <w:u w:val="single"/>
        </w:rPr>
        <w:t xml:space="preserve">         </w:t>
      </w:r>
      <w:r>
        <w:rPr>
          <w:rFonts w:hint="eastAsia" w:ascii="仿宋" w:hAnsi="仿宋" w:eastAsia="仿宋"/>
          <w:bCs/>
          <w:sz w:val="24"/>
          <w:szCs w:val="20"/>
        </w:rPr>
        <w:t>元整（小写：</w:t>
      </w:r>
      <w:r>
        <w:rPr>
          <w:rFonts w:hint="eastAsia" w:ascii="仿宋" w:hAnsi="仿宋" w:eastAsia="仿宋"/>
          <w:bCs/>
          <w:sz w:val="24"/>
          <w:szCs w:val="20"/>
          <w:u w:val="single"/>
        </w:rPr>
        <w:t xml:space="preserve">       </w:t>
      </w:r>
      <w:r>
        <w:rPr>
          <w:rFonts w:hint="eastAsia" w:ascii="仿宋" w:hAnsi="仿宋" w:eastAsia="仿宋"/>
          <w:bCs/>
          <w:sz w:val="24"/>
          <w:szCs w:val="20"/>
        </w:rPr>
        <w:t>元），包含增值税。合同价格已包括货物供给、货物包装、运输费、安装费、调试、装卸费和保险等的全部费用及相关税费。乙方应保证甲方除支付合同约定货款之外无需再行支付其他任何费用和款项。</w:t>
      </w:r>
    </w:p>
    <w:p w14:paraId="520D7879">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4、价格清单表是基于乙方在完全理解本项目材料所需为前提，同时甲方对清单中的名称、规格、材质及数量等没有校对的义务，乙方在合同有效期内不得对清单的综合费用提出任何费用的增加。</w:t>
      </w:r>
    </w:p>
    <w:p w14:paraId="1EC6400C">
      <w:pPr>
        <w:widowControl w:val="0"/>
        <w:spacing w:line="520" w:lineRule="exact"/>
        <w:ind w:firstLine="482" w:firstLineChars="200"/>
        <w:jc w:val="both"/>
        <w:rPr>
          <w:rFonts w:hint="eastAsia" w:ascii="仿宋" w:hAnsi="仿宋" w:eastAsia="仿宋"/>
          <w:b/>
          <w:sz w:val="24"/>
          <w:szCs w:val="20"/>
        </w:rPr>
      </w:pPr>
      <w:r>
        <w:rPr>
          <w:rFonts w:hint="eastAsia" w:ascii="仿宋" w:hAnsi="仿宋" w:eastAsia="仿宋"/>
          <w:b/>
          <w:sz w:val="24"/>
          <w:szCs w:val="20"/>
        </w:rPr>
        <w:t>二、质量保证</w:t>
      </w:r>
    </w:p>
    <w:p w14:paraId="548E3A0E">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1、产品质量标准（含环保标准）：执行最新国家及行业标准、国家和地方行政主管部门的有关规定。没有国家和行业标准以及国家和地方行政主管部门的有关规定，按照甲方验收标准或者符合合同目的的特定标准履行。</w:t>
      </w:r>
    </w:p>
    <w:p w14:paraId="3EA5BB85">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2、乙方保证本合同货物是全新的、未使用过的，</w:t>
      </w:r>
      <w:r>
        <w:rPr>
          <w:rFonts w:hint="eastAsia" w:ascii="仿宋" w:hAnsi="仿宋" w:eastAsia="仿宋"/>
          <w:bCs/>
          <w:sz w:val="28"/>
          <w:szCs w:val="20"/>
        </w:rPr>
        <w:t>并</w:t>
      </w:r>
      <w:r>
        <w:rPr>
          <w:rFonts w:hint="eastAsia" w:ascii="仿宋" w:hAnsi="仿宋" w:eastAsia="仿宋"/>
          <w:bCs/>
          <w:sz w:val="24"/>
          <w:szCs w:val="20"/>
        </w:rPr>
        <w:t>符合国家技术规格和国家质量标准的出厂原装合格产品，产品型号、数量、规格及技术、质量标准、售后服务必须满足甲方和自治区政府采购合同定点采购要求。</w:t>
      </w:r>
    </w:p>
    <w:p w14:paraId="0984027A">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 xml:space="preserve">3、乙方的安装调试人员有义务对甲方的设备维修人员及使用人员进行免费培训，确保维修人员能对设备进行日常维护和一般性故障的查找及故障的排除，确保使用人员能够熟练掌握设备的各项功能和操作。                                                         </w:t>
      </w:r>
    </w:p>
    <w:p w14:paraId="760477E9">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4、乙方保证所提供的本合同标的物必须符合本合同约定的“质量标准”，达到产品各项性能指标和参数，并保证其销售的产品不存在有造成甲方或任何第三人人身财产损害的现实或潜在的危险以及不存在任何权利上的瑕疵；若因此造成任何损失，由乙方承担全部赔偿责任；另外，乙方应保证产品完整无损，是全新的、未使用过的，是原装原厂的，是用先进工艺和优质材料制造而成的，并完全符合合同规定的质量、规格和性能要求。若标的物质量存在瑕疵，乙方应承担甲方相关损失及相应违约责任。</w:t>
      </w:r>
    </w:p>
    <w:p w14:paraId="5914F2A0">
      <w:pPr>
        <w:widowControl w:val="0"/>
        <w:spacing w:line="520" w:lineRule="exact"/>
        <w:ind w:firstLine="482" w:firstLineChars="200"/>
        <w:jc w:val="both"/>
        <w:rPr>
          <w:rFonts w:hint="eastAsia" w:ascii="仿宋" w:hAnsi="仿宋" w:eastAsia="仿宋"/>
          <w:b/>
          <w:sz w:val="24"/>
          <w:szCs w:val="20"/>
        </w:rPr>
      </w:pPr>
      <w:r>
        <w:rPr>
          <w:rFonts w:hint="eastAsia" w:ascii="仿宋" w:hAnsi="仿宋" w:eastAsia="仿宋"/>
          <w:b/>
          <w:sz w:val="24"/>
          <w:szCs w:val="20"/>
        </w:rPr>
        <w:t xml:space="preserve">三、质量保证期                                         </w:t>
      </w:r>
    </w:p>
    <w:p w14:paraId="1B13A6A3">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1、合同内货物质保期为</w:t>
      </w:r>
      <w:r>
        <w:rPr>
          <w:rFonts w:hint="eastAsia" w:ascii="仿宋" w:hAnsi="仿宋" w:eastAsia="仿宋"/>
          <w:bCs/>
          <w:sz w:val="24"/>
          <w:szCs w:val="20"/>
          <w:u w:val="single"/>
        </w:rPr>
        <w:t xml:space="preserve">       年</w:t>
      </w:r>
      <w:r>
        <w:rPr>
          <w:rFonts w:hint="eastAsia" w:ascii="仿宋" w:hAnsi="仿宋" w:eastAsia="仿宋"/>
          <w:bCs/>
          <w:sz w:val="24"/>
          <w:szCs w:val="20"/>
        </w:rPr>
        <w:t>，质保期自甲方书面验收合格后起计算。具体质保期以相关产品生产厂家提供的质保期为准。生产厂家提供的质保期少于</w:t>
      </w:r>
      <w:r>
        <w:rPr>
          <w:rFonts w:hint="eastAsia" w:ascii="仿宋" w:hAnsi="仿宋" w:eastAsia="仿宋"/>
          <w:bCs/>
          <w:sz w:val="24"/>
          <w:szCs w:val="20"/>
          <w:u w:val="single"/>
        </w:rPr>
        <w:t>（   年）</w:t>
      </w:r>
      <w:r>
        <w:rPr>
          <w:rFonts w:hint="eastAsia" w:ascii="仿宋" w:hAnsi="仿宋" w:eastAsia="仿宋"/>
          <w:bCs/>
          <w:sz w:val="24"/>
          <w:szCs w:val="20"/>
        </w:rPr>
        <w:t>的，以</w:t>
      </w:r>
      <w:r>
        <w:rPr>
          <w:rFonts w:hint="eastAsia" w:ascii="仿宋" w:hAnsi="仿宋" w:eastAsia="仿宋"/>
          <w:b/>
          <w:sz w:val="24"/>
          <w:szCs w:val="20"/>
          <w:u w:val="single"/>
        </w:rPr>
        <w:t xml:space="preserve">（   </w:t>
      </w:r>
      <w:r>
        <w:rPr>
          <w:rFonts w:hint="eastAsia" w:ascii="仿宋" w:hAnsi="仿宋" w:eastAsia="仿宋"/>
          <w:bCs/>
          <w:sz w:val="24"/>
          <w:szCs w:val="20"/>
          <w:u w:val="single"/>
        </w:rPr>
        <w:t>年）</w:t>
      </w:r>
      <w:r>
        <w:rPr>
          <w:rFonts w:hint="eastAsia" w:ascii="仿宋" w:hAnsi="仿宋" w:eastAsia="仿宋"/>
          <w:bCs/>
          <w:sz w:val="24"/>
          <w:szCs w:val="20"/>
        </w:rPr>
        <w:t>为准；生产厂家提供的质保期长于</w:t>
      </w:r>
      <w:r>
        <w:rPr>
          <w:rFonts w:hint="eastAsia" w:ascii="仿宋" w:hAnsi="仿宋" w:eastAsia="仿宋"/>
          <w:bCs/>
          <w:sz w:val="24"/>
          <w:szCs w:val="20"/>
          <w:u w:val="single"/>
        </w:rPr>
        <w:t>（     年）</w:t>
      </w:r>
      <w:r>
        <w:rPr>
          <w:rFonts w:hint="eastAsia" w:ascii="仿宋" w:hAnsi="仿宋" w:eastAsia="仿宋"/>
          <w:bCs/>
          <w:sz w:val="24"/>
          <w:szCs w:val="20"/>
        </w:rPr>
        <w:t>的，以生产厂家提供的质保期为准。在质量保证期内，因产品质量出现问题，乙方负责免费维修或更换新机，并承担与维修和更换相关的运费、安装、调试、保险等一切费用。超过质保期后只收取更换部件成本费用，不收取服务费。</w:t>
      </w:r>
    </w:p>
    <w:p w14:paraId="08A88849">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2、质保期内，如产品发生质量问题，乙方应依照合同约定到场进行维修。乙方接到甲方通知后未依照约定时间到场的，甲方有权另行聘请专业人员进行维修，产生的合理费用在质保金中予以扣除，不足部分，乙方应予以补足。</w:t>
      </w:r>
    </w:p>
    <w:p w14:paraId="6041EDAC">
      <w:pPr>
        <w:widowControl w:val="0"/>
        <w:spacing w:line="520" w:lineRule="exact"/>
        <w:ind w:firstLine="482" w:firstLineChars="200"/>
        <w:jc w:val="both"/>
        <w:rPr>
          <w:rFonts w:hint="eastAsia" w:ascii="仿宋" w:hAnsi="仿宋" w:eastAsia="仿宋"/>
          <w:b/>
          <w:sz w:val="24"/>
          <w:szCs w:val="20"/>
        </w:rPr>
      </w:pPr>
      <w:r>
        <w:rPr>
          <w:rFonts w:hint="eastAsia" w:ascii="仿宋" w:hAnsi="仿宋" w:eastAsia="仿宋"/>
          <w:b/>
          <w:sz w:val="24"/>
          <w:szCs w:val="20"/>
        </w:rPr>
        <w:t xml:space="preserve">四、交货时间、地点  </w:t>
      </w:r>
    </w:p>
    <w:p w14:paraId="368DA9FE">
      <w:pPr>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1、乙方于合同签订后</w:t>
      </w:r>
      <w:r>
        <w:rPr>
          <w:rFonts w:hint="eastAsia" w:ascii="仿宋" w:hAnsi="仿宋" w:eastAsia="仿宋"/>
          <w:bCs/>
          <w:sz w:val="24"/>
          <w:szCs w:val="20"/>
          <w:u w:val="single"/>
        </w:rPr>
        <w:t>（        天内）</w:t>
      </w:r>
      <w:r>
        <w:rPr>
          <w:rFonts w:hint="eastAsia" w:ascii="仿宋" w:hAnsi="仿宋" w:eastAsia="仿宋"/>
          <w:bCs/>
          <w:sz w:val="24"/>
          <w:szCs w:val="20"/>
        </w:rPr>
        <w:t>，将货物送达以下指定地点：</w:t>
      </w:r>
      <w:r>
        <w:rPr>
          <w:rFonts w:hint="eastAsia" w:ascii="仿宋" w:hAnsi="仿宋" w:eastAsia="仿宋"/>
          <w:bCs/>
          <w:sz w:val="24"/>
          <w:szCs w:val="20"/>
          <w:u w:val="single"/>
        </w:rPr>
        <w:t xml:space="preserve"> 新疆乌鲁木齐市新市区苏州东街789号，新疆医科大学附属肿瘤医院 </w:t>
      </w:r>
      <w:r>
        <w:rPr>
          <w:rFonts w:hint="eastAsia" w:ascii="仿宋" w:hAnsi="仿宋" w:eastAsia="仿宋"/>
          <w:bCs/>
          <w:sz w:val="24"/>
          <w:szCs w:val="20"/>
        </w:rPr>
        <w:t>，并确保在甲方要求的时间内完成安装和调试工作，配合甲方做好验收工作。</w:t>
      </w:r>
    </w:p>
    <w:p w14:paraId="6A0A1F5C">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其它备注说明：如因甲方原因造成无法安装或延期安装，交货期限可后延，乙方同意顺延交货日期。</w:t>
      </w:r>
    </w:p>
    <w:p w14:paraId="2B8661CE">
      <w:pPr>
        <w:widowControl w:val="0"/>
        <w:spacing w:line="520" w:lineRule="exact"/>
        <w:ind w:firstLine="480" w:firstLineChars="200"/>
        <w:jc w:val="both"/>
        <w:rPr>
          <w:rFonts w:hint="eastAsia" w:ascii="仿宋" w:hAnsi="仿宋" w:eastAsia="仿宋"/>
          <w:bCs/>
          <w:sz w:val="24"/>
          <w:szCs w:val="20"/>
          <w:u w:val="single"/>
        </w:rPr>
      </w:pPr>
      <w:r>
        <w:rPr>
          <w:rFonts w:hint="eastAsia" w:ascii="仿宋" w:hAnsi="仿宋" w:eastAsia="仿宋"/>
          <w:bCs/>
          <w:sz w:val="24"/>
          <w:szCs w:val="20"/>
        </w:rPr>
        <w:t>2、到货地点和接货单位（或接货人</w:t>
      </w:r>
      <w:r>
        <w:rPr>
          <w:rFonts w:hint="eastAsia" w:ascii="仿宋" w:hAnsi="仿宋" w:eastAsia="仿宋"/>
          <w:bCs/>
          <w:sz w:val="24"/>
          <w:szCs w:val="20"/>
          <w:u w:val="single"/>
        </w:rPr>
        <w:t xml:space="preserve">）新疆医科大学附属肿瘤医院  </w:t>
      </w:r>
      <w:r>
        <w:rPr>
          <w:rFonts w:hint="eastAsia" w:ascii="仿宋" w:hAnsi="仿宋" w:eastAsia="仿宋"/>
          <w:bCs/>
          <w:sz w:val="24"/>
          <w:szCs w:val="20"/>
        </w:rPr>
        <w:t>。甲方指定的联系人为：姓名</w:t>
      </w:r>
      <w:r>
        <w:rPr>
          <w:rFonts w:hint="eastAsia" w:ascii="仿宋" w:hAnsi="仿宋" w:eastAsia="仿宋"/>
          <w:bCs/>
          <w:sz w:val="24"/>
          <w:szCs w:val="20"/>
          <w:u w:val="single"/>
        </w:rPr>
        <w:t xml:space="preserve">：        </w:t>
      </w:r>
      <w:r>
        <w:rPr>
          <w:rFonts w:hint="eastAsia" w:ascii="仿宋" w:hAnsi="仿宋" w:eastAsia="仿宋"/>
          <w:bCs/>
          <w:sz w:val="24"/>
          <w:szCs w:val="20"/>
        </w:rPr>
        <w:t xml:space="preserve"> ，电话号码</w:t>
      </w:r>
      <w:r>
        <w:rPr>
          <w:rFonts w:hint="eastAsia" w:ascii="仿宋" w:hAnsi="仿宋" w:eastAsia="仿宋"/>
          <w:bCs/>
          <w:sz w:val="24"/>
          <w:szCs w:val="20"/>
          <w:u w:val="single"/>
        </w:rPr>
        <w:t xml:space="preserve">：        </w:t>
      </w:r>
      <w:r>
        <w:rPr>
          <w:rFonts w:hint="eastAsia" w:ascii="仿宋" w:hAnsi="仿宋" w:eastAsia="仿宋"/>
          <w:bCs/>
          <w:sz w:val="24"/>
          <w:szCs w:val="20"/>
        </w:rPr>
        <w:t xml:space="preserve"> ；双方明确，除该指定联系人外，其他任何人员（包括甲方的其他任何工作人员）签署的接货单，甲方均不予认可。若由于物流原因须直接发货至医院的，物流公司联系人为乙方，甲方不与物流直接对接并收货。</w:t>
      </w:r>
    </w:p>
    <w:p w14:paraId="76C14CC3">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3、在交付时，乙方必须向甲方提供质量合格证书、技术资料（操作、维修、保养）、保修凭证等一切相关资料及配件，否则，甲方有权不予付款且不承担违约责任。</w:t>
      </w:r>
    </w:p>
    <w:p w14:paraId="38FE83D1">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4、货物交付完成且经甲方书面验收合格前，本合同项下商品的损毁灭失风险由乙方承担，货物交付完成且经甲方书面验收合格后，商品的所有权及损毁灭失风险转移至甲方。（若需安装、调试）由乙方负责安装调试，安装调试完毕且经甲方外观及设备整体质量验收完成之日起算的30天后无质量问题的且经过甲方书面验收合格后视为交货合格。</w:t>
      </w:r>
    </w:p>
    <w:p w14:paraId="4AD5BFE7">
      <w:pPr>
        <w:widowControl w:val="0"/>
        <w:spacing w:line="520" w:lineRule="exact"/>
        <w:ind w:firstLine="482" w:firstLineChars="200"/>
        <w:jc w:val="both"/>
        <w:rPr>
          <w:rFonts w:hint="eastAsia" w:ascii="仿宋" w:hAnsi="仿宋" w:eastAsia="仿宋"/>
          <w:b/>
          <w:sz w:val="24"/>
          <w:szCs w:val="20"/>
        </w:rPr>
      </w:pPr>
      <w:r>
        <w:rPr>
          <w:rFonts w:hint="eastAsia" w:ascii="仿宋" w:hAnsi="仿宋" w:eastAsia="仿宋"/>
          <w:b/>
          <w:sz w:val="24"/>
          <w:szCs w:val="20"/>
        </w:rPr>
        <w:t xml:space="preserve">五、产品包装及运输    </w:t>
      </w:r>
    </w:p>
    <w:p w14:paraId="0EB6D894">
      <w:pPr>
        <w:widowControl w:val="0"/>
        <w:tabs>
          <w:tab w:val="left" w:pos="1560"/>
        </w:tabs>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１、包装必须与运输方式相适应，包装方式的确定和包装费用均由乙方负责；由于不适当的包装而造成的货物有任何的损坏由乙方负责。</w:t>
      </w:r>
    </w:p>
    <w:p w14:paraId="73AD7046">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２、提供的全部货物必须采用相应的标准的保护措施进行包装。包装应适于远距离运输，并有良好的防潮、防震、防锈和防野蛮装卸等保护措施，以确保货物安全运抵现场。乙方应承担因其包装或防护措施不妥而引起货物锈蚀、损坏和丢失的任何损失的责任或费用。</w:t>
      </w:r>
    </w:p>
    <w:p w14:paraId="030515C8">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3、包装费、运输费、装卸费和保险费均已包含在合同单价内。</w:t>
      </w:r>
    </w:p>
    <w:p w14:paraId="3B196B8C">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4、运输途中的货物安全问题均由乙方负责。</w:t>
      </w:r>
    </w:p>
    <w:p w14:paraId="3D982595">
      <w:pPr>
        <w:widowControl w:val="0"/>
        <w:spacing w:line="520" w:lineRule="exact"/>
        <w:ind w:firstLine="482" w:firstLineChars="200"/>
        <w:jc w:val="both"/>
        <w:rPr>
          <w:rFonts w:hint="eastAsia" w:ascii="仿宋" w:hAnsi="仿宋" w:eastAsia="仿宋" w:cs="Bookman Old Style"/>
          <w:b/>
          <w:sz w:val="24"/>
          <w:szCs w:val="20"/>
        </w:rPr>
      </w:pPr>
      <w:r>
        <w:rPr>
          <w:rFonts w:hint="eastAsia" w:ascii="仿宋" w:hAnsi="仿宋" w:eastAsia="仿宋"/>
          <w:b/>
          <w:sz w:val="24"/>
          <w:szCs w:val="20"/>
        </w:rPr>
        <w:t>六、验收</w:t>
      </w:r>
    </w:p>
    <w:p w14:paraId="5571A2B7">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1、在交货前，乙方应确保制造商对货物的有关内在和外观质量、规格、性能、数量和重量进行准确的和全面的检验，并出具货物符合合同规定的证书。该证书将作为申请付款单据的必要条件。但不应视为是对质量、规格、性能、数量的最终定论。质量证书应附有写明制造商检验的细节和结果的说明。</w:t>
      </w:r>
    </w:p>
    <w:p w14:paraId="36C86945">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2、数量：乙方交货时，甲乙双方应各指定一名工作人员对货物数量进行统计，交货完成后，就甲方验收合格的货物数量，由双方各自指定的工作人员在交货清单上签字确认，</w:t>
      </w:r>
      <w:r>
        <w:rPr>
          <w:rFonts w:hint="eastAsia" w:ascii="仿宋" w:hAnsi="仿宋" w:eastAsia="仿宋"/>
          <w:b/>
          <w:sz w:val="24"/>
          <w:szCs w:val="20"/>
        </w:rPr>
        <w:t>交货清单一式</w:t>
      </w:r>
      <w:r>
        <w:rPr>
          <w:rFonts w:hint="eastAsia" w:ascii="仿宋" w:hAnsi="仿宋" w:eastAsia="仿宋"/>
          <w:b/>
          <w:sz w:val="24"/>
          <w:szCs w:val="20"/>
          <w:u w:val="single"/>
        </w:rPr>
        <w:t xml:space="preserve"> 两 </w:t>
      </w:r>
      <w:r>
        <w:rPr>
          <w:rFonts w:hint="eastAsia" w:ascii="仿宋" w:hAnsi="仿宋" w:eastAsia="仿宋"/>
          <w:b/>
          <w:sz w:val="24"/>
          <w:szCs w:val="20"/>
        </w:rPr>
        <w:t>份，</w:t>
      </w:r>
      <w:r>
        <w:rPr>
          <w:rFonts w:hint="eastAsia" w:ascii="仿宋" w:hAnsi="仿宋" w:eastAsia="仿宋"/>
          <w:bCs/>
          <w:sz w:val="24"/>
          <w:szCs w:val="20"/>
        </w:rPr>
        <w:t>作为今后双方结算的依据之一。</w:t>
      </w:r>
    </w:p>
    <w:p w14:paraId="3C29B3C5">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3、如果在合同规定的质量保证期内，发现货物的质量或规格与合同规定不符，或货物有缺陷，包括内在隐蔽瑕疵或使用不合适的原材料或不科学的设计等，甲方有权根据质量保证条款向乙方主张质保责任，并在乙方构成违约或侵权时主张索赔。</w:t>
      </w:r>
    </w:p>
    <w:p w14:paraId="08621F8A">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4、自货物交货后，甲方应依照双方在本合同中约定的质量要求和技术标准，对产品的质量进行验收。验收不合格的，应及时向乙方提出书面异议，乙方应在接到异议及检测报告后及时进行更换，直至验收合格，如果因乙方供货质量原因造成的甲方受到的损失，乙方还应承担相应违约责任并承担相应赔偿。</w:t>
      </w:r>
    </w:p>
    <w:p w14:paraId="0396C221">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5、乙方交货并保证货物出厂无瑕疵，经甲方书面验收合格后进入保修期。</w:t>
      </w:r>
    </w:p>
    <w:p w14:paraId="00C289DB">
      <w:pPr>
        <w:widowControl w:val="0"/>
        <w:spacing w:line="520" w:lineRule="exact"/>
        <w:ind w:firstLine="482" w:firstLineChars="200"/>
        <w:jc w:val="both"/>
        <w:rPr>
          <w:rFonts w:hint="eastAsia" w:ascii="仿宋" w:hAnsi="仿宋" w:eastAsia="仿宋"/>
          <w:b/>
          <w:sz w:val="24"/>
          <w:szCs w:val="20"/>
        </w:rPr>
      </w:pPr>
      <w:r>
        <w:rPr>
          <w:rFonts w:hint="eastAsia" w:ascii="仿宋" w:hAnsi="仿宋" w:eastAsia="仿宋"/>
          <w:b/>
          <w:sz w:val="24"/>
          <w:szCs w:val="20"/>
        </w:rPr>
        <w:t>七、售后服务</w:t>
      </w:r>
    </w:p>
    <w:p w14:paraId="469CD673">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1、上述产品的免费保修期为交货并经甲方书面验收合格后</w:t>
      </w:r>
      <w:r>
        <w:rPr>
          <w:rFonts w:hint="eastAsia" w:ascii="仿宋" w:hAnsi="仿宋" w:eastAsia="仿宋"/>
          <w:b/>
          <w:sz w:val="24"/>
          <w:szCs w:val="20"/>
          <w:u w:val="single"/>
        </w:rPr>
        <w:t xml:space="preserve">      </w:t>
      </w:r>
      <w:r>
        <w:rPr>
          <w:rFonts w:hint="eastAsia" w:ascii="仿宋" w:hAnsi="仿宋" w:eastAsia="仿宋"/>
          <w:bCs/>
          <w:sz w:val="24"/>
          <w:szCs w:val="20"/>
          <w:u w:val="single"/>
        </w:rPr>
        <w:t>年（与招标现场或招标文件约定一致）</w:t>
      </w:r>
      <w:r>
        <w:rPr>
          <w:rFonts w:hint="eastAsia" w:ascii="仿宋" w:hAnsi="仿宋" w:eastAsia="仿宋"/>
          <w:bCs/>
          <w:sz w:val="24"/>
          <w:szCs w:val="20"/>
        </w:rPr>
        <w:t>；</w:t>
      </w:r>
    </w:p>
    <w:p w14:paraId="08D2B1AA">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2、乙方应提供国内（包括新疆地区）维修站（地址）：</w:t>
      </w:r>
      <w:r>
        <w:rPr>
          <w:rFonts w:hint="eastAsia" w:ascii="仿宋" w:hAnsi="仿宋" w:eastAsia="仿宋"/>
          <w:bCs/>
          <w:sz w:val="24"/>
          <w:szCs w:val="20"/>
          <w:u w:val="single"/>
        </w:rPr>
        <w:t xml:space="preserve">      </w:t>
      </w:r>
      <w:r>
        <w:rPr>
          <w:rFonts w:hint="eastAsia" w:ascii="仿宋" w:hAnsi="仿宋" w:eastAsia="仿宋"/>
          <w:bCs/>
          <w:sz w:val="24"/>
          <w:szCs w:val="20"/>
        </w:rPr>
        <w:t>，售后服务联系人：</w:t>
      </w:r>
      <w:r>
        <w:rPr>
          <w:rFonts w:hint="eastAsia" w:ascii="仿宋" w:hAnsi="仿宋" w:eastAsia="仿宋"/>
          <w:bCs/>
          <w:sz w:val="24"/>
          <w:szCs w:val="20"/>
          <w:u w:val="single"/>
        </w:rPr>
        <w:t xml:space="preserve">    </w:t>
      </w:r>
      <w:r>
        <w:rPr>
          <w:rFonts w:hint="eastAsia" w:ascii="仿宋" w:hAnsi="仿宋" w:eastAsia="仿宋"/>
          <w:bCs/>
          <w:sz w:val="24"/>
          <w:szCs w:val="20"/>
        </w:rPr>
        <w:t xml:space="preserve"> ，联系电话：</w:t>
      </w:r>
      <w:r>
        <w:rPr>
          <w:rFonts w:hint="eastAsia" w:ascii="仿宋" w:hAnsi="仿宋" w:eastAsia="仿宋"/>
          <w:bCs/>
          <w:sz w:val="24"/>
          <w:szCs w:val="20"/>
          <w:u w:val="single"/>
        </w:rPr>
        <w:t xml:space="preserve">        </w:t>
      </w:r>
      <w:r>
        <w:rPr>
          <w:rFonts w:hint="eastAsia" w:ascii="仿宋" w:hAnsi="仿宋" w:eastAsia="仿宋"/>
          <w:bCs/>
          <w:sz w:val="24"/>
          <w:szCs w:val="20"/>
        </w:rPr>
        <w:t>。提供正规的备品备件价格表。保修期后的维修费用，先维修后付款；零备件的购买，先交货后付款；提供保修期后无偿技术支持。</w:t>
      </w:r>
    </w:p>
    <w:p w14:paraId="31C42CB5">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3、质保期内发生一切故障，乙方售后服务人员应于接到甲方电话通知后</w:t>
      </w:r>
      <w:r>
        <w:rPr>
          <w:rFonts w:hint="eastAsia" w:ascii="仿宋" w:hAnsi="仿宋" w:eastAsia="仿宋"/>
          <w:bCs/>
          <w:sz w:val="24"/>
          <w:szCs w:val="20"/>
          <w:u w:val="single"/>
        </w:rPr>
        <w:t xml:space="preserve">      小时</w:t>
      </w:r>
      <w:r>
        <w:rPr>
          <w:rFonts w:hint="eastAsia" w:ascii="仿宋" w:hAnsi="仿宋" w:eastAsia="仿宋"/>
          <w:bCs/>
          <w:sz w:val="24"/>
          <w:szCs w:val="20"/>
        </w:rPr>
        <w:t>内免费进行维修处理；质保期外如设备发生故障，乙方售后服务人员应于</w:t>
      </w:r>
      <w:r>
        <w:rPr>
          <w:rFonts w:hint="eastAsia" w:ascii="仿宋" w:hAnsi="仿宋" w:eastAsia="仿宋"/>
          <w:bCs/>
          <w:sz w:val="24"/>
          <w:szCs w:val="20"/>
          <w:u w:val="single"/>
        </w:rPr>
        <w:t xml:space="preserve">      小时</w:t>
      </w:r>
      <w:r>
        <w:rPr>
          <w:rFonts w:hint="eastAsia" w:ascii="仿宋" w:hAnsi="仿宋" w:eastAsia="仿宋"/>
          <w:bCs/>
          <w:sz w:val="24"/>
          <w:szCs w:val="20"/>
        </w:rPr>
        <w:t>内进行维修，经检修需要进行备件更换的，提供优惠的配件供应。提供保修期后无偿技术支持。</w:t>
      </w:r>
    </w:p>
    <w:p w14:paraId="4A125B1E">
      <w:pPr>
        <w:widowControl w:val="0"/>
        <w:spacing w:line="520" w:lineRule="exact"/>
        <w:ind w:firstLine="482" w:firstLineChars="200"/>
        <w:jc w:val="both"/>
        <w:rPr>
          <w:rFonts w:hint="eastAsia" w:ascii="仿宋" w:hAnsi="仿宋" w:eastAsia="仿宋"/>
          <w:b/>
          <w:sz w:val="24"/>
          <w:szCs w:val="20"/>
        </w:rPr>
      </w:pPr>
      <w:r>
        <w:rPr>
          <w:rFonts w:hint="eastAsia" w:ascii="仿宋" w:hAnsi="仿宋" w:eastAsia="仿宋"/>
          <w:b/>
          <w:sz w:val="24"/>
          <w:szCs w:val="20"/>
        </w:rPr>
        <w:t>八、货款的支付</w:t>
      </w:r>
    </w:p>
    <w:p w14:paraId="50658E4F">
      <w:pPr>
        <w:widowControl w:val="0"/>
        <w:spacing w:line="520" w:lineRule="exact"/>
        <w:ind w:firstLine="480" w:firstLineChars="200"/>
        <w:jc w:val="both"/>
        <w:rPr>
          <w:rFonts w:hint="eastAsia" w:ascii="仿宋" w:hAnsi="仿宋" w:eastAsia="仿宋"/>
          <w:sz w:val="24"/>
          <w:szCs w:val="20"/>
        </w:rPr>
      </w:pPr>
      <w:r>
        <w:rPr>
          <w:rFonts w:hint="eastAsia" w:ascii="仿宋" w:hAnsi="仿宋" w:eastAsia="仿宋"/>
          <w:sz w:val="24"/>
          <w:szCs w:val="20"/>
        </w:rPr>
        <w:t>1、货款按以下方式支付：</w:t>
      </w:r>
    </w:p>
    <w:p w14:paraId="2A1C1225">
      <w:pPr>
        <w:widowControl w:val="0"/>
        <w:spacing w:line="520" w:lineRule="exact"/>
        <w:ind w:firstLine="480" w:firstLineChars="200"/>
        <w:jc w:val="both"/>
        <w:rPr>
          <w:rFonts w:hint="eastAsia" w:ascii="仿宋" w:hAnsi="仿宋" w:eastAsia="仿宋"/>
          <w:sz w:val="24"/>
          <w:szCs w:val="20"/>
        </w:rPr>
      </w:pPr>
      <w:r>
        <w:rPr>
          <w:rFonts w:hint="eastAsia" w:ascii="仿宋" w:hAnsi="仿宋" w:eastAsia="仿宋"/>
          <w:color w:val="EE0000"/>
          <w:sz w:val="24"/>
          <w:szCs w:val="20"/>
        </w:rPr>
        <w:t>合同签订后完成设备的到货、安装、调试，经甲方确认达到试运行标准后支付合同总金额的90%，即（人民币大写：         元整，小写：￥          元），达到验收标准后无息支付合同总金额10%，即（人民币大写：          元整，小写：￥          元）</w:t>
      </w:r>
      <w:r>
        <w:rPr>
          <w:rFonts w:hint="eastAsia" w:ascii="仿宋" w:hAnsi="仿宋" w:eastAsia="仿宋"/>
          <w:sz w:val="24"/>
          <w:szCs w:val="20"/>
        </w:rPr>
        <w:t>。</w:t>
      </w:r>
    </w:p>
    <w:p w14:paraId="00DC8E63">
      <w:pPr>
        <w:widowControl w:val="0"/>
        <w:spacing w:line="520" w:lineRule="exact"/>
        <w:ind w:firstLine="480" w:firstLineChars="200"/>
        <w:rPr>
          <w:rFonts w:hint="eastAsia" w:ascii="仿宋" w:hAnsi="仿宋" w:eastAsia="仿宋"/>
          <w:bCs/>
          <w:sz w:val="24"/>
          <w:szCs w:val="20"/>
        </w:rPr>
      </w:pPr>
      <w:r>
        <w:rPr>
          <w:rFonts w:hint="eastAsia" w:ascii="仿宋" w:hAnsi="仿宋" w:eastAsia="仿宋"/>
          <w:sz w:val="24"/>
          <w:szCs w:val="20"/>
        </w:rPr>
        <w:t>2、甲方支付上述任何一笔款项前，乙方应提供符合甲方财务做账要求的正规</w:t>
      </w:r>
      <w:r>
        <w:rPr>
          <w:rFonts w:hint="eastAsia" w:ascii="仿宋" w:hAnsi="仿宋" w:eastAsia="仿宋"/>
          <w:bCs/>
          <w:sz w:val="24"/>
          <w:szCs w:val="20"/>
        </w:rPr>
        <w:t>全额</w:t>
      </w:r>
      <w:r>
        <w:rPr>
          <w:rFonts w:hint="eastAsia" w:ascii="仿宋" w:hAnsi="仿宋" w:eastAsia="仿宋"/>
          <w:sz w:val="24"/>
          <w:szCs w:val="20"/>
        </w:rPr>
        <w:t>增值税发票，否则，甲方有权拒付款项且不承担违约责任。甲方办理完成款项支付的申请手续即视为完成付款义务（不含财政支付部门审核的时间）。如因财政资金的下达、拨付问题导致付款延迟的，不视为甲方违约，乙方不能据此追究甲方的违约责任。</w:t>
      </w:r>
    </w:p>
    <w:p w14:paraId="40D70636">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3、甲方将上述款项支付至乙方指定的如下银行账户：</w:t>
      </w:r>
    </w:p>
    <w:p w14:paraId="52CD6D48">
      <w:pPr>
        <w:widowControl w:val="0"/>
        <w:ind w:firstLine="480" w:firstLineChars="200"/>
        <w:jc w:val="both"/>
        <w:rPr>
          <w:rFonts w:hint="eastAsia" w:ascii="仿宋" w:hAnsi="仿宋" w:eastAsia="仿宋"/>
          <w:bCs/>
          <w:sz w:val="24"/>
          <w:szCs w:val="20"/>
          <w:u w:val="single"/>
        </w:rPr>
      </w:pPr>
      <w:r>
        <w:rPr>
          <w:rFonts w:hint="eastAsia" w:ascii="仿宋" w:hAnsi="仿宋" w:eastAsia="仿宋"/>
          <w:bCs/>
          <w:sz w:val="24"/>
          <w:szCs w:val="20"/>
        </w:rPr>
        <w:t>开户行：</w:t>
      </w:r>
      <w:r>
        <w:rPr>
          <w:rFonts w:hint="eastAsia" w:ascii="仿宋" w:hAnsi="仿宋" w:eastAsia="仿宋"/>
          <w:bCs/>
          <w:sz w:val="24"/>
          <w:szCs w:val="20"/>
          <w:u w:val="single"/>
        </w:rPr>
        <w:t xml:space="preserve">               </w:t>
      </w:r>
    </w:p>
    <w:p w14:paraId="67F9F5E0">
      <w:pPr>
        <w:widowControl w:val="0"/>
        <w:spacing w:line="520" w:lineRule="exact"/>
        <w:ind w:firstLine="480" w:firstLineChars="200"/>
        <w:rPr>
          <w:rFonts w:hint="eastAsia" w:ascii="仿宋" w:hAnsi="仿宋" w:eastAsia="仿宋"/>
          <w:sz w:val="24"/>
          <w:szCs w:val="20"/>
        </w:rPr>
      </w:pPr>
      <w:r>
        <w:rPr>
          <w:rFonts w:hint="eastAsia" w:ascii="仿宋" w:hAnsi="仿宋" w:eastAsia="仿宋"/>
          <w:sz w:val="24"/>
          <w:szCs w:val="20"/>
        </w:rPr>
        <w:t>账户名称：</w:t>
      </w:r>
      <w:r>
        <w:rPr>
          <w:rFonts w:hint="eastAsia" w:ascii="仿宋" w:hAnsi="仿宋" w:eastAsia="仿宋"/>
          <w:sz w:val="24"/>
          <w:szCs w:val="20"/>
          <w:u w:val="single"/>
        </w:rPr>
        <w:t xml:space="preserve">             </w:t>
      </w:r>
      <w:r>
        <w:rPr>
          <w:rFonts w:hint="eastAsia" w:ascii="仿宋" w:hAnsi="仿宋" w:eastAsia="仿宋"/>
          <w:sz w:val="24"/>
          <w:szCs w:val="20"/>
          <w:u w:val="single"/>
        </w:rPr>
        <w:tab/>
      </w:r>
    </w:p>
    <w:p w14:paraId="09F8038F">
      <w:pPr>
        <w:widowControl w:val="0"/>
        <w:spacing w:line="520" w:lineRule="exact"/>
        <w:ind w:firstLine="480" w:firstLineChars="200"/>
        <w:rPr>
          <w:rFonts w:hint="eastAsia" w:ascii="仿宋" w:hAnsi="仿宋" w:eastAsia="仿宋"/>
          <w:sz w:val="24"/>
          <w:szCs w:val="20"/>
          <w:u w:val="single"/>
        </w:rPr>
      </w:pPr>
      <w:r>
        <w:rPr>
          <w:rFonts w:hint="eastAsia" w:ascii="仿宋" w:hAnsi="仿宋" w:eastAsia="仿宋"/>
          <w:sz w:val="24"/>
          <w:szCs w:val="20"/>
        </w:rPr>
        <w:t>银行账号：</w:t>
      </w:r>
      <w:r>
        <w:rPr>
          <w:rFonts w:hint="eastAsia" w:ascii="仿宋" w:hAnsi="仿宋" w:eastAsia="仿宋"/>
          <w:sz w:val="24"/>
          <w:szCs w:val="20"/>
          <w:u w:val="single"/>
        </w:rPr>
        <w:t xml:space="preserve">              </w:t>
      </w:r>
    </w:p>
    <w:p w14:paraId="7E2462D5">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甲方向以上账户付款，即为完成本合同项下对乙方相应的付款义务。乙方对上述账户信息的准确性和可用性承担全部责任。</w:t>
      </w:r>
    </w:p>
    <w:p w14:paraId="4BC8F3E0">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九、履约保证金</w:t>
      </w:r>
    </w:p>
    <w:p w14:paraId="1B50E3B8">
      <w:pPr>
        <w:widowControl w:val="0"/>
        <w:spacing w:line="520" w:lineRule="exact"/>
        <w:ind w:firstLine="480" w:firstLineChars="200"/>
        <w:jc w:val="both"/>
        <w:rPr>
          <w:rFonts w:hint="eastAsia" w:ascii="仿宋" w:hAnsi="仿宋" w:eastAsia="仿宋"/>
          <w:bCs/>
          <w:color w:val="EE0000"/>
          <w:sz w:val="24"/>
          <w:szCs w:val="20"/>
        </w:rPr>
      </w:pPr>
      <w:r>
        <w:rPr>
          <w:rFonts w:hint="eastAsia" w:ascii="仿宋" w:hAnsi="仿宋" w:eastAsia="仿宋"/>
          <w:bCs/>
          <w:color w:val="EE0000"/>
          <w:sz w:val="24"/>
          <w:szCs w:val="20"/>
        </w:rPr>
        <w:t>1.</w:t>
      </w:r>
      <w:r>
        <w:rPr>
          <w:rFonts w:ascii="Calibri" w:hAnsi="Calibri"/>
          <w:szCs w:val="20"/>
        </w:rPr>
        <w:t xml:space="preserve"> </w:t>
      </w:r>
      <w:r>
        <w:rPr>
          <w:rFonts w:hint="eastAsia" w:ascii="仿宋" w:hAnsi="仿宋" w:eastAsia="仿宋"/>
          <w:bCs/>
          <w:color w:val="EE0000"/>
          <w:sz w:val="24"/>
          <w:szCs w:val="20"/>
        </w:rPr>
        <w:t>乙方应于中标通知书发布之日起10日内，向甲方提交金额为合同总价款 10% 的履约保函，计人民币大写：________元整（小写：</w:t>
      </w:r>
      <w:r>
        <w:rPr>
          <w:rFonts w:ascii="Calibri" w:hAnsi="Calibri" w:eastAsia="仿宋" w:cs="Calibri"/>
          <w:bCs/>
          <w:color w:val="EE0000"/>
          <w:sz w:val="24"/>
          <w:szCs w:val="20"/>
        </w:rPr>
        <w:t>¥</w:t>
      </w:r>
      <w:r>
        <w:rPr>
          <w:rFonts w:hint="eastAsia" w:ascii="仿宋" w:hAnsi="仿宋" w:eastAsia="仿宋"/>
          <w:bCs/>
          <w:color w:val="EE0000"/>
          <w:sz w:val="24"/>
          <w:szCs w:val="20"/>
        </w:rPr>
        <w:t>________元）。该保函是双方签署本合同的前提条件之一。</w:t>
      </w:r>
    </w:p>
    <w:p w14:paraId="14622E2D">
      <w:pPr>
        <w:widowControl w:val="0"/>
        <w:spacing w:line="520" w:lineRule="exact"/>
        <w:ind w:firstLine="480" w:firstLineChars="200"/>
        <w:jc w:val="both"/>
        <w:rPr>
          <w:rFonts w:hint="eastAsia" w:ascii="仿宋" w:hAnsi="仿宋" w:eastAsia="仿宋"/>
          <w:bCs/>
          <w:color w:val="EE0000"/>
          <w:sz w:val="24"/>
          <w:szCs w:val="20"/>
        </w:rPr>
      </w:pPr>
      <w:r>
        <w:rPr>
          <w:rFonts w:hint="eastAsia" w:ascii="仿宋" w:hAnsi="仿宋" w:eastAsia="仿宋"/>
          <w:bCs/>
          <w:color w:val="EE0000"/>
          <w:sz w:val="24"/>
          <w:szCs w:val="20"/>
        </w:rPr>
        <w:t>2.履约保证金采取以下形式提交：由甲方认可的金融机构、担保机构开具的、以甲方为受益人的、不可撤销的见索即付独立保函，保函格式须经甲方事先书面确认，保函有效期应持续至本合同项下全部货物最终验收合格且质量保证期届满后 30 日。</w:t>
      </w:r>
    </w:p>
    <w:p w14:paraId="19CDF91E">
      <w:pPr>
        <w:widowControl w:val="0"/>
        <w:spacing w:line="520" w:lineRule="exact"/>
        <w:ind w:firstLine="480" w:firstLineChars="200"/>
        <w:jc w:val="both"/>
        <w:rPr>
          <w:rFonts w:hint="eastAsia" w:ascii="仿宋" w:hAnsi="仿宋" w:eastAsia="仿宋"/>
          <w:bCs/>
          <w:color w:val="EE0000"/>
          <w:sz w:val="24"/>
          <w:szCs w:val="20"/>
        </w:rPr>
      </w:pPr>
      <w:r>
        <w:rPr>
          <w:rFonts w:hint="eastAsia" w:ascii="仿宋" w:hAnsi="仿宋" w:eastAsia="仿宋"/>
          <w:bCs/>
          <w:color w:val="EE0000"/>
          <w:sz w:val="24"/>
          <w:szCs w:val="20"/>
        </w:rPr>
        <w:t>3.</w:t>
      </w:r>
      <w:r>
        <w:rPr>
          <w:rFonts w:ascii="Calibri" w:hAnsi="Calibri"/>
          <w:szCs w:val="20"/>
        </w:rPr>
        <w:t xml:space="preserve"> </w:t>
      </w:r>
      <w:r>
        <w:rPr>
          <w:rFonts w:hint="eastAsia" w:ascii="仿宋" w:hAnsi="仿宋" w:eastAsia="仿宋"/>
          <w:bCs/>
          <w:color w:val="EE0000"/>
          <w:sz w:val="24"/>
          <w:szCs w:val="20"/>
        </w:rPr>
        <w:t>若乙方未能按本条约定的时间和要求提交符合要求的履约保函，每逾期一日，应向甲方支付合同总价款 0.1% 的违约金。逾期超过 15 日的，甲方有权单方解除本合同（或不予签订本合同），并要求乙方承担本合同总价款 20% 的违约金，乙方应在甲方通知后5个工作日内支付该违约金。</w:t>
      </w:r>
    </w:p>
    <w:p w14:paraId="5E3DC95D">
      <w:pPr>
        <w:widowControl w:val="0"/>
        <w:spacing w:line="520" w:lineRule="exact"/>
        <w:ind w:firstLine="480" w:firstLineChars="200"/>
        <w:jc w:val="both"/>
        <w:rPr>
          <w:rFonts w:hint="eastAsia" w:ascii="仿宋" w:hAnsi="仿宋" w:eastAsia="仿宋"/>
          <w:bCs/>
          <w:color w:val="EE0000"/>
          <w:sz w:val="24"/>
          <w:szCs w:val="20"/>
        </w:rPr>
      </w:pPr>
      <w:r>
        <w:rPr>
          <w:rFonts w:hint="eastAsia" w:ascii="仿宋" w:hAnsi="仿宋" w:eastAsia="仿宋"/>
          <w:bCs/>
          <w:color w:val="EE0000"/>
          <w:sz w:val="24"/>
          <w:szCs w:val="20"/>
        </w:rPr>
        <w:t>4.</w:t>
      </w:r>
      <w:r>
        <w:rPr>
          <w:rFonts w:ascii="Calibri" w:hAnsi="Calibri"/>
          <w:szCs w:val="20"/>
        </w:rPr>
        <w:t xml:space="preserve"> </w:t>
      </w:r>
      <w:r>
        <w:rPr>
          <w:rFonts w:hint="eastAsia" w:ascii="仿宋" w:hAnsi="仿宋" w:eastAsia="仿宋"/>
          <w:bCs/>
          <w:color w:val="EE0000"/>
          <w:sz w:val="24"/>
          <w:szCs w:val="20"/>
        </w:rPr>
        <w:t>在本合同履行过程中，若乙方出现任何违约行为，甲方有权根据本合同约定或法律规定，向保函开立人发出书面索赔通知，要求于5个工作日内兑付全部或部分保函金额，以偿付乙方应付的违约金、赔偿金及其他费用。甲方此项权利独立于其可能对乙方享有的其他任何权利或救济。</w:t>
      </w:r>
    </w:p>
    <w:p w14:paraId="43E68CC3">
      <w:pPr>
        <w:widowControl w:val="0"/>
        <w:spacing w:line="520" w:lineRule="exact"/>
        <w:ind w:firstLine="480" w:firstLineChars="200"/>
        <w:jc w:val="both"/>
        <w:rPr>
          <w:rFonts w:hint="eastAsia" w:ascii="仿宋" w:hAnsi="仿宋" w:eastAsia="仿宋"/>
          <w:bCs/>
          <w:color w:val="EE0000"/>
          <w:sz w:val="24"/>
          <w:szCs w:val="20"/>
        </w:rPr>
      </w:pPr>
      <w:r>
        <w:rPr>
          <w:rFonts w:hint="eastAsia" w:ascii="仿宋" w:hAnsi="仿宋" w:eastAsia="仿宋"/>
          <w:bCs/>
          <w:color w:val="EE0000"/>
          <w:sz w:val="24"/>
          <w:szCs w:val="20"/>
        </w:rPr>
        <w:t>5.</w:t>
      </w:r>
      <w:r>
        <w:rPr>
          <w:rFonts w:ascii="Calibri" w:hAnsi="Calibri"/>
          <w:szCs w:val="20"/>
        </w:rPr>
        <w:t xml:space="preserve"> </w:t>
      </w:r>
      <w:r>
        <w:rPr>
          <w:rFonts w:hint="eastAsia" w:ascii="仿宋" w:hAnsi="仿宋" w:eastAsia="仿宋"/>
          <w:bCs/>
          <w:color w:val="EE0000"/>
          <w:sz w:val="24"/>
          <w:szCs w:val="20"/>
        </w:rPr>
        <w:t>本合同履行完毕（即货物质保期届满且乙方无任何未履行的违约责任）后 30 日内，甲方应将已收到的履约保函正本退还给乙方。</w:t>
      </w:r>
    </w:p>
    <w:p w14:paraId="2B8DB804">
      <w:pPr>
        <w:widowControl w:val="0"/>
        <w:spacing w:line="520" w:lineRule="exact"/>
        <w:ind w:firstLine="480" w:firstLineChars="200"/>
        <w:jc w:val="both"/>
        <w:rPr>
          <w:rFonts w:hint="eastAsia" w:ascii="仿宋" w:hAnsi="仿宋" w:eastAsia="仿宋"/>
          <w:bCs/>
          <w:color w:val="EE0000"/>
          <w:sz w:val="24"/>
          <w:szCs w:val="20"/>
        </w:rPr>
      </w:pPr>
      <w:r>
        <w:rPr>
          <w:rFonts w:hint="eastAsia" w:ascii="仿宋" w:hAnsi="仿宋" w:eastAsia="仿宋"/>
          <w:bCs/>
          <w:color w:val="EE0000"/>
          <w:sz w:val="24"/>
          <w:szCs w:val="20"/>
        </w:rPr>
        <w:t>6.乙方提交履约保证金，不免除其根据本合同应承担的任何合同义务及违约责任。</w:t>
      </w:r>
    </w:p>
    <w:p w14:paraId="408491E6">
      <w:pPr>
        <w:widowControl w:val="0"/>
        <w:spacing w:line="520" w:lineRule="exact"/>
        <w:ind w:firstLine="482" w:firstLineChars="200"/>
        <w:jc w:val="both"/>
        <w:rPr>
          <w:rFonts w:hint="eastAsia" w:ascii="仿宋" w:hAnsi="仿宋" w:eastAsia="仿宋"/>
          <w:b/>
          <w:sz w:val="24"/>
          <w:szCs w:val="20"/>
        </w:rPr>
      </w:pPr>
      <w:r>
        <w:rPr>
          <w:rFonts w:hint="eastAsia" w:ascii="仿宋" w:hAnsi="仿宋" w:eastAsia="仿宋"/>
          <w:b/>
          <w:sz w:val="24"/>
          <w:szCs w:val="20"/>
        </w:rPr>
        <w:t>十、违约责任</w:t>
      </w:r>
    </w:p>
    <w:p w14:paraId="7C991C88">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1、乙方应严格按照合同约定的时间交货，乙方如逾期交货，乙方每天向甲方支付违约金1000元，</w:t>
      </w:r>
      <w:r>
        <w:rPr>
          <w:rFonts w:hint="eastAsia" w:ascii="仿宋" w:hAnsi="仿宋" w:eastAsia="仿宋" w:cs="Arial"/>
          <w:bCs/>
          <w:sz w:val="24"/>
          <w:szCs w:val="20"/>
        </w:rPr>
        <w:t>并承担甲方因此所受的直接经济损失（按医院相同或类似设备上月日均全部收费为标准计算直接损失，收费标准按照新疆维吾尔自治区发改委相关物价标准执行）</w:t>
      </w:r>
      <w:r>
        <w:rPr>
          <w:rFonts w:hint="eastAsia" w:ascii="仿宋" w:hAnsi="仿宋" w:eastAsia="仿宋"/>
          <w:bCs/>
          <w:sz w:val="24"/>
          <w:szCs w:val="20"/>
        </w:rPr>
        <w:t>；乙方逾期供货超出交付期十天（含十天）以上的，甲方有权解除合同并追究乙方的违约责任，甲方解除合同的，乙方应于</w:t>
      </w:r>
      <w:r>
        <w:rPr>
          <w:rFonts w:hint="eastAsia" w:ascii="仿宋" w:hAnsi="仿宋" w:eastAsia="仿宋" w:cs="Arial"/>
          <w:bCs/>
          <w:color w:val="EE0000"/>
          <w:sz w:val="24"/>
          <w:szCs w:val="20"/>
        </w:rPr>
        <w:t>5个工作日内</w:t>
      </w:r>
      <w:r>
        <w:rPr>
          <w:rFonts w:hint="eastAsia" w:ascii="仿宋" w:hAnsi="仿宋" w:eastAsia="仿宋"/>
          <w:bCs/>
          <w:sz w:val="24"/>
          <w:szCs w:val="20"/>
        </w:rPr>
        <w:t>支付合同总价款20%的违约金；乙方支付上述违约金不足以赔偿甲方损失的，甲方有权另行向乙方索赔（包括但不限于第三方索赔、律师费、诉讼费、鉴定费、公证费、差旅费等甲方采取诉讼途径发生的一切费用）。</w:t>
      </w:r>
    </w:p>
    <w:p w14:paraId="4ED63FBD">
      <w:pPr>
        <w:widowControl w:val="0"/>
        <w:spacing w:line="4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2、在合同履行过程中，若乙方遇可能妨碍按时交货的情形，应立即以书面形式通知甲方，说明延误原因、预计延误天数及相关证明。甲方在收到乙方通知后，应尽快对情况进行评价，并于7日内确定是否同意延长交货时间以及是否收取误期赔偿费。乙方延期交货应通过签订补充协议的方式经甲方盖章确认。</w:t>
      </w:r>
    </w:p>
    <w:p w14:paraId="564981E4">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3、乙方所交产品品种、型号、规格、质量、性能不符合合同规定的，由乙方负责包换或包修，并承担修理、调换或退货而支付的实际费用。乙方不能修理或者不能调换的，应于</w:t>
      </w:r>
      <w:r>
        <w:rPr>
          <w:rFonts w:hint="eastAsia" w:ascii="仿宋" w:hAnsi="仿宋" w:eastAsia="仿宋" w:cs="Arial"/>
          <w:bCs/>
          <w:color w:val="EE0000"/>
          <w:sz w:val="24"/>
          <w:szCs w:val="20"/>
        </w:rPr>
        <w:t>5个工作日内</w:t>
      </w:r>
      <w:r>
        <w:rPr>
          <w:rFonts w:hint="eastAsia" w:ascii="仿宋" w:hAnsi="仿宋" w:eastAsia="仿宋"/>
          <w:bCs/>
          <w:sz w:val="24"/>
          <w:szCs w:val="20"/>
        </w:rPr>
        <w:t>按合同总额的20%支付违约金。</w:t>
      </w:r>
    </w:p>
    <w:p w14:paraId="59C1AB41">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4、乙方在协议供货有效期内违反本有关质量保证及售后服务的，甲方有权要求乙方于</w:t>
      </w:r>
      <w:r>
        <w:rPr>
          <w:rFonts w:hint="eastAsia" w:ascii="仿宋" w:hAnsi="仿宋" w:eastAsia="仿宋" w:cs="Arial"/>
          <w:bCs/>
          <w:color w:val="EE0000"/>
          <w:sz w:val="24"/>
          <w:szCs w:val="20"/>
        </w:rPr>
        <w:t>5个工作日内</w:t>
      </w:r>
      <w:r>
        <w:rPr>
          <w:rFonts w:hint="eastAsia" w:ascii="仿宋" w:hAnsi="仿宋" w:eastAsia="仿宋"/>
          <w:bCs/>
          <w:sz w:val="24"/>
          <w:szCs w:val="20"/>
        </w:rPr>
        <w:t>支付合同总价款20%的违约金，乙方支付上述违约金不足以赔偿甲方损失的，甲方有权另行向乙方索赔（包括但不限于第三方索赔、律师费、诉讼费、鉴定费、公证费、差旅费等甲方采取诉讼途径发生的一切费用）。</w:t>
      </w:r>
    </w:p>
    <w:p w14:paraId="434169AA">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5.</w:t>
      </w:r>
      <w:r>
        <w:rPr>
          <w:rFonts w:hint="eastAsia" w:ascii="仿宋" w:hAnsi="仿宋" w:eastAsia="仿宋" w:cs="Bookman Old Style"/>
          <w:bCs/>
          <w:sz w:val="24"/>
          <w:szCs w:val="20"/>
        </w:rPr>
        <w:t>乙方向甲方承诺，如发生乙方向甲方指定人员或与该业务有关的任何工作人员行贿、送礼等行为，或与甲方相关工作人员串通，做出损害甲方利益的任何行为，每次于</w:t>
      </w:r>
      <w:r>
        <w:rPr>
          <w:rFonts w:hint="eastAsia" w:ascii="仿宋" w:hAnsi="仿宋" w:eastAsia="仿宋" w:cs="Bookman Old Style"/>
          <w:bCs/>
          <w:color w:val="EE0000"/>
          <w:sz w:val="24"/>
          <w:szCs w:val="20"/>
        </w:rPr>
        <w:t>5个工作日</w:t>
      </w:r>
      <w:r>
        <w:rPr>
          <w:rFonts w:hint="eastAsia" w:ascii="仿宋" w:hAnsi="仿宋" w:eastAsia="仿宋" w:cs="Bookman Old Style"/>
          <w:bCs/>
          <w:sz w:val="24"/>
          <w:szCs w:val="20"/>
        </w:rPr>
        <w:t>内按合同总金额的30%的数额向甲方承担违约金。</w:t>
      </w:r>
    </w:p>
    <w:p w14:paraId="6529DDEF">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6、</w:t>
      </w:r>
      <w:r>
        <w:rPr>
          <w:rFonts w:hint="eastAsia" w:ascii="仿宋" w:hAnsi="仿宋" w:eastAsia="仿宋" w:cs="Arial"/>
          <w:bCs/>
          <w:sz w:val="24"/>
          <w:szCs w:val="20"/>
        </w:rPr>
        <w:t>设备使用期间，如存在开机率，则保修期内开机率不得低于98%（按工作日261天计算），累计故障不超过6天，每超过一天，按甲方该设备上月日均全部收费为标准计算直接损失，收费标准按照新疆维吾尔自治区发改委相关物价标准执行。</w:t>
      </w:r>
    </w:p>
    <w:p w14:paraId="4B2D7672">
      <w:pPr>
        <w:widowControl w:val="0"/>
        <w:spacing w:line="520" w:lineRule="exact"/>
        <w:ind w:firstLine="480" w:firstLineChars="200"/>
        <w:jc w:val="both"/>
        <w:rPr>
          <w:rFonts w:hint="eastAsia" w:ascii="仿宋" w:hAnsi="仿宋" w:eastAsia="仿宋" w:cs="Arial"/>
          <w:bCs/>
          <w:sz w:val="24"/>
          <w:szCs w:val="20"/>
        </w:rPr>
      </w:pPr>
      <w:r>
        <w:rPr>
          <w:rFonts w:hint="eastAsia" w:ascii="仿宋" w:hAnsi="仿宋" w:eastAsia="仿宋"/>
          <w:bCs/>
          <w:sz w:val="24"/>
          <w:szCs w:val="20"/>
        </w:rPr>
        <w:t>7、</w:t>
      </w:r>
      <w:r>
        <w:rPr>
          <w:rFonts w:hint="eastAsia" w:ascii="仿宋" w:hAnsi="仿宋" w:eastAsia="仿宋" w:cs="Arial"/>
          <w:bCs/>
          <w:sz w:val="24"/>
          <w:szCs w:val="20"/>
        </w:rPr>
        <w:t>如设备质量存在问题，给甲方造成损失，由乙方承担全部责任并赔偿甲方所有损失。如因乙方提供的设备发生医疗器械不良事件，乙方应承担全部责任和所有费用。</w:t>
      </w:r>
    </w:p>
    <w:p w14:paraId="58AC0024">
      <w:pPr>
        <w:widowControl w:val="0"/>
        <w:spacing w:line="520" w:lineRule="exact"/>
        <w:ind w:firstLine="480" w:firstLineChars="200"/>
        <w:jc w:val="both"/>
        <w:rPr>
          <w:rFonts w:hint="eastAsia" w:ascii="仿宋" w:hAnsi="仿宋" w:eastAsia="仿宋" w:cs="Arial"/>
          <w:bCs/>
          <w:sz w:val="24"/>
          <w:szCs w:val="20"/>
        </w:rPr>
      </w:pPr>
      <w:r>
        <w:rPr>
          <w:rFonts w:hint="eastAsia" w:ascii="仿宋" w:hAnsi="仿宋" w:eastAsia="仿宋" w:cs="Arial"/>
          <w:bCs/>
          <w:sz w:val="24"/>
          <w:szCs w:val="20"/>
        </w:rPr>
        <w:t>8、本合同签订后，乙方应如实履行本合同项下的权利义务，不得擅自要求解除或终止合同；如违反上述约定，应于</w:t>
      </w:r>
      <w:r>
        <w:rPr>
          <w:rFonts w:hint="eastAsia" w:ascii="仿宋" w:hAnsi="仿宋" w:eastAsia="仿宋" w:cs="Arial"/>
          <w:bCs/>
          <w:color w:val="EE0000"/>
          <w:sz w:val="24"/>
          <w:szCs w:val="20"/>
        </w:rPr>
        <w:t>5个工作日内</w:t>
      </w:r>
      <w:r>
        <w:rPr>
          <w:rFonts w:hint="eastAsia" w:ascii="仿宋" w:hAnsi="仿宋" w:eastAsia="仿宋" w:cs="Arial"/>
          <w:bCs/>
          <w:sz w:val="24"/>
          <w:szCs w:val="20"/>
        </w:rPr>
        <w:t>向甲方承担合同总金额20%的违约金，上述违约金不足以弥补甲方损失的，以实际损失为准。</w:t>
      </w:r>
    </w:p>
    <w:p w14:paraId="68668EEB">
      <w:pPr>
        <w:widowControl w:val="0"/>
        <w:spacing w:line="520" w:lineRule="exact"/>
        <w:ind w:firstLine="480" w:firstLineChars="200"/>
        <w:jc w:val="both"/>
        <w:rPr>
          <w:rFonts w:hint="eastAsia" w:ascii="仿宋" w:hAnsi="仿宋" w:eastAsia="仿宋" w:cs="Arial"/>
          <w:bCs/>
          <w:sz w:val="24"/>
          <w:szCs w:val="20"/>
        </w:rPr>
      </w:pPr>
      <w:r>
        <w:rPr>
          <w:rFonts w:hint="eastAsia" w:ascii="仿宋" w:hAnsi="仿宋" w:eastAsia="仿宋" w:cs="Arial"/>
          <w:bCs/>
          <w:sz w:val="24"/>
          <w:szCs w:val="20"/>
        </w:rPr>
        <w:t>9、乙方交付的产品不得涉及任何担保、留置权、知识产权等权利，乙方因上述权利引起的所有纠纷由乙方负责解决，甲方不承担任何责任。给甲方造成损失的，甲方有权向乙方进行全额追偿。</w:t>
      </w:r>
    </w:p>
    <w:p w14:paraId="79A4F453">
      <w:pPr>
        <w:widowControl w:val="0"/>
        <w:spacing w:line="520" w:lineRule="exact"/>
        <w:ind w:firstLine="480" w:firstLineChars="200"/>
        <w:jc w:val="both"/>
        <w:rPr>
          <w:rFonts w:hint="eastAsia" w:ascii="仿宋" w:hAnsi="仿宋" w:eastAsia="仿宋" w:cs="Arial"/>
          <w:bCs/>
          <w:sz w:val="24"/>
          <w:szCs w:val="20"/>
        </w:rPr>
      </w:pPr>
      <w:r>
        <w:rPr>
          <w:rFonts w:hint="eastAsia" w:ascii="仿宋" w:hAnsi="仿宋" w:eastAsia="仿宋" w:cs="Arial"/>
          <w:bCs/>
          <w:sz w:val="24"/>
          <w:szCs w:val="20"/>
        </w:rPr>
        <w:t>10、未经甲方书面同意，乙方将本合同项下的任何权利义务（包含债权、债务）转让给任何第三人，或向金融机构进行质押、出让的，乙方向甲方支付转让（质押、出让）金额20%。</w:t>
      </w:r>
    </w:p>
    <w:p w14:paraId="08A12364">
      <w:pPr>
        <w:widowControl w:val="0"/>
        <w:spacing w:line="520" w:lineRule="exact"/>
        <w:ind w:firstLine="480" w:firstLineChars="200"/>
        <w:jc w:val="both"/>
        <w:rPr>
          <w:rFonts w:hint="eastAsia" w:ascii="仿宋" w:hAnsi="仿宋" w:eastAsia="仿宋" w:cs="Arial"/>
          <w:bCs/>
          <w:sz w:val="24"/>
          <w:szCs w:val="20"/>
        </w:rPr>
      </w:pPr>
      <w:r>
        <w:rPr>
          <w:rFonts w:hint="eastAsia" w:ascii="仿宋" w:hAnsi="仿宋" w:eastAsia="仿宋" w:cs="Arial"/>
          <w:bCs/>
          <w:sz w:val="24"/>
          <w:szCs w:val="20"/>
        </w:rPr>
        <w:t>11、</w:t>
      </w:r>
      <w:r>
        <w:rPr>
          <w:rFonts w:hint="eastAsia" w:ascii="仿宋" w:hAnsi="仿宋" w:eastAsia="仿宋" w:cs="Arial"/>
          <w:bCs/>
          <w:color w:val="EE0000"/>
          <w:sz w:val="24"/>
          <w:szCs w:val="20"/>
        </w:rPr>
        <w:t>对于本合同项下乙方应向甲方支付的任何违约金、赔偿金或其他费用，甲方均有权从任何一笔应付给乙方的货款中优先予以抵扣。抵扣后不足的部分，甲方有权根据本合同约定或法律规定，向保函开立人发出书面索赔通知，要求于5个工作日内兑付全部或部分保函金额，以偿付乙方应付的违约金、赔偿金及其他费用。仍无法弥补甲方损失的，乙方应在甲方书面通知后</w:t>
      </w:r>
      <w:bookmarkStart w:id="344" w:name="_Hlk218090604"/>
      <w:r>
        <w:rPr>
          <w:rFonts w:hint="eastAsia" w:ascii="仿宋" w:hAnsi="仿宋" w:eastAsia="仿宋" w:cs="Arial"/>
          <w:bCs/>
          <w:color w:val="EE0000"/>
          <w:sz w:val="24"/>
          <w:szCs w:val="20"/>
        </w:rPr>
        <w:t>5个工作日</w:t>
      </w:r>
      <w:bookmarkEnd w:id="344"/>
      <w:r>
        <w:rPr>
          <w:rFonts w:hint="eastAsia" w:ascii="仿宋" w:hAnsi="仿宋" w:eastAsia="仿宋" w:cs="Arial"/>
          <w:bCs/>
          <w:color w:val="EE0000"/>
          <w:sz w:val="24"/>
          <w:szCs w:val="20"/>
        </w:rPr>
        <w:t>内足额支付</w:t>
      </w:r>
      <w:r>
        <w:rPr>
          <w:rFonts w:hint="eastAsia" w:ascii="仿宋" w:hAnsi="仿宋" w:eastAsia="仿宋" w:cs="Arial"/>
          <w:bCs/>
          <w:sz w:val="24"/>
          <w:szCs w:val="20"/>
        </w:rPr>
        <w:t>。</w:t>
      </w:r>
    </w:p>
    <w:p w14:paraId="7AD45ED6">
      <w:pPr>
        <w:widowControl w:val="0"/>
        <w:spacing w:line="520" w:lineRule="exact"/>
        <w:ind w:firstLine="482" w:firstLineChars="200"/>
        <w:jc w:val="both"/>
        <w:rPr>
          <w:rFonts w:hint="eastAsia" w:ascii="仿宋" w:hAnsi="仿宋" w:eastAsia="仿宋" w:cs="Bookman Old Style"/>
          <w:b/>
          <w:sz w:val="24"/>
          <w:szCs w:val="20"/>
        </w:rPr>
      </w:pPr>
      <w:r>
        <w:rPr>
          <w:rFonts w:hint="eastAsia" w:ascii="仿宋" w:hAnsi="仿宋" w:eastAsia="仿宋" w:cs="Bookman Old Style"/>
          <w:b/>
          <w:sz w:val="24"/>
          <w:szCs w:val="20"/>
        </w:rPr>
        <w:t xml:space="preserve">十一、不可抗力         </w:t>
      </w:r>
    </w:p>
    <w:p w14:paraId="0E0137BF">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1、甲乙双方的任何一方由于不可抗力的原因不能履行合同时，应及时向对方通报不能履行或不能完全履行的理由，在取得有关主管机关证明以后，允许延期履行、部分履行或者不履行合同，并根据情况可部分或全部免于承担违约责任。</w:t>
      </w:r>
    </w:p>
    <w:p w14:paraId="1D8AF13C">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2、“不可抗力”是指甲乙双方不能合理控制、不可预见或即使预见亦无法避免的事件，该事件妨碍、影响或延误任何一方根据合同履行其全部或部分义务。该事件包括但不限于政府行为、电信行业行为、自然灾害、战争或任何其他类似事件；</w:t>
      </w:r>
    </w:p>
    <w:p w14:paraId="584AA77F">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3、甲乙双方因不可抗力不能履行本合同的责任和义务时，双方应及时签订补充协议，并共同遵守执行。</w:t>
      </w:r>
    </w:p>
    <w:p w14:paraId="25C31F60">
      <w:pPr>
        <w:widowControl w:val="0"/>
        <w:spacing w:line="520" w:lineRule="exact"/>
        <w:ind w:firstLine="482" w:firstLineChars="200"/>
        <w:jc w:val="both"/>
        <w:rPr>
          <w:rFonts w:hint="eastAsia" w:ascii="仿宋" w:hAnsi="仿宋" w:eastAsia="仿宋" w:cs="Bookman Old Style"/>
          <w:b/>
          <w:sz w:val="24"/>
          <w:szCs w:val="20"/>
        </w:rPr>
      </w:pPr>
      <w:r>
        <w:rPr>
          <w:rFonts w:hint="eastAsia" w:ascii="仿宋" w:hAnsi="仿宋" w:eastAsia="仿宋" w:cs="Bookman Old Style"/>
          <w:b/>
          <w:sz w:val="24"/>
          <w:szCs w:val="20"/>
        </w:rPr>
        <w:t>十二、争议解决</w:t>
      </w:r>
    </w:p>
    <w:p w14:paraId="73B59091">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本合同如发生纠纷，当事人双方应当及时协商解决，协商不成时，可向甲方所在地人民法院起诉。</w:t>
      </w:r>
    </w:p>
    <w:p w14:paraId="6DD61CAA">
      <w:pPr>
        <w:widowControl w:val="0"/>
        <w:spacing w:line="520" w:lineRule="exact"/>
        <w:ind w:firstLine="482" w:firstLineChars="200"/>
        <w:jc w:val="both"/>
        <w:rPr>
          <w:rFonts w:hint="eastAsia" w:ascii="仿宋" w:hAnsi="仿宋" w:eastAsia="仿宋" w:cs="Bookman Old Style"/>
          <w:b/>
          <w:sz w:val="24"/>
          <w:szCs w:val="20"/>
        </w:rPr>
      </w:pPr>
      <w:r>
        <w:rPr>
          <w:rFonts w:hint="eastAsia" w:ascii="仿宋" w:hAnsi="仿宋" w:eastAsia="仿宋" w:cs="Bookman Old Style"/>
          <w:b/>
          <w:sz w:val="24"/>
          <w:szCs w:val="20"/>
        </w:rPr>
        <w:t>十三、合同的文本及生效</w:t>
      </w:r>
    </w:p>
    <w:p w14:paraId="5BB9EC8B">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1、本合同一式</w:t>
      </w:r>
      <w:r>
        <w:rPr>
          <w:rFonts w:hint="eastAsia" w:ascii="仿宋" w:hAnsi="仿宋" w:eastAsia="仿宋" w:cs="Bookman Old Style"/>
          <w:b/>
          <w:sz w:val="24"/>
          <w:szCs w:val="20"/>
          <w:u w:val="single"/>
        </w:rPr>
        <w:t xml:space="preserve"> 陆 </w:t>
      </w:r>
      <w:r>
        <w:rPr>
          <w:rFonts w:hint="eastAsia" w:ascii="仿宋" w:hAnsi="仿宋" w:eastAsia="仿宋" w:cs="Bookman Old Style"/>
          <w:bCs/>
          <w:sz w:val="24"/>
          <w:szCs w:val="20"/>
        </w:rPr>
        <w:t>份，甲方执</w:t>
      </w:r>
      <w:r>
        <w:rPr>
          <w:rFonts w:hint="eastAsia" w:ascii="仿宋" w:hAnsi="仿宋" w:eastAsia="仿宋" w:cs="Bookman Old Style"/>
          <w:b/>
          <w:sz w:val="24"/>
          <w:szCs w:val="20"/>
          <w:u w:val="single"/>
        </w:rPr>
        <w:t xml:space="preserve"> 伍 </w:t>
      </w:r>
      <w:r>
        <w:rPr>
          <w:rFonts w:hint="eastAsia" w:ascii="仿宋" w:hAnsi="仿宋" w:eastAsia="仿宋" w:cs="Bookman Old Style"/>
          <w:bCs/>
          <w:sz w:val="24"/>
          <w:szCs w:val="20"/>
        </w:rPr>
        <w:t>份，乙方执</w:t>
      </w:r>
      <w:r>
        <w:rPr>
          <w:rFonts w:hint="eastAsia" w:ascii="仿宋" w:hAnsi="仿宋" w:eastAsia="仿宋" w:cs="Bookman Old Style"/>
          <w:b/>
          <w:sz w:val="24"/>
          <w:szCs w:val="20"/>
          <w:u w:val="single"/>
        </w:rPr>
        <w:t xml:space="preserve"> 壹 </w:t>
      </w:r>
      <w:r>
        <w:rPr>
          <w:rFonts w:hint="eastAsia" w:ascii="仿宋" w:hAnsi="仿宋" w:eastAsia="仿宋" w:cs="Bookman Old Style"/>
          <w:bCs/>
          <w:sz w:val="24"/>
          <w:szCs w:val="20"/>
        </w:rPr>
        <w:t>份，均具有同等法律效力。</w:t>
      </w:r>
    </w:p>
    <w:p w14:paraId="5D8F8952">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2、本合同经双方法定代表人或授权代表人签字并加盖单位盖章成立生效。</w:t>
      </w:r>
    </w:p>
    <w:p w14:paraId="4A5D201C">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3、合同内容如遇国家法律法规及政策另有规定的，从其规定。</w:t>
      </w:r>
    </w:p>
    <w:p w14:paraId="0B5F1826">
      <w:pPr>
        <w:widowControl w:val="0"/>
        <w:spacing w:line="520" w:lineRule="exact"/>
        <w:ind w:firstLine="482" w:firstLineChars="200"/>
        <w:jc w:val="both"/>
        <w:rPr>
          <w:rFonts w:hint="eastAsia" w:ascii="仿宋" w:hAnsi="仿宋" w:eastAsia="仿宋"/>
          <w:b/>
          <w:sz w:val="24"/>
          <w:szCs w:val="20"/>
        </w:rPr>
      </w:pPr>
      <w:r>
        <w:rPr>
          <w:rFonts w:hint="eastAsia" w:ascii="仿宋" w:hAnsi="仿宋" w:eastAsia="仿宋"/>
          <w:b/>
          <w:sz w:val="24"/>
          <w:szCs w:val="20"/>
        </w:rPr>
        <w:t>十四、其他约定事项</w:t>
      </w:r>
    </w:p>
    <w:p w14:paraId="3AEA5B3A">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1、和本合同相关的双方往来函件（包括传真件、电子邮件）与原件具有同等的法律效力，修改无效。</w:t>
      </w:r>
    </w:p>
    <w:p w14:paraId="3F1550DE">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2、乙方签订的供货补充合同和供货承诺书是本合同不可分割的组成部分，其他未尽事宜，协商解决。</w:t>
      </w:r>
    </w:p>
    <w:p w14:paraId="0CD0820F">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3、本合同中所载的书面通知方式仅指当事人亲自送达、挂号信、EMS方式。一方采取当事人亲自送达方式的，另一方有积极配合签收的义务。如一方拒绝签收而使另一方变更送达方式的，由此产生的费用应当由违约方承担；如以EMS或快递方式寄送的，如无相反证据证明，自寄送之日起的第三日为送达之日。</w:t>
      </w:r>
    </w:p>
    <w:p w14:paraId="271B5B0E">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4、本合同尾部的双方联系方式及地址为双方有效的送达地址，如有一方地址发生变更，应在变更后当日向对方书面通知，如因变更方未及时通知，相对方按合同尾部地址送达的，视为送达成功。</w:t>
      </w:r>
    </w:p>
    <w:p w14:paraId="1CBF969B">
      <w:pPr>
        <w:widowControl w:val="0"/>
        <w:spacing w:line="520" w:lineRule="exact"/>
        <w:ind w:firstLine="482" w:firstLineChars="200"/>
        <w:jc w:val="both"/>
        <w:rPr>
          <w:rFonts w:hint="eastAsia" w:ascii="仿宋" w:hAnsi="仿宋" w:eastAsia="仿宋" w:cs="Bookman Old Style"/>
          <w:b/>
          <w:sz w:val="24"/>
          <w:szCs w:val="20"/>
        </w:rPr>
      </w:pPr>
      <w:r>
        <w:rPr>
          <w:rFonts w:hint="eastAsia" w:ascii="仿宋" w:hAnsi="仿宋" w:eastAsia="仿宋"/>
          <w:b/>
          <w:sz w:val="24"/>
          <w:szCs w:val="20"/>
        </w:rPr>
        <w:t>（以下无正文，为本合同签署页及附件）</w:t>
      </w:r>
    </w:p>
    <w:p w14:paraId="4236E914">
      <w:pPr>
        <w:widowControl w:val="0"/>
        <w:spacing w:line="520" w:lineRule="exact"/>
        <w:jc w:val="both"/>
        <w:rPr>
          <w:rFonts w:hint="eastAsia" w:ascii="仿宋" w:hAnsi="仿宋" w:eastAsia="仿宋"/>
          <w:b/>
          <w:sz w:val="24"/>
          <w:szCs w:val="20"/>
        </w:rPr>
      </w:pPr>
    </w:p>
    <w:tbl>
      <w:tblPr>
        <w:tblStyle w:val="32"/>
        <w:tblW w:w="4999" w:type="pct"/>
        <w:jc w:val="center"/>
        <w:tblLayout w:type="autofit"/>
        <w:tblCellMar>
          <w:top w:w="0" w:type="dxa"/>
          <w:left w:w="108" w:type="dxa"/>
          <w:bottom w:w="0" w:type="dxa"/>
          <w:right w:w="108" w:type="dxa"/>
        </w:tblCellMar>
      </w:tblPr>
      <w:tblGrid>
        <w:gridCol w:w="4901"/>
        <w:gridCol w:w="5059"/>
      </w:tblGrid>
      <w:tr w14:paraId="074F8B1D">
        <w:tblPrEx>
          <w:tblCellMar>
            <w:top w:w="0" w:type="dxa"/>
            <w:left w:w="108" w:type="dxa"/>
            <w:bottom w:w="0" w:type="dxa"/>
            <w:right w:w="108" w:type="dxa"/>
          </w:tblCellMar>
        </w:tblPrEx>
        <w:trPr>
          <w:trHeight w:val="800" w:hRule="atLeast"/>
          <w:jc w:val="center"/>
        </w:trPr>
        <w:tc>
          <w:tcPr>
            <w:tcW w:w="2460" w:type="pct"/>
            <w:noWrap w:val="0"/>
            <w:vAlign w:val="center"/>
          </w:tcPr>
          <w:p w14:paraId="0EE847FF">
            <w:pPr>
              <w:textAlignment w:val="center"/>
              <w:rPr>
                <w:rFonts w:hint="eastAsia" w:ascii="宋体" w:hAnsi="宋体" w:cs="宋体"/>
                <w:sz w:val="16"/>
                <w:szCs w:val="16"/>
              </w:rPr>
            </w:pPr>
            <w:r>
              <w:rPr>
                <w:rFonts w:hint="eastAsia" w:ascii="仿宋_GB2312" w:hAnsi="仿宋_GB2312" w:eastAsia="仿宋_GB2312"/>
                <w:sz w:val="24"/>
                <w:szCs w:val="20"/>
              </w:rPr>
              <w:t>甲方（盖章）：新疆医科大学附属肿瘤医院</w:t>
            </w:r>
          </w:p>
        </w:tc>
        <w:tc>
          <w:tcPr>
            <w:tcW w:w="2539" w:type="pct"/>
            <w:noWrap w:val="0"/>
            <w:vAlign w:val="center"/>
          </w:tcPr>
          <w:p w14:paraId="11915896">
            <w:pPr>
              <w:spacing w:line="520" w:lineRule="exact"/>
              <w:rPr>
                <w:rFonts w:hint="eastAsia" w:ascii="宋体" w:hAnsi="宋体" w:eastAsia="仿宋_GB2312" w:cs="宋体"/>
                <w:sz w:val="16"/>
                <w:szCs w:val="16"/>
              </w:rPr>
            </w:pPr>
            <w:r>
              <w:rPr>
                <w:rFonts w:hint="eastAsia" w:ascii="仿宋_GB2312" w:hAnsi="仿宋_GB2312" w:eastAsia="仿宋_GB2312"/>
                <w:sz w:val="24"/>
                <w:szCs w:val="20"/>
              </w:rPr>
              <w:t>乙方（盖章）：</w:t>
            </w:r>
            <w:r>
              <w:rPr>
                <w:rFonts w:hint="eastAsia" w:ascii="仿宋" w:hAnsi="仿宋" w:eastAsia="仿宋"/>
                <w:b/>
                <w:sz w:val="24"/>
                <w:szCs w:val="20"/>
              </w:rPr>
              <w:t xml:space="preserve">               </w:t>
            </w:r>
          </w:p>
        </w:tc>
      </w:tr>
      <w:tr w14:paraId="7D431BC1">
        <w:tblPrEx>
          <w:tblCellMar>
            <w:top w:w="0" w:type="dxa"/>
            <w:left w:w="108" w:type="dxa"/>
            <w:bottom w:w="0" w:type="dxa"/>
            <w:right w:w="108" w:type="dxa"/>
          </w:tblCellMar>
        </w:tblPrEx>
        <w:trPr>
          <w:trHeight w:val="800" w:hRule="atLeast"/>
          <w:jc w:val="center"/>
        </w:trPr>
        <w:tc>
          <w:tcPr>
            <w:tcW w:w="2460" w:type="pct"/>
            <w:noWrap w:val="0"/>
            <w:vAlign w:val="center"/>
          </w:tcPr>
          <w:p w14:paraId="11EF106C">
            <w:pPr>
              <w:textAlignment w:val="center"/>
              <w:rPr>
                <w:rFonts w:hint="eastAsia" w:ascii="仿宋_GB2312" w:hAnsi="仿宋_GB2312" w:eastAsia="仿宋_GB2312"/>
                <w:sz w:val="24"/>
                <w:szCs w:val="20"/>
              </w:rPr>
            </w:pPr>
            <w:r>
              <w:rPr>
                <w:rFonts w:hint="eastAsia" w:ascii="仿宋_GB2312" w:hAnsi="仿宋_GB2312" w:eastAsia="仿宋_GB2312"/>
                <w:sz w:val="24"/>
                <w:szCs w:val="20"/>
              </w:rPr>
              <w:t>授权代理人（签字）：</w:t>
            </w:r>
          </w:p>
        </w:tc>
        <w:tc>
          <w:tcPr>
            <w:tcW w:w="2539" w:type="pct"/>
            <w:noWrap w:val="0"/>
            <w:vAlign w:val="center"/>
          </w:tcPr>
          <w:p w14:paraId="5302D960">
            <w:pPr>
              <w:textAlignment w:val="center"/>
              <w:rPr>
                <w:rFonts w:hint="eastAsia" w:ascii="仿宋_GB2312" w:hAnsi="仿宋_GB2312" w:eastAsia="仿宋_GB2312"/>
                <w:sz w:val="24"/>
                <w:szCs w:val="20"/>
              </w:rPr>
            </w:pPr>
            <w:r>
              <w:rPr>
                <w:rFonts w:hint="eastAsia" w:ascii="仿宋_GB2312" w:hAnsi="仿宋_GB2312" w:eastAsia="仿宋_GB2312"/>
                <w:sz w:val="24"/>
                <w:szCs w:val="20"/>
              </w:rPr>
              <w:t>授权代理人（签字）：</w:t>
            </w:r>
          </w:p>
        </w:tc>
      </w:tr>
      <w:tr w14:paraId="3E7BEEF6">
        <w:tblPrEx>
          <w:tblCellMar>
            <w:top w:w="0" w:type="dxa"/>
            <w:left w:w="108" w:type="dxa"/>
            <w:bottom w:w="0" w:type="dxa"/>
            <w:right w:w="108" w:type="dxa"/>
          </w:tblCellMar>
        </w:tblPrEx>
        <w:trPr>
          <w:trHeight w:val="800" w:hRule="atLeast"/>
          <w:jc w:val="center"/>
        </w:trPr>
        <w:tc>
          <w:tcPr>
            <w:tcW w:w="2460" w:type="pct"/>
            <w:noWrap w:val="0"/>
            <w:vAlign w:val="center"/>
          </w:tcPr>
          <w:p w14:paraId="1F81EE6B">
            <w:pPr>
              <w:textAlignment w:val="center"/>
              <w:rPr>
                <w:rFonts w:hint="eastAsia" w:ascii="仿宋_GB2312" w:hAnsi="仿宋_GB2312" w:eastAsia="仿宋_GB2312"/>
                <w:sz w:val="24"/>
                <w:szCs w:val="20"/>
              </w:rPr>
            </w:pPr>
            <w:r>
              <w:rPr>
                <w:rFonts w:hint="eastAsia" w:ascii="仿宋_GB2312" w:hAnsi="仿宋_GB2312" w:eastAsia="仿宋_GB2312"/>
                <w:sz w:val="24"/>
                <w:szCs w:val="20"/>
              </w:rPr>
              <w:t>法定代表人（签字）：</w:t>
            </w:r>
          </w:p>
        </w:tc>
        <w:tc>
          <w:tcPr>
            <w:tcW w:w="2539" w:type="pct"/>
            <w:noWrap w:val="0"/>
            <w:vAlign w:val="center"/>
          </w:tcPr>
          <w:p w14:paraId="4E58F221">
            <w:pPr>
              <w:textAlignment w:val="center"/>
              <w:rPr>
                <w:rFonts w:hint="eastAsia" w:ascii="仿宋_GB2312" w:hAnsi="仿宋_GB2312" w:eastAsia="仿宋_GB2312"/>
                <w:sz w:val="24"/>
                <w:szCs w:val="20"/>
              </w:rPr>
            </w:pPr>
            <w:r>
              <w:rPr>
                <w:rFonts w:hint="eastAsia" w:ascii="仿宋_GB2312" w:hAnsi="仿宋_GB2312" w:eastAsia="仿宋_GB2312"/>
                <w:sz w:val="24"/>
                <w:szCs w:val="20"/>
              </w:rPr>
              <w:t>法定代表人（签字）：</w:t>
            </w:r>
          </w:p>
        </w:tc>
      </w:tr>
      <w:tr w14:paraId="2E3322F8">
        <w:tblPrEx>
          <w:tblCellMar>
            <w:top w:w="0" w:type="dxa"/>
            <w:left w:w="108" w:type="dxa"/>
            <w:bottom w:w="0" w:type="dxa"/>
            <w:right w:w="108" w:type="dxa"/>
          </w:tblCellMar>
        </w:tblPrEx>
        <w:trPr>
          <w:trHeight w:val="800" w:hRule="atLeast"/>
          <w:jc w:val="center"/>
        </w:trPr>
        <w:tc>
          <w:tcPr>
            <w:tcW w:w="2460" w:type="pct"/>
            <w:noWrap w:val="0"/>
            <w:vAlign w:val="center"/>
          </w:tcPr>
          <w:p w14:paraId="62E76357">
            <w:pPr>
              <w:textAlignment w:val="center"/>
              <w:rPr>
                <w:rFonts w:hint="eastAsia" w:ascii="仿宋_GB2312" w:hAnsi="仿宋_GB2312" w:eastAsia="仿宋_GB2312"/>
                <w:sz w:val="24"/>
                <w:szCs w:val="20"/>
              </w:rPr>
            </w:pPr>
            <w:r>
              <w:rPr>
                <w:rFonts w:hint="eastAsia" w:ascii="仿宋_GB2312" w:hAnsi="仿宋_GB2312" w:eastAsia="仿宋_GB2312"/>
                <w:sz w:val="24"/>
                <w:szCs w:val="20"/>
              </w:rPr>
              <w:t>地址：乌鲁木齐苏州东街789号</w:t>
            </w:r>
          </w:p>
        </w:tc>
        <w:tc>
          <w:tcPr>
            <w:tcW w:w="2539" w:type="pct"/>
            <w:noWrap w:val="0"/>
            <w:vAlign w:val="center"/>
          </w:tcPr>
          <w:p w14:paraId="5FE326C9">
            <w:pPr>
              <w:textAlignment w:val="center"/>
              <w:rPr>
                <w:rFonts w:hint="eastAsia" w:ascii="仿宋_GB2312" w:hAnsi="仿宋_GB2312" w:eastAsia="仿宋_GB2312"/>
                <w:sz w:val="24"/>
                <w:szCs w:val="20"/>
              </w:rPr>
            </w:pPr>
            <w:r>
              <w:rPr>
                <w:rFonts w:hint="eastAsia" w:ascii="仿宋_GB2312" w:hAnsi="仿宋_GB2312" w:eastAsia="仿宋_GB2312"/>
                <w:sz w:val="24"/>
                <w:szCs w:val="20"/>
              </w:rPr>
              <w:t xml:space="preserve">地址：           </w:t>
            </w:r>
          </w:p>
        </w:tc>
      </w:tr>
      <w:tr w14:paraId="291C81E8">
        <w:tblPrEx>
          <w:tblCellMar>
            <w:top w:w="0" w:type="dxa"/>
            <w:left w:w="108" w:type="dxa"/>
            <w:bottom w:w="0" w:type="dxa"/>
            <w:right w:w="108" w:type="dxa"/>
          </w:tblCellMar>
        </w:tblPrEx>
        <w:trPr>
          <w:trHeight w:val="800" w:hRule="atLeast"/>
          <w:jc w:val="center"/>
        </w:trPr>
        <w:tc>
          <w:tcPr>
            <w:tcW w:w="2460" w:type="pct"/>
            <w:noWrap w:val="0"/>
            <w:vAlign w:val="center"/>
          </w:tcPr>
          <w:p w14:paraId="2494506A">
            <w:pPr>
              <w:textAlignment w:val="center"/>
              <w:rPr>
                <w:rFonts w:hint="eastAsia" w:ascii="仿宋_GB2312" w:hAnsi="仿宋_GB2312" w:eastAsia="仿宋_GB2312"/>
                <w:sz w:val="24"/>
                <w:szCs w:val="20"/>
              </w:rPr>
            </w:pPr>
            <w:r>
              <w:rPr>
                <w:rFonts w:hint="eastAsia" w:ascii="仿宋_GB2312" w:hAnsi="仿宋_GB2312" w:eastAsia="仿宋_GB2312"/>
                <w:sz w:val="24"/>
                <w:szCs w:val="20"/>
              </w:rPr>
              <w:t>电话：0991-7968132</w:t>
            </w:r>
          </w:p>
        </w:tc>
        <w:tc>
          <w:tcPr>
            <w:tcW w:w="2539" w:type="pct"/>
            <w:noWrap w:val="0"/>
            <w:vAlign w:val="center"/>
          </w:tcPr>
          <w:p w14:paraId="465A77DA">
            <w:pPr>
              <w:textAlignment w:val="center"/>
              <w:rPr>
                <w:rFonts w:hint="eastAsia" w:ascii="仿宋_GB2312" w:hAnsi="仿宋_GB2312" w:eastAsia="仿宋_GB2312"/>
                <w:sz w:val="24"/>
                <w:szCs w:val="20"/>
              </w:rPr>
            </w:pPr>
            <w:r>
              <w:rPr>
                <w:rFonts w:hint="eastAsia" w:ascii="仿宋_GB2312" w:hAnsi="仿宋_GB2312" w:eastAsia="仿宋_GB2312"/>
                <w:sz w:val="24"/>
                <w:szCs w:val="20"/>
              </w:rPr>
              <w:t xml:space="preserve">电话：          </w:t>
            </w:r>
          </w:p>
        </w:tc>
      </w:tr>
      <w:tr w14:paraId="65021A06">
        <w:tblPrEx>
          <w:tblCellMar>
            <w:top w:w="0" w:type="dxa"/>
            <w:left w:w="108" w:type="dxa"/>
            <w:bottom w:w="0" w:type="dxa"/>
            <w:right w:w="108" w:type="dxa"/>
          </w:tblCellMar>
        </w:tblPrEx>
        <w:trPr>
          <w:trHeight w:val="800" w:hRule="atLeast"/>
          <w:jc w:val="center"/>
        </w:trPr>
        <w:tc>
          <w:tcPr>
            <w:tcW w:w="2460" w:type="pct"/>
            <w:noWrap w:val="0"/>
            <w:vAlign w:val="center"/>
          </w:tcPr>
          <w:p w14:paraId="70778145">
            <w:pPr>
              <w:textAlignment w:val="center"/>
              <w:rPr>
                <w:rFonts w:hint="eastAsia" w:ascii="仿宋_GB2312" w:hAnsi="仿宋_GB2312" w:eastAsia="仿宋_GB2312"/>
                <w:sz w:val="24"/>
                <w:szCs w:val="20"/>
              </w:rPr>
            </w:pPr>
            <w:r>
              <w:rPr>
                <w:rFonts w:hint="eastAsia" w:ascii="仿宋_GB2312" w:hAnsi="仿宋_GB2312" w:eastAsia="仿宋_GB2312"/>
                <w:sz w:val="24"/>
                <w:szCs w:val="20"/>
              </w:rPr>
              <w:t>日期：2026年</w:t>
            </w:r>
            <w:r>
              <w:rPr>
                <w:rFonts w:hint="eastAsia" w:ascii="仿宋_GB2312" w:hAnsi="仿宋_GB2312" w:eastAsia="仿宋_GB2312"/>
                <w:sz w:val="24"/>
                <w:szCs w:val="20"/>
                <w:lang w:val="en-US" w:eastAsia="zh-CN"/>
              </w:rPr>
              <w:t xml:space="preserve">  </w:t>
            </w:r>
            <w:r>
              <w:rPr>
                <w:rFonts w:hint="eastAsia" w:ascii="仿宋_GB2312" w:hAnsi="仿宋_GB2312" w:eastAsia="仿宋_GB2312"/>
                <w:sz w:val="24"/>
                <w:szCs w:val="20"/>
              </w:rPr>
              <w:t>月</w:t>
            </w:r>
            <w:r>
              <w:rPr>
                <w:rFonts w:hint="eastAsia" w:ascii="仿宋_GB2312" w:hAnsi="仿宋_GB2312" w:eastAsia="仿宋_GB2312"/>
                <w:sz w:val="24"/>
                <w:szCs w:val="20"/>
                <w:lang w:val="en-US" w:eastAsia="zh-CN"/>
              </w:rPr>
              <w:t xml:space="preserve">  </w:t>
            </w:r>
            <w:r>
              <w:rPr>
                <w:rFonts w:hint="eastAsia" w:ascii="仿宋_GB2312" w:hAnsi="仿宋_GB2312" w:eastAsia="仿宋_GB2312"/>
                <w:sz w:val="24"/>
                <w:szCs w:val="20"/>
              </w:rPr>
              <w:t xml:space="preserve">日 </w:t>
            </w:r>
          </w:p>
        </w:tc>
        <w:tc>
          <w:tcPr>
            <w:tcW w:w="2539" w:type="pct"/>
            <w:noWrap w:val="0"/>
            <w:vAlign w:val="center"/>
          </w:tcPr>
          <w:p w14:paraId="54204517">
            <w:pPr>
              <w:textAlignment w:val="center"/>
              <w:rPr>
                <w:rFonts w:hint="eastAsia" w:ascii="仿宋_GB2312" w:hAnsi="仿宋_GB2312" w:eastAsia="仿宋_GB2312"/>
                <w:sz w:val="24"/>
                <w:szCs w:val="20"/>
              </w:rPr>
            </w:pPr>
            <w:r>
              <w:rPr>
                <w:rFonts w:hint="eastAsia" w:ascii="仿宋_GB2312" w:hAnsi="仿宋_GB2312" w:eastAsia="仿宋_GB2312"/>
                <w:sz w:val="24"/>
                <w:szCs w:val="20"/>
              </w:rPr>
              <w:t>日期：2026年</w:t>
            </w:r>
            <w:r>
              <w:rPr>
                <w:rFonts w:hint="eastAsia" w:ascii="仿宋_GB2312" w:hAnsi="仿宋_GB2312" w:eastAsia="仿宋_GB2312"/>
                <w:sz w:val="24"/>
                <w:szCs w:val="20"/>
                <w:lang w:val="en-US" w:eastAsia="zh-CN"/>
              </w:rPr>
              <w:t xml:space="preserve">  </w:t>
            </w:r>
            <w:r>
              <w:rPr>
                <w:rFonts w:hint="eastAsia" w:ascii="仿宋_GB2312" w:hAnsi="仿宋_GB2312" w:eastAsia="仿宋_GB2312"/>
                <w:sz w:val="24"/>
                <w:szCs w:val="20"/>
              </w:rPr>
              <w:t>月</w:t>
            </w:r>
            <w:r>
              <w:rPr>
                <w:rFonts w:hint="eastAsia" w:ascii="仿宋_GB2312" w:hAnsi="仿宋_GB2312" w:eastAsia="仿宋_GB2312"/>
                <w:sz w:val="24"/>
                <w:szCs w:val="20"/>
                <w:lang w:val="en-US" w:eastAsia="zh-CN"/>
              </w:rPr>
              <w:t xml:space="preserve">  </w:t>
            </w:r>
            <w:r>
              <w:rPr>
                <w:rFonts w:hint="eastAsia" w:ascii="仿宋_GB2312" w:hAnsi="仿宋_GB2312" w:eastAsia="仿宋_GB2312"/>
                <w:sz w:val="24"/>
                <w:szCs w:val="20"/>
              </w:rPr>
              <w:t>日</w:t>
            </w:r>
          </w:p>
        </w:tc>
      </w:tr>
    </w:tbl>
    <w:p w14:paraId="2D60D264">
      <w:pPr>
        <w:widowControl w:val="0"/>
        <w:spacing w:line="520" w:lineRule="exact"/>
        <w:jc w:val="both"/>
        <w:rPr>
          <w:rFonts w:hint="eastAsia" w:ascii="仿宋" w:hAnsi="仿宋" w:eastAsia="仿宋"/>
          <w:b/>
          <w:sz w:val="24"/>
          <w:szCs w:val="20"/>
        </w:rPr>
      </w:pPr>
    </w:p>
    <w:p w14:paraId="6C310480">
      <w:pPr>
        <w:widowControl w:val="0"/>
        <w:ind w:firstLine="361" w:firstLineChars="150"/>
        <w:jc w:val="center"/>
        <w:rPr>
          <w:rFonts w:hint="eastAsia" w:ascii="仿宋" w:hAnsi="仿宋" w:eastAsia="仿宋"/>
          <w:b/>
          <w:sz w:val="24"/>
          <w:szCs w:val="20"/>
        </w:rPr>
      </w:pPr>
    </w:p>
    <w:p w14:paraId="6EB25314">
      <w:pPr>
        <w:rPr>
          <w:rFonts w:hint="eastAsia" w:ascii="仿宋" w:hAnsi="仿宋" w:eastAsia="仿宋"/>
          <w:b/>
          <w:sz w:val="24"/>
          <w:szCs w:val="20"/>
        </w:rPr>
        <w:sectPr>
          <w:pgSz w:w="11906" w:h="16838"/>
          <w:pgMar w:top="1440" w:right="1080" w:bottom="1440" w:left="1080" w:header="851" w:footer="992" w:gutter="0"/>
          <w:cols w:space="720" w:num="1"/>
          <w:docGrid w:type="lines" w:linePitch="312" w:charSpace="0"/>
        </w:sectPr>
      </w:pPr>
    </w:p>
    <w:p w14:paraId="557E5985">
      <w:pPr>
        <w:widowControl w:val="0"/>
        <w:ind w:firstLine="361" w:firstLineChars="150"/>
        <w:rPr>
          <w:rFonts w:hint="eastAsia" w:ascii="仿宋" w:hAnsi="仿宋" w:eastAsia="仿宋"/>
          <w:b/>
          <w:sz w:val="24"/>
          <w:szCs w:val="20"/>
        </w:rPr>
      </w:pPr>
    </w:p>
    <w:p w14:paraId="7DA888D0">
      <w:pPr>
        <w:widowControl w:val="0"/>
        <w:ind w:firstLine="361" w:firstLineChars="150"/>
        <w:rPr>
          <w:rFonts w:hint="eastAsia" w:ascii="仿宋" w:hAnsi="仿宋" w:eastAsia="仿宋"/>
          <w:b/>
          <w:sz w:val="24"/>
          <w:szCs w:val="20"/>
        </w:rPr>
      </w:pPr>
      <w:r>
        <w:rPr>
          <w:rFonts w:hint="eastAsia" w:ascii="仿宋" w:hAnsi="仿宋" w:eastAsia="仿宋"/>
          <w:b/>
          <w:sz w:val="24"/>
          <w:szCs w:val="20"/>
        </w:rPr>
        <w:t>附件：配置清单</w:t>
      </w:r>
    </w:p>
    <w:p w14:paraId="68CBA7A3">
      <w:pPr>
        <w:widowControl w:val="0"/>
        <w:ind w:firstLine="361" w:firstLineChars="150"/>
        <w:jc w:val="center"/>
        <w:rPr>
          <w:rFonts w:hint="eastAsia" w:ascii="仿宋" w:hAnsi="仿宋" w:eastAsia="仿宋"/>
          <w:b/>
          <w:sz w:val="24"/>
          <w:szCs w:val="20"/>
        </w:rPr>
      </w:pPr>
    </w:p>
    <w:p w14:paraId="133CB365">
      <w:pPr>
        <w:widowControl w:val="0"/>
        <w:ind w:firstLine="361" w:firstLineChars="150"/>
        <w:jc w:val="center"/>
        <w:rPr>
          <w:rFonts w:hint="eastAsia" w:ascii="仿宋" w:hAnsi="仿宋" w:eastAsia="仿宋"/>
          <w:b/>
          <w:sz w:val="24"/>
          <w:szCs w:val="20"/>
        </w:rPr>
      </w:pPr>
    </w:p>
    <w:p w14:paraId="17DB84B5">
      <w:pPr>
        <w:widowControl w:val="0"/>
        <w:ind w:firstLine="361" w:firstLineChars="150"/>
        <w:jc w:val="center"/>
        <w:rPr>
          <w:rFonts w:hint="eastAsia" w:ascii="仿宋" w:hAnsi="仿宋" w:eastAsia="仿宋"/>
          <w:b/>
          <w:sz w:val="24"/>
          <w:szCs w:val="20"/>
        </w:rPr>
      </w:pPr>
    </w:p>
    <w:p w14:paraId="7E7E7FE6">
      <w:pPr>
        <w:widowControl w:val="0"/>
        <w:ind w:firstLine="361" w:firstLineChars="150"/>
        <w:jc w:val="center"/>
        <w:rPr>
          <w:rFonts w:hint="eastAsia" w:ascii="仿宋" w:hAnsi="仿宋" w:eastAsia="仿宋"/>
          <w:b/>
          <w:sz w:val="36"/>
          <w:szCs w:val="36"/>
        </w:rPr>
      </w:pPr>
      <w:r>
        <w:rPr>
          <w:rFonts w:hint="eastAsia" w:ascii="仿宋" w:hAnsi="仿宋" w:eastAsia="仿宋"/>
          <w:b/>
          <w:sz w:val="24"/>
          <w:szCs w:val="20"/>
        </w:rPr>
        <w:br w:type="page"/>
      </w:r>
      <w:r>
        <w:rPr>
          <w:rFonts w:hint="eastAsia" w:ascii="仿宋" w:hAnsi="仿宋" w:eastAsia="仿宋"/>
          <w:b/>
          <w:sz w:val="36"/>
          <w:szCs w:val="36"/>
        </w:rPr>
        <w:t>医疗卫生机构医药产品廉洁购销合同</w:t>
      </w:r>
    </w:p>
    <w:p w14:paraId="0B55B019">
      <w:pPr>
        <w:widowControl w:val="0"/>
        <w:spacing w:line="580" w:lineRule="exact"/>
        <w:jc w:val="both"/>
        <w:rPr>
          <w:rFonts w:hint="eastAsia" w:ascii="仿宋" w:hAnsi="仿宋" w:eastAsia="仿宋"/>
          <w:b/>
          <w:sz w:val="24"/>
          <w:szCs w:val="20"/>
        </w:rPr>
      </w:pPr>
      <w:r>
        <w:rPr>
          <w:rFonts w:hint="eastAsia" w:ascii="仿宋" w:hAnsi="仿宋" w:eastAsia="仿宋"/>
          <w:b/>
          <w:sz w:val="24"/>
          <w:szCs w:val="20"/>
        </w:rPr>
        <w:t>甲方： 新疆医科大学附属肿瘤医院</w:t>
      </w:r>
    </w:p>
    <w:p w14:paraId="1EE1BCD2">
      <w:pPr>
        <w:widowControl w:val="0"/>
        <w:spacing w:line="580" w:lineRule="exact"/>
        <w:jc w:val="both"/>
        <w:rPr>
          <w:rFonts w:hint="eastAsia" w:ascii="仿宋" w:hAnsi="仿宋" w:eastAsia="仿宋"/>
          <w:b/>
          <w:sz w:val="24"/>
          <w:szCs w:val="20"/>
          <w:u w:val="single"/>
        </w:rPr>
      </w:pPr>
      <w:r>
        <w:rPr>
          <w:rFonts w:hint="eastAsia" w:ascii="仿宋" w:hAnsi="仿宋" w:eastAsia="仿宋"/>
          <w:b/>
          <w:sz w:val="24"/>
          <w:szCs w:val="20"/>
        </w:rPr>
        <w:t xml:space="preserve">乙方：            </w:t>
      </w:r>
    </w:p>
    <w:p w14:paraId="008DDBA4">
      <w:pPr>
        <w:widowControl w:val="0"/>
        <w:spacing w:line="58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为进一步加强医疗卫生行风建设，规范医疗卫生机构医药购销行为，有效防范商业贿赂行为，营造公平交易、诚实守信的购销环境，经甲、乙双方协商签订本合同，并共同遵守：</w:t>
      </w:r>
    </w:p>
    <w:p w14:paraId="388FF553">
      <w:pPr>
        <w:widowControl w:val="0"/>
        <w:spacing w:line="58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一、甲乙双方按照《中华人民共和国民法典》及医药产品购销合同约定购销药品、医用设备、医用耗材等医药产品。</w:t>
      </w:r>
    </w:p>
    <w:p w14:paraId="69DF0708">
      <w:pPr>
        <w:widowControl w:val="0"/>
        <w:spacing w:line="58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二、甲方应当严格执行医药产品购销合同验收、入库制度，对采购医药产品及发票进行查验，不得违反有关规定合同外采购、违价采购或从非规定渠道采购。</w:t>
      </w:r>
    </w:p>
    <w:p w14:paraId="53A25974">
      <w:pPr>
        <w:widowControl w:val="0"/>
        <w:spacing w:line="58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1643DECE">
      <w:pPr>
        <w:widowControl w:val="0"/>
        <w:spacing w:line="58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四、严禁甲方工作人员利用任何途径和方式，为乙方统计医师个人及临床科室有关医药产品用量信息，或为乙方统计提供便利。</w:t>
      </w:r>
    </w:p>
    <w:p w14:paraId="1B33BC7E">
      <w:pPr>
        <w:widowControl w:val="0"/>
        <w:spacing w:line="58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五、乙方不得以回扣、宴请等方式影响甲方工作人员采购或使用医药产品的选择权，不得在学术活动中提供旅游、超标准支付食宿费用。</w:t>
      </w:r>
    </w:p>
    <w:p w14:paraId="4AEEE3EC">
      <w:pPr>
        <w:widowControl w:val="0"/>
        <w:spacing w:line="58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六、乙方指定</w:t>
      </w:r>
      <w:r>
        <w:rPr>
          <w:rFonts w:hint="eastAsia" w:ascii="仿宋" w:hAnsi="仿宋" w:eastAsia="仿宋"/>
          <w:bCs/>
          <w:sz w:val="24"/>
          <w:szCs w:val="20"/>
          <w:u w:val="single"/>
        </w:rPr>
        <w:t xml:space="preserve">           </w:t>
      </w:r>
      <w:r>
        <w:rPr>
          <w:rFonts w:hint="eastAsia" w:ascii="仿宋" w:hAnsi="仿宋" w:eastAsia="仿宋"/>
          <w:bCs/>
          <w:sz w:val="24"/>
          <w:szCs w:val="20"/>
        </w:rPr>
        <w:t>销售代表洽谈业务。销售代表必须在工作时间到甲方指定地点联系商谈，不得到住院部、门诊部、医技科室等推销医药产品，不得借故到甲方相关领导、部门负责人及相关工作人员家中访谈并提供任何好处费。</w:t>
      </w:r>
    </w:p>
    <w:p w14:paraId="0C7C6BE7">
      <w:pPr>
        <w:widowControl w:val="0"/>
        <w:spacing w:line="58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七、乙方如违反本合同，一经发现，甲方有权终止购销合同，并向有关卫生计生行政部门报告。如乙方被列入商业贿赂不良记录，则严格按照《国家卫生计生委关于建立医药购销领域商业贿赂不良记录的规定》</w:t>
      </w:r>
      <w:r>
        <w:rPr>
          <w:rFonts w:hint="eastAsia" w:ascii="仿宋" w:hAnsi="仿宋" w:eastAsia="仿宋"/>
          <w:bCs/>
          <w:sz w:val="24"/>
          <w:szCs w:val="20"/>
          <w:shd w:val="clear" w:color="auto" w:fill="FFFFFF"/>
        </w:rPr>
        <w:t>（国卫法制发〔2013〕50号）</w:t>
      </w:r>
      <w:r>
        <w:rPr>
          <w:rFonts w:hint="eastAsia" w:ascii="仿宋" w:hAnsi="仿宋" w:eastAsia="仿宋"/>
          <w:bCs/>
          <w:sz w:val="24"/>
          <w:szCs w:val="20"/>
        </w:rPr>
        <w:t>相关规定处理。</w:t>
      </w:r>
    </w:p>
    <w:p w14:paraId="40E756D2">
      <w:pPr>
        <w:widowControl w:val="0"/>
        <w:spacing w:line="58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八、本合同作为医药产品购销合同的重要组成部分，与购销合同一并执行，具有同等的法律效力。</w:t>
      </w:r>
    </w:p>
    <w:p w14:paraId="34375189">
      <w:pPr>
        <w:widowControl w:val="0"/>
        <w:spacing w:line="58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九、本合同一式三份，甲、乙双方各执一份，甲方纪检监察部门（基层医疗卫生机构上报上级卫生计生行政部门）执一份，均具有同等的法律效力，并从签订之日起生效。</w:t>
      </w:r>
    </w:p>
    <w:p w14:paraId="61B2251C">
      <w:pPr>
        <w:widowControl w:val="0"/>
        <w:spacing w:line="360" w:lineRule="auto"/>
        <w:ind w:firstLine="480" w:firstLineChars="200"/>
        <w:jc w:val="both"/>
        <w:rPr>
          <w:rFonts w:cs="Bookman Old Style"/>
          <w:color w:val="auto"/>
          <w:szCs w:val="24"/>
          <w:highlight w:val="none"/>
        </w:rPr>
      </w:pPr>
    </w:p>
    <w:p w14:paraId="3A91837F">
      <w:pPr>
        <w:widowControl w:val="0"/>
        <w:spacing w:line="580" w:lineRule="exact"/>
        <w:ind w:left="4583" w:hanging="4583" w:hangingChars="1902"/>
        <w:jc w:val="both"/>
        <w:rPr>
          <w:rFonts w:hint="eastAsia" w:ascii="仿宋" w:hAnsi="仿宋" w:eastAsia="仿宋"/>
          <w:b/>
          <w:sz w:val="24"/>
          <w:szCs w:val="20"/>
          <w:highlight w:val="yellow"/>
        </w:rPr>
      </w:pPr>
      <w:r>
        <w:rPr>
          <w:rFonts w:hint="eastAsia" w:ascii="仿宋" w:hAnsi="仿宋" w:eastAsia="仿宋"/>
          <w:b/>
          <w:sz w:val="24"/>
          <w:szCs w:val="20"/>
        </w:rPr>
        <w:t>甲方（盖章）：新疆医科大学附属肿瘤医院   乙方（盖章）：</w:t>
      </w:r>
    </w:p>
    <w:p w14:paraId="2EC224DC">
      <w:pPr>
        <w:widowControl w:val="0"/>
        <w:spacing w:line="580" w:lineRule="exact"/>
        <w:jc w:val="both"/>
        <w:rPr>
          <w:rFonts w:hint="eastAsia" w:ascii="仿宋" w:hAnsi="仿宋" w:eastAsia="仿宋"/>
          <w:b/>
          <w:sz w:val="24"/>
          <w:szCs w:val="20"/>
        </w:rPr>
      </w:pPr>
    </w:p>
    <w:p w14:paraId="7D771CFE">
      <w:pPr>
        <w:widowControl w:val="0"/>
        <w:spacing w:line="580" w:lineRule="exact"/>
        <w:jc w:val="both"/>
        <w:rPr>
          <w:rFonts w:hint="eastAsia" w:ascii="仿宋" w:hAnsi="仿宋" w:eastAsia="仿宋"/>
          <w:b/>
          <w:sz w:val="24"/>
          <w:szCs w:val="20"/>
        </w:rPr>
      </w:pPr>
      <w:r>
        <w:rPr>
          <w:rFonts w:hint="eastAsia" w:ascii="仿宋" w:hAnsi="仿宋" w:eastAsia="仿宋"/>
          <w:b/>
          <w:sz w:val="24"/>
          <w:szCs w:val="20"/>
        </w:rPr>
        <w:t xml:space="preserve">法定代表人（负责人）：                   法定代表人（负责人）： </w:t>
      </w:r>
    </w:p>
    <w:p w14:paraId="01F77DD8">
      <w:pPr>
        <w:widowControl w:val="0"/>
        <w:spacing w:line="580" w:lineRule="exact"/>
        <w:jc w:val="both"/>
        <w:rPr>
          <w:rFonts w:hint="eastAsia" w:ascii="仿宋" w:hAnsi="仿宋" w:eastAsia="仿宋"/>
          <w:b/>
          <w:sz w:val="24"/>
          <w:szCs w:val="20"/>
        </w:rPr>
      </w:pPr>
    </w:p>
    <w:p w14:paraId="2B33B493">
      <w:pPr>
        <w:widowControl w:val="0"/>
        <w:spacing w:line="580" w:lineRule="exact"/>
        <w:jc w:val="both"/>
        <w:rPr>
          <w:rFonts w:hint="eastAsia" w:ascii="仿宋" w:hAnsi="仿宋" w:eastAsia="仿宋"/>
          <w:b/>
          <w:sz w:val="24"/>
          <w:szCs w:val="20"/>
        </w:rPr>
      </w:pPr>
      <w:r>
        <w:rPr>
          <w:rFonts w:hint="eastAsia" w:ascii="仿宋" w:hAnsi="仿宋" w:eastAsia="仿宋"/>
          <w:b/>
          <w:sz w:val="24"/>
          <w:szCs w:val="20"/>
        </w:rPr>
        <w:t>经办人签名：                             经办人签名：</w:t>
      </w:r>
    </w:p>
    <w:p w14:paraId="342C6B9F">
      <w:pPr>
        <w:widowControl w:val="0"/>
        <w:spacing w:line="580" w:lineRule="exact"/>
        <w:ind w:firstLine="1205" w:firstLineChars="500"/>
        <w:jc w:val="both"/>
        <w:rPr>
          <w:rFonts w:hint="eastAsia" w:ascii="仿宋" w:hAnsi="仿宋" w:eastAsia="仿宋"/>
          <w:b/>
          <w:sz w:val="24"/>
          <w:szCs w:val="20"/>
        </w:rPr>
      </w:pPr>
    </w:p>
    <w:p w14:paraId="7388A594">
      <w:pPr>
        <w:widowControl w:val="0"/>
        <w:spacing w:line="580" w:lineRule="exact"/>
        <w:jc w:val="both"/>
        <w:rPr>
          <w:rFonts w:hint="eastAsia" w:ascii="仿宋" w:hAnsi="仿宋" w:eastAsia="仿宋"/>
          <w:b/>
          <w:sz w:val="32"/>
          <w:szCs w:val="32"/>
        </w:rPr>
      </w:pPr>
      <w:r>
        <w:rPr>
          <w:rFonts w:hint="eastAsia" w:ascii="仿宋" w:hAnsi="仿宋" w:eastAsia="仿宋"/>
          <w:b/>
          <w:sz w:val="24"/>
          <w:szCs w:val="20"/>
        </w:rPr>
        <w:t>2026年</w:t>
      </w:r>
      <w:r>
        <w:rPr>
          <w:rFonts w:hint="eastAsia" w:ascii="仿宋" w:hAnsi="仿宋" w:eastAsia="仿宋"/>
          <w:b/>
          <w:sz w:val="24"/>
          <w:szCs w:val="20"/>
          <w:lang w:val="en-US" w:eastAsia="zh-CN"/>
        </w:rPr>
        <w:t xml:space="preserve">  </w:t>
      </w:r>
      <w:r>
        <w:rPr>
          <w:rFonts w:hint="eastAsia" w:ascii="仿宋" w:hAnsi="仿宋" w:eastAsia="仿宋"/>
          <w:b/>
          <w:sz w:val="24"/>
          <w:szCs w:val="20"/>
        </w:rPr>
        <w:t xml:space="preserve"> 月</w:t>
      </w:r>
      <w:r>
        <w:rPr>
          <w:rFonts w:hint="eastAsia" w:ascii="仿宋" w:hAnsi="仿宋" w:eastAsia="仿宋"/>
          <w:b/>
          <w:sz w:val="24"/>
          <w:szCs w:val="20"/>
          <w:lang w:val="en-US" w:eastAsia="zh-CN"/>
        </w:rPr>
        <w:t xml:space="preserve">   </w:t>
      </w:r>
      <w:r>
        <w:rPr>
          <w:rFonts w:hint="eastAsia" w:ascii="仿宋" w:hAnsi="仿宋" w:eastAsia="仿宋"/>
          <w:b/>
          <w:sz w:val="24"/>
          <w:szCs w:val="20"/>
        </w:rPr>
        <w:t xml:space="preserve">日                         2026年 </w:t>
      </w:r>
      <w:r>
        <w:rPr>
          <w:rFonts w:hint="eastAsia" w:ascii="仿宋" w:hAnsi="仿宋" w:eastAsia="仿宋"/>
          <w:b/>
          <w:sz w:val="24"/>
          <w:szCs w:val="20"/>
          <w:lang w:val="en-US" w:eastAsia="zh-CN"/>
        </w:rPr>
        <w:t xml:space="preserve">  </w:t>
      </w:r>
      <w:r>
        <w:rPr>
          <w:rFonts w:hint="eastAsia" w:ascii="仿宋" w:hAnsi="仿宋" w:eastAsia="仿宋"/>
          <w:b/>
          <w:sz w:val="24"/>
          <w:szCs w:val="20"/>
        </w:rPr>
        <w:t xml:space="preserve"> 月</w:t>
      </w:r>
      <w:r>
        <w:rPr>
          <w:rFonts w:hint="eastAsia" w:ascii="仿宋" w:hAnsi="仿宋" w:eastAsia="仿宋"/>
          <w:b/>
          <w:sz w:val="24"/>
          <w:szCs w:val="20"/>
          <w:lang w:val="en-US" w:eastAsia="zh-CN"/>
        </w:rPr>
        <w:t xml:space="preserve">  </w:t>
      </w:r>
      <w:r>
        <w:rPr>
          <w:rFonts w:hint="eastAsia" w:ascii="仿宋" w:hAnsi="仿宋" w:eastAsia="仿宋"/>
          <w:b/>
          <w:sz w:val="24"/>
          <w:szCs w:val="20"/>
        </w:rPr>
        <w:t>日</w:t>
      </w:r>
    </w:p>
    <w:p w14:paraId="5C946F69">
      <w:pPr>
        <w:rPr>
          <w:rFonts w:hint="eastAsia" w:cs="仿宋"/>
          <w:color w:val="auto"/>
          <w:sz w:val="28"/>
          <w:szCs w:val="28"/>
          <w:highlight w:val="none"/>
        </w:rPr>
      </w:pPr>
      <w:r>
        <w:rPr>
          <w:rFonts w:hint="eastAsia" w:cs="仿宋"/>
          <w:color w:val="auto"/>
          <w:sz w:val="28"/>
          <w:szCs w:val="28"/>
          <w:highlight w:val="none"/>
        </w:rPr>
        <w:br w:type="page"/>
      </w:r>
    </w:p>
    <w:p w14:paraId="6C1EB8DB">
      <w:pPr>
        <w:pStyle w:val="2"/>
        <w:rPr>
          <w:color w:val="auto"/>
          <w:highlight w:val="none"/>
        </w:rPr>
      </w:pPr>
      <w:r>
        <w:rPr>
          <w:rFonts w:hint="eastAsia"/>
          <w:color w:val="auto"/>
          <w:highlight w:val="none"/>
        </w:rPr>
        <w:t>第七章 投标文件格式</w:t>
      </w:r>
      <w:bookmarkEnd w:id="341"/>
      <w:bookmarkEnd w:id="342"/>
      <w:bookmarkEnd w:id="343"/>
    </w:p>
    <w:p w14:paraId="0FB5FFA1">
      <w:pPr>
        <w:rPr>
          <w:color w:val="auto"/>
          <w:highlight w:val="none"/>
        </w:rPr>
      </w:pPr>
    </w:p>
    <w:p w14:paraId="2463893B">
      <w:pPr>
        <w:pStyle w:val="63"/>
        <w:spacing w:line="360" w:lineRule="exact"/>
        <w:rPr>
          <w:rFonts w:ascii="宋体" w:hAnsi="宋体" w:eastAsia="宋体" w:cs="宋体"/>
          <w:b/>
          <w:bCs/>
          <w:color w:val="auto"/>
          <w:highlight w:val="none"/>
        </w:rPr>
      </w:pPr>
    </w:p>
    <w:p w14:paraId="2BE06469">
      <w:pPr>
        <w:pStyle w:val="63"/>
        <w:spacing w:line="360" w:lineRule="exact"/>
        <w:rPr>
          <w:rFonts w:ascii="宋体" w:hAnsi="宋体" w:eastAsia="宋体" w:cs="宋体"/>
          <w:b/>
          <w:bCs/>
          <w:color w:val="auto"/>
          <w:highlight w:val="none"/>
        </w:rPr>
      </w:pPr>
    </w:p>
    <w:p w14:paraId="6327B680">
      <w:pPr>
        <w:pStyle w:val="63"/>
        <w:spacing w:line="360" w:lineRule="exact"/>
        <w:rPr>
          <w:rFonts w:ascii="宋体" w:hAnsi="宋体" w:eastAsia="宋体" w:cs="宋体"/>
          <w:b/>
          <w:bCs/>
          <w:color w:val="auto"/>
          <w:highlight w:val="none"/>
        </w:rPr>
      </w:pPr>
    </w:p>
    <w:p w14:paraId="24E217FB">
      <w:pPr>
        <w:pStyle w:val="63"/>
        <w:spacing w:line="360" w:lineRule="exact"/>
        <w:rPr>
          <w:rFonts w:ascii="宋体" w:hAnsi="宋体" w:eastAsia="宋体" w:cs="宋体"/>
          <w:b/>
          <w:bCs/>
          <w:color w:val="auto"/>
          <w:highlight w:val="none"/>
        </w:rPr>
      </w:pPr>
    </w:p>
    <w:p w14:paraId="71AD23F6">
      <w:pPr>
        <w:pStyle w:val="63"/>
        <w:spacing w:line="360" w:lineRule="exact"/>
        <w:rPr>
          <w:rFonts w:ascii="宋体" w:hAnsi="宋体" w:eastAsia="宋体" w:cs="宋体"/>
          <w:b/>
          <w:bCs/>
          <w:color w:val="auto"/>
          <w:highlight w:val="none"/>
        </w:rPr>
      </w:pPr>
    </w:p>
    <w:p w14:paraId="7265D5C5">
      <w:pPr>
        <w:pStyle w:val="63"/>
        <w:spacing w:line="360" w:lineRule="exact"/>
        <w:rPr>
          <w:rFonts w:ascii="宋体" w:hAnsi="宋体" w:eastAsia="宋体" w:cs="宋体"/>
          <w:b/>
          <w:bCs/>
          <w:color w:val="auto"/>
          <w:highlight w:val="none"/>
        </w:rPr>
      </w:pPr>
    </w:p>
    <w:p w14:paraId="57621B04">
      <w:pPr>
        <w:pStyle w:val="63"/>
        <w:spacing w:line="360" w:lineRule="exact"/>
        <w:rPr>
          <w:rFonts w:ascii="宋体" w:hAnsi="宋体" w:eastAsia="宋体" w:cs="宋体"/>
          <w:b/>
          <w:bCs/>
          <w:color w:val="auto"/>
          <w:highlight w:val="none"/>
        </w:rPr>
      </w:pPr>
    </w:p>
    <w:p w14:paraId="278FB937">
      <w:pPr>
        <w:pStyle w:val="63"/>
        <w:spacing w:line="360" w:lineRule="exact"/>
        <w:rPr>
          <w:rFonts w:ascii="宋体" w:hAnsi="宋体" w:eastAsia="宋体" w:cs="宋体"/>
          <w:b/>
          <w:bCs/>
          <w:color w:val="auto"/>
          <w:highlight w:val="none"/>
        </w:rPr>
      </w:pPr>
    </w:p>
    <w:p w14:paraId="6920DF5D">
      <w:pPr>
        <w:pStyle w:val="63"/>
        <w:spacing w:line="360" w:lineRule="exact"/>
        <w:rPr>
          <w:rFonts w:ascii="宋体" w:hAnsi="宋体" w:eastAsia="宋体" w:cs="宋体"/>
          <w:b/>
          <w:bCs/>
          <w:color w:val="auto"/>
          <w:highlight w:val="none"/>
        </w:rPr>
      </w:pPr>
    </w:p>
    <w:p w14:paraId="02341DC1">
      <w:pPr>
        <w:pStyle w:val="63"/>
        <w:spacing w:line="360" w:lineRule="exact"/>
        <w:rPr>
          <w:rFonts w:ascii="宋体" w:hAnsi="宋体" w:eastAsia="宋体" w:cs="宋体"/>
          <w:b/>
          <w:bCs/>
          <w:color w:val="auto"/>
          <w:highlight w:val="none"/>
        </w:rPr>
      </w:pPr>
    </w:p>
    <w:p w14:paraId="5B785139">
      <w:pPr>
        <w:pStyle w:val="63"/>
        <w:spacing w:line="360" w:lineRule="exact"/>
        <w:rPr>
          <w:rFonts w:ascii="宋体" w:hAnsi="宋体" w:eastAsia="宋体" w:cs="宋体"/>
          <w:b/>
          <w:bCs/>
          <w:color w:val="auto"/>
          <w:highlight w:val="none"/>
        </w:rPr>
      </w:pPr>
    </w:p>
    <w:p w14:paraId="5D10C9BE">
      <w:pPr>
        <w:rPr>
          <w:color w:val="auto"/>
          <w:highlight w:val="none"/>
          <w:lang w:val="zh-CN"/>
        </w:rPr>
      </w:pPr>
      <w:bookmarkStart w:id="345" w:name="_Toc163492937"/>
    </w:p>
    <w:p w14:paraId="4FCF2D9A">
      <w:pPr>
        <w:rPr>
          <w:color w:val="auto"/>
          <w:highlight w:val="none"/>
          <w:lang w:val="zh-CN"/>
        </w:rPr>
      </w:pPr>
      <w:r>
        <w:rPr>
          <w:color w:val="auto"/>
          <w:highlight w:val="none"/>
          <w:lang w:val="zh-CN"/>
        </w:rPr>
        <w:br w:type="page"/>
      </w:r>
    </w:p>
    <w:p w14:paraId="3C27537F">
      <w:pPr>
        <w:rPr>
          <w:color w:val="auto"/>
          <w:highlight w:val="none"/>
          <w:lang w:val="zh-CN"/>
        </w:rPr>
      </w:pPr>
      <w:r>
        <w:rPr>
          <w:rFonts w:hint="eastAsia"/>
          <w:color w:val="auto"/>
          <w:highlight w:val="none"/>
          <w:lang w:val="zh-CN"/>
        </w:rPr>
        <w:t>封面：</w:t>
      </w:r>
    </w:p>
    <w:p w14:paraId="49413EB8">
      <w:pPr>
        <w:rPr>
          <w:color w:val="auto"/>
          <w:highlight w:val="none"/>
        </w:rPr>
      </w:pPr>
    </w:p>
    <w:p w14:paraId="534869C5">
      <w:pPr>
        <w:rPr>
          <w:color w:val="auto"/>
          <w:highlight w:val="none"/>
        </w:rPr>
      </w:pPr>
    </w:p>
    <w:p w14:paraId="2B77315B">
      <w:pPr>
        <w:rPr>
          <w:color w:val="auto"/>
          <w:highlight w:val="none"/>
        </w:rPr>
      </w:pPr>
    </w:p>
    <w:p w14:paraId="13B58C1F">
      <w:pPr>
        <w:pStyle w:val="2"/>
        <w:rPr>
          <w:color w:val="auto"/>
          <w:highlight w:val="none"/>
        </w:rPr>
      </w:pPr>
      <w:bookmarkStart w:id="346" w:name="_Toc22883"/>
      <w:r>
        <w:rPr>
          <w:rFonts w:hint="eastAsia"/>
          <w:color w:val="auto"/>
          <w:highlight w:val="none"/>
        </w:rPr>
        <w:t>投 标 文 件</w:t>
      </w:r>
      <w:bookmarkEnd w:id="346"/>
    </w:p>
    <w:p w14:paraId="0C81F258">
      <w:pPr>
        <w:pStyle w:val="2"/>
        <w:rPr>
          <w:color w:val="auto"/>
          <w:highlight w:val="none"/>
        </w:rPr>
      </w:pPr>
      <w:bookmarkStart w:id="347" w:name="_Toc6071"/>
      <w:r>
        <w:rPr>
          <w:rFonts w:hint="eastAsia"/>
          <w:color w:val="auto"/>
          <w:highlight w:val="none"/>
        </w:rPr>
        <w:t>资格证明文件</w:t>
      </w:r>
      <w:bookmarkEnd w:id="347"/>
    </w:p>
    <w:p w14:paraId="0027D05B">
      <w:pPr>
        <w:rPr>
          <w:color w:val="auto"/>
          <w:highlight w:val="none"/>
        </w:rPr>
      </w:pPr>
    </w:p>
    <w:p w14:paraId="083D8B9C">
      <w:pPr>
        <w:spacing w:line="360" w:lineRule="auto"/>
        <w:rPr>
          <w:color w:val="auto"/>
          <w:highlight w:val="none"/>
        </w:rPr>
      </w:pPr>
      <w:r>
        <w:rPr>
          <w:rFonts w:hint="eastAsia"/>
          <w:color w:val="auto"/>
          <w:highlight w:val="none"/>
        </w:rPr>
        <w:t>（第XX包）【如不分包，请删去本行】</w:t>
      </w:r>
    </w:p>
    <w:p w14:paraId="32B954A0">
      <w:pPr>
        <w:spacing w:line="360" w:lineRule="auto"/>
        <w:rPr>
          <w:color w:val="auto"/>
          <w:highlight w:val="none"/>
        </w:rPr>
      </w:pPr>
    </w:p>
    <w:p w14:paraId="06946DEC">
      <w:pPr>
        <w:spacing w:line="360" w:lineRule="auto"/>
        <w:rPr>
          <w:color w:val="auto"/>
          <w:highlight w:val="none"/>
        </w:rPr>
      </w:pPr>
    </w:p>
    <w:p w14:paraId="7AB28F25">
      <w:pPr>
        <w:spacing w:line="360" w:lineRule="auto"/>
        <w:rPr>
          <w:color w:val="auto"/>
          <w:highlight w:val="none"/>
        </w:rPr>
      </w:pPr>
    </w:p>
    <w:p w14:paraId="6E292466">
      <w:pPr>
        <w:spacing w:line="360" w:lineRule="auto"/>
        <w:rPr>
          <w:color w:val="auto"/>
          <w:highlight w:val="none"/>
        </w:rPr>
      </w:pPr>
      <w:r>
        <w:rPr>
          <w:rFonts w:hint="eastAsia"/>
          <w:color w:val="auto"/>
          <w:highlight w:val="none"/>
        </w:rPr>
        <w:t xml:space="preserve">项目编号/包号：                           </w:t>
      </w:r>
    </w:p>
    <w:p w14:paraId="408D70D9">
      <w:pPr>
        <w:spacing w:line="360" w:lineRule="auto"/>
        <w:rPr>
          <w:color w:val="auto"/>
          <w:highlight w:val="none"/>
        </w:rPr>
      </w:pPr>
      <w:r>
        <w:rPr>
          <w:rFonts w:hint="eastAsia"/>
          <w:color w:val="auto"/>
          <w:highlight w:val="none"/>
        </w:rPr>
        <w:t xml:space="preserve">项目名称：                                </w:t>
      </w:r>
    </w:p>
    <w:p w14:paraId="76870685">
      <w:pPr>
        <w:spacing w:line="360" w:lineRule="auto"/>
        <w:rPr>
          <w:color w:val="auto"/>
          <w:highlight w:val="none"/>
        </w:rPr>
      </w:pPr>
      <w:r>
        <w:rPr>
          <w:rFonts w:hint="eastAsia"/>
          <w:color w:val="auto"/>
          <w:highlight w:val="none"/>
        </w:rPr>
        <w:t xml:space="preserve">投 标 人：                                </w:t>
      </w:r>
    </w:p>
    <w:p w14:paraId="0B04D30D">
      <w:pPr>
        <w:spacing w:line="360" w:lineRule="auto"/>
        <w:rPr>
          <w:color w:val="auto"/>
          <w:highlight w:val="none"/>
        </w:rPr>
      </w:pPr>
    </w:p>
    <w:p w14:paraId="204AB61B">
      <w:pPr>
        <w:spacing w:line="360" w:lineRule="auto"/>
        <w:rPr>
          <w:color w:val="auto"/>
          <w:highlight w:val="none"/>
        </w:rPr>
      </w:pPr>
    </w:p>
    <w:p w14:paraId="2802EC85">
      <w:pPr>
        <w:spacing w:line="360" w:lineRule="auto"/>
        <w:rPr>
          <w:color w:val="auto"/>
          <w:highlight w:val="none"/>
        </w:rPr>
      </w:pPr>
    </w:p>
    <w:p w14:paraId="12079976">
      <w:pPr>
        <w:spacing w:line="360" w:lineRule="auto"/>
        <w:rPr>
          <w:color w:val="auto"/>
          <w:highlight w:val="none"/>
        </w:rPr>
      </w:pPr>
      <w:r>
        <w:rPr>
          <w:rFonts w:hint="eastAsia"/>
          <w:color w:val="auto"/>
          <w:highlight w:val="none"/>
        </w:rPr>
        <w:t>年   月    日</w:t>
      </w:r>
    </w:p>
    <w:p w14:paraId="7C99B830">
      <w:pPr>
        <w:spacing w:line="360" w:lineRule="auto"/>
        <w:rPr>
          <w:color w:val="auto"/>
          <w:highlight w:val="none"/>
          <w:lang w:val="zh-CN"/>
        </w:rPr>
      </w:pPr>
      <w:r>
        <w:rPr>
          <w:color w:val="auto"/>
          <w:highlight w:val="none"/>
          <w:lang w:val="zh-CN"/>
        </w:rPr>
        <w:br w:type="page"/>
      </w:r>
    </w:p>
    <w:p w14:paraId="04BD7D0F">
      <w:pPr>
        <w:rPr>
          <w:color w:val="auto"/>
          <w:highlight w:val="none"/>
          <w:lang w:val="zh-CN"/>
        </w:rPr>
      </w:pPr>
    </w:p>
    <w:p w14:paraId="63A4E493">
      <w:pPr>
        <w:pStyle w:val="3"/>
        <w:rPr>
          <w:color w:val="auto"/>
          <w:highlight w:val="none"/>
        </w:rPr>
      </w:pPr>
      <w:bookmarkStart w:id="348" w:name="_Toc29646"/>
      <w:bookmarkStart w:id="349" w:name="_Toc163492921"/>
      <w:bookmarkStart w:id="350" w:name="_Toc155185927"/>
      <w:r>
        <w:rPr>
          <w:rFonts w:hint="eastAsia"/>
          <w:color w:val="auto"/>
          <w:highlight w:val="none"/>
        </w:rPr>
        <w:t>一、满足《中华人民共和国政府采购法》第二十二条规定</w:t>
      </w:r>
      <w:bookmarkEnd w:id="348"/>
    </w:p>
    <w:bookmarkEnd w:id="349"/>
    <w:bookmarkEnd w:id="350"/>
    <w:p w14:paraId="46A9145D">
      <w:pPr>
        <w:spacing w:line="360" w:lineRule="auto"/>
        <w:rPr>
          <w:snapToGrid w:val="0"/>
          <w:color w:val="auto"/>
          <w:highlight w:val="none"/>
        </w:rPr>
      </w:pPr>
      <w:bookmarkStart w:id="351" w:name="_Toc109900336"/>
      <w:bookmarkStart w:id="352" w:name="_Toc155185930"/>
      <w:bookmarkStart w:id="353" w:name="_Toc163492923"/>
      <w:bookmarkStart w:id="354" w:name="_Toc109899917"/>
      <w:bookmarkStart w:id="355" w:name="_Toc109899498"/>
      <w:bookmarkStart w:id="356" w:name="_Toc140132840"/>
      <w:r>
        <w:rPr>
          <w:rFonts w:hint="eastAsia"/>
          <w:snapToGrid w:val="0"/>
          <w:color w:val="auto"/>
          <w:highlight w:val="none"/>
        </w:rPr>
        <w:t>1.1.法人、其他组织或者自然人的证明文件</w:t>
      </w:r>
    </w:p>
    <w:p w14:paraId="61D6FD7F">
      <w:pPr>
        <w:spacing w:line="360" w:lineRule="auto"/>
        <w:rPr>
          <w:color w:val="auto"/>
          <w:highlight w:val="none"/>
        </w:rPr>
      </w:pPr>
      <w:r>
        <w:rPr>
          <w:rFonts w:hint="eastAsia"/>
          <w:color w:val="auto"/>
          <w:highlight w:val="none"/>
        </w:rPr>
        <w:t>（1）投标人为企业（包括合伙企业）的，应提供有效的“营业执照”；</w:t>
      </w:r>
    </w:p>
    <w:p w14:paraId="1D1C6286">
      <w:pPr>
        <w:spacing w:line="360" w:lineRule="auto"/>
        <w:rPr>
          <w:color w:val="auto"/>
          <w:highlight w:val="none"/>
        </w:rPr>
      </w:pPr>
      <w:r>
        <w:rPr>
          <w:rFonts w:hint="eastAsia"/>
          <w:color w:val="auto"/>
          <w:highlight w:val="none"/>
        </w:rPr>
        <w:t>（2）投标人为事业单位的，应提供有效的“事业单位法人证书”；</w:t>
      </w:r>
    </w:p>
    <w:p w14:paraId="4736243A">
      <w:pPr>
        <w:spacing w:line="360" w:lineRule="auto"/>
        <w:rPr>
          <w:color w:val="auto"/>
          <w:highlight w:val="none"/>
        </w:rPr>
      </w:pPr>
      <w:r>
        <w:rPr>
          <w:rFonts w:hint="eastAsia"/>
          <w:color w:val="auto"/>
          <w:highlight w:val="none"/>
        </w:rPr>
        <w:t>（3）投标人为非企业机构的，应提供有效的“执业许可证”、“登记证书”等证明文件；</w:t>
      </w:r>
    </w:p>
    <w:p w14:paraId="32E31E80">
      <w:pPr>
        <w:spacing w:line="360" w:lineRule="auto"/>
        <w:rPr>
          <w:color w:val="auto"/>
          <w:highlight w:val="none"/>
        </w:rPr>
      </w:pPr>
      <w:r>
        <w:rPr>
          <w:rFonts w:hint="eastAsia"/>
          <w:color w:val="auto"/>
          <w:highlight w:val="none"/>
        </w:rPr>
        <w:t>（4）投标人是个体工商户的，应提供有效的“个体工商户营业执照”；</w:t>
      </w:r>
    </w:p>
    <w:p w14:paraId="755C913E">
      <w:pPr>
        <w:spacing w:line="360" w:lineRule="auto"/>
        <w:rPr>
          <w:color w:val="auto"/>
          <w:highlight w:val="none"/>
        </w:rPr>
      </w:pPr>
      <w:r>
        <w:rPr>
          <w:rFonts w:hint="eastAsia"/>
          <w:color w:val="auto"/>
          <w:highlight w:val="none"/>
        </w:rPr>
        <w:t>（5）投标人是自然人的，应提供有效的自然人身份证明。</w:t>
      </w:r>
    </w:p>
    <w:p w14:paraId="4B97FFF3">
      <w:pPr>
        <w:spacing w:line="360" w:lineRule="auto"/>
        <w:rPr>
          <w:color w:val="auto"/>
          <w:highlight w:val="none"/>
        </w:rPr>
        <w:sectPr>
          <w:headerReference r:id="rId5" w:type="default"/>
          <w:footerReference r:id="rId6" w:type="default"/>
          <w:pgSz w:w="11906" w:h="16840"/>
          <w:pgMar w:top="1171" w:right="1415" w:bottom="1129" w:left="1560" w:header="765" w:footer="959" w:gutter="0"/>
          <w:cols w:space="720" w:num="1"/>
        </w:sectPr>
      </w:pPr>
    </w:p>
    <w:p w14:paraId="6540E205">
      <w:pPr>
        <w:spacing w:line="360" w:lineRule="auto"/>
        <w:rPr>
          <w:snapToGrid w:val="0"/>
          <w:color w:val="auto"/>
          <w:highlight w:val="none"/>
        </w:rPr>
      </w:pPr>
      <w:r>
        <w:rPr>
          <w:rFonts w:hint="eastAsia"/>
          <w:snapToGrid w:val="0"/>
          <w:color w:val="auto"/>
          <w:highlight w:val="none"/>
        </w:rPr>
        <w:t>1.2.具有良好的商业信誉和健全的财务会计制度</w:t>
      </w:r>
    </w:p>
    <w:p w14:paraId="5870F721">
      <w:pPr>
        <w:spacing w:line="360" w:lineRule="auto"/>
        <w:rPr>
          <w:color w:val="auto"/>
          <w:highlight w:val="none"/>
        </w:rPr>
      </w:pPr>
      <w:r>
        <w:rPr>
          <w:rFonts w:hint="eastAsia"/>
          <w:color w:val="auto"/>
          <w:highlight w:val="none"/>
        </w:rPr>
        <w:t>投标时，若投标人成立超过一年需提供2024</w:t>
      </w:r>
      <w:r>
        <w:rPr>
          <w:rFonts w:hint="eastAsia"/>
          <w:color w:val="auto"/>
          <w:highlight w:val="none"/>
          <w:lang w:val="en-US" w:eastAsia="zh-CN"/>
        </w:rPr>
        <w:t>年</w:t>
      </w:r>
      <w:r>
        <w:rPr>
          <w:rFonts w:hint="eastAsia"/>
          <w:color w:val="auto"/>
          <w:highlight w:val="none"/>
        </w:rPr>
        <w:t>、2</w:t>
      </w:r>
      <w:r>
        <w:rPr>
          <w:color w:val="auto"/>
          <w:highlight w:val="none"/>
        </w:rPr>
        <w:t>025</w:t>
      </w:r>
      <w:r>
        <w:rPr>
          <w:rFonts w:hint="eastAsia"/>
          <w:color w:val="auto"/>
          <w:highlight w:val="none"/>
        </w:rPr>
        <w:t>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p>
    <w:p w14:paraId="3755DE02">
      <w:pPr>
        <w:rPr>
          <w:snapToGrid w:val="0"/>
          <w:color w:val="auto"/>
          <w:highlight w:val="none"/>
        </w:rPr>
      </w:pPr>
    </w:p>
    <w:p w14:paraId="41E239E4">
      <w:pPr>
        <w:rPr>
          <w:snapToGrid w:val="0"/>
          <w:color w:val="auto"/>
          <w:highlight w:val="none"/>
        </w:rPr>
      </w:pPr>
    </w:p>
    <w:p w14:paraId="25E28638">
      <w:pPr>
        <w:rPr>
          <w:snapToGrid w:val="0"/>
          <w:color w:val="auto"/>
          <w:highlight w:val="none"/>
        </w:rPr>
      </w:pPr>
    </w:p>
    <w:p w14:paraId="7D245FB3">
      <w:pPr>
        <w:rPr>
          <w:snapToGrid w:val="0"/>
          <w:color w:val="auto"/>
          <w:highlight w:val="none"/>
        </w:rPr>
      </w:pPr>
    </w:p>
    <w:p w14:paraId="503A3369">
      <w:pPr>
        <w:rPr>
          <w:snapToGrid w:val="0"/>
          <w:color w:val="auto"/>
          <w:highlight w:val="none"/>
        </w:rPr>
      </w:pPr>
    </w:p>
    <w:p w14:paraId="683A32F0">
      <w:pPr>
        <w:rPr>
          <w:snapToGrid w:val="0"/>
          <w:color w:val="auto"/>
          <w:highlight w:val="none"/>
        </w:rPr>
      </w:pPr>
    </w:p>
    <w:p w14:paraId="3CFD8A1A">
      <w:pPr>
        <w:rPr>
          <w:snapToGrid w:val="0"/>
          <w:color w:val="auto"/>
          <w:highlight w:val="none"/>
        </w:rPr>
      </w:pPr>
    </w:p>
    <w:p w14:paraId="0F85BE5D">
      <w:pPr>
        <w:rPr>
          <w:snapToGrid w:val="0"/>
          <w:color w:val="auto"/>
          <w:highlight w:val="none"/>
        </w:rPr>
      </w:pPr>
    </w:p>
    <w:p w14:paraId="3BA12F30">
      <w:pPr>
        <w:rPr>
          <w:snapToGrid w:val="0"/>
          <w:color w:val="auto"/>
          <w:highlight w:val="none"/>
        </w:rPr>
      </w:pPr>
    </w:p>
    <w:p w14:paraId="3B321391">
      <w:pPr>
        <w:rPr>
          <w:snapToGrid w:val="0"/>
          <w:color w:val="auto"/>
          <w:highlight w:val="none"/>
        </w:rPr>
      </w:pPr>
    </w:p>
    <w:p w14:paraId="3D674EAB">
      <w:pPr>
        <w:rPr>
          <w:snapToGrid w:val="0"/>
          <w:color w:val="auto"/>
          <w:highlight w:val="none"/>
        </w:rPr>
      </w:pPr>
    </w:p>
    <w:p w14:paraId="6C817715">
      <w:pPr>
        <w:rPr>
          <w:snapToGrid w:val="0"/>
          <w:color w:val="auto"/>
          <w:highlight w:val="none"/>
        </w:rPr>
      </w:pPr>
    </w:p>
    <w:p w14:paraId="37BE562A">
      <w:pPr>
        <w:rPr>
          <w:snapToGrid w:val="0"/>
          <w:color w:val="auto"/>
          <w:highlight w:val="none"/>
        </w:rPr>
      </w:pPr>
    </w:p>
    <w:p w14:paraId="79AD0B4C">
      <w:pPr>
        <w:rPr>
          <w:snapToGrid w:val="0"/>
          <w:color w:val="auto"/>
          <w:highlight w:val="none"/>
        </w:rPr>
      </w:pPr>
    </w:p>
    <w:p w14:paraId="082C1135">
      <w:pPr>
        <w:rPr>
          <w:snapToGrid w:val="0"/>
          <w:color w:val="auto"/>
          <w:highlight w:val="none"/>
        </w:rPr>
      </w:pPr>
    </w:p>
    <w:p w14:paraId="37995477">
      <w:pPr>
        <w:rPr>
          <w:snapToGrid w:val="0"/>
          <w:color w:val="auto"/>
          <w:highlight w:val="none"/>
        </w:rPr>
      </w:pPr>
    </w:p>
    <w:p w14:paraId="38B3F91B">
      <w:pPr>
        <w:rPr>
          <w:snapToGrid w:val="0"/>
          <w:color w:val="auto"/>
          <w:highlight w:val="none"/>
        </w:rPr>
      </w:pPr>
    </w:p>
    <w:p w14:paraId="58A6F1C9">
      <w:pPr>
        <w:rPr>
          <w:snapToGrid w:val="0"/>
          <w:color w:val="auto"/>
          <w:highlight w:val="none"/>
        </w:rPr>
      </w:pPr>
    </w:p>
    <w:p w14:paraId="210670C2">
      <w:pPr>
        <w:rPr>
          <w:snapToGrid w:val="0"/>
          <w:color w:val="auto"/>
          <w:highlight w:val="none"/>
        </w:rPr>
      </w:pPr>
    </w:p>
    <w:p w14:paraId="054C767D">
      <w:pPr>
        <w:rPr>
          <w:snapToGrid w:val="0"/>
          <w:color w:val="auto"/>
          <w:highlight w:val="none"/>
        </w:rPr>
      </w:pPr>
    </w:p>
    <w:p w14:paraId="61B6A2A3">
      <w:pPr>
        <w:rPr>
          <w:snapToGrid w:val="0"/>
          <w:color w:val="auto"/>
          <w:highlight w:val="none"/>
        </w:rPr>
      </w:pPr>
    </w:p>
    <w:p w14:paraId="460A1DF3">
      <w:pPr>
        <w:rPr>
          <w:snapToGrid w:val="0"/>
          <w:color w:val="auto"/>
          <w:highlight w:val="none"/>
        </w:rPr>
      </w:pPr>
    </w:p>
    <w:p w14:paraId="17458410">
      <w:pPr>
        <w:rPr>
          <w:snapToGrid w:val="0"/>
          <w:color w:val="auto"/>
          <w:highlight w:val="none"/>
        </w:rPr>
      </w:pPr>
    </w:p>
    <w:p w14:paraId="69376F99">
      <w:pPr>
        <w:rPr>
          <w:snapToGrid w:val="0"/>
          <w:color w:val="auto"/>
          <w:highlight w:val="none"/>
        </w:rPr>
      </w:pPr>
    </w:p>
    <w:p w14:paraId="0428A0AC">
      <w:pPr>
        <w:rPr>
          <w:snapToGrid w:val="0"/>
          <w:color w:val="auto"/>
          <w:highlight w:val="none"/>
        </w:rPr>
      </w:pPr>
    </w:p>
    <w:p w14:paraId="2BE26C25">
      <w:pPr>
        <w:rPr>
          <w:snapToGrid w:val="0"/>
          <w:color w:val="auto"/>
          <w:highlight w:val="none"/>
        </w:rPr>
      </w:pPr>
    </w:p>
    <w:p w14:paraId="3212BC25">
      <w:pPr>
        <w:rPr>
          <w:snapToGrid w:val="0"/>
          <w:color w:val="auto"/>
          <w:highlight w:val="none"/>
        </w:rPr>
      </w:pPr>
    </w:p>
    <w:p w14:paraId="4BF2E732">
      <w:pPr>
        <w:rPr>
          <w:snapToGrid w:val="0"/>
          <w:color w:val="auto"/>
          <w:highlight w:val="none"/>
        </w:rPr>
      </w:pPr>
    </w:p>
    <w:p w14:paraId="1B1B9F70">
      <w:pPr>
        <w:rPr>
          <w:snapToGrid w:val="0"/>
          <w:color w:val="auto"/>
          <w:highlight w:val="none"/>
        </w:rPr>
      </w:pPr>
    </w:p>
    <w:p w14:paraId="1134FB2E">
      <w:pPr>
        <w:rPr>
          <w:snapToGrid w:val="0"/>
          <w:color w:val="auto"/>
          <w:highlight w:val="none"/>
        </w:rPr>
      </w:pPr>
    </w:p>
    <w:p w14:paraId="7059D89A">
      <w:pPr>
        <w:rPr>
          <w:snapToGrid w:val="0"/>
          <w:color w:val="auto"/>
          <w:highlight w:val="none"/>
        </w:rPr>
      </w:pPr>
    </w:p>
    <w:p w14:paraId="3C8238EF">
      <w:pPr>
        <w:rPr>
          <w:snapToGrid w:val="0"/>
          <w:color w:val="auto"/>
          <w:highlight w:val="none"/>
        </w:rPr>
      </w:pPr>
    </w:p>
    <w:p w14:paraId="18358CC0">
      <w:pPr>
        <w:rPr>
          <w:snapToGrid w:val="0"/>
          <w:color w:val="auto"/>
          <w:highlight w:val="none"/>
        </w:rPr>
      </w:pPr>
    </w:p>
    <w:p w14:paraId="700988D7">
      <w:pPr>
        <w:rPr>
          <w:snapToGrid w:val="0"/>
          <w:color w:val="auto"/>
          <w:highlight w:val="none"/>
        </w:rPr>
      </w:pPr>
    </w:p>
    <w:p w14:paraId="18AA4401">
      <w:pPr>
        <w:rPr>
          <w:snapToGrid w:val="0"/>
          <w:color w:val="auto"/>
          <w:highlight w:val="none"/>
        </w:rPr>
      </w:pPr>
    </w:p>
    <w:p w14:paraId="5A21E2B1">
      <w:pPr>
        <w:rPr>
          <w:snapToGrid w:val="0"/>
          <w:color w:val="auto"/>
          <w:highlight w:val="none"/>
        </w:rPr>
      </w:pPr>
      <w:r>
        <w:rPr>
          <w:rFonts w:hint="eastAsia"/>
          <w:snapToGrid w:val="0"/>
          <w:color w:val="auto"/>
          <w:highlight w:val="none"/>
        </w:rPr>
        <w:br w:type="page"/>
      </w:r>
    </w:p>
    <w:p w14:paraId="2C63709C">
      <w:pPr>
        <w:spacing w:line="360" w:lineRule="auto"/>
        <w:rPr>
          <w:snapToGrid w:val="0"/>
          <w:color w:val="auto"/>
          <w:highlight w:val="none"/>
        </w:rPr>
      </w:pPr>
      <w:r>
        <w:rPr>
          <w:rFonts w:hint="eastAsia"/>
          <w:snapToGrid w:val="0"/>
          <w:color w:val="auto"/>
          <w:highlight w:val="none"/>
        </w:rPr>
        <w:t>1.3.有依法缴纳税收和社会保障资金的良好记录;</w:t>
      </w:r>
    </w:p>
    <w:p w14:paraId="76F06143">
      <w:pPr>
        <w:spacing w:line="360" w:lineRule="auto"/>
        <w:rPr>
          <w:color w:val="auto"/>
          <w:highlight w:val="none"/>
        </w:rPr>
      </w:pPr>
      <w:r>
        <w:rPr>
          <w:rFonts w:hint="eastAsia"/>
          <w:color w:val="auto"/>
          <w:highlight w:val="none"/>
        </w:rPr>
        <w:t>（1）提供至本项目投标截止日前一年内任意</w:t>
      </w:r>
      <w:r>
        <w:rPr>
          <w:color w:val="auto"/>
          <w:highlight w:val="none"/>
        </w:rPr>
        <w:t>1个月缴纳税收凭据证明材料复印件/扫描件；如依法免税的，应提供相应文件证明；</w:t>
      </w:r>
    </w:p>
    <w:p w14:paraId="0831ADA1">
      <w:pPr>
        <w:spacing w:line="360" w:lineRule="auto"/>
        <w:rPr>
          <w:color w:val="auto"/>
          <w:highlight w:val="none"/>
        </w:rPr>
      </w:pPr>
      <w:r>
        <w:rPr>
          <w:color w:val="auto"/>
          <w:highlight w:val="none"/>
        </w:rPr>
        <w:t>（</w:t>
      </w:r>
      <w:r>
        <w:rPr>
          <w:rFonts w:hint="eastAsia"/>
          <w:color w:val="auto"/>
          <w:highlight w:val="none"/>
        </w:rPr>
        <w:t>2</w:t>
      </w:r>
      <w:r>
        <w:rPr>
          <w:color w:val="auto"/>
          <w:highlight w:val="none"/>
        </w:rPr>
        <w:t>）提供至本项目投标截止日前一年内任意1个月缴纳社会保险的凭据证明材料复印件/扫描件；如依法不需要缴纳社会保障资金的，应提供相应文件证明</w:t>
      </w:r>
    </w:p>
    <w:p w14:paraId="0AEBE23B">
      <w:pPr>
        <w:rPr>
          <w:snapToGrid w:val="0"/>
          <w:color w:val="auto"/>
          <w:highlight w:val="none"/>
        </w:rPr>
      </w:pPr>
    </w:p>
    <w:p w14:paraId="248E0502">
      <w:pPr>
        <w:rPr>
          <w:snapToGrid w:val="0"/>
          <w:color w:val="auto"/>
          <w:highlight w:val="none"/>
        </w:rPr>
      </w:pPr>
      <w:r>
        <w:rPr>
          <w:rFonts w:hint="eastAsia"/>
          <w:snapToGrid w:val="0"/>
          <w:color w:val="auto"/>
          <w:highlight w:val="none"/>
        </w:rPr>
        <w:br w:type="page"/>
      </w:r>
    </w:p>
    <w:p w14:paraId="13668F02">
      <w:pPr>
        <w:spacing w:line="360" w:lineRule="auto"/>
        <w:rPr>
          <w:snapToGrid w:val="0"/>
          <w:color w:val="auto"/>
          <w:highlight w:val="none"/>
        </w:rPr>
      </w:pPr>
      <w:r>
        <w:rPr>
          <w:rFonts w:hint="eastAsia"/>
          <w:snapToGrid w:val="0"/>
          <w:color w:val="auto"/>
          <w:highlight w:val="none"/>
        </w:rPr>
        <w:t>1.4.具有履行合同所必需的设备和专业技术能力</w:t>
      </w:r>
    </w:p>
    <w:p w14:paraId="02B1E5CD">
      <w:pPr>
        <w:spacing w:line="360" w:lineRule="auto"/>
        <w:rPr>
          <w:color w:val="auto"/>
          <w:highlight w:val="none"/>
        </w:rPr>
      </w:pPr>
      <w:r>
        <w:rPr>
          <w:rFonts w:hint="eastAsia"/>
          <w:color w:val="auto"/>
          <w:highlight w:val="none"/>
        </w:rPr>
        <w:t>具备履行合同所必需的设备和专业技术能力声明函</w:t>
      </w:r>
    </w:p>
    <w:p w14:paraId="209A30F4">
      <w:pPr>
        <w:spacing w:line="360" w:lineRule="auto"/>
        <w:rPr>
          <w:color w:val="auto"/>
          <w:highlight w:val="none"/>
        </w:rPr>
      </w:pPr>
    </w:p>
    <w:p w14:paraId="6DD7D542">
      <w:pPr>
        <w:spacing w:line="360" w:lineRule="auto"/>
        <w:rPr>
          <w:color w:val="auto"/>
          <w:highlight w:val="none"/>
        </w:rPr>
      </w:pPr>
      <w:r>
        <w:rPr>
          <w:rFonts w:hint="eastAsia"/>
          <w:color w:val="auto"/>
          <w:highlight w:val="none"/>
        </w:rPr>
        <w:t>(采购人名称)      ：</w:t>
      </w:r>
    </w:p>
    <w:p w14:paraId="4157F9B4">
      <w:pPr>
        <w:spacing w:line="360" w:lineRule="auto"/>
        <w:rPr>
          <w:color w:val="auto"/>
          <w:highlight w:val="none"/>
        </w:rPr>
      </w:pPr>
    </w:p>
    <w:p w14:paraId="714B03B3">
      <w:pPr>
        <w:spacing w:line="360" w:lineRule="auto"/>
        <w:rPr>
          <w:color w:val="auto"/>
          <w:highlight w:val="none"/>
        </w:rPr>
      </w:pPr>
      <w:r>
        <w:rPr>
          <w:rFonts w:hint="eastAsia"/>
          <w:color w:val="auto"/>
          <w:highlight w:val="none"/>
        </w:rPr>
        <w:t>对于贵单位的</w:t>
      </w:r>
      <w:r>
        <w:rPr>
          <w:rFonts w:hint="eastAsia"/>
          <w:color w:val="auto"/>
          <w:highlight w:val="none"/>
          <w:u w:val="single"/>
        </w:rPr>
        <w:t xml:space="preserve">      （项目名称）      </w:t>
      </w:r>
      <w:r>
        <w:rPr>
          <w:rFonts w:hint="eastAsia"/>
          <w:color w:val="auto"/>
          <w:highlight w:val="none"/>
        </w:rPr>
        <w:t>采购项目，我公司承诺具备履行合同所必需的设备和专业技术能力。如我单位中标，在项目实施过程中发现声明不实，我单位愿意放弃本次项目的中标资格，并按照《中华人民共和国政府采购法》有关提供虚假材料的规定，接受处罚。</w:t>
      </w:r>
    </w:p>
    <w:p w14:paraId="73FF6157">
      <w:pPr>
        <w:spacing w:line="360" w:lineRule="auto"/>
        <w:rPr>
          <w:color w:val="auto"/>
          <w:highlight w:val="none"/>
        </w:rPr>
      </w:pPr>
      <w:r>
        <w:rPr>
          <w:rFonts w:hint="eastAsia"/>
          <w:color w:val="auto"/>
          <w:highlight w:val="none"/>
        </w:rPr>
        <w:t>特此声明！</w:t>
      </w:r>
    </w:p>
    <w:p w14:paraId="34A371BE">
      <w:pPr>
        <w:spacing w:line="360" w:lineRule="auto"/>
        <w:rPr>
          <w:color w:val="auto"/>
          <w:highlight w:val="none"/>
        </w:rPr>
      </w:pPr>
    </w:p>
    <w:p w14:paraId="595411B7">
      <w:pPr>
        <w:spacing w:line="360" w:lineRule="auto"/>
        <w:rPr>
          <w:color w:val="auto"/>
          <w:highlight w:val="none"/>
        </w:rPr>
      </w:pPr>
    </w:p>
    <w:p w14:paraId="3DFACC2C">
      <w:pPr>
        <w:spacing w:line="360" w:lineRule="auto"/>
        <w:rPr>
          <w:color w:val="auto"/>
          <w:highlight w:val="none"/>
        </w:rPr>
      </w:pPr>
      <w:r>
        <w:rPr>
          <w:rFonts w:hint="eastAsia"/>
          <w:color w:val="auto"/>
          <w:highlight w:val="none"/>
        </w:rPr>
        <w:t>供应商：（加盖公章）</w:t>
      </w:r>
    </w:p>
    <w:p w14:paraId="03944D67">
      <w:pPr>
        <w:spacing w:line="360" w:lineRule="auto"/>
        <w:rPr>
          <w:color w:val="auto"/>
          <w:highlight w:val="none"/>
        </w:rPr>
      </w:pPr>
      <w:r>
        <w:rPr>
          <w:rFonts w:hint="eastAsia"/>
          <w:color w:val="auto"/>
          <w:highlight w:val="none"/>
        </w:rPr>
        <w:t>日  期：</w:t>
      </w:r>
    </w:p>
    <w:p w14:paraId="3B5C293C">
      <w:pPr>
        <w:spacing w:line="360" w:lineRule="auto"/>
        <w:rPr>
          <w:snapToGrid w:val="0"/>
          <w:color w:val="auto"/>
          <w:spacing w:val="13"/>
          <w:sz w:val="21"/>
          <w:szCs w:val="21"/>
          <w:highlight w:val="none"/>
        </w:rPr>
      </w:pPr>
      <w:r>
        <w:rPr>
          <w:rFonts w:hint="eastAsia"/>
          <w:color w:val="auto"/>
          <w:highlight w:val="none"/>
        </w:rPr>
        <w:br w:type="page"/>
      </w:r>
    </w:p>
    <w:p w14:paraId="479D917F">
      <w:pPr>
        <w:spacing w:line="360" w:lineRule="auto"/>
        <w:rPr>
          <w:snapToGrid w:val="0"/>
          <w:color w:val="auto"/>
          <w:highlight w:val="none"/>
        </w:rPr>
      </w:pPr>
      <w:r>
        <w:rPr>
          <w:rFonts w:hint="eastAsia"/>
          <w:snapToGrid w:val="0"/>
          <w:color w:val="auto"/>
          <w:highlight w:val="none"/>
        </w:rPr>
        <w:t>1.5.参加政府采购活动前三年内，在经营活动中没有重大违法记录</w:t>
      </w:r>
    </w:p>
    <w:p w14:paraId="009EB267">
      <w:pPr>
        <w:spacing w:line="360" w:lineRule="auto"/>
        <w:rPr>
          <w:color w:val="auto"/>
          <w:highlight w:val="none"/>
        </w:rPr>
      </w:pPr>
    </w:p>
    <w:p w14:paraId="60F49008">
      <w:pPr>
        <w:spacing w:line="360" w:lineRule="auto"/>
        <w:rPr>
          <w:color w:val="auto"/>
          <w:highlight w:val="none"/>
        </w:rPr>
      </w:pPr>
      <w:bookmarkStart w:id="357" w:name="_Toc12673"/>
      <w:r>
        <w:rPr>
          <w:rFonts w:hint="eastAsia"/>
          <w:color w:val="auto"/>
          <w:highlight w:val="none"/>
        </w:rPr>
        <w:t>近三年内在经营活动中没有重大违法记录的书面声明</w:t>
      </w:r>
      <w:bookmarkEnd w:id="357"/>
    </w:p>
    <w:p w14:paraId="42364C59">
      <w:pPr>
        <w:pStyle w:val="81"/>
        <w:spacing w:line="360" w:lineRule="auto"/>
        <w:jc w:val="center"/>
        <w:rPr>
          <w:rFonts w:ascii="宋体" w:hAnsi="宋体" w:cs="宋体"/>
          <w:color w:val="auto"/>
          <w:sz w:val="24"/>
          <w:szCs w:val="24"/>
          <w:highlight w:val="none"/>
        </w:rPr>
      </w:pPr>
    </w:p>
    <w:p w14:paraId="29CE33CE">
      <w:pPr>
        <w:spacing w:line="360" w:lineRule="auto"/>
        <w:rPr>
          <w:color w:val="auto"/>
          <w:highlight w:val="none"/>
        </w:rPr>
      </w:pPr>
      <w:r>
        <w:rPr>
          <w:rFonts w:hint="eastAsia"/>
          <w:color w:val="auto"/>
          <w:highlight w:val="none"/>
        </w:rPr>
        <w:t xml:space="preserve"> </w:t>
      </w:r>
      <w:r>
        <w:rPr>
          <w:rFonts w:hint="eastAsia"/>
          <w:color w:val="auto"/>
          <w:highlight w:val="none"/>
          <w:u w:val="single"/>
        </w:rPr>
        <w:t xml:space="preserve">  （采购人）     </w:t>
      </w:r>
      <w:r>
        <w:rPr>
          <w:rFonts w:hint="eastAsia"/>
          <w:color w:val="auto"/>
          <w:highlight w:val="none"/>
        </w:rPr>
        <w:t xml:space="preserve"> ：</w:t>
      </w:r>
    </w:p>
    <w:p w14:paraId="5B259DFB">
      <w:pPr>
        <w:spacing w:line="360" w:lineRule="auto"/>
        <w:ind w:firstLine="480" w:firstLineChars="200"/>
        <w:rPr>
          <w:color w:val="auto"/>
          <w:highlight w:val="none"/>
        </w:rPr>
      </w:pPr>
      <w:r>
        <w:rPr>
          <w:rFonts w:hint="eastAsia"/>
          <w:color w:val="auto"/>
          <w:highlight w:val="none"/>
        </w:rPr>
        <w:t>在本项目投标文件递交截止时间前，我公司郑重承诺在参加本项目政府采购活动前三年内，在经营活动中无重大违法记录。公司未受到刑事处罚或责令停业、吊销许可证（或执照）、较大数额罚款（“较大数额罚款”认定为200万元以上的罚款，法律、行政法规以及国务院有关部门明确规定相关领域“较大数额罚款”标准高于200万元的，从其规定）等行政处罚；未处于财产被接管、冻结、破产状况。</w:t>
      </w:r>
    </w:p>
    <w:p w14:paraId="1C183CEE">
      <w:pPr>
        <w:spacing w:line="360" w:lineRule="auto"/>
        <w:rPr>
          <w:color w:val="auto"/>
          <w:highlight w:val="none"/>
        </w:rPr>
      </w:pPr>
      <w:r>
        <w:rPr>
          <w:rFonts w:hint="eastAsia"/>
          <w:color w:val="auto"/>
          <w:highlight w:val="none"/>
        </w:rPr>
        <w:t>如发现我单位提供的声明函不实时，我公司愿意承担一切法律责任并认可采购人或采购代理机构作出的取消中标资格、罚没保证金等决定。</w:t>
      </w:r>
    </w:p>
    <w:p w14:paraId="3CF2E04F">
      <w:pPr>
        <w:spacing w:line="360" w:lineRule="auto"/>
        <w:rPr>
          <w:color w:val="auto"/>
          <w:highlight w:val="none"/>
        </w:rPr>
      </w:pPr>
      <w:r>
        <w:rPr>
          <w:rFonts w:hint="eastAsia"/>
          <w:color w:val="auto"/>
          <w:highlight w:val="none"/>
        </w:rPr>
        <w:t>特此声明！</w:t>
      </w:r>
    </w:p>
    <w:p w14:paraId="135B1ED3">
      <w:pPr>
        <w:spacing w:line="360" w:lineRule="auto"/>
        <w:rPr>
          <w:color w:val="auto"/>
          <w:highlight w:val="none"/>
        </w:rPr>
      </w:pPr>
    </w:p>
    <w:p w14:paraId="0939C9FB">
      <w:pPr>
        <w:spacing w:line="360" w:lineRule="auto"/>
        <w:rPr>
          <w:color w:val="auto"/>
          <w:highlight w:val="none"/>
        </w:rPr>
      </w:pPr>
      <w:r>
        <w:rPr>
          <w:rFonts w:hint="eastAsia"/>
          <w:color w:val="auto"/>
          <w:highlight w:val="none"/>
        </w:rPr>
        <w:t>供应商：（加盖公章）</w:t>
      </w:r>
    </w:p>
    <w:p w14:paraId="5A985739">
      <w:pPr>
        <w:spacing w:line="360" w:lineRule="auto"/>
        <w:rPr>
          <w:color w:val="auto"/>
          <w:highlight w:val="none"/>
        </w:rPr>
      </w:pPr>
      <w:r>
        <w:rPr>
          <w:rFonts w:hint="eastAsia"/>
          <w:color w:val="auto"/>
          <w:highlight w:val="none"/>
        </w:rPr>
        <w:t>日  期：</w:t>
      </w:r>
    </w:p>
    <w:p w14:paraId="60A480C0">
      <w:pPr>
        <w:rPr>
          <w:color w:val="auto"/>
          <w:highlight w:val="none"/>
        </w:rPr>
      </w:pPr>
    </w:p>
    <w:p w14:paraId="17FCE80F">
      <w:pPr>
        <w:rPr>
          <w:color w:val="auto"/>
          <w:highlight w:val="none"/>
        </w:rPr>
      </w:pPr>
    </w:p>
    <w:p w14:paraId="7B3CE70B">
      <w:pPr>
        <w:rPr>
          <w:color w:val="auto"/>
          <w:highlight w:val="none"/>
        </w:rPr>
      </w:pPr>
    </w:p>
    <w:p w14:paraId="4D83FD8C">
      <w:pPr>
        <w:rPr>
          <w:color w:val="auto"/>
          <w:highlight w:val="none"/>
        </w:rPr>
      </w:pPr>
    </w:p>
    <w:p w14:paraId="3A4C75EB">
      <w:pPr>
        <w:rPr>
          <w:color w:val="auto"/>
          <w:highlight w:val="none"/>
        </w:rPr>
      </w:pPr>
    </w:p>
    <w:p w14:paraId="10DBE1B9">
      <w:pPr>
        <w:rPr>
          <w:color w:val="auto"/>
          <w:highlight w:val="none"/>
        </w:rPr>
      </w:pPr>
    </w:p>
    <w:p w14:paraId="75CA5B2A">
      <w:pPr>
        <w:rPr>
          <w:color w:val="auto"/>
          <w:highlight w:val="none"/>
        </w:rPr>
      </w:pPr>
    </w:p>
    <w:p w14:paraId="2C3F393E">
      <w:pPr>
        <w:rPr>
          <w:color w:val="auto"/>
          <w:highlight w:val="none"/>
        </w:rPr>
      </w:pPr>
    </w:p>
    <w:p w14:paraId="1043338B">
      <w:pPr>
        <w:rPr>
          <w:color w:val="auto"/>
          <w:highlight w:val="none"/>
        </w:rPr>
      </w:pPr>
    </w:p>
    <w:p w14:paraId="6166CD59">
      <w:pPr>
        <w:rPr>
          <w:color w:val="auto"/>
          <w:highlight w:val="none"/>
        </w:rPr>
      </w:pPr>
    </w:p>
    <w:p w14:paraId="20C15C0C">
      <w:pPr>
        <w:rPr>
          <w:color w:val="auto"/>
          <w:highlight w:val="none"/>
        </w:rPr>
      </w:pPr>
      <w:r>
        <w:rPr>
          <w:color w:val="auto"/>
          <w:highlight w:val="none"/>
        </w:rPr>
        <w:br w:type="page"/>
      </w:r>
    </w:p>
    <w:p w14:paraId="75D9B1B2">
      <w:pPr>
        <w:spacing w:line="360" w:lineRule="auto"/>
        <w:rPr>
          <w:snapToGrid w:val="0"/>
          <w:color w:val="auto"/>
          <w:highlight w:val="none"/>
        </w:rPr>
      </w:pPr>
      <w:bookmarkStart w:id="358" w:name="_Toc31574"/>
      <w:bookmarkStart w:id="359" w:name="_Toc32053"/>
      <w:r>
        <w:rPr>
          <w:rFonts w:hint="eastAsia"/>
          <w:snapToGrid w:val="0"/>
          <w:color w:val="auto"/>
          <w:highlight w:val="none"/>
        </w:rPr>
        <w:t>1.6.投标人未列入失信被执行人、重大税收违法案件当事人名单、政府采购严重违法失信行为记录名单</w:t>
      </w:r>
      <w:bookmarkEnd w:id="358"/>
      <w:bookmarkEnd w:id="359"/>
    </w:p>
    <w:p w14:paraId="4A5746A1">
      <w:pPr>
        <w:pStyle w:val="82"/>
        <w:spacing w:line="360" w:lineRule="auto"/>
        <w:ind w:firstLine="504" w:firstLineChars="200"/>
        <w:jc w:val="left"/>
        <w:rPr>
          <w:rFonts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“信用中国”网站查询信息：</w:t>
      </w:r>
    </w:p>
    <w:p w14:paraId="18D9D6A3">
      <w:pPr>
        <w:pStyle w:val="82"/>
        <w:spacing w:line="360" w:lineRule="auto"/>
        <w:ind w:firstLine="504" w:firstLineChars="200"/>
        <w:jc w:val="left"/>
        <w:rPr>
          <w:rFonts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①未被列入严重失信主体名单</w:t>
      </w:r>
    </w:p>
    <w:p w14:paraId="19598EF9">
      <w:pPr>
        <w:pStyle w:val="82"/>
        <w:spacing w:line="360" w:lineRule="auto"/>
        <w:ind w:firstLine="504" w:firstLineChars="200"/>
        <w:jc w:val="left"/>
        <w:rPr>
          <w:rFonts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 xml:space="preserve">②未被列入失信被执行人； </w:t>
      </w:r>
    </w:p>
    <w:p w14:paraId="264D18D2">
      <w:pPr>
        <w:pStyle w:val="82"/>
        <w:spacing w:line="360" w:lineRule="auto"/>
        <w:ind w:firstLine="504" w:firstLineChars="200"/>
        <w:jc w:val="left"/>
        <w:rPr>
          <w:rFonts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 xml:space="preserve">③未被列入重大税收违法失信主体名单； </w:t>
      </w:r>
    </w:p>
    <w:p w14:paraId="41A6BB07">
      <w:pPr>
        <w:pStyle w:val="82"/>
        <w:spacing w:line="360" w:lineRule="auto"/>
        <w:ind w:firstLine="504" w:firstLineChars="200"/>
        <w:jc w:val="left"/>
        <w:rPr>
          <w:rFonts w:ascii="宋体" w:hAnsi="宋体" w:cs="宋体"/>
          <w:color w:val="auto"/>
          <w:spacing w:val="6"/>
          <w:kern w:val="0"/>
          <w:sz w:val="24"/>
          <w:szCs w:val="24"/>
          <w:highlight w:val="none"/>
        </w:rPr>
      </w:pPr>
    </w:p>
    <w:p w14:paraId="4063922B">
      <w:pPr>
        <w:pStyle w:val="82"/>
        <w:spacing w:line="360" w:lineRule="auto"/>
        <w:ind w:firstLine="504" w:firstLineChars="200"/>
        <w:jc w:val="left"/>
        <w:rPr>
          <w:rFonts w:ascii="宋体" w:hAnsi="宋体" w:cs="宋体"/>
          <w:color w:val="auto"/>
          <w:spacing w:val="6"/>
          <w:kern w:val="0"/>
          <w:sz w:val="24"/>
          <w:szCs w:val="24"/>
          <w:highlight w:val="none"/>
        </w:rPr>
      </w:pPr>
    </w:p>
    <w:p w14:paraId="30CF4A1A">
      <w:pPr>
        <w:pStyle w:val="82"/>
        <w:spacing w:line="360" w:lineRule="auto"/>
        <w:ind w:firstLine="504" w:firstLineChars="200"/>
        <w:jc w:val="left"/>
        <w:rPr>
          <w:rFonts w:ascii="宋体" w:hAnsi="宋体" w:cs="宋体"/>
          <w:color w:val="auto"/>
          <w:spacing w:val="6"/>
          <w:kern w:val="0"/>
          <w:sz w:val="24"/>
          <w:szCs w:val="24"/>
          <w:highlight w:val="none"/>
        </w:rPr>
      </w:pPr>
    </w:p>
    <w:p w14:paraId="298AA047">
      <w:pPr>
        <w:pStyle w:val="82"/>
        <w:spacing w:line="360" w:lineRule="auto"/>
        <w:ind w:firstLine="504" w:firstLineChars="200"/>
        <w:jc w:val="left"/>
        <w:rPr>
          <w:rFonts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 xml:space="preserve"> </w:t>
      </w:r>
    </w:p>
    <w:p w14:paraId="4B7E83A9">
      <w:pPr>
        <w:pStyle w:val="82"/>
        <w:spacing w:line="360" w:lineRule="auto"/>
        <w:ind w:firstLine="756" w:firstLineChars="300"/>
        <w:jc w:val="left"/>
        <w:rPr>
          <w:rFonts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“中国政府采购网”查询信息：</w:t>
      </w:r>
    </w:p>
    <w:p w14:paraId="53D353FA">
      <w:pPr>
        <w:pStyle w:val="82"/>
        <w:spacing w:line="360" w:lineRule="auto"/>
        <w:ind w:firstLine="756" w:firstLineChars="300"/>
        <w:jc w:val="left"/>
        <w:rPr>
          <w:rFonts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①政府采购严重违法失信行为信息记录：</w:t>
      </w:r>
    </w:p>
    <w:p w14:paraId="7B29292A">
      <w:pPr>
        <w:pStyle w:val="82"/>
        <w:spacing w:line="360" w:lineRule="auto"/>
        <w:ind w:firstLine="756" w:firstLineChars="300"/>
        <w:jc w:val="left"/>
        <w:rPr>
          <w:rFonts w:ascii="宋体" w:hAnsi="宋体" w:cs="宋体"/>
          <w:color w:val="auto"/>
          <w:spacing w:val="6"/>
          <w:kern w:val="0"/>
          <w:sz w:val="24"/>
          <w:szCs w:val="24"/>
          <w:highlight w:val="none"/>
        </w:rPr>
      </w:pPr>
    </w:p>
    <w:p w14:paraId="410AA5EB">
      <w:pPr>
        <w:pStyle w:val="82"/>
        <w:spacing w:line="360" w:lineRule="auto"/>
        <w:ind w:firstLine="756" w:firstLineChars="300"/>
        <w:jc w:val="left"/>
        <w:rPr>
          <w:rFonts w:ascii="宋体" w:hAnsi="宋体" w:cs="宋体"/>
          <w:color w:val="auto"/>
          <w:spacing w:val="6"/>
          <w:kern w:val="0"/>
          <w:sz w:val="24"/>
          <w:szCs w:val="24"/>
          <w:highlight w:val="none"/>
        </w:rPr>
      </w:pPr>
    </w:p>
    <w:p w14:paraId="77EA6EB7">
      <w:pPr>
        <w:pStyle w:val="82"/>
        <w:spacing w:line="360" w:lineRule="auto"/>
        <w:ind w:firstLine="756" w:firstLineChars="300"/>
        <w:jc w:val="left"/>
        <w:rPr>
          <w:rFonts w:ascii="宋体" w:hAnsi="宋体" w:cs="宋体"/>
          <w:color w:val="auto"/>
          <w:spacing w:val="6"/>
          <w:kern w:val="0"/>
          <w:sz w:val="24"/>
          <w:szCs w:val="24"/>
          <w:highlight w:val="none"/>
        </w:rPr>
      </w:pPr>
    </w:p>
    <w:p w14:paraId="0B4BBDE1">
      <w:pPr>
        <w:pStyle w:val="82"/>
        <w:spacing w:line="360" w:lineRule="auto"/>
        <w:ind w:firstLine="756" w:firstLineChars="300"/>
        <w:jc w:val="left"/>
        <w:rPr>
          <w:rFonts w:ascii="宋体" w:hAnsi="宋体" w:cs="宋体"/>
          <w:color w:val="auto"/>
          <w:spacing w:val="6"/>
          <w:kern w:val="0"/>
          <w:sz w:val="24"/>
          <w:szCs w:val="24"/>
          <w:highlight w:val="none"/>
        </w:rPr>
      </w:pPr>
    </w:p>
    <w:p w14:paraId="0F7D0135">
      <w:pPr>
        <w:pStyle w:val="82"/>
        <w:spacing w:line="360" w:lineRule="auto"/>
        <w:ind w:firstLine="756" w:firstLineChars="300"/>
        <w:jc w:val="left"/>
        <w:rPr>
          <w:rFonts w:ascii="宋体" w:hAnsi="宋体" w:cs="宋体"/>
          <w:color w:val="auto"/>
          <w:spacing w:val="6"/>
          <w:kern w:val="0"/>
          <w:sz w:val="24"/>
          <w:szCs w:val="24"/>
          <w:highlight w:val="none"/>
        </w:rPr>
      </w:pPr>
    </w:p>
    <w:p w14:paraId="55197733">
      <w:pPr>
        <w:widowControl w:val="0"/>
        <w:spacing w:line="360" w:lineRule="auto"/>
        <w:ind w:firstLine="426" w:firstLineChars="177"/>
        <w:jc w:val="both"/>
        <w:rPr>
          <w:rFonts w:cs="Times New Roman"/>
          <w:b/>
          <w:bCs/>
          <w:color w:val="auto"/>
          <w:kern w:val="0"/>
          <w:szCs w:val="24"/>
          <w:highlight w:val="none"/>
        </w:rPr>
      </w:pPr>
      <w:r>
        <w:rPr>
          <w:rFonts w:hint="eastAsia" w:cs="Times New Roman"/>
          <w:b/>
          <w:bCs/>
          <w:color w:val="auto"/>
          <w:kern w:val="0"/>
          <w:szCs w:val="24"/>
          <w:highlight w:val="none"/>
        </w:rPr>
        <w:t>注：（查询时间为：自招标公告发布之日起至投标文件递交截止时间止。）</w:t>
      </w:r>
    </w:p>
    <w:p w14:paraId="602564EF">
      <w:pPr>
        <w:widowControl w:val="0"/>
        <w:spacing w:line="360" w:lineRule="auto"/>
        <w:jc w:val="both"/>
        <w:rPr>
          <w:rFonts w:cs="宋体"/>
          <w:color w:val="auto"/>
          <w:kern w:val="0"/>
          <w:szCs w:val="20"/>
          <w:highlight w:val="none"/>
        </w:rPr>
      </w:pPr>
    </w:p>
    <w:p w14:paraId="7AE43D69">
      <w:pPr>
        <w:pStyle w:val="82"/>
        <w:spacing w:line="360" w:lineRule="auto"/>
        <w:ind w:firstLine="720" w:firstLineChars="300"/>
        <w:jc w:val="left"/>
        <w:rPr>
          <w:rFonts w:hint="eastAsia" w:ascii="宋体" w:hAnsi="宋体" w:cs="宋体"/>
          <w:color w:val="auto"/>
          <w:spacing w:val="6"/>
          <w:kern w:val="0"/>
          <w:sz w:val="24"/>
          <w:szCs w:val="24"/>
          <w:highlight w:val="none"/>
        </w:rPr>
      </w:pPr>
      <w:r>
        <w:rPr>
          <w:rFonts w:hint="eastAsia" w:ascii="宋体" w:hAnsi="宋体"/>
          <w:color w:val="auto"/>
          <w:kern w:val="0"/>
          <w:sz w:val="24"/>
          <w:szCs w:val="24"/>
          <w:highlight w:val="none"/>
        </w:rPr>
        <w:t>说明:《中华人民共和国政府采购法实施条例》第十九条第一款规定的“较大数额罚款”认定为200万元以上的罚款，法律、行政法规以及国务院有关部门明确规定相关领域“较大数额罚款”标准高于200万元的，从其规定。</w:t>
      </w:r>
    </w:p>
    <w:p w14:paraId="1E38E410">
      <w:pPr>
        <w:rPr>
          <w:color w:val="auto"/>
          <w:highlight w:val="none"/>
        </w:rPr>
      </w:pPr>
      <w:r>
        <w:rPr>
          <w:color w:val="auto"/>
          <w:highlight w:val="none"/>
        </w:rPr>
        <w:br w:type="page"/>
      </w:r>
    </w:p>
    <w:p w14:paraId="1074D072">
      <w:pPr>
        <w:rPr>
          <w:snapToGrid w:val="0"/>
          <w:color w:val="auto"/>
          <w:highlight w:val="none"/>
        </w:rPr>
      </w:pPr>
      <w:r>
        <w:rPr>
          <w:rFonts w:hint="eastAsia"/>
          <w:snapToGrid w:val="0"/>
          <w:color w:val="auto"/>
          <w:highlight w:val="none"/>
        </w:rPr>
        <w:t>1.7.法律、行政法规规定的其他条件</w:t>
      </w:r>
    </w:p>
    <w:p w14:paraId="40777218">
      <w:pPr>
        <w:rPr>
          <w:color w:val="auto"/>
          <w:highlight w:val="none"/>
        </w:rPr>
      </w:pPr>
    </w:p>
    <w:p w14:paraId="021759A2">
      <w:pPr>
        <w:rPr>
          <w:color w:val="auto"/>
          <w:highlight w:val="none"/>
        </w:rPr>
      </w:pPr>
      <w:r>
        <w:rPr>
          <w:rFonts w:hint="eastAsia"/>
          <w:color w:val="auto"/>
          <w:highlight w:val="none"/>
        </w:rPr>
        <w:t>供应商可自行做出承诺，格式自拟。</w:t>
      </w:r>
    </w:p>
    <w:p w14:paraId="31AAC182">
      <w:pPr>
        <w:rPr>
          <w:color w:val="auto"/>
          <w:highlight w:val="none"/>
        </w:rPr>
      </w:pPr>
      <w:r>
        <w:rPr>
          <w:rFonts w:hint="eastAsia"/>
          <w:color w:val="auto"/>
          <w:highlight w:val="none"/>
        </w:rPr>
        <w:br w:type="page"/>
      </w:r>
    </w:p>
    <w:p w14:paraId="7C2316EA">
      <w:pPr>
        <w:pStyle w:val="3"/>
        <w:rPr>
          <w:color w:val="auto"/>
          <w:highlight w:val="none"/>
          <w:lang w:val="zh-CN"/>
        </w:rPr>
      </w:pPr>
      <w:bookmarkStart w:id="360" w:name="_Toc9795"/>
      <w:r>
        <w:rPr>
          <w:rFonts w:hint="eastAsia"/>
          <w:color w:val="auto"/>
          <w:highlight w:val="none"/>
        </w:rPr>
        <w:t>二、</w:t>
      </w:r>
      <w:bookmarkEnd w:id="351"/>
      <w:bookmarkEnd w:id="352"/>
      <w:bookmarkEnd w:id="353"/>
      <w:bookmarkEnd w:id="354"/>
      <w:bookmarkEnd w:id="355"/>
      <w:bookmarkEnd w:id="356"/>
      <w:bookmarkStart w:id="361" w:name="_Toc155185931"/>
      <w:bookmarkStart w:id="362" w:name="_Toc163492924"/>
      <w:r>
        <w:rPr>
          <w:rFonts w:hint="eastAsia"/>
          <w:color w:val="auto"/>
          <w:highlight w:val="none"/>
          <w:lang w:val="zh-CN"/>
        </w:rPr>
        <w:t>联合体协议书</w:t>
      </w:r>
      <w:bookmarkEnd w:id="361"/>
      <w:r>
        <w:rPr>
          <w:rFonts w:hint="eastAsia"/>
          <w:color w:val="auto"/>
          <w:highlight w:val="none"/>
          <w:lang w:val="zh-CN"/>
        </w:rPr>
        <w:t>【</w:t>
      </w:r>
      <w:r>
        <w:rPr>
          <w:rFonts w:hint="eastAsia"/>
          <w:color w:val="auto"/>
          <w:highlight w:val="none"/>
        </w:rPr>
        <w:t>不适用可不提供</w:t>
      </w:r>
      <w:r>
        <w:rPr>
          <w:rFonts w:hint="eastAsia"/>
          <w:color w:val="auto"/>
          <w:highlight w:val="none"/>
          <w:lang w:val="zh-CN"/>
        </w:rPr>
        <w:t>】</w:t>
      </w:r>
      <w:bookmarkEnd w:id="360"/>
      <w:bookmarkEnd w:id="362"/>
    </w:p>
    <w:p w14:paraId="409C5D5C">
      <w:pPr>
        <w:spacing w:line="360" w:lineRule="auto"/>
        <w:rPr>
          <w:color w:val="auto"/>
          <w:highlight w:val="none"/>
        </w:rPr>
      </w:pPr>
      <w:bookmarkStart w:id="363" w:name="_Toc17246"/>
      <w:r>
        <w:rPr>
          <w:rFonts w:hint="eastAsia"/>
          <w:color w:val="auto"/>
          <w:highlight w:val="none"/>
        </w:rPr>
        <w:t>联合体协议书</w:t>
      </w:r>
      <w:bookmarkEnd w:id="363"/>
    </w:p>
    <w:p w14:paraId="69BCF101">
      <w:pPr>
        <w:spacing w:line="360" w:lineRule="auto"/>
        <w:rPr>
          <w:color w:val="auto"/>
          <w:highlight w:val="none"/>
        </w:rPr>
      </w:pPr>
      <w:r>
        <w:rPr>
          <w:rFonts w:hint="eastAsia"/>
          <w:color w:val="auto"/>
          <w:highlight w:val="none"/>
        </w:rPr>
        <w:t>（以联合体形式投标的，提供联合体协议书；本项目不接受联合体投标或者投标人不以联合体形式投标的，则不需要提供）</w:t>
      </w:r>
    </w:p>
    <w:p w14:paraId="5DB8871C">
      <w:pPr>
        <w:spacing w:line="360" w:lineRule="auto"/>
        <w:rPr>
          <w:color w:val="auto"/>
          <w:highlight w:val="none"/>
          <w:lang w:val="zh-CN"/>
        </w:rPr>
      </w:pPr>
      <w:r>
        <w:rPr>
          <w:rFonts w:hint="eastAsia"/>
          <w:color w:val="auto"/>
          <w:highlight w:val="none"/>
          <w:u w:val="single"/>
        </w:rPr>
        <w:t>（联合体所有成员名称）</w:t>
      </w:r>
      <w:r>
        <w:rPr>
          <w:rFonts w:hint="eastAsia"/>
          <w:color w:val="auto"/>
          <w:highlight w:val="none"/>
        </w:rPr>
        <w:t>自愿</w:t>
      </w:r>
      <w:r>
        <w:rPr>
          <w:rFonts w:hint="eastAsia"/>
          <w:color w:val="auto"/>
          <w:highlight w:val="none"/>
          <w:lang w:val="zh-CN"/>
        </w:rPr>
        <w:t>组成一个联合体，以一个投标人的身份</w:t>
      </w:r>
      <w:r>
        <w:rPr>
          <w:rFonts w:hint="eastAsia"/>
          <w:color w:val="auto"/>
          <w:highlight w:val="none"/>
        </w:rPr>
        <w:t>参加（项目名称）【项目编号/包号：    】</w:t>
      </w:r>
      <w:r>
        <w:rPr>
          <w:rFonts w:hint="eastAsia"/>
          <w:color w:val="auto"/>
          <w:highlight w:val="none"/>
          <w:lang w:val="zh-CN"/>
        </w:rPr>
        <w:t xml:space="preserve">投标。 </w:t>
      </w:r>
    </w:p>
    <w:p w14:paraId="02F8EB53">
      <w:pPr>
        <w:spacing w:line="360" w:lineRule="auto"/>
        <w:rPr>
          <w:color w:val="auto"/>
          <w:kern w:val="0"/>
          <w:highlight w:val="none"/>
          <w:lang w:val="zh-CN"/>
        </w:rPr>
      </w:pPr>
      <w:r>
        <w:rPr>
          <w:rFonts w:hint="eastAsia"/>
          <w:color w:val="auto"/>
          <w:kern w:val="0"/>
          <w:highlight w:val="none"/>
          <w:lang w:val="zh-CN"/>
        </w:rPr>
        <w:t>一、各方一致决定，</w:t>
      </w:r>
      <w:r>
        <w:rPr>
          <w:rFonts w:hint="eastAsia"/>
          <w:color w:val="auto"/>
          <w:kern w:val="0"/>
          <w:highlight w:val="none"/>
          <w:u w:val="single"/>
        </w:rPr>
        <w:t>（某联合体成员名称）</w:t>
      </w:r>
      <w:r>
        <w:rPr>
          <w:rFonts w:hint="eastAsia"/>
          <w:color w:val="auto"/>
          <w:kern w:val="0"/>
          <w:highlight w:val="none"/>
        </w:rPr>
        <w:t>为联合体</w:t>
      </w:r>
      <w:r>
        <w:rPr>
          <w:rFonts w:hint="eastAsia"/>
          <w:color w:val="auto"/>
          <w:kern w:val="0"/>
          <w:highlight w:val="none"/>
          <w:lang w:val="zh-CN"/>
        </w:rPr>
        <w:t>牵头人</w:t>
      </w:r>
      <w:r>
        <w:rPr>
          <w:rFonts w:hint="eastAsia"/>
          <w:color w:val="auto"/>
          <w:highlight w:val="none"/>
        </w:rPr>
        <w:t>，代表所有联合体成员负责投标和合同实施阶段的主办、协调工作</w:t>
      </w:r>
      <w:r>
        <w:rPr>
          <w:rFonts w:hint="eastAsia"/>
          <w:color w:val="auto"/>
          <w:kern w:val="0"/>
          <w:highlight w:val="none"/>
          <w:lang w:val="zh-CN"/>
        </w:rPr>
        <w:t>。</w:t>
      </w:r>
    </w:p>
    <w:p w14:paraId="25797A08">
      <w:pPr>
        <w:spacing w:line="360" w:lineRule="auto"/>
        <w:rPr>
          <w:color w:val="auto"/>
          <w:highlight w:val="none"/>
          <w:lang w:val="zh-CN"/>
        </w:rPr>
      </w:pPr>
      <w:r>
        <w:rPr>
          <w:rFonts w:hint="eastAsia"/>
          <w:color w:val="auto"/>
          <w:highlight w:val="none"/>
          <w:lang w:val="zh-CN"/>
        </w:rPr>
        <w:t>二、</w:t>
      </w:r>
      <w:r>
        <w:rPr>
          <w:rFonts w:hint="eastAsia"/>
          <w:color w:val="auto"/>
          <w:highlight w:val="none"/>
        </w:rPr>
        <w:t>所有联合体成员各方签署授权书，授权书载明的</w:t>
      </w:r>
      <w:r>
        <w:rPr>
          <w:rFonts w:hint="eastAsia"/>
          <w:color w:val="auto"/>
          <w:highlight w:val="none"/>
          <w:lang w:val="zh-CN"/>
        </w:rPr>
        <w:t>授权代表根据招标文件规定及投标内容而对采购人、采购代理机构所作的任何合法承诺，包括书面澄清及相应等均对联合投标各方产生约束力。</w:t>
      </w:r>
    </w:p>
    <w:p w14:paraId="7BA7BEC4">
      <w:pPr>
        <w:spacing w:line="360" w:lineRule="auto"/>
        <w:rPr>
          <w:color w:val="auto"/>
          <w:highlight w:val="none"/>
          <w:lang w:val="zh-CN"/>
        </w:rPr>
      </w:pPr>
      <w:r>
        <w:rPr>
          <w:rFonts w:hint="eastAsia"/>
          <w:color w:val="auto"/>
          <w:highlight w:val="none"/>
          <w:lang w:val="zh-CN"/>
        </w:rPr>
        <w:t>三、本次联合投标中，分工如下：</w:t>
      </w:r>
    </w:p>
    <w:p w14:paraId="57D44E07">
      <w:pPr>
        <w:spacing w:line="360" w:lineRule="auto"/>
        <w:rPr>
          <w:color w:val="auto"/>
          <w:highlight w:val="none"/>
          <w:lang w:val="zh-CN"/>
        </w:rPr>
      </w:pPr>
      <w:bookmarkStart w:id="364" w:name="_Hlk101134295"/>
      <w:r>
        <w:rPr>
          <w:rFonts w:hint="eastAsia"/>
          <w:color w:val="auto"/>
          <w:highlight w:val="none"/>
        </w:rPr>
        <w:t xml:space="preserve">（联合体成员1）  </w:t>
      </w:r>
      <w:r>
        <w:rPr>
          <w:rFonts w:hint="eastAsia"/>
          <w:color w:val="auto"/>
          <w:highlight w:val="none"/>
          <w:lang w:val="zh-CN"/>
        </w:rPr>
        <w:t>承担</w:t>
      </w:r>
      <w:r>
        <w:rPr>
          <w:rFonts w:hint="eastAsia"/>
          <w:color w:val="auto"/>
          <w:highlight w:val="none"/>
        </w:rPr>
        <w:t>项目采购合同金额的      %，负责</w:t>
      </w:r>
      <w:r>
        <w:rPr>
          <w:rFonts w:hint="eastAsia"/>
          <w:color w:val="auto"/>
          <w:highlight w:val="none"/>
          <w:lang w:val="zh-CN"/>
        </w:rPr>
        <w:t>的工作和义务为：</w:t>
      </w:r>
      <w:r>
        <w:rPr>
          <w:rFonts w:hint="eastAsia"/>
          <w:color w:val="auto"/>
          <w:highlight w:val="none"/>
        </w:rPr>
        <w:t xml:space="preserve">             </w:t>
      </w:r>
      <w:r>
        <w:rPr>
          <w:rFonts w:hint="eastAsia"/>
          <w:color w:val="auto"/>
          <w:highlight w:val="none"/>
          <w:lang w:val="zh-CN"/>
        </w:rPr>
        <w:t>；</w:t>
      </w:r>
    </w:p>
    <w:p w14:paraId="133B961E">
      <w:pPr>
        <w:spacing w:line="360" w:lineRule="auto"/>
        <w:rPr>
          <w:color w:val="auto"/>
          <w:highlight w:val="none"/>
          <w:lang w:val="zh-CN"/>
        </w:rPr>
      </w:pPr>
      <w:r>
        <w:rPr>
          <w:rFonts w:hint="eastAsia"/>
          <w:color w:val="auto"/>
          <w:highlight w:val="none"/>
        </w:rPr>
        <w:t>（联合体成员</w:t>
      </w:r>
      <w:r>
        <w:rPr>
          <w:color w:val="auto"/>
          <w:highlight w:val="none"/>
        </w:rPr>
        <w:t>2</w:t>
      </w:r>
      <w:r>
        <w:rPr>
          <w:rFonts w:hint="eastAsia"/>
          <w:color w:val="auto"/>
          <w:highlight w:val="none"/>
        </w:rPr>
        <w:t xml:space="preserve">）  </w:t>
      </w:r>
      <w:r>
        <w:rPr>
          <w:rFonts w:hint="eastAsia"/>
          <w:color w:val="auto"/>
          <w:highlight w:val="none"/>
          <w:lang w:val="zh-CN"/>
        </w:rPr>
        <w:t>承担</w:t>
      </w:r>
      <w:r>
        <w:rPr>
          <w:rFonts w:hint="eastAsia"/>
          <w:color w:val="auto"/>
          <w:highlight w:val="none"/>
        </w:rPr>
        <w:t>项目采购合同金额的      %，负责</w:t>
      </w:r>
      <w:r>
        <w:rPr>
          <w:rFonts w:hint="eastAsia"/>
          <w:color w:val="auto"/>
          <w:highlight w:val="none"/>
          <w:lang w:val="zh-CN"/>
        </w:rPr>
        <w:t>的工作和义务为：</w:t>
      </w:r>
      <w:r>
        <w:rPr>
          <w:rFonts w:hint="eastAsia"/>
          <w:color w:val="auto"/>
          <w:highlight w:val="none"/>
        </w:rPr>
        <w:t xml:space="preserve">             </w:t>
      </w:r>
      <w:r>
        <w:rPr>
          <w:rFonts w:hint="eastAsia"/>
          <w:color w:val="auto"/>
          <w:highlight w:val="none"/>
          <w:lang w:val="zh-CN"/>
        </w:rPr>
        <w:t>；</w:t>
      </w:r>
    </w:p>
    <w:p w14:paraId="0F670107">
      <w:pPr>
        <w:spacing w:line="360" w:lineRule="auto"/>
        <w:rPr>
          <w:color w:val="auto"/>
          <w:highlight w:val="none"/>
          <w:lang w:val="zh-CN"/>
        </w:rPr>
      </w:pPr>
      <w:r>
        <w:rPr>
          <w:rFonts w:hint="eastAsia"/>
          <w:color w:val="auto"/>
          <w:highlight w:val="none"/>
          <w:lang w:val="zh-CN"/>
        </w:rPr>
        <w:t>……</w:t>
      </w:r>
    </w:p>
    <w:bookmarkEnd w:id="364"/>
    <w:p w14:paraId="5E709C63">
      <w:pPr>
        <w:spacing w:line="360" w:lineRule="auto"/>
        <w:rPr>
          <w:color w:val="auto"/>
          <w:highlight w:val="none"/>
          <w:lang w:val="zh-CN"/>
        </w:rPr>
      </w:pPr>
      <w:r>
        <w:rPr>
          <w:rFonts w:hint="eastAsia"/>
          <w:color w:val="auto"/>
          <w:highlight w:val="none"/>
          <w:lang w:val="zh-CN"/>
        </w:rPr>
        <w:t>四、联合体成员中小企业合同份额。</w:t>
      </w:r>
    </w:p>
    <w:p w14:paraId="3BFBAA27">
      <w:pPr>
        <w:spacing w:line="360" w:lineRule="auto"/>
        <w:rPr>
          <w:color w:val="auto"/>
          <w:highlight w:val="none"/>
          <w:lang w:val="zh-CN"/>
        </w:rPr>
      </w:pPr>
      <w:r>
        <w:rPr>
          <w:rFonts w:hint="eastAsia"/>
          <w:color w:val="auto"/>
          <w:highlight w:val="none"/>
          <w:lang w:val="zh-CN"/>
        </w:rPr>
        <w:t>1.</w:t>
      </w:r>
      <w:r>
        <w:rPr>
          <w:rFonts w:hint="eastAsia"/>
          <w:color w:val="auto"/>
          <w:highlight w:val="none"/>
          <w:u w:val="single"/>
        </w:rPr>
        <w:t>（联合体成员</w:t>
      </w:r>
      <w:r>
        <w:rPr>
          <w:color w:val="auto"/>
          <w:highlight w:val="none"/>
          <w:u w:val="single"/>
        </w:rPr>
        <w:t>X,</w:t>
      </w:r>
      <w:r>
        <w:rPr>
          <w:rFonts w:hint="eastAsia"/>
          <w:color w:val="auto"/>
          <w:highlight w:val="none"/>
          <w:u w:val="single"/>
        </w:rPr>
        <w:t>……）</w:t>
      </w:r>
      <w:r>
        <w:rPr>
          <w:rFonts w:hint="eastAsia"/>
          <w:color w:val="auto"/>
          <w:highlight w:val="none"/>
        </w:rPr>
        <w:t>提供的全部货物由小微企业制造，其合同份额占到合同总金额</w:t>
      </w:r>
      <w:r>
        <w:rPr>
          <w:rFonts w:hint="eastAsia"/>
          <w:color w:val="auto"/>
          <w:highlight w:val="none"/>
          <w:u w:val="single"/>
        </w:rPr>
        <w:t xml:space="preserve">     </w:t>
      </w:r>
      <w:r>
        <w:rPr>
          <w:rFonts w:hint="eastAsia"/>
          <w:color w:val="auto"/>
          <w:highlight w:val="none"/>
        </w:rPr>
        <w:t>%以上；</w:t>
      </w:r>
      <w:r>
        <w:rPr>
          <w:rFonts w:hint="eastAsia"/>
          <w:color w:val="auto"/>
          <w:highlight w:val="none"/>
          <w:lang w:val="zh-CN"/>
        </w:rPr>
        <w:t>……。（未预留份额专门面向中小企业采购的采购项目，以及预留份额中的非预留部分采购包，接受联合体投标的，联合</w:t>
      </w:r>
      <w:r>
        <w:rPr>
          <w:rFonts w:hint="eastAsia"/>
          <w:color w:val="auto"/>
          <w:highlight w:val="none"/>
        </w:rPr>
        <w:t>体</w:t>
      </w:r>
      <w:r>
        <w:rPr>
          <w:rFonts w:hint="eastAsia"/>
          <w:color w:val="auto"/>
          <w:highlight w:val="none"/>
          <w:lang w:val="zh-CN"/>
        </w:rPr>
        <w:t>协议</w:t>
      </w:r>
      <w:r>
        <w:rPr>
          <w:rFonts w:hint="eastAsia"/>
          <w:color w:val="auto"/>
          <w:highlight w:val="none"/>
        </w:rPr>
        <w:t>书</w:t>
      </w:r>
      <w:r>
        <w:rPr>
          <w:rFonts w:hint="eastAsia"/>
          <w:color w:val="auto"/>
          <w:highlight w:val="none"/>
          <w:lang w:val="zh-CN"/>
        </w:rPr>
        <w:t>约定小微企业的合同份额占到合同总金额30%以上的，对联合体报价按评标标准确定的比例给予扣除。供应商</w:t>
      </w:r>
      <w:r>
        <w:rPr>
          <w:rFonts w:hint="eastAsia"/>
          <w:color w:val="auto"/>
          <w:highlight w:val="none"/>
        </w:rPr>
        <w:t>拟享受以上价格扣除政策的，填写有关内容。</w:t>
      </w:r>
      <w:r>
        <w:rPr>
          <w:rFonts w:hint="eastAsia"/>
          <w:color w:val="auto"/>
          <w:highlight w:val="none"/>
          <w:lang w:val="zh-CN"/>
        </w:rPr>
        <w:t>）</w:t>
      </w:r>
    </w:p>
    <w:p w14:paraId="6EF50D07">
      <w:pPr>
        <w:spacing w:line="360" w:lineRule="auto"/>
        <w:rPr>
          <w:color w:val="auto"/>
          <w:kern w:val="0"/>
          <w:highlight w:val="none"/>
          <w:lang w:val="zh-CN"/>
        </w:rPr>
      </w:pPr>
      <w:r>
        <w:rPr>
          <w:rFonts w:hint="eastAsia"/>
          <w:color w:val="auto"/>
          <w:highlight w:val="none"/>
        </w:rPr>
        <w:t>2.中小企业合同金额达到</w:t>
      </w:r>
      <w:r>
        <w:rPr>
          <w:rFonts w:hint="eastAsia"/>
          <w:color w:val="auto"/>
          <w:highlight w:val="none"/>
          <w:u w:val="single"/>
        </w:rPr>
        <w:t xml:space="preserve">    </w:t>
      </w:r>
      <w:r>
        <w:rPr>
          <w:rFonts w:hint="eastAsia"/>
          <w:color w:val="auto"/>
          <w:highlight w:val="none"/>
        </w:rPr>
        <w:t>%，其中小微企业合同金额达到</w:t>
      </w:r>
      <w:r>
        <w:rPr>
          <w:rFonts w:hint="eastAsia"/>
          <w:color w:val="auto"/>
          <w:highlight w:val="none"/>
          <w:u w:val="single"/>
        </w:rPr>
        <w:t xml:space="preserve">   </w:t>
      </w:r>
      <w:r>
        <w:rPr>
          <w:rFonts w:hint="eastAsia"/>
          <w:color w:val="auto"/>
          <w:highlight w:val="none"/>
        </w:rPr>
        <w:t>%</w:t>
      </w:r>
      <w:r>
        <w:rPr>
          <w:rFonts w:hint="eastAsia"/>
          <w:color w:val="auto"/>
          <w:kern w:val="0"/>
          <w:highlight w:val="none"/>
          <w:lang w:val="zh-CN"/>
        </w:rPr>
        <w:t>。（</w:t>
      </w:r>
      <w:r>
        <w:rPr>
          <w:rFonts w:hint="eastAsia"/>
          <w:color w:val="auto"/>
          <w:highlight w:val="none"/>
        </w:rPr>
        <w:t>要求以联合体形式参加的项目或采购包，供应商按招标文件第一部分招标公告申请人的资格要求中规定的联合体协议书中中小企业、小微企业合同金额应当达到的比例要求填写。</w:t>
      </w:r>
      <w:r>
        <w:rPr>
          <w:rFonts w:hint="eastAsia"/>
          <w:color w:val="auto"/>
          <w:kern w:val="0"/>
          <w:highlight w:val="none"/>
          <w:lang w:val="zh-CN"/>
        </w:rPr>
        <w:t>）</w:t>
      </w:r>
    </w:p>
    <w:p w14:paraId="7E59ACE1">
      <w:pPr>
        <w:spacing w:line="360" w:lineRule="auto"/>
        <w:rPr>
          <w:color w:val="auto"/>
          <w:kern w:val="0"/>
          <w:highlight w:val="none"/>
          <w:lang w:val="zh-CN"/>
        </w:rPr>
      </w:pPr>
      <w:r>
        <w:rPr>
          <w:rFonts w:hint="eastAsia"/>
          <w:color w:val="auto"/>
          <w:kern w:val="0"/>
          <w:highlight w:val="none"/>
          <w:lang w:val="zh-CN"/>
        </w:rPr>
        <w:t>五、如果中标，</w:t>
      </w:r>
      <w:r>
        <w:rPr>
          <w:rFonts w:hint="eastAsia"/>
          <w:color w:val="auto"/>
          <w:highlight w:val="none"/>
        </w:rPr>
        <w:t>联合体各成员方共同与采购人签订采购合同，并就采购合同约定的事项对采购人承担连带责任。</w:t>
      </w:r>
    </w:p>
    <w:p w14:paraId="77D30800">
      <w:pPr>
        <w:spacing w:line="360" w:lineRule="auto"/>
        <w:rPr>
          <w:color w:val="auto"/>
          <w:highlight w:val="none"/>
          <w:lang w:val="zh-CN"/>
        </w:rPr>
      </w:pPr>
      <w:r>
        <w:rPr>
          <w:rFonts w:hint="eastAsia"/>
          <w:color w:val="auto"/>
          <w:highlight w:val="none"/>
          <w:lang w:val="zh-CN"/>
        </w:rPr>
        <w:t>六、有关本次联合投标的其他事宜：</w:t>
      </w:r>
    </w:p>
    <w:p w14:paraId="2B23CAEF">
      <w:pPr>
        <w:spacing w:line="360" w:lineRule="auto"/>
        <w:rPr>
          <w:color w:val="auto"/>
          <w:highlight w:val="none"/>
          <w:lang w:val="zh-CN"/>
        </w:rPr>
      </w:pPr>
      <w:r>
        <w:rPr>
          <w:rFonts w:hint="eastAsia"/>
          <w:color w:val="auto"/>
          <w:highlight w:val="none"/>
          <w:lang w:val="zh-CN"/>
        </w:rPr>
        <w:t>1.联合体各方不再单独参加或者与其他供应商另外组成联合体参加同一合同项下的政府采购活动。</w:t>
      </w:r>
    </w:p>
    <w:p w14:paraId="24EA3268">
      <w:pPr>
        <w:spacing w:line="360" w:lineRule="auto"/>
        <w:rPr>
          <w:color w:val="auto"/>
          <w:highlight w:val="none"/>
          <w:lang w:val="zh-CN"/>
        </w:rPr>
      </w:pPr>
      <w:r>
        <w:rPr>
          <w:rFonts w:hint="eastAsia"/>
          <w:color w:val="auto"/>
          <w:highlight w:val="none"/>
          <w:lang w:val="zh-CN"/>
        </w:rPr>
        <w:t>2.联合体中有同类资质的各方按照联合体分工承担相同工作的，按照资质等级较低的供应商确定资质等级。</w:t>
      </w:r>
    </w:p>
    <w:p w14:paraId="753921BC">
      <w:pPr>
        <w:spacing w:line="360" w:lineRule="auto"/>
        <w:rPr>
          <w:color w:val="auto"/>
          <w:highlight w:val="none"/>
          <w:lang w:val="zh-CN"/>
        </w:rPr>
      </w:pPr>
      <w:r>
        <w:rPr>
          <w:rFonts w:hint="eastAsia"/>
          <w:color w:val="auto"/>
          <w:highlight w:val="none"/>
          <w:lang w:val="zh-CN"/>
        </w:rPr>
        <w:t>3.本协议提交采购人、采购代理机构后，联合体各方不得以任何形式对上述内容进行修改或撤销。</w:t>
      </w:r>
    </w:p>
    <w:p w14:paraId="6F864703">
      <w:pPr>
        <w:spacing w:line="360" w:lineRule="auto"/>
        <w:rPr>
          <w:color w:val="auto"/>
          <w:highlight w:val="none"/>
          <w:lang w:val="zh-CN"/>
        </w:rPr>
      </w:pPr>
      <w:r>
        <w:rPr>
          <w:rFonts w:hint="eastAsia"/>
          <w:color w:val="auto"/>
          <w:highlight w:val="none"/>
        </w:rPr>
        <w:t>4.</w:t>
      </w:r>
      <w:r>
        <w:rPr>
          <w:rFonts w:hint="eastAsia"/>
          <w:color w:val="auto"/>
          <w:highlight w:val="none"/>
          <w:lang w:val="zh-CN"/>
        </w:rPr>
        <w:t>其他：……</w:t>
      </w:r>
    </w:p>
    <w:p w14:paraId="257608C8">
      <w:pPr>
        <w:spacing w:line="360" w:lineRule="auto"/>
        <w:rPr>
          <w:color w:val="auto"/>
          <w:highlight w:val="none"/>
          <w:lang w:val="zh-CN"/>
        </w:rPr>
      </w:pPr>
      <w:r>
        <w:rPr>
          <w:rFonts w:hint="eastAsia"/>
          <w:color w:val="auto"/>
          <w:highlight w:val="none"/>
        </w:rPr>
        <w:t>5.</w:t>
      </w:r>
      <w:r>
        <w:rPr>
          <w:rFonts w:hint="eastAsia"/>
          <w:color w:val="auto"/>
          <w:highlight w:val="none"/>
          <w:lang w:val="zh-CN"/>
        </w:rPr>
        <w:t>本协议书自签署之日起生效，若未中标，自本次投标有效期结束后自行失效；若中标，自合同书规定的期限之后自行失效。</w:t>
      </w:r>
    </w:p>
    <w:p w14:paraId="77E4C5CE">
      <w:pPr>
        <w:spacing w:line="360" w:lineRule="auto"/>
        <w:rPr>
          <w:color w:val="auto"/>
          <w:highlight w:val="none"/>
          <w:lang w:val="zh-CN"/>
        </w:rPr>
      </w:pPr>
      <w:r>
        <w:rPr>
          <w:rFonts w:hint="eastAsia"/>
          <w:color w:val="auto"/>
          <w:highlight w:val="none"/>
        </w:rPr>
        <w:t>6.</w:t>
      </w:r>
      <w:r>
        <w:rPr>
          <w:rFonts w:hint="eastAsia"/>
          <w:color w:val="auto"/>
          <w:highlight w:val="none"/>
          <w:lang w:val="zh-CN"/>
        </w:rPr>
        <w:t>本协议书正本一式</w:t>
      </w:r>
      <w:r>
        <w:rPr>
          <w:rFonts w:hint="eastAsia"/>
          <w:color w:val="auto"/>
          <w:highlight w:val="none"/>
          <w:u w:val="single"/>
          <w:lang w:val="zh-CN"/>
        </w:rPr>
        <w:t xml:space="preserve">    </w:t>
      </w:r>
      <w:r>
        <w:rPr>
          <w:rFonts w:hint="eastAsia"/>
          <w:color w:val="auto"/>
          <w:highlight w:val="none"/>
          <w:lang w:val="zh-CN"/>
        </w:rPr>
        <w:t>份，联合体成员各执</w:t>
      </w:r>
      <w:r>
        <w:rPr>
          <w:rFonts w:hint="eastAsia"/>
          <w:color w:val="auto"/>
          <w:highlight w:val="none"/>
          <w:u w:val="single"/>
          <w:lang w:val="zh-CN"/>
        </w:rPr>
        <w:t xml:space="preserve">    </w:t>
      </w:r>
      <w:r>
        <w:rPr>
          <w:rFonts w:hint="eastAsia"/>
          <w:color w:val="auto"/>
          <w:highlight w:val="none"/>
          <w:lang w:val="zh-CN"/>
        </w:rPr>
        <w:t>份；副本一式</w:t>
      </w:r>
      <w:r>
        <w:rPr>
          <w:rFonts w:hint="eastAsia"/>
          <w:color w:val="auto"/>
          <w:highlight w:val="none"/>
          <w:u w:val="single"/>
          <w:lang w:val="zh-CN"/>
        </w:rPr>
        <w:t xml:space="preserve">    </w:t>
      </w:r>
      <w:r>
        <w:rPr>
          <w:rFonts w:hint="eastAsia"/>
          <w:color w:val="auto"/>
          <w:highlight w:val="none"/>
          <w:lang w:val="zh-CN"/>
        </w:rPr>
        <w:t>份，联合体成员各执</w:t>
      </w:r>
      <w:r>
        <w:rPr>
          <w:rFonts w:hint="eastAsia"/>
          <w:color w:val="auto"/>
          <w:highlight w:val="none"/>
          <w:u w:val="single"/>
          <w:lang w:val="zh-CN"/>
        </w:rPr>
        <w:t xml:space="preserve">     </w:t>
      </w:r>
      <w:r>
        <w:rPr>
          <w:rFonts w:hint="eastAsia"/>
          <w:color w:val="auto"/>
          <w:highlight w:val="none"/>
          <w:lang w:val="zh-CN"/>
        </w:rPr>
        <w:t>份。</w:t>
      </w:r>
    </w:p>
    <w:p w14:paraId="3E34F739">
      <w:pPr>
        <w:spacing w:line="360" w:lineRule="auto"/>
        <w:rPr>
          <w:color w:val="auto"/>
          <w:highlight w:val="none"/>
          <w:lang w:val="zh-CN"/>
        </w:rPr>
      </w:pPr>
      <w:r>
        <w:rPr>
          <w:rFonts w:hint="eastAsia"/>
          <w:color w:val="auto"/>
          <w:highlight w:val="none"/>
          <w:lang w:val="zh-CN"/>
        </w:rPr>
        <w:t>联合体成员</w:t>
      </w:r>
      <w:r>
        <w:rPr>
          <w:rFonts w:hint="eastAsia"/>
          <w:color w:val="auto"/>
          <w:highlight w:val="none"/>
        </w:rPr>
        <w:t>1</w:t>
      </w:r>
      <w:r>
        <w:rPr>
          <w:rFonts w:hint="eastAsia"/>
          <w:color w:val="auto"/>
          <w:highlight w:val="none"/>
          <w:lang w:val="zh-CN"/>
        </w:rPr>
        <w:t>名称</w:t>
      </w:r>
      <w:r>
        <w:rPr>
          <w:rFonts w:hint="eastAsia" w:cs="仿宋_GB2312"/>
          <w:color w:val="auto"/>
          <w:szCs w:val="24"/>
          <w:highlight w:val="none"/>
        </w:rPr>
        <w:t>（</w:t>
      </w:r>
      <w:r>
        <w:rPr>
          <w:rFonts w:hint="eastAsia"/>
          <w:color w:val="auto"/>
          <w:szCs w:val="24"/>
          <w:highlight w:val="none"/>
        </w:rPr>
        <w:t>公章）</w:t>
      </w:r>
      <w:r>
        <w:rPr>
          <w:rFonts w:hint="eastAsia"/>
          <w:color w:val="auto"/>
          <w:highlight w:val="none"/>
          <w:lang w:val="zh-CN"/>
        </w:rPr>
        <w:t>：</w:t>
      </w:r>
    </w:p>
    <w:p w14:paraId="7D849BF5">
      <w:pPr>
        <w:spacing w:line="360" w:lineRule="auto"/>
        <w:rPr>
          <w:color w:val="auto"/>
          <w:highlight w:val="none"/>
          <w:lang w:val="zh-CN"/>
        </w:rPr>
      </w:pPr>
      <w:r>
        <w:rPr>
          <w:rFonts w:hint="eastAsia"/>
          <w:color w:val="auto"/>
          <w:highlight w:val="none"/>
          <w:lang w:val="zh-CN"/>
        </w:rPr>
        <w:t>联合体成员</w:t>
      </w:r>
      <w:r>
        <w:rPr>
          <w:rFonts w:hint="eastAsia"/>
          <w:color w:val="auto"/>
          <w:highlight w:val="none"/>
        </w:rPr>
        <w:t>2</w:t>
      </w:r>
      <w:r>
        <w:rPr>
          <w:rFonts w:hint="eastAsia"/>
          <w:color w:val="auto"/>
          <w:highlight w:val="none"/>
          <w:lang w:val="zh-CN"/>
        </w:rPr>
        <w:t>名称</w:t>
      </w:r>
      <w:r>
        <w:rPr>
          <w:rFonts w:hint="eastAsia" w:cs="仿宋_GB2312"/>
          <w:color w:val="auto"/>
          <w:szCs w:val="24"/>
          <w:highlight w:val="none"/>
        </w:rPr>
        <w:t>（</w:t>
      </w:r>
      <w:r>
        <w:rPr>
          <w:rFonts w:hint="eastAsia"/>
          <w:color w:val="auto"/>
          <w:szCs w:val="24"/>
          <w:highlight w:val="none"/>
        </w:rPr>
        <w:t>公章）</w:t>
      </w:r>
      <w:r>
        <w:rPr>
          <w:rFonts w:hint="eastAsia"/>
          <w:color w:val="auto"/>
          <w:highlight w:val="none"/>
          <w:lang w:val="zh-CN"/>
        </w:rPr>
        <w:t>：</w:t>
      </w:r>
    </w:p>
    <w:p w14:paraId="4F0B9FFC">
      <w:pPr>
        <w:spacing w:line="360" w:lineRule="auto"/>
        <w:rPr>
          <w:color w:val="auto"/>
          <w:highlight w:val="none"/>
          <w:lang w:val="zh-CN"/>
        </w:rPr>
      </w:pPr>
      <w:r>
        <w:rPr>
          <w:rFonts w:hint="eastAsia"/>
          <w:color w:val="auto"/>
          <w:highlight w:val="none"/>
          <w:lang w:val="zh-CN"/>
        </w:rPr>
        <w:t xml:space="preserve">                   ……</w:t>
      </w:r>
    </w:p>
    <w:p w14:paraId="73177ACF">
      <w:pPr>
        <w:spacing w:line="360" w:lineRule="auto"/>
        <w:rPr>
          <w:color w:val="auto"/>
          <w:highlight w:val="none"/>
          <w:lang w:val="zh-CN"/>
        </w:rPr>
      </w:pPr>
      <w:r>
        <w:rPr>
          <w:rFonts w:hint="eastAsia"/>
          <w:color w:val="auto"/>
          <w:highlight w:val="none"/>
          <w:lang w:val="zh-CN"/>
        </w:rPr>
        <w:t>日期：  年  月   日</w:t>
      </w:r>
    </w:p>
    <w:p w14:paraId="242DDF27">
      <w:pPr>
        <w:spacing w:line="360" w:lineRule="auto"/>
        <w:rPr>
          <w:color w:val="auto"/>
          <w:highlight w:val="none"/>
        </w:rPr>
      </w:pPr>
      <w:r>
        <w:rPr>
          <w:rFonts w:hint="eastAsia"/>
          <w:color w:val="auto"/>
          <w:highlight w:val="none"/>
        </w:rPr>
        <w:t>注：按本格式和要求提供。</w:t>
      </w:r>
    </w:p>
    <w:p w14:paraId="5A2FCB35">
      <w:pPr>
        <w:spacing w:line="360" w:lineRule="auto"/>
        <w:rPr>
          <w:color w:val="auto"/>
          <w:highlight w:val="none"/>
        </w:rPr>
      </w:pPr>
      <w:r>
        <w:rPr>
          <w:color w:val="auto"/>
          <w:highlight w:val="none"/>
        </w:rPr>
        <w:br w:type="page"/>
      </w:r>
    </w:p>
    <w:p w14:paraId="68391BF4">
      <w:pPr>
        <w:pStyle w:val="3"/>
        <w:rPr>
          <w:color w:val="auto"/>
          <w:highlight w:val="none"/>
          <w:lang w:val="zh-CN"/>
        </w:rPr>
      </w:pPr>
      <w:bookmarkStart w:id="365" w:name="_Toc162299566"/>
      <w:bookmarkStart w:id="366" w:name="_Toc163492925"/>
      <w:bookmarkStart w:id="367" w:name="_Toc22249"/>
      <w:bookmarkStart w:id="368" w:name="_Toc156490356"/>
      <w:r>
        <w:rPr>
          <w:rFonts w:hint="eastAsia"/>
          <w:color w:val="auto"/>
          <w:highlight w:val="none"/>
        </w:rPr>
        <w:t>三、</w:t>
      </w:r>
      <w:r>
        <w:rPr>
          <w:rFonts w:hint="eastAsia"/>
          <w:color w:val="auto"/>
          <w:highlight w:val="none"/>
          <w:lang w:val="zh-CN"/>
        </w:rPr>
        <w:t>分包意向协议书【</w:t>
      </w:r>
      <w:r>
        <w:rPr>
          <w:rFonts w:hint="eastAsia"/>
          <w:color w:val="auto"/>
          <w:highlight w:val="none"/>
        </w:rPr>
        <w:t>不适用可不提供</w:t>
      </w:r>
      <w:r>
        <w:rPr>
          <w:rFonts w:hint="eastAsia"/>
          <w:color w:val="auto"/>
          <w:highlight w:val="none"/>
          <w:lang w:val="zh-CN"/>
        </w:rPr>
        <w:t>】</w:t>
      </w:r>
      <w:bookmarkEnd w:id="365"/>
      <w:bookmarkEnd w:id="366"/>
      <w:bookmarkEnd w:id="367"/>
      <w:bookmarkEnd w:id="368"/>
    </w:p>
    <w:p w14:paraId="550AD5F8">
      <w:pPr>
        <w:spacing w:line="360" w:lineRule="auto"/>
        <w:rPr>
          <w:color w:val="auto"/>
          <w:highlight w:val="none"/>
        </w:rPr>
      </w:pPr>
      <w:bookmarkStart w:id="369" w:name="_Toc1771"/>
      <w:bookmarkStart w:id="370" w:name="_Hlk101169080"/>
      <w:r>
        <w:rPr>
          <w:rFonts w:hint="eastAsia"/>
          <w:color w:val="auto"/>
          <w:highlight w:val="none"/>
        </w:rPr>
        <w:t>分包意向协议书</w:t>
      </w:r>
      <w:bookmarkEnd w:id="369"/>
    </w:p>
    <w:p w14:paraId="4F494BA6">
      <w:pPr>
        <w:spacing w:line="360" w:lineRule="auto"/>
        <w:rPr>
          <w:color w:val="auto"/>
          <w:highlight w:val="none"/>
        </w:rPr>
      </w:pPr>
      <w:r>
        <w:rPr>
          <w:rFonts w:hint="eastAsia"/>
          <w:color w:val="auto"/>
          <w:highlight w:val="none"/>
        </w:rPr>
        <w:t>【中标后以分包方式履行合同的，提供分包意向协议书；采购人不同意分包或者投标人中标后不以分包方式履行合同的，则不需要提供。】</w:t>
      </w:r>
    </w:p>
    <w:p w14:paraId="090BE3CE">
      <w:pPr>
        <w:spacing w:line="360" w:lineRule="auto"/>
        <w:rPr>
          <w:color w:val="auto"/>
          <w:highlight w:val="none"/>
          <w:lang w:val="zh-CN"/>
        </w:rPr>
      </w:pPr>
      <w:r>
        <w:rPr>
          <w:rFonts w:hint="eastAsia"/>
          <w:color w:val="auto"/>
          <w:highlight w:val="none"/>
          <w:u w:val="single"/>
        </w:rPr>
        <w:t>（投标人名称）</w:t>
      </w:r>
      <w:r>
        <w:rPr>
          <w:rFonts w:hint="eastAsia"/>
          <w:color w:val="auto"/>
          <w:highlight w:val="none"/>
          <w:lang w:val="zh-CN"/>
        </w:rPr>
        <w:t>若成为</w:t>
      </w:r>
      <w:r>
        <w:rPr>
          <w:rFonts w:hint="eastAsia"/>
          <w:color w:val="auto"/>
          <w:highlight w:val="none"/>
        </w:rPr>
        <w:t>（项目名称）【项目编号/包号：  】</w:t>
      </w:r>
      <w:r>
        <w:rPr>
          <w:rFonts w:hint="eastAsia"/>
          <w:color w:val="auto"/>
          <w:highlight w:val="none"/>
          <w:lang w:val="zh-CN"/>
        </w:rPr>
        <w:t>的中标供应商，将依法采取分包方式履行合同。</w:t>
      </w:r>
      <w:r>
        <w:rPr>
          <w:rFonts w:hint="eastAsia"/>
          <w:color w:val="auto"/>
          <w:highlight w:val="none"/>
          <w:u w:val="single"/>
        </w:rPr>
        <w:t>（投标人名称）</w:t>
      </w:r>
      <w:r>
        <w:rPr>
          <w:rFonts w:hint="eastAsia"/>
          <w:color w:val="auto"/>
          <w:highlight w:val="none"/>
        </w:rPr>
        <w:t>与</w:t>
      </w:r>
      <w:r>
        <w:rPr>
          <w:rFonts w:hint="eastAsia"/>
          <w:color w:val="auto"/>
          <w:highlight w:val="none"/>
          <w:u w:val="single"/>
        </w:rPr>
        <w:t>（所有分包供应商名称）</w:t>
      </w:r>
      <w:r>
        <w:rPr>
          <w:rFonts w:hint="eastAsia"/>
          <w:color w:val="auto"/>
          <w:highlight w:val="none"/>
        </w:rPr>
        <w:t>达成分包意向协议书</w:t>
      </w:r>
      <w:r>
        <w:rPr>
          <w:rFonts w:hint="eastAsia"/>
          <w:color w:val="auto"/>
          <w:highlight w:val="none"/>
          <w:lang w:val="zh-CN"/>
        </w:rPr>
        <w:t xml:space="preserve">。 </w:t>
      </w:r>
    </w:p>
    <w:p w14:paraId="416A0B2D">
      <w:pPr>
        <w:spacing w:line="360" w:lineRule="auto"/>
        <w:rPr>
          <w:color w:val="auto"/>
          <w:highlight w:val="none"/>
          <w:lang w:val="zh-CN"/>
        </w:rPr>
      </w:pPr>
      <w:r>
        <w:rPr>
          <w:rFonts w:hint="eastAsia"/>
          <w:color w:val="auto"/>
          <w:highlight w:val="none"/>
          <w:lang w:val="zh-CN"/>
        </w:rPr>
        <w:t>一、分包标的及数量</w:t>
      </w:r>
    </w:p>
    <w:p w14:paraId="736195A1">
      <w:pPr>
        <w:spacing w:line="360" w:lineRule="auto"/>
        <w:rPr>
          <w:color w:val="auto"/>
          <w:highlight w:val="none"/>
          <w:lang w:val="zh-CN"/>
        </w:rPr>
      </w:pPr>
      <w:r>
        <w:rPr>
          <w:rFonts w:hint="eastAsia"/>
          <w:color w:val="auto"/>
          <w:highlight w:val="none"/>
        </w:rPr>
        <w:t>（投标人名称）</w:t>
      </w:r>
      <w:r>
        <w:rPr>
          <w:rFonts w:hint="eastAsia"/>
          <w:color w:val="auto"/>
          <w:highlight w:val="none"/>
          <w:lang w:val="zh-CN"/>
        </w:rPr>
        <w:t>将</w:t>
      </w:r>
      <w:r>
        <w:rPr>
          <w:rFonts w:hint="eastAsia"/>
          <w:color w:val="auto"/>
          <w:highlight w:val="none"/>
        </w:rPr>
        <w:t xml:space="preserve"> </w:t>
      </w:r>
      <w:r>
        <w:rPr>
          <w:color w:val="auto"/>
          <w:highlight w:val="none"/>
        </w:rPr>
        <w:t xml:space="preserve">  XX工作内容   </w:t>
      </w:r>
      <w:r>
        <w:rPr>
          <w:rFonts w:hint="eastAsia"/>
          <w:color w:val="auto"/>
          <w:highlight w:val="none"/>
        </w:rPr>
        <w:t>分包给（分包供应商1名称）</w:t>
      </w:r>
      <w:r>
        <w:rPr>
          <w:rFonts w:hint="eastAsia"/>
          <w:color w:val="auto"/>
          <w:highlight w:val="none"/>
          <w:lang w:val="zh-CN"/>
        </w:rPr>
        <w:t>，</w:t>
      </w:r>
      <w:r>
        <w:rPr>
          <w:rFonts w:hint="eastAsia"/>
          <w:color w:val="auto"/>
          <w:highlight w:val="none"/>
        </w:rPr>
        <w:t>（分包供应商1名称），</w:t>
      </w:r>
      <w:r>
        <w:rPr>
          <w:rFonts w:hint="eastAsia"/>
          <w:color w:val="auto"/>
          <w:highlight w:val="none"/>
          <w:lang w:val="zh-CN"/>
        </w:rPr>
        <w:t>具备承</w:t>
      </w:r>
      <w:r>
        <w:rPr>
          <w:rFonts w:hint="eastAsia"/>
          <w:color w:val="auto"/>
          <w:highlight w:val="none"/>
        </w:rPr>
        <w:t>担</w:t>
      </w:r>
      <w:r>
        <w:rPr>
          <w:rFonts w:hint="eastAsia"/>
          <w:color w:val="auto"/>
          <w:highlight w:val="none"/>
          <w:lang w:val="zh-CN"/>
        </w:rPr>
        <w:t>XX工作内容相应资质条件且不得再次分包；</w:t>
      </w:r>
    </w:p>
    <w:p w14:paraId="674C5ECB">
      <w:pPr>
        <w:spacing w:line="360" w:lineRule="auto"/>
        <w:rPr>
          <w:color w:val="auto"/>
          <w:highlight w:val="none"/>
          <w:lang w:val="zh-CN"/>
        </w:rPr>
      </w:pPr>
      <w:bookmarkStart w:id="371" w:name="_Toc22084"/>
      <w:bookmarkStart w:id="372" w:name="_Toc23351"/>
      <w:bookmarkStart w:id="373" w:name="_Toc8522"/>
      <w:bookmarkStart w:id="374" w:name="_Toc29506"/>
      <w:r>
        <w:rPr>
          <w:rFonts w:hint="eastAsia"/>
          <w:color w:val="auto"/>
          <w:highlight w:val="none"/>
          <w:lang w:val="zh-CN"/>
        </w:rPr>
        <w:t>……</w:t>
      </w:r>
      <w:bookmarkEnd w:id="371"/>
      <w:bookmarkEnd w:id="372"/>
      <w:bookmarkEnd w:id="373"/>
      <w:bookmarkEnd w:id="374"/>
    </w:p>
    <w:p w14:paraId="70D45530">
      <w:pPr>
        <w:spacing w:line="360" w:lineRule="auto"/>
        <w:rPr>
          <w:color w:val="auto"/>
          <w:highlight w:val="none"/>
          <w:lang w:val="zh-CN"/>
        </w:rPr>
      </w:pPr>
      <w:r>
        <w:rPr>
          <w:rFonts w:hint="eastAsia"/>
          <w:color w:val="auto"/>
          <w:highlight w:val="none"/>
          <w:lang w:val="zh-CN"/>
        </w:rPr>
        <w:t>二、分包供应商中小企业合同份额</w:t>
      </w:r>
    </w:p>
    <w:p w14:paraId="48CEDF80">
      <w:pPr>
        <w:spacing w:line="360" w:lineRule="auto"/>
        <w:rPr>
          <w:color w:val="auto"/>
          <w:highlight w:val="none"/>
          <w:lang w:val="zh-CN"/>
        </w:rPr>
      </w:pPr>
      <w:r>
        <w:rPr>
          <w:rFonts w:hint="eastAsia"/>
          <w:color w:val="auto"/>
          <w:highlight w:val="none"/>
        </w:rPr>
        <w:t>1.</w:t>
      </w:r>
      <w:r>
        <w:rPr>
          <w:rFonts w:hint="eastAsia"/>
          <w:color w:val="auto"/>
          <w:highlight w:val="none"/>
          <w:u w:val="single"/>
        </w:rPr>
        <w:t>（分包供应商X</w:t>
      </w:r>
      <w:r>
        <w:rPr>
          <w:color w:val="auto"/>
          <w:highlight w:val="none"/>
          <w:u w:val="single"/>
        </w:rPr>
        <w:t>,</w:t>
      </w:r>
      <w:r>
        <w:rPr>
          <w:rFonts w:hint="eastAsia"/>
          <w:color w:val="auto"/>
          <w:highlight w:val="none"/>
          <w:u w:val="single"/>
        </w:rPr>
        <w:t>……）提供的货物全部由小微企业制造，</w:t>
      </w:r>
      <w:r>
        <w:rPr>
          <w:rFonts w:hint="eastAsia"/>
          <w:color w:val="auto"/>
          <w:highlight w:val="none"/>
        </w:rPr>
        <w:t>其合同份额占到合同总金额</w:t>
      </w:r>
      <w:r>
        <w:rPr>
          <w:rFonts w:hint="eastAsia"/>
          <w:color w:val="auto"/>
          <w:highlight w:val="none"/>
          <w:u w:val="single"/>
        </w:rPr>
        <w:t xml:space="preserve">     </w:t>
      </w:r>
      <w:r>
        <w:rPr>
          <w:rFonts w:hint="eastAsia"/>
          <w:color w:val="auto"/>
          <w:highlight w:val="none"/>
        </w:rPr>
        <w:t>%以上。</w:t>
      </w:r>
      <w:r>
        <w:rPr>
          <w:rFonts w:hint="eastAsia"/>
          <w:color w:val="auto"/>
          <w:highlight w:val="none"/>
          <w:lang w:val="zh-CN"/>
        </w:rPr>
        <w:t>（未预留份额专门面向中小企业采购的采购项目，以及预留份额中的非预留部分采购包，允许分包的，分包意向协议</w:t>
      </w:r>
      <w:r>
        <w:rPr>
          <w:rFonts w:hint="eastAsia"/>
          <w:color w:val="auto"/>
          <w:highlight w:val="none"/>
        </w:rPr>
        <w:t>书</w:t>
      </w:r>
      <w:r>
        <w:rPr>
          <w:rFonts w:hint="eastAsia"/>
          <w:color w:val="auto"/>
          <w:highlight w:val="none"/>
          <w:lang w:val="zh-CN"/>
        </w:rPr>
        <w:t>约定小微企业的合同份额占到合同总金额30%以上的，对大中型企业的报价按评标标准确定的比例给予扣除。供应商</w:t>
      </w:r>
      <w:r>
        <w:rPr>
          <w:rFonts w:hint="eastAsia"/>
          <w:color w:val="auto"/>
          <w:highlight w:val="none"/>
        </w:rPr>
        <w:t>拟享受以上价格扣除政策的，填写有关内容。</w:t>
      </w:r>
      <w:r>
        <w:rPr>
          <w:rFonts w:hint="eastAsia"/>
          <w:color w:val="auto"/>
          <w:highlight w:val="none"/>
          <w:lang w:val="zh-CN"/>
        </w:rPr>
        <w:t>）</w:t>
      </w:r>
    </w:p>
    <w:p w14:paraId="257631B1">
      <w:pPr>
        <w:spacing w:line="360" w:lineRule="auto"/>
        <w:rPr>
          <w:color w:val="auto"/>
          <w:kern w:val="0"/>
          <w:highlight w:val="none"/>
          <w:lang w:val="zh-CN"/>
        </w:rPr>
      </w:pPr>
      <w:r>
        <w:rPr>
          <w:rFonts w:hint="eastAsia"/>
          <w:color w:val="auto"/>
          <w:highlight w:val="none"/>
        </w:rPr>
        <w:t>2.</w:t>
      </w:r>
      <w:bookmarkStart w:id="375" w:name="_Hlk101133173"/>
      <w:r>
        <w:rPr>
          <w:rFonts w:hint="eastAsia"/>
          <w:color w:val="auto"/>
          <w:highlight w:val="none"/>
        </w:rPr>
        <w:t>中小企业合同金额达到</w:t>
      </w:r>
      <w:r>
        <w:rPr>
          <w:rFonts w:hint="eastAsia"/>
          <w:color w:val="auto"/>
          <w:highlight w:val="none"/>
          <w:u w:val="single"/>
        </w:rPr>
        <w:t xml:space="preserve">  </w:t>
      </w:r>
      <w:r>
        <w:rPr>
          <w:rFonts w:hint="eastAsia"/>
          <w:color w:val="auto"/>
          <w:highlight w:val="none"/>
        </w:rPr>
        <w:t>%，其中小微企业合同金额达到</w:t>
      </w:r>
      <w:r>
        <w:rPr>
          <w:rFonts w:hint="eastAsia"/>
          <w:color w:val="auto"/>
          <w:highlight w:val="none"/>
          <w:u w:val="single"/>
        </w:rPr>
        <w:t xml:space="preserve"> </w:t>
      </w:r>
      <w:r>
        <w:rPr>
          <w:rFonts w:hint="eastAsia"/>
          <w:color w:val="auto"/>
          <w:highlight w:val="none"/>
        </w:rPr>
        <w:t>%</w:t>
      </w:r>
      <w:r>
        <w:rPr>
          <w:rFonts w:hint="eastAsia"/>
          <w:color w:val="auto"/>
          <w:kern w:val="0"/>
          <w:highlight w:val="none"/>
          <w:lang w:val="zh-CN"/>
        </w:rPr>
        <w:t>。（</w:t>
      </w:r>
      <w:r>
        <w:rPr>
          <w:rFonts w:hint="eastAsia"/>
          <w:color w:val="auto"/>
          <w:highlight w:val="none"/>
        </w:rPr>
        <w:t>要求合同分包形式参加的项目或采购包，供应商按招标文件第一部分招标公告申请人的资格要求中规定的</w:t>
      </w:r>
      <w:r>
        <w:rPr>
          <w:rFonts w:hint="eastAsia"/>
          <w:color w:val="auto"/>
          <w:kern w:val="0"/>
          <w:highlight w:val="none"/>
          <w:lang w:val="zh-CN"/>
        </w:rPr>
        <w:t>分包意向协议</w:t>
      </w:r>
      <w:r>
        <w:rPr>
          <w:rFonts w:hint="eastAsia"/>
          <w:color w:val="auto"/>
          <w:kern w:val="0"/>
          <w:highlight w:val="none"/>
        </w:rPr>
        <w:t>书</w:t>
      </w:r>
      <w:r>
        <w:rPr>
          <w:rFonts w:hint="eastAsia"/>
          <w:color w:val="auto"/>
          <w:highlight w:val="none"/>
        </w:rPr>
        <w:t>中中小企业、小微企业合同金额应当达到的比例要求填写。</w:t>
      </w:r>
      <w:r>
        <w:rPr>
          <w:rFonts w:hint="eastAsia"/>
          <w:color w:val="auto"/>
          <w:kern w:val="0"/>
          <w:highlight w:val="none"/>
          <w:lang w:val="zh-CN"/>
        </w:rPr>
        <w:t>）</w:t>
      </w:r>
      <w:bookmarkEnd w:id="375"/>
    </w:p>
    <w:p w14:paraId="0A45407B">
      <w:pPr>
        <w:spacing w:line="360" w:lineRule="auto"/>
        <w:rPr>
          <w:color w:val="auto"/>
          <w:highlight w:val="none"/>
          <w:lang w:val="zh-CN"/>
        </w:rPr>
      </w:pPr>
      <w:r>
        <w:rPr>
          <w:rFonts w:hint="eastAsia"/>
          <w:color w:val="auto"/>
          <w:highlight w:val="none"/>
          <w:lang w:val="zh-CN"/>
        </w:rPr>
        <w:t>三、分包工作履行期限、地点、方式</w:t>
      </w:r>
    </w:p>
    <w:p w14:paraId="49764146">
      <w:pPr>
        <w:spacing w:line="360" w:lineRule="auto"/>
        <w:rPr>
          <w:color w:val="auto"/>
          <w:highlight w:val="none"/>
        </w:rPr>
      </w:pPr>
      <w:r>
        <w:rPr>
          <w:rFonts w:hint="eastAsia"/>
          <w:color w:val="auto"/>
          <w:highlight w:val="none"/>
        </w:rPr>
        <w:t xml:space="preserve">                                                                                  </w:t>
      </w:r>
    </w:p>
    <w:p w14:paraId="1E962CAF">
      <w:pPr>
        <w:spacing w:line="360" w:lineRule="auto"/>
        <w:rPr>
          <w:color w:val="auto"/>
          <w:highlight w:val="none"/>
          <w:lang w:val="zh-CN"/>
        </w:rPr>
      </w:pPr>
      <w:r>
        <w:rPr>
          <w:rFonts w:hint="eastAsia"/>
          <w:color w:val="auto"/>
          <w:highlight w:val="none"/>
          <w:lang w:val="zh-CN"/>
        </w:rPr>
        <w:t>四、质量</w:t>
      </w:r>
    </w:p>
    <w:p w14:paraId="44132221">
      <w:pPr>
        <w:spacing w:line="360" w:lineRule="auto"/>
        <w:rPr>
          <w:color w:val="auto"/>
          <w:kern w:val="0"/>
          <w:highlight w:val="none"/>
          <w:lang w:val="zh-CN"/>
        </w:rPr>
      </w:pPr>
      <w:r>
        <w:rPr>
          <w:rFonts w:hint="eastAsia"/>
          <w:color w:val="auto"/>
          <w:highlight w:val="none"/>
        </w:rPr>
        <w:t xml:space="preserve">                                                                                       </w:t>
      </w:r>
    </w:p>
    <w:p w14:paraId="57C09708">
      <w:pPr>
        <w:spacing w:line="360" w:lineRule="auto"/>
        <w:rPr>
          <w:color w:val="auto"/>
          <w:highlight w:val="none"/>
          <w:lang w:val="zh-CN"/>
        </w:rPr>
      </w:pPr>
      <w:r>
        <w:rPr>
          <w:rFonts w:hint="eastAsia"/>
          <w:color w:val="auto"/>
          <w:highlight w:val="none"/>
          <w:lang w:val="zh-CN"/>
        </w:rPr>
        <w:t>五、价款或者报酬</w:t>
      </w:r>
    </w:p>
    <w:p w14:paraId="40A359F1">
      <w:pPr>
        <w:spacing w:line="360" w:lineRule="auto"/>
        <w:rPr>
          <w:color w:val="auto"/>
          <w:kern w:val="0"/>
          <w:highlight w:val="none"/>
          <w:lang w:val="zh-CN"/>
        </w:rPr>
      </w:pPr>
      <w:r>
        <w:rPr>
          <w:rFonts w:hint="eastAsia"/>
          <w:color w:val="auto"/>
          <w:highlight w:val="none"/>
        </w:rPr>
        <w:t xml:space="preserve">                                                                                     </w:t>
      </w:r>
    </w:p>
    <w:p w14:paraId="088769A7">
      <w:pPr>
        <w:spacing w:line="360" w:lineRule="auto"/>
        <w:rPr>
          <w:color w:val="auto"/>
          <w:highlight w:val="none"/>
          <w:lang w:val="zh-CN"/>
        </w:rPr>
      </w:pPr>
      <w:r>
        <w:rPr>
          <w:rFonts w:hint="eastAsia"/>
          <w:color w:val="auto"/>
          <w:highlight w:val="none"/>
          <w:lang w:val="zh-CN"/>
        </w:rPr>
        <w:t>六、违约责任</w:t>
      </w:r>
    </w:p>
    <w:p w14:paraId="781984A0">
      <w:pPr>
        <w:spacing w:line="360" w:lineRule="auto"/>
        <w:rPr>
          <w:color w:val="auto"/>
          <w:kern w:val="0"/>
          <w:highlight w:val="none"/>
          <w:lang w:val="zh-CN"/>
        </w:rPr>
      </w:pPr>
      <w:r>
        <w:rPr>
          <w:rFonts w:hint="eastAsia"/>
          <w:color w:val="auto"/>
          <w:highlight w:val="none"/>
        </w:rPr>
        <w:t xml:space="preserve">                                                                                     </w:t>
      </w:r>
    </w:p>
    <w:p w14:paraId="23363C68">
      <w:pPr>
        <w:spacing w:line="360" w:lineRule="auto"/>
        <w:rPr>
          <w:color w:val="auto"/>
          <w:highlight w:val="none"/>
          <w:lang w:val="zh-CN"/>
        </w:rPr>
      </w:pPr>
      <w:r>
        <w:rPr>
          <w:rFonts w:hint="eastAsia"/>
          <w:color w:val="auto"/>
          <w:highlight w:val="none"/>
          <w:lang w:val="zh-CN"/>
        </w:rPr>
        <w:t>七、争议解决的办法</w:t>
      </w:r>
    </w:p>
    <w:p w14:paraId="3B81333D">
      <w:pPr>
        <w:spacing w:line="360" w:lineRule="auto"/>
        <w:rPr>
          <w:color w:val="auto"/>
          <w:kern w:val="0"/>
          <w:highlight w:val="none"/>
          <w:lang w:val="zh-CN"/>
        </w:rPr>
      </w:pPr>
      <w:r>
        <w:rPr>
          <w:rFonts w:hint="eastAsia"/>
          <w:color w:val="auto"/>
          <w:highlight w:val="none"/>
        </w:rPr>
        <w:t xml:space="preserve">                                                                                  </w:t>
      </w:r>
    </w:p>
    <w:p w14:paraId="75FA699A">
      <w:pPr>
        <w:spacing w:line="360" w:lineRule="auto"/>
        <w:rPr>
          <w:color w:val="auto"/>
          <w:highlight w:val="none"/>
          <w:lang w:val="zh-CN"/>
        </w:rPr>
      </w:pPr>
      <w:r>
        <w:rPr>
          <w:rFonts w:hint="eastAsia"/>
          <w:color w:val="auto"/>
          <w:highlight w:val="none"/>
          <w:lang w:val="zh-CN"/>
        </w:rPr>
        <w:t xml:space="preserve">                                          投标人名称</w:t>
      </w:r>
      <w:r>
        <w:rPr>
          <w:rFonts w:hint="eastAsia" w:cs="仿宋_GB2312"/>
          <w:color w:val="auto"/>
          <w:szCs w:val="24"/>
          <w:highlight w:val="none"/>
        </w:rPr>
        <w:t>（</w:t>
      </w:r>
      <w:r>
        <w:rPr>
          <w:rFonts w:hint="eastAsia"/>
          <w:color w:val="auto"/>
          <w:szCs w:val="24"/>
          <w:highlight w:val="none"/>
        </w:rPr>
        <w:t>公章）</w:t>
      </w:r>
      <w:r>
        <w:rPr>
          <w:rFonts w:hint="eastAsia"/>
          <w:color w:val="auto"/>
          <w:highlight w:val="none"/>
          <w:lang w:val="zh-CN"/>
        </w:rPr>
        <w:t>：</w:t>
      </w:r>
    </w:p>
    <w:p w14:paraId="0E0FF137">
      <w:pPr>
        <w:spacing w:line="360" w:lineRule="auto"/>
        <w:rPr>
          <w:color w:val="auto"/>
          <w:highlight w:val="none"/>
          <w:lang w:val="zh-CN"/>
        </w:rPr>
      </w:pPr>
      <w:r>
        <w:rPr>
          <w:rFonts w:hint="eastAsia"/>
          <w:color w:val="auto"/>
          <w:highlight w:val="none"/>
          <w:lang w:val="zh-CN"/>
        </w:rPr>
        <w:t>分包供应商名称</w:t>
      </w:r>
      <w:r>
        <w:rPr>
          <w:rFonts w:hint="eastAsia" w:cs="仿宋_GB2312"/>
          <w:color w:val="auto"/>
          <w:szCs w:val="24"/>
          <w:highlight w:val="none"/>
        </w:rPr>
        <w:t>（</w:t>
      </w:r>
      <w:r>
        <w:rPr>
          <w:rFonts w:hint="eastAsia"/>
          <w:color w:val="auto"/>
          <w:szCs w:val="24"/>
          <w:highlight w:val="none"/>
        </w:rPr>
        <w:t>公章）</w:t>
      </w:r>
      <w:r>
        <w:rPr>
          <w:rFonts w:hint="eastAsia"/>
          <w:color w:val="auto"/>
          <w:highlight w:val="none"/>
          <w:lang w:val="zh-CN"/>
        </w:rPr>
        <w:t>：</w:t>
      </w:r>
    </w:p>
    <w:p w14:paraId="02D12A83">
      <w:pPr>
        <w:spacing w:line="360" w:lineRule="auto"/>
        <w:rPr>
          <w:color w:val="auto"/>
          <w:highlight w:val="none"/>
        </w:rPr>
      </w:pPr>
      <w:r>
        <w:rPr>
          <w:rFonts w:hint="eastAsia"/>
          <w:color w:val="auto"/>
          <w:highlight w:val="none"/>
          <w:lang w:val="zh-CN"/>
        </w:rPr>
        <w:t>……</w:t>
      </w:r>
    </w:p>
    <w:p w14:paraId="4E3B9E04">
      <w:pPr>
        <w:spacing w:line="360" w:lineRule="auto"/>
        <w:rPr>
          <w:color w:val="auto"/>
          <w:highlight w:val="none"/>
          <w:lang w:val="zh-CN"/>
        </w:rPr>
      </w:pPr>
      <w:r>
        <w:rPr>
          <w:rFonts w:hint="eastAsia"/>
          <w:color w:val="auto"/>
          <w:highlight w:val="none"/>
          <w:lang w:val="zh-CN"/>
        </w:rPr>
        <w:t xml:space="preserve">                                        日期：  年  月   日</w:t>
      </w:r>
    </w:p>
    <w:p w14:paraId="5EE8C86B">
      <w:pPr>
        <w:spacing w:line="360" w:lineRule="auto"/>
        <w:rPr>
          <w:color w:val="auto"/>
          <w:highlight w:val="none"/>
        </w:rPr>
      </w:pPr>
      <w:r>
        <w:rPr>
          <w:rFonts w:hint="eastAsia"/>
          <w:color w:val="auto"/>
          <w:highlight w:val="none"/>
        </w:rPr>
        <w:t>注：按本格式和要求提供。</w:t>
      </w:r>
    </w:p>
    <w:p w14:paraId="541351DD">
      <w:pPr>
        <w:spacing w:line="360" w:lineRule="auto"/>
        <w:rPr>
          <w:color w:val="auto"/>
          <w:highlight w:val="none"/>
        </w:rPr>
      </w:pPr>
    </w:p>
    <w:p w14:paraId="272DED6F">
      <w:pPr>
        <w:spacing w:line="360" w:lineRule="auto"/>
        <w:rPr>
          <w:color w:val="auto"/>
          <w:highlight w:val="none"/>
        </w:rPr>
      </w:pPr>
    </w:p>
    <w:p w14:paraId="0EADF1AF">
      <w:pPr>
        <w:rPr>
          <w:color w:val="auto"/>
          <w:highlight w:val="none"/>
        </w:rPr>
      </w:pPr>
    </w:p>
    <w:p w14:paraId="5BDBACE4">
      <w:pPr>
        <w:rPr>
          <w:color w:val="auto"/>
          <w:highlight w:val="none"/>
        </w:rPr>
      </w:pPr>
    </w:p>
    <w:bookmarkEnd w:id="370"/>
    <w:p w14:paraId="63683FE8">
      <w:pPr>
        <w:rPr>
          <w:color w:val="auto"/>
          <w:highlight w:val="none"/>
        </w:rPr>
      </w:pPr>
      <w:r>
        <w:rPr>
          <w:color w:val="auto"/>
          <w:highlight w:val="none"/>
        </w:rPr>
        <w:br w:type="page"/>
      </w:r>
    </w:p>
    <w:p w14:paraId="54CBECA9">
      <w:pPr>
        <w:pStyle w:val="3"/>
        <w:rPr>
          <w:color w:val="auto"/>
          <w:highlight w:val="none"/>
        </w:rPr>
      </w:pPr>
      <w:bookmarkStart w:id="376" w:name="_Toc155185932"/>
      <w:bookmarkStart w:id="377" w:name="_Toc163492926"/>
      <w:bookmarkStart w:id="378" w:name="_Toc22618"/>
      <w:r>
        <w:rPr>
          <w:rFonts w:hint="eastAsia"/>
          <w:color w:val="auto"/>
          <w:highlight w:val="none"/>
        </w:rPr>
        <w:t>四、</w:t>
      </w:r>
      <w:bookmarkEnd w:id="376"/>
      <w:bookmarkEnd w:id="377"/>
      <w:r>
        <w:rPr>
          <w:rFonts w:hint="eastAsia"/>
          <w:color w:val="auto"/>
          <w:highlight w:val="none"/>
        </w:rPr>
        <w:t>落实政府采购政策相关证明文件</w:t>
      </w:r>
      <w:bookmarkEnd w:id="345"/>
      <w:bookmarkEnd w:id="378"/>
    </w:p>
    <w:p w14:paraId="141DA8FA">
      <w:pPr>
        <w:pStyle w:val="4"/>
        <w:rPr>
          <w:color w:val="auto"/>
          <w:highlight w:val="none"/>
        </w:rPr>
      </w:pPr>
      <w:bookmarkStart w:id="379" w:name="_Toc163492938"/>
      <w:r>
        <w:rPr>
          <w:rFonts w:hint="eastAsia"/>
          <w:color w:val="auto"/>
          <w:highlight w:val="none"/>
        </w:rPr>
        <w:t>（一）节能环保产品清单及证明材料【如适用】</w:t>
      </w:r>
      <w:bookmarkEnd w:id="379"/>
    </w:p>
    <w:p w14:paraId="611D5419">
      <w:pPr>
        <w:spacing w:line="360" w:lineRule="auto"/>
        <w:rPr>
          <w:color w:val="auto"/>
          <w:highlight w:val="none"/>
          <w:u w:val="single"/>
        </w:rPr>
      </w:pPr>
      <w:r>
        <w:rPr>
          <w:rFonts w:hint="eastAsia"/>
          <w:color w:val="auto"/>
          <w:highlight w:val="none"/>
        </w:rPr>
        <w:t>项目名称：             项目编号/包号：</w:t>
      </w:r>
    </w:p>
    <w:p w14:paraId="7305A7BA">
      <w:pPr>
        <w:spacing w:line="360" w:lineRule="auto"/>
        <w:rPr>
          <w:color w:val="auto"/>
          <w:highlight w:val="none"/>
        </w:rPr>
      </w:pPr>
      <w:r>
        <w:rPr>
          <w:rFonts w:hint="eastAsia"/>
          <w:color w:val="auto"/>
          <w:highlight w:val="none"/>
        </w:rPr>
        <w:t>1.节能产品</w:t>
      </w:r>
    </w:p>
    <w:tbl>
      <w:tblPr>
        <w:tblStyle w:val="3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5C372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33510DD">
            <w:pPr>
              <w:pStyle w:val="52"/>
              <w:jc w:val="center"/>
              <w:rPr>
                <w:color w:val="auto"/>
                <w:sz w:val="21"/>
                <w:szCs w:val="21"/>
                <w:highlight w:val="none"/>
              </w:rPr>
            </w:pPr>
            <w:r>
              <w:rPr>
                <w:rFonts w:hint="eastAsia"/>
                <w:color w:val="auto"/>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60434F9C">
            <w:pPr>
              <w:pStyle w:val="52"/>
              <w:jc w:val="center"/>
              <w:rPr>
                <w:color w:val="auto"/>
                <w:sz w:val="21"/>
                <w:szCs w:val="21"/>
                <w:highlight w:val="none"/>
              </w:rPr>
            </w:pPr>
            <w:r>
              <w:rPr>
                <w:rFonts w:hint="eastAsia"/>
                <w:color w:val="auto"/>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3B8BFCEE">
            <w:pPr>
              <w:pStyle w:val="52"/>
              <w:jc w:val="center"/>
              <w:rPr>
                <w:color w:val="auto"/>
                <w:sz w:val="21"/>
                <w:szCs w:val="21"/>
                <w:highlight w:val="none"/>
              </w:rPr>
            </w:pPr>
            <w:r>
              <w:rPr>
                <w:rFonts w:hint="eastAsia"/>
                <w:color w:val="auto"/>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6D398463">
            <w:pPr>
              <w:pStyle w:val="52"/>
              <w:jc w:val="center"/>
              <w:rPr>
                <w:color w:val="auto"/>
                <w:sz w:val="21"/>
                <w:szCs w:val="21"/>
                <w:highlight w:val="none"/>
              </w:rPr>
            </w:pPr>
            <w:r>
              <w:rPr>
                <w:rFonts w:hint="eastAsia"/>
                <w:color w:val="auto"/>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14403B36">
            <w:pPr>
              <w:pStyle w:val="52"/>
              <w:jc w:val="center"/>
              <w:rPr>
                <w:color w:val="auto"/>
                <w:sz w:val="21"/>
                <w:szCs w:val="21"/>
                <w:highlight w:val="none"/>
              </w:rPr>
            </w:pPr>
            <w:r>
              <w:rPr>
                <w:rFonts w:hint="eastAsia"/>
                <w:color w:val="auto"/>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13BC93DE">
            <w:pPr>
              <w:pStyle w:val="52"/>
              <w:jc w:val="center"/>
              <w:rPr>
                <w:color w:val="auto"/>
                <w:sz w:val="21"/>
                <w:szCs w:val="21"/>
                <w:highlight w:val="none"/>
              </w:rPr>
            </w:pPr>
            <w:r>
              <w:rPr>
                <w:rFonts w:hint="eastAsia"/>
                <w:color w:val="auto"/>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1C4B4053">
            <w:pPr>
              <w:pStyle w:val="52"/>
              <w:jc w:val="center"/>
              <w:rPr>
                <w:color w:val="auto"/>
                <w:sz w:val="21"/>
                <w:szCs w:val="21"/>
                <w:highlight w:val="none"/>
              </w:rPr>
            </w:pPr>
            <w:r>
              <w:rPr>
                <w:rFonts w:hint="eastAsia"/>
                <w:color w:val="auto"/>
                <w:sz w:val="21"/>
                <w:szCs w:val="21"/>
                <w:highlight w:val="none"/>
              </w:rPr>
              <w:t>单价</w:t>
            </w:r>
          </w:p>
          <w:p w14:paraId="25E395B4">
            <w:pPr>
              <w:pStyle w:val="52"/>
              <w:jc w:val="center"/>
              <w:rPr>
                <w:color w:val="auto"/>
                <w:sz w:val="21"/>
                <w:szCs w:val="21"/>
                <w:highlight w:val="none"/>
              </w:rPr>
            </w:pPr>
            <w:r>
              <w:rPr>
                <w:rFonts w:hint="eastAsia"/>
                <w:color w:val="auto"/>
                <w:sz w:val="21"/>
                <w:szCs w:val="21"/>
                <w:highlight w:val="none"/>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2E161516">
            <w:pPr>
              <w:pStyle w:val="52"/>
              <w:jc w:val="center"/>
              <w:rPr>
                <w:color w:val="auto"/>
                <w:sz w:val="21"/>
                <w:szCs w:val="21"/>
                <w:highlight w:val="none"/>
              </w:rPr>
            </w:pPr>
            <w:r>
              <w:rPr>
                <w:rFonts w:hint="eastAsia"/>
                <w:color w:val="auto"/>
                <w:sz w:val="21"/>
                <w:szCs w:val="21"/>
                <w:highlight w:val="none"/>
              </w:rPr>
              <w:t>总价</w:t>
            </w:r>
          </w:p>
          <w:p w14:paraId="2C4FC9A4">
            <w:pPr>
              <w:pStyle w:val="52"/>
              <w:jc w:val="center"/>
              <w:rPr>
                <w:color w:val="auto"/>
                <w:sz w:val="21"/>
                <w:szCs w:val="21"/>
                <w:highlight w:val="none"/>
              </w:rPr>
            </w:pPr>
            <w:r>
              <w:rPr>
                <w:rFonts w:hint="eastAsia"/>
                <w:color w:val="auto"/>
                <w:sz w:val="21"/>
                <w:szCs w:val="21"/>
                <w:highlight w:val="none"/>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1B270319">
            <w:pPr>
              <w:pStyle w:val="52"/>
              <w:jc w:val="center"/>
              <w:rPr>
                <w:color w:val="auto"/>
                <w:sz w:val="21"/>
                <w:szCs w:val="21"/>
                <w:highlight w:val="none"/>
              </w:rPr>
            </w:pPr>
            <w:r>
              <w:rPr>
                <w:rFonts w:hint="eastAsia"/>
                <w:color w:val="auto"/>
                <w:sz w:val="21"/>
                <w:szCs w:val="21"/>
                <w:highlight w:val="none"/>
              </w:rPr>
              <w:t>属强制采购或优先采购</w:t>
            </w:r>
          </w:p>
        </w:tc>
      </w:tr>
      <w:tr w14:paraId="61B2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5CAFED03">
            <w:pPr>
              <w:pStyle w:val="52"/>
              <w:numPr>
                <w:ilvl w:val="0"/>
                <w:numId w:val="3"/>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5702BBB9">
            <w:pPr>
              <w:pStyle w:val="52"/>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094ACB98">
            <w:pPr>
              <w:pStyle w:val="52"/>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9E544B2">
            <w:pPr>
              <w:pStyle w:val="52"/>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0D933FB7">
            <w:pPr>
              <w:pStyle w:val="52"/>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127C21B5">
            <w:pPr>
              <w:pStyle w:val="52"/>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1C33E020">
            <w:pPr>
              <w:pStyle w:val="52"/>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068E8CF5">
            <w:pPr>
              <w:pStyle w:val="52"/>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1D5BD4EF">
            <w:pPr>
              <w:pStyle w:val="52"/>
              <w:jc w:val="center"/>
              <w:rPr>
                <w:color w:val="auto"/>
                <w:sz w:val="21"/>
                <w:szCs w:val="21"/>
                <w:highlight w:val="none"/>
              </w:rPr>
            </w:pPr>
          </w:p>
        </w:tc>
      </w:tr>
      <w:tr w14:paraId="3A9B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19B67653">
            <w:pPr>
              <w:pStyle w:val="52"/>
              <w:numPr>
                <w:ilvl w:val="0"/>
                <w:numId w:val="3"/>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3AE4D306">
            <w:pPr>
              <w:pStyle w:val="52"/>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699E99C9">
            <w:pPr>
              <w:pStyle w:val="52"/>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1B747520">
            <w:pPr>
              <w:pStyle w:val="52"/>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07F35A21">
            <w:pPr>
              <w:pStyle w:val="52"/>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7D9EF283">
            <w:pPr>
              <w:pStyle w:val="52"/>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1D7FAFA2">
            <w:pPr>
              <w:pStyle w:val="52"/>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49EB0126">
            <w:pPr>
              <w:pStyle w:val="52"/>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0CA4EC4A">
            <w:pPr>
              <w:pStyle w:val="52"/>
              <w:jc w:val="center"/>
              <w:rPr>
                <w:color w:val="auto"/>
                <w:sz w:val="21"/>
                <w:szCs w:val="21"/>
                <w:highlight w:val="none"/>
              </w:rPr>
            </w:pPr>
          </w:p>
        </w:tc>
      </w:tr>
      <w:tr w14:paraId="3CB1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5F376CA">
            <w:pPr>
              <w:pStyle w:val="52"/>
              <w:numPr>
                <w:ilvl w:val="0"/>
                <w:numId w:val="3"/>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2710CD40">
            <w:pPr>
              <w:pStyle w:val="52"/>
              <w:jc w:val="center"/>
              <w:rPr>
                <w:color w:val="auto"/>
                <w:sz w:val="21"/>
                <w:szCs w:val="21"/>
                <w:highlight w:val="none"/>
              </w:rPr>
            </w:pPr>
            <w:r>
              <w:rPr>
                <w:color w:val="auto"/>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vAlign w:val="center"/>
          </w:tcPr>
          <w:p w14:paraId="11D19593">
            <w:pPr>
              <w:pStyle w:val="52"/>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DFF24E6">
            <w:pPr>
              <w:pStyle w:val="52"/>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6C400970">
            <w:pPr>
              <w:pStyle w:val="52"/>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6194EEC8">
            <w:pPr>
              <w:pStyle w:val="52"/>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34482A47">
            <w:pPr>
              <w:pStyle w:val="52"/>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0BEF3FD8">
            <w:pPr>
              <w:pStyle w:val="52"/>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69FA9831">
            <w:pPr>
              <w:pStyle w:val="52"/>
              <w:jc w:val="center"/>
              <w:rPr>
                <w:color w:val="auto"/>
                <w:sz w:val="21"/>
                <w:szCs w:val="21"/>
                <w:highlight w:val="none"/>
              </w:rPr>
            </w:pPr>
          </w:p>
        </w:tc>
      </w:tr>
    </w:tbl>
    <w:p w14:paraId="65E78062">
      <w:pPr>
        <w:rPr>
          <w:color w:val="auto"/>
          <w:highlight w:val="none"/>
        </w:rPr>
      </w:pPr>
    </w:p>
    <w:p w14:paraId="48CF1714">
      <w:pPr>
        <w:rPr>
          <w:color w:val="auto"/>
          <w:highlight w:val="none"/>
        </w:rPr>
      </w:pPr>
      <w:r>
        <w:rPr>
          <w:rFonts w:hint="eastAsia"/>
          <w:color w:val="auto"/>
          <w:highlight w:val="none"/>
        </w:rPr>
        <w:t>2.环保产品</w:t>
      </w:r>
    </w:p>
    <w:tbl>
      <w:tblPr>
        <w:tblStyle w:val="3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0D9E0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6D4F4B0">
            <w:pPr>
              <w:pStyle w:val="52"/>
              <w:jc w:val="center"/>
              <w:rPr>
                <w:color w:val="auto"/>
                <w:sz w:val="21"/>
                <w:szCs w:val="21"/>
                <w:highlight w:val="none"/>
              </w:rPr>
            </w:pPr>
            <w:r>
              <w:rPr>
                <w:rFonts w:hint="eastAsia"/>
                <w:color w:val="auto"/>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52080073">
            <w:pPr>
              <w:pStyle w:val="52"/>
              <w:jc w:val="center"/>
              <w:rPr>
                <w:color w:val="auto"/>
                <w:sz w:val="21"/>
                <w:szCs w:val="21"/>
                <w:highlight w:val="none"/>
              </w:rPr>
            </w:pPr>
            <w:r>
              <w:rPr>
                <w:rFonts w:hint="eastAsia"/>
                <w:color w:val="auto"/>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6A42D37E">
            <w:pPr>
              <w:pStyle w:val="52"/>
              <w:jc w:val="center"/>
              <w:rPr>
                <w:color w:val="auto"/>
                <w:sz w:val="21"/>
                <w:szCs w:val="21"/>
                <w:highlight w:val="none"/>
              </w:rPr>
            </w:pPr>
            <w:r>
              <w:rPr>
                <w:rFonts w:hint="eastAsia"/>
                <w:color w:val="auto"/>
                <w:sz w:val="21"/>
                <w:szCs w:val="21"/>
                <w:highlight w:val="none"/>
              </w:rPr>
              <w:t>制造商</w:t>
            </w:r>
          </w:p>
          <w:p w14:paraId="06DA0102">
            <w:pPr>
              <w:pStyle w:val="52"/>
              <w:jc w:val="center"/>
              <w:rPr>
                <w:color w:val="auto"/>
                <w:sz w:val="21"/>
                <w:szCs w:val="21"/>
                <w:highlight w:val="none"/>
              </w:rPr>
            </w:pPr>
            <w:r>
              <w:rPr>
                <w:rFonts w:hint="eastAsia"/>
                <w:color w:val="auto"/>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2B239B96">
            <w:pPr>
              <w:pStyle w:val="52"/>
              <w:jc w:val="center"/>
              <w:rPr>
                <w:color w:val="auto"/>
                <w:sz w:val="21"/>
                <w:szCs w:val="21"/>
                <w:highlight w:val="none"/>
              </w:rPr>
            </w:pPr>
            <w:r>
              <w:rPr>
                <w:rFonts w:hint="eastAsia"/>
                <w:color w:val="auto"/>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042E8153">
            <w:pPr>
              <w:pStyle w:val="52"/>
              <w:jc w:val="center"/>
              <w:rPr>
                <w:color w:val="auto"/>
                <w:sz w:val="21"/>
                <w:szCs w:val="21"/>
                <w:highlight w:val="none"/>
              </w:rPr>
            </w:pPr>
            <w:r>
              <w:rPr>
                <w:rFonts w:hint="eastAsia"/>
                <w:color w:val="auto"/>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3CE381DA">
            <w:pPr>
              <w:pStyle w:val="52"/>
              <w:jc w:val="center"/>
              <w:rPr>
                <w:color w:val="auto"/>
                <w:sz w:val="21"/>
                <w:szCs w:val="21"/>
                <w:highlight w:val="none"/>
              </w:rPr>
            </w:pPr>
            <w:r>
              <w:rPr>
                <w:rFonts w:hint="eastAsia"/>
                <w:color w:val="auto"/>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7AF3AA76">
            <w:pPr>
              <w:pStyle w:val="52"/>
              <w:jc w:val="center"/>
              <w:rPr>
                <w:color w:val="auto"/>
                <w:sz w:val="21"/>
                <w:szCs w:val="21"/>
                <w:highlight w:val="none"/>
              </w:rPr>
            </w:pPr>
            <w:r>
              <w:rPr>
                <w:rFonts w:hint="eastAsia"/>
                <w:color w:val="auto"/>
                <w:sz w:val="21"/>
                <w:szCs w:val="21"/>
                <w:highlight w:val="none"/>
              </w:rPr>
              <w:t>单价</w:t>
            </w:r>
          </w:p>
          <w:p w14:paraId="1BA2AF0D">
            <w:pPr>
              <w:pStyle w:val="52"/>
              <w:jc w:val="center"/>
              <w:rPr>
                <w:color w:val="auto"/>
                <w:sz w:val="21"/>
                <w:szCs w:val="21"/>
                <w:highlight w:val="none"/>
              </w:rPr>
            </w:pPr>
            <w:r>
              <w:rPr>
                <w:rFonts w:hint="eastAsia"/>
                <w:color w:val="auto"/>
                <w:sz w:val="21"/>
                <w:szCs w:val="21"/>
                <w:highlight w:val="none"/>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5EC7F966">
            <w:pPr>
              <w:pStyle w:val="52"/>
              <w:jc w:val="center"/>
              <w:rPr>
                <w:color w:val="auto"/>
                <w:sz w:val="21"/>
                <w:szCs w:val="21"/>
                <w:highlight w:val="none"/>
              </w:rPr>
            </w:pPr>
            <w:r>
              <w:rPr>
                <w:rFonts w:hint="eastAsia"/>
                <w:color w:val="auto"/>
                <w:sz w:val="21"/>
                <w:szCs w:val="21"/>
                <w:highlight w:val="none"/>
              </w:rPr>
              <w:t>总价</w:t>
            </w:r>
          </w:p>
          <w:p w14:paraId="797DBF14">
            <w:pPr>
              <w:pStyle w:val="52"/>
              <w:jc w:val="center"/>
              <w:rPr>
                <w:color w:val="auto"/>
                <w:sz w:val="21"/>
                <w:szCs w:val="21"/>
                <w:highlight w:val="none"/>
              </w:rPr>
            </w:pPr>
            <w:r>
              <w:rPr>
                <w:rFonts w:hint="eastAsia"/>
                <w:color w:val="auto"/>
                <w:sz w:val="21"/>
                <w:szCs w:val="21"/>
                <w:highlight w:val="none"/>
              </w:rPr>
              <w:t>（万元）</w:t>
            </w:r>
          </w:p>
        </w:tc>
      </w:tr>
      <w:tr w14:paraId="4545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5B94A2A6">
            <w:pPr>
              <w:pStyle w:val="52"/>
              <w:numPr>
                <w:ilvl w:val="0"/>
                <w:numId w:val="4"/>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182420FD">
            <w:pPr>
              <w:pStyle w:val="52"/>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573A6E51">
            <w:pPr>
              <w:pStyle w:val="52"/>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695EF6C">
            <w:pPr>
              <w:pStyle w:val="52"/>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2CA9B3F8">
            <w:pPr>
              <w:pStyle w:val="52"/>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658071BF">
            <w:pPr>
              <w:pStyle w:val="52"/>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5B7B2482">
            <w:pPr>
              <w:pStyle w:val="52"/>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1EBF9B3D">
            <w:pPr>
              <w:pStyle w:val="52"/>
              <w:jc w:val="center"/>
              <w:rPr>
                <w:color w:val="auto"/>
                <w:sz w:val="21"/>
                <w:szCs w:val="21"/>
                <w:highlight w:val="none"/>
              </w:rPr>
            </w:pPr>
          </w:p>
        </w:tc>
      </w:tr>
      <w:tr w14:paraId="48B9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065F03AD">
            <w:pPr>
              <w:pStyle w:val="52"/>
              <w:numPr>
                <w:ilvl w:val="0"/>
                <w:numId w:val="4"/>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44E879C5">
            <w:pPr>
              <w:pStyle w:val="52"/>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1FDA7132">
            <w:pPr>
              <w:pStyle w:val="52"/>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4CD53B28">
            <w:pPr>
              <w:pStyle w:val="52"/>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7068AD3D">
            <w:pPr>
              <w:pStyle w:val="52"/>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4C6877C4">
            <w:pPr>
              <w:pStyle w:val="52"/>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5AF4EE55">
            <w:pPr>
              <w:pStyle w:val="52"/>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7C3868C0">
            <w:pPr>
              <w:pStyle w:val="52"/>
              <w:jc w:val="center"/>
              <w:rPr>
                <w:color w:val="auto"/>
                <w:sz w:val="21"/>
                <w:szCs w:val="21"/>
                <w:highlight w:val="none"/>
              </w:rPr>
            </w:pPr>
          </w:p>
        </w:tc>
      </w:tr>
      <w:tr w14:paraId="7DBF3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5B175BBB">
            <w:pPr>
              <w:pStyle w:val="52"/>
              <w:numPr>
                <w:ilvl w:val="0"/>
                <w:numId w:val="4"/>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6774A8B9">
            <w:pPr>
              <w:pStyle w:val="52"/>
              <w:jc w:val="center"/>
              <w:rPr>
                <w:color w:val="auto"/>
                <w:sz w:val="21"/>
                <w:szCs w:val="21"/>
                <w:highlight w:val="none"/>
              </w:rPr>
            </w:pPr>
            <w:r>
              <w:rPr>
                <w:color w:val="auto"/>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vAlign w:val="center"/>
          </w:tcPr>
          <w:p w14:paraId="5EF40BBE">
            <w:pPr>
              <w:pStyle w:val="52"/>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1219B375">
            <w:pPr>
              <w:pStyle w:val="52"/>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6DC9087B">
            <w:pPr>
              <w:pStyle w:val="52"/>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35D094A6">
            <w:pPr>
              <w:pStyle w:val="52"/>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34723FA7">
            <w:pPr>
              <w:pStyle w:val="52"/>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1170393C">
            <w:pPr>
              <w:pStyle w:val="52"/>
              <w:jc w:val="center"/>
              <w:rPr>
                <w:color w:val="auto"/>
                <w:sz w:val="21"/>
                <w:szCs w:val="21"/>
                <w:highlight w:val="none"/>
              </w:rPr>
            </w:pPr>
          </w:p>
        </w:tc>
      </w:tr>
    </w:tbl>
    <w:p w14:paraId="4F5054F4">
      <w:pPr>
        <w:rPr>
          <w:color w:val="auto"/>
          <w:highlight w:val="none"/>
        </w:rPr>
      </w:pPr>
    </w:p>
    <w:p w14:paraId="025375D1">
      <w:pPr>
        <w:spacing w:line="360" w:lineRule="auto"/>
        <w:rPr>
          <w:color w:val="auto"/>
          <w:highlight w:val="none"/>
        </w:rPr>
      </w:pPr>
      <w:r>
        <w:rPr>
          <w:rFonts w:hint="eastAsia"/>
          <w:color w:val="auto"/>
          <w:highlight w:val="none"/>
        </w:rPr>
        <w:t>特别说明：投标人应将所投产品中节能、环保产品分别列入上表中，并按本招标文件“第二章投标人须知”提供相关证明材料，未填写本表或未提供有效认证证书</w:t>
      </w:r>
      <w:r>
        <w:rPr>
          <w:color w:val="auto"/>
          <w:highlight w:val="none"/>
        </w:rPr>
        <w:t>的</w:t>
      </w:r>
      <w:r>
        <w:rPr>
          <w:rFonts w:hint="eastAsia"/>
          <w:color w:val="auto"/>
          <w:highlight w:val="none"/>
        </w:rPr>
        <w:t>不给予评审优惠。</w:t>
      </w:r>
    </w:p>
    <w:p w14:paraId="633EC6EC">
      <w:pPr>
        <w:spacing w:line="360" w:lineRule="auto"/>
        <w:rPr>
          <w:color w:val="auto"/>
          <w:highlight w:val="none"/>
        </w:rPr>
      </w:pPr>
    </w:p>
    <w:p w14:paraId="4DBCA1CB">
      <w:pPr>
        <w:spacing w:line="360" w:lineRule="auto"/>
        <w:rPr>
          <w:color w:val="auto"/>
          <w:highlight w:val="none"/>
        </w:rPr>
      </w:pPr>
      <w:r>
        <w:rPr>
          <w:rFonts w:hint="eastAsia"/>
          <w:color w:val="auto"/>
          <w:highlight w:val="none"/>
          <w:lang w:val="en-US" w:eastAsia="zh-CN"/>
        </w:rPr>
        <w:t>供应商</w:t>
      </w:r>
      <w:r>
        <w:rPr>
          <w:color w:val="auto"/>
          <w:highlight w:val="none"/>
        </w:rPr>
        <w:t>名称</w:t>
      </w:r>
      <w:r>
        <w:rPr>
          <w:rFonts w:hint="eastAsia" w:cs="仿宋_GB2312"/>
          <w:color w:val="auto"/>
          <w:szCs w:val="24"/>
          <w:highlight w:val="none"/>
        </w:rPr>
        <w:t>（</w:t>
      </w:r>
      <w:r>
        <w:rPr>
          <w:rFonts w:hint="eastAsia" w:cs="宋体"/>
          <w:color w:val="auto"/>
          <w:kern w:val="0"/>
          <w:szCs w:val="24"/>
          <w:highlight w:val="none"/>
        </w:rPr>
        <w:t>公章</w:t>
      </w:r>
      <w:r>
        <w:rPr>
          <w:rFonts w:hint="eastAsia" w:cs="宋体"/>
          <w:color w:val="auto"/>
          <w:kern w:val="0"/>
          <w:highlight w:val="none"/>
          <w:lang w:val="zh-CN"/>
        </w:rPr>
        <w:t>)</w:t>
      </w:r>
      <w:r>
        <w:rPr>
          <w:color w:val="auto"/>
          <w:highlight w:val="none"/>
        </w:rPr>
        <w:t>：</w:t>
      </w:r>
    </w:p>
    <w:p w14:paraId="19D535BB">
      <w:pPr>
        <w:spacing w:line="360" w:lineRule="auto"/>
        <w:rPr>
          <w:color w:val="auto"/>
          <w:highlight w:val="none"/>
        </w:rPr>
      </w:pPr>
      <w:r>
        <w:rPr>
          <w:color w:val="auto"/>
          <w:highlight w:val="none"/>
        </w:rPr>
        <w:t>日期：</w:t>
      </w:r>
    </w:p>
    <w:p w14:paraId="3D7F2404">
      <w:pPr>
        <w:rPr>
          <w:color w:val="auto"/>
          <w:highlight w:val="none"/>
        </w:rPr>
      </w:pPr>
      <w:r>
        <w:rPr>
          <w:color w:val="auto"/>
          <w:highlight w:val="none"/>
        </w:rPr>
        <w:br w:type="page"/>
      </w:r>
    </w:p>
    <w:p w14:paraId="68433BF7">
      <w:pPr>
        <w:pStyle w:val="4"/>
        <w:rPr>
          <w:color w:val="auto"/>
          <w:highlight w:val="none"/>
        </w:rPr>
      </w:pPr>
      <w:bookmarkStart w:id="380" w:name="_Toc163492939"/>
      <w:r>
        <w:rPr>
          <w:rFonts w:hint="eastAsia"/>
          <w:color w:val="auto"/>
          <w:highlight w:val="none"/>
        </w:rPr>
        <w:t>（二）中小企业声明函【如专门面向中小企业采购的项目，此函可放于此处，否则，应后置于“其他资格证明文件”】</w:t>
      </w:r>
      <w:bookmarkEnd w:id="380"/>
    </w:p>
    <w:p w14:paraId="32596920">
      <w:pPr>
        <w:spacing w:line="360" w:lineRule="auto"/>
        <w:ind w:left="420" w:hanging="420"/>
        <w:jc w:val="center"/>
        <w:rPr>
          <w:color w:val="auto"/>
          <w:sz w:val="32"/>
          <w:highlight w:val="none"/>
        </w:rPr>
      </w:pPr>
      <w:r>
        <w:rPr>
          <w:rFonts w:hint="eastAsia"/>
          <w:color w:val="auto"/>
          <w:sz w:val="32"/>
          <w:highlight w:val="none"/>
        </w:rPr>
        <w:t>中小企业声明函</w:t>
      </w:r>
    </w:p>
    <w:p w14:paraId="54A3EA0A">
      <w:pPr>
        <w:spacing w:line="360" w:lineRule="auto"/>
        <w:ind w:firstLine="480" w:firstLineChars="200"/>
        <w:rPr>
          <w:color w:val="auto"/>
          <w:highlight w:val="none"/>
        </w:rPr>
      </w:pPr>
      <w:r>
        <w:rPr>
          <w:rFonts w:hint="eastAsia"/>
          <w:color w:val="auto"/>
          <w:highlight w:val="none"/>
        </w:rPr>
        <w:t>本公司（联合体）郑重声明，根据《政府采购促进中小企业发展管理办法》（财库﹝2020﹞46 号）的规定，本公司（联合体）参加</w:t>
      </w:r>
      <w:r>
        <w:rPr>
          <w:rFonts w:hint="eastAsia"/>
          <w:color w:val="auto"/>
          <w:highlight w:val="none"/>
          <w:u w:val="single"/>
        </w:rPr>
        <w:t xml:space="preserve"> （单位名称）</w:t>
      </w:r>
      <w:r>
        <w:rPr>
          <w:rFonts w:hint="eastAsia"/>
          <w:color w:val="auto"/>
          <w:highlight w:val="none"/>
        </w:rPr>
        <w:t xml:space="preserve"> 的</w:t>
      </w:r>
      <w:r>
        <w:rPr>
          <w:rFonts w:hint="eastAsia"/>
          <w:color w:val="auto"/>
          <w:highlight w:val="none"/>
          <w:u w:val="single"/>
        </w:rPr>
        <w:t xml:space="preserve"> （项目名称） </w:t>
      </w:r>
      <w:r>
        <w:rPr>
          <w:rFonts w:hint="eastAsia"/>
          <w:color w:val="auto"/>
          <w:highlight w:val="none"/>
        </w:rPr>
        <w:t>采购活动，提供的货物全部由符合政策要求的中小企业制造。相关企业（含联合体中的中小企业、签订分包意向协议的中小企业）的具体情况如下：</w:t>
      </w:r>
    </w:p>
    <w:p w14:paraId="6806C846">
      <w:pPr>
        <w:spacing w:line="360" w:lineRule="auto"/>
        <w:rPr>
          <w:color w:val="auto"/>
          <w:highlight w:val="none"/>
        </w:rPr>
      </w:pPr>
      <w:r>
        <w:rPr>
          <w:rFonts w:hint="eastAsia"/>
          <w:color w:val="auto"/>
          <w:highlight w:val="none"/>
        </w:rPr>
        <w:t xml:space="preserve">1. </w:t>
      </w:r>
      <w:r>
        <w:rPr>
          <w:rFonts w:hint="eastAsia"/>
          <w:color w:val="auto"/>
          <w:highlight w:val="none"/>
          <w:u w:val="single"/>
        </w:rPr>
        <w:t xml:space="preserve">（标的名称） </w:t>
      </w:r>
      <w:r>
        <w:rPr>
          <w:rFonts w:hint="eastAsia"/>
          <w:color w:val="auto"/>
          <w:highlight w:val="none"/>
        </w:rPr>
        <w:t xml:space="preserve">，属于 </w:t>
      </w:r>
      <w:r>
        <w:rPr>
          <w:rFonts w:hint="eastAsia"/>
          <w:color w:val="auto"/>
          <w:highlight w:val="none"/>
          <w:u w:val="single"/>
        </w:rPr>
        <w:t>（采购文件中明确的所属行业）</w:t>
      </w:r>
      <w:r>
        <w:rPr>
          <w:rFonts w:hint="eastAsia"/>
          <w:color w:val="auto"/>
          <w:highlight w:val="none"/>
        </w:rPr>
        <w:t xml:space="preserve">行业 ；制造商为 </w:t>
      </w:r>
      <w:r>
        <w:rPr>
          <w:rFonts w:hint="eastAsia"/>
          <w:color w:val="auto"/>
          <w:highlight w:val="none"/>
          <w:u w:val="single"/>
        </w:rPr>
        <w:t>（企业名称）</w:t>
      </w:r>
      <w:r>
        <w:rPr>
          <w:rFonts w:hint="eastAsia"/>
          <w:color w:val="auto"/>
          <w:highlight w:val="none"/>
        </w:rPr>
        <w:t xml:space="preserve"> ，从业人员 </w:t>
      </w:r>
      <w:r>
        <w:rPr>
          <w:rFonts w:hint="eastAsia"/>
          <w:color w:val="auto"/>
          <w:highlight w:val="none"/>
          <w:u w:val="single"/>
        </w:rPr>
        <w:t xml:space="preserve">    </w:t>
      </w:r>
      <w:r>
        <w:rPr>
          <w:rFonts w:hint="eastAsia"/>
          <w:color w:val="auto"/>
          <w:highlight w:val="none"/>
        </w:rPr>
        <w:t>人，营业收入为</w:t>
      </w:r>
      <w:r>
        <w:rPr>
          <w:rFonts w:hint="eastAsia"/>
          <w:color w:val="auto"/>
          <w:highlight w:val="none"/>
          <w:u w:val="single"/>
        </w:rPr>
        <w:t xml:space="preserve">      </w:t>
      </w:r>
      <w:r>
        <w:rPr>
          <w:rFonts w:hint="eastAsia"/>
          <w:color w:val="auto"/>
          <w:highlight w:val="none"/>
        </w:rPr>
        <w:t>万元，资产总额为</w:t>
      </w:r>
      <w:r>
        <w:rPr>
          <w:rFonts w:hint="eastAsia"/>
          <w:color w:val="auto"/>
          <w:highlight w:val="none"/>
          <w:u w:val="single"/>
        </w:rPr>
        <w:t xml:space="preserve">       </w:t>
      </w:r>
      <w:r>
        <w:rPr>
          <w:rFonts w:hint="eastAsia"/>
          <w:color w:val="auto"/>
          <w:highlight w:val="none"/>
        </w:rPr>
        <w:t xml:space="preserve">万元，属于 </w:t>
      </w:r>
      <w:r>
        <w:rPr>
          <w:rFonts w:hint="eastAsia"/>
          <w:color w:val="auto"/>
          <w:highlight w:val="none"/>
          <w:u w:val="single"/>
        </w:rPr>
        <w:t>（中型企业、小型企业、微型企业）</w:t>
      </w:r>
      <w:r>
        <w:rPr>
          <w:rFonts w:hint="eastAsia"/>
          <w:color w:val="auto"/>
          <w:highlight w:val="none"/>
        </w:rPr>
        <w:t>；</w:t>
      </w:r>
    </w:p>
    <w:p w14:paraId="78EBDD48">
      <w:pPr>
        <w:spacing w:line="360" w:lineRule="auto"/>
        <w:rPr>
          <w:color w:val="auto"/>
          <w:highlight w:val="none"/>
        </w:rPr>
      </w:pPr>
      <w:r>
        <w:rPr>
          <w:rFonts w:hint="eastAsia"/>
          <w:color w:val="auto"/>
          <w:highlight w:val="none"/>
        </w:rPr>
        <w:t xml:space="preserve">2. </w:t>
      </w:r>
      <w:r>
        <w:rPr>
          <w:rFonts w:hint="eastAsia"/>
          <w:color w:val="auto"/>
          <w:highlight w:val="none"/>
          <w:u w:val="single"/>
        </w:rPr>
        <w:t xml:space="preserve">（标的名称） </w:t>
      </w:r>
      <w:r>
        <w:rPr>
          <w:rFonts w:hint="eastAsia"/>
          <w:color w:val="auto"/>
          <w:highlight w:val="none"/>
        </w:rPr>
        <w:t xml:space="preserve">，属于 </w:t>
      </w:r>
      <w:r>
        <w:rPr>
          <w:rFonts w:hint="eastAsia"/>
          <w:color w:val="auto"/>
          <w:highlight w:val="none"/>
          <w:u w:val="single"/>
        </w:rPr>
        <w:t>（采购文件中明确的所属行业）</w:t>
      </w:r>
      <w:r>
        <w:rPr>
          <w:rFonts w:hint="eastAsia"/>
          <w:color w:val="auto"/>
          <w:highlight w:val="none"/>
        </w:rPr>
        <w:t xml:space="preserve">行业 ；制造商为 </w:t>
      </w:r>
      <w:r>
        <w:rPr>
          <w:rFonts w:hint="eastAsia"/>
          <w:color w:val="auto"/>
          <w:highlight w:val="none"/>
          <w:u w:val="single"/>
        </w:rPr>
        <w:t>（企业名称）</w:t>
      </w:r>
      <w:r>
        <w:rPr>
          <w:rFonts w:hint="eastAsia"/>
          <w:color w:val="auto"/>
          <w:highlight w:val="none"/>
        </w:rPr>
        <w:t xml:space="preserve"> ，从业人员 </w:t>
      </w:r>
      <w:r>
        <w:rPr>
          <w:rFonts w:hint="eastAsia"/>
          <w:color w:val="auto"/>
          <w:highlight w:val="none"/>
          <w:u w:val="single"/>
        </w:rPr>
        <w:t xml:space="preserve">    </w:t>
      </w:r>
      <w:r>
        <w:rPr>
          <w:rFonts w:hint="eastAsia"/>
          <w:color w:val="auto"/>
          <w:highlight w:val="none"/>
        </w:rPr>
        <w:t>人，营业收入为</w:t>
      </w:r>
      <w:r>
        <w:rPr>
          <w:rFonts w:hint="eastAsia"/>
          <w:color w:val="auto"/>
          <w:highlight w:val="none"/>
          <w:u w:val="single"/>
        </w:rPr>
        <w:t xml:space="preserve">      </w:t>
      </w:r>
      <w:r>
        <w:rPr>
          <w:rFonts w:hint="eastAsia"/>
          <w:color w:val="auto"/>
          <w:highlight w:val="none"/>
        </w:rPr>
        <w:t>万元，资产总额为</w:t>
      </w:r>
      <w:r>
        <w:rPr>
          <w:rFonts w:hint="eastAsia"/>
          <w:color w:val="auto"/>
          <w:highlight w:val="none"/>
          <w:u w:val="single"/>
        </w:rPr>
        <w:t xml:space="preserve">       </w:t>
      </w:r>
      <w:r>
        <w:rPr>
          <w:rFonts w:hint="eastAsia"/>
          <w:color w:val="auto"/>
          <w:highlight w:val="none"/>
        </w:rPr>
        <w:t xml:space="preserve">万元，属于 </w:t>
      </w:r>
      <w:r>
        <w:rPr>
          <w:rFonts w:hint="eastAsia"/>
          <w:color w:val="auto"/>
          <w:highlight w:val="none"/>
          <w:u w:val="single"/>
        </w:rPr>
        <w:t>（中型企业、小型企业、微型企业）</w:t>
      </w:r>
      <w:r>
        <w:rPr>
          <w:rFonts w:hint="eastAsia"/>
          <w:color w:val="auto"/>
          <w:highlight w:val="none"/>
        </w:rPr>
        <w:t>；</w:t>
      </w:r>
    </w:p>
    <w:p w14:paraId="2B8EE9EA">
      <w:pPr>
        <w:spacing w:line="360" w:lineRule="auto"/>
        <w:rPr>
          <w:color w:val="auto"/>
          <w:highlight w:val="none"/>
        </w:rPr>
      </w:pPr>
      <w:r>
        <w:rPr>
          <w:rFonts w:hint="eastAsia"/>
          <w:color w:val="auto"/>
          <w:highlight w:val="none"/>
        </w:rPr>
        <w:t>……</w:t>
      </w:r>
    </w:p>
    <w:p w14:paraId="1A9ADA98">
      <w:pPr>
        <w:spacing w:line="360" w:lineRule="auto"/>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7B43A3EF">
      <w:pPr>
        <w:spacing w:line="360" w:lineRule="auto"/>
        <w:rPr>
          <w:color w:val="auto"/>
          <w:highlight w:val="none"/>
        </w:rPr>
      </w:pPr>
      <w:r>
        <w:rPr>
          <w:rFonts w:hint="eastAsia"/>
          <w:color w:val="auto"/>
          <w:highlight w:val="none"/>
        </w:rPr>
        <w:t>本企业对上述声明内容的真实性负责。如有虚假，将依法承担相应责任。</w:t>
      </w:r>
    </w:p>
    <w:p w14:paraId="5DC97EC3">
      <w:pPr>
        <w:spacing w:line="360" w:lineRule="auto"/>
        <w:rPr>
          <w:color w:val="auto"/>
          <w:highlight w:val="none"/>
        </w:rPr>
      </w:pPr>
    </w:p>
    <w:p w14:paraId="68A310B2">
      <w:pPr>
        <w:spacing w:line="360" w:lineRule="auto"/>
        <w:rPr>
          <w:color w:val="auto"/>
          <w:highlight w:val="none"/>
        </w:rPr>
      </w:pPr>
      <w:r>
        <w:rPr>
          <w:rFonts w:hint="eastAsia"/>
          <w:color w:val="auto"/>
          <w:highlight w:val="none"/>
        </w:rPr>
        <w:t>投标人名称</w:t>
      </w:r>
      <w:r>
        <w:rPr>
          <w:rFonts w:hint="eastAsia" w:cs="仿宋_GB2312"/>
          <w:color w:val="auto"/>
          <w:highlight w:val="none"/>
        </w:rPr>
        <w:t>（</w:t>
      </w:r>
      <w:r>
        <w:rPr>
          <w:rFonts w:hint="eastAsia"/>
          <w:color w:val="auto"/>
          <w:kern w:val="0"/>
          <w:highlight w:val="none"/>
        </w:rPr>
        <w:t>公章）</w:t>
      </w:r>
      <w:r>
        <w:rPr>
          <w:rFonts w:hint="eastAsia"/>
          <w:color w:val="auto"/>
          <w:highlight w:val="none"/>
        </w:rPr>
        <w:t>：</w:t>
      </w:r>
    </w:p>
    <w:p w14:paraId="27EBCB4A">
      <w:pPr>
        <w:spacing w:line="360" w:lineRule="auto"/>
        <w:rPr>
          <w:color w:val="auto"/>
          <w:highlight w:val="none"/>
        </w:rPr>
      </w:pPr>
      <w:r>
        <w:rPr>
          <w:rFonts w:hint="eastAsia"/>
          <w:color w:val="auto"/>
          <w:highlight w:val="none"/>
        </w:rPr>
        <w:t>日期：   年  月  日</w:t>
      </w:r>
    </w:p>
    <w:p w14:paraId="212AACB5">
      <w:pPr>
        <w:spacing w:line="360" w:lineRule="auto"/>
        <w:rPr>
          <w:color w:val="auto"/>
          <w:highlight w:val="none"/>
        </w:rPr>
      </w:pPr>
    </w:p>
    <w:p w14:paraId="013FE8B6">
      <w:pPr>
        <w:spacing w:line="360" w:lineRule="auto"/>
        <w:rPr>
          <w:color w:val="auto"/>
          <w:highlight w:val="none"/>
        </w:rPr>
      </w:pPr>
      <w:r>
        <w:rPr>
          <w:rFonts w:hint="eastAsia"/>
          <w:color w:val="auto"/>
          <w:highlight w:val="none"/>
        </w:rPr>
        <w:t>说明：1.重要提示：供应商应仔细阅读本函附件1关于</w:t>
      </w:r>
      <w:r>
        <w:rPr>
          <w:rFonts w:hint="eastAsia"/>
          <w:color w:val="auto"/>
          <w:spacing w:val="-6"/>
          <w:kern w:val="0"/>
          <w:highlight w:val="none"/>
          <w:lang w:bidi="ar"/>
        </w:rPr>
        <w:t>“</w:t>
      </w:r>
      <w:r>
        <w:rPr>
          <w:rFonts w:hint="eastAsia"/>
          <w:color w:val="auto"/>
          <w:highlight w:val="none"/>
        </w:rPr>
        <w:t>中小企业声明函”的填写要求及提交要求，否则，因填写或提交等产生的一切不利后果，须自行承担。</w:t>
      </w:r>
    </w:p>
    <w:p w14:paraId="78B812C8">
      <w:pPr>
        <w:spacing w:line="360" w:lineRule="auto"/>
        <w:rPr>
          <w:color w:val="auto"/>
          <w:highlight w:val="none"/>
        </w:rPr>
      </w:pPr>
      <w:r>
        <w:rPr>
          <w:rFonts w:hint="eastAsia"/>
          <w:b/>
          <w:bCs/>
          <w:color w:val="auto"/>
          <w:highlight w:val="none"/>
        </w:rPr>
        <w:t>2.</w:t>
      </w:r>
      <w:r>
        <w:rPr>
          <w:rFonts w:hint="eastAsia"/>
          <w:color w:val="auto"/>
          <w:highlight w:val="none"/>
        </w:rPr>
        <w:t>从业人员、营业收入、资产总额填报上一年度数据，无上一年度数据的新成立企业可不填报。</w:t>
      </w:r>
    </w:p>
    <w:p w14:paraId="0BEB603B">
      <w:pPr>
        <w:rPr>
          <w:color w:val="auto"/>
          <w:highlight w:val="none"/>
        </w:rPr>
      </w:pPr>
    </w:p>
    <w:p w14:paraId="3140FA74">
      <w:pPr>
        <w:rPr>
          <w:color w:val="auto"/>
          <w:highlight w:val="none"/>
        </w:rPr>
      </w:pPr>
    </w:p>
    <w:p w14:paraId="18377D2E">
      <w:pPr>
        <w:rPr>
          <w:color w:val="auto"/>
          <w:highlight w:val="none"/>
        </w:rPr>
      </w:pPr>
    </w:p>
    <w:p w14:paraId="314FC615">
      <w:pPr>
        <w:rPr>
          <w:color w:val="auto"/>
          <w:highlight w:val="none"/>
        </w:rPr>
      </w:pPr>
      <w:r>
        <w:rPr>
          <w:color w:val="auto"/>
          <w:highlight w:val="none"/>
        </w:rPr>
        <w:br w:type="page"/>
      </w:r>
    </w:p>
    <w:p w14:paraId="3B23C288">
      <w:pPr>
        <w:spacing w:line="360" w:lineRule="auto"/>
        <w:rPr>
          <w:color w:val="auto"/>
          <w:highlight w:val="none"/>
        </w:rPr>
      </w:pPr>
      <w:r>
        <w:rPr>
          <w:rFonts w:hint="eastAsia"/>
          <w:color w:val="auto"/>
          <w:highlight w:val="none"/>
        </w:rPr>
        <w:t xml:space="preserve">附件1 </w:t>
      </w:r>
    </w:p>
    <w:p w14:paraId="16EF0092">
      <w:pPr>
        <w:spacing w:line="360" w:lineRule="auto"/>
        <w:rPr>
          <w:rStyle w:val="35"/>
          <w:rFonts w:cs="宋体"/>
          <w:color w:val="auto"/>
          <w:kern w:val="0"/>
          <w:szCs w:val="24"/>
          <w:highlight w:val="none"/>
          <w:lang w:bidi="ar"/>
        </w:rPr>
      </w:pPr>
      <w:r>
        <w:rPr>
          <w:rStyle w:val="35"/>
          <w:rFonts w:hint="eastAsia" w:cs="宋体"/>
          <w:color w:val="auto"/>
          <w:kern w:val="0"/>
          <w:szCs w:val="24"/>
          <w:highlight w:val="none"/>
          <w:lang w:bidi="ar"/>
        </w:rPr>
        <w:t>（一）关于“中小企业声明函”的填写要求</w:t>
      </w:r>
    </w:p>
    <w:p w14:paraId="259E5C42">
      <w:pPr>
        <w:spacing w:line="360" w:lineRule="auto"/>
        <w:rPr>
          <w:color w:val="auto"/>
          <w:highlight w:val="none"/>
          <w:lang w:bidi="ar"/>
        </w:rPr>
      </w:pPr>
      <w:r>
        <w:rPr>
          <w:rFonts w:hint="eastAsia"/>
          <w:color w:val="auto"/>
          <w:highlight w:val="none"/>
          <w:lang w:bidi="ar"/>
        </w:rPr>
        <w:t>“中小企业声明函”具体填写要求如下：</w:t>
      </w:r>
    </w:p>
    <w:p w14:paraId="39029452">
      <w:pPr>
        <w:spacing w:line="360" w:lineRule="auto"/>
        <w:rPr>
          <w:color w:val="auto"/>
          <w:highlight w:val="none"/>
          <w:lang w:bidi="ar"/>
        </w:rPr>
      </w:pPr>
      <w:r>
        <w:rPr>
          <w:rFonts w:hint="eastAsia"/>
          <w:color w:val="auto"/>
          <w:highlight w:val="none"/>
          <w:lang w:bidi="ar"/>
        </w:rPr>
        <w:t>1.“单位名称”应填写采购人名称。</w:t>
      </w:r>
    </w:p>
    <w:p w14:paraId="118A4BB7">
      <w:pPr>
        <w:spacing w:line="360" w:lineRule="auto"/>
        <w:rPr>
          <w:color w:val="auto"/>
          <w:highlight w:val="none"/>
          <w:lang w:bidi="ar"/>
        </w:rPr>
      </w:pPr>
      <w:r>
        <w:rPr>
          <w:rFonts w:hint="eastAsia"/>
          <w:color w:val="auto"/>
          <w:highlight w:val="none"/>
          <w:lang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64BCED09">
      <w:pPr>
        <w:spacing w:line="360" w:lineRule="auto"/>
        <w:rPr>
          <w:color w:val="auto"/>
          <w:highlight w:val="none"/>
          <w:lang w:bidi="ar"/>
        </w:rPr>
      </w:pPr>
      <w:r>
        <w:rPr>
          <w:rFonts w:hint="eastAsia"/>
          <w:color w:val="auto"/>
          <w:highlight w:val="none"/>
          <w:lang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283A1EC1">
      <w:pPr>
        <w:spacing w:line="360" w:lineRule="auto"/>
        <w:rPr>
          <w:color w:val="auto"/>
          <w:highlight w:val="none"/>
          <w:lang w:bidi="ar"/>
        </w:rPr>
      </w:pPr>
      <w:r>
        <w:rPr>
          <w:rFonts w:hint="eastAsia"/>
          <w:color w:val="auto"/>
          <w:highlight w:val="none"/>
          <w:lang w:bidi="ar"/>
        </w:rPr>
        <w:t>4.“采购文件中明确的所属行业”应填写采购文件中明确的采购标的所属行业，并应确保与采购标的涉及的货物制造商/服务承接商/工程承建商（根据项目属性确定）本身的所属行业保持一致。</w:t>
      </w:r>
    </w:p>
    <w:p w14:paraId="2EBD5E13">
      <w:pPr>
        <w:spacing w:line="360" w:lineRule="auto"/>
        <w:rPr>
          <w:color w:val="auto"/>
          <w:highlight w:val="none"/>
          <w:lang w:bidi="ar"/>
        </w:rPr>
      </w:pPr>
      <w:r>
        <w:rPr>
          <w:rFonts w:hint="eastAsia"/>
          <w:color w:val="auto"/>
          <w:highlight w:val="none"/>
          <w:lang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2084D5A9">
      <w:pPr>
        <w:spacing w:line="360" w:lineRule="auto"/>
        <w:rPr>
          <w:color w:val="auto"/>
          <w:highlight w:val="none"/>
          <w:lang w:bidi="ar"/>
        </w:rPr>
      </w:pPr>
      <w:r>
        <w:rPr>
          <w:rFonts w:hint="eastAsia"/>
          <w:color w:val="auto"/>
          <w:highlight w:val="none"/>
          <w:lang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7EAFEE4F">
      <w:pPr>
        <w:spacing w:line="360" w:lineRule="auto"/>
        <w:rPr>
          <w:color w:val="auto"/>
          <w:highlight w:val="none"/>
          <w:lang w:bidi="ar"/>
        </w:rPr>
      </w:pPr>
      <w:r>
        <w:rPr>
          <w:rFonts w:hint="eastAsia"/>
          <w:color w:val="auto"/>
          <w:highlight w:val="none"/>
          <w:lang w:bidi="ar"/>
        </w:rPr>
        <w:t>5.“企业名称”应填写投标（响应）的货物制造商/服务承接商/工程承建商（根据项目属性确定）。</w:t>
      </w:r>
    </w:p>
    <w:p w14:paraId="03F28E38">
      <w:pPr>
        <w:spacing w:line="360" w:lineRule="auto"/>
        <w:rPr>
          <w:color w:val="auto"/>
          <w:highlight w:val="none"/>
          <w:lang w:bidi="ar"/>
        </w:rPr>
      </w:pPr>
      <w:r>
        <w:rPr>
          <w:rFonts w:hint="eastAsia"/>
          <w:color w:val="auto"/>
          <w:highlight w:val="none"/>
          <w:lang w:bidi="ar"/>
        </w:rPr>
        <w:t>对于分包方式面向中小企业采购的项目，“企业名称”应填写分包部分采购标的对应的货物制造商/服务承接商/工程承建商（根据项目属性确定）。</w:t>
      </w:r>
    </w:p>
    <w:p w14:paraId="18F22720">
      <w:pPr>
        <w:spacing w:line="360" w:lineRule="auto"/>
        <w:rPr>
          <w:color w:val="auto"/>
          <w:highlight w:val="none"/>
          <w:lang w:bidi="ar"/>
        </w:rPr>
      </w:pPr>
      <w:r>
        <w:rPr>
          <w:rFonts w:hint="eastAsia"/>
          <w:color w:val="auto"/>
          <w:highlight w:val="none"/>
          <w:lang w:bidi="ar"/>
        </w:rPr>
        <w:t>对于以联合体方式面向中小企业采购的项目，“企业名称”应填写联合体中中小企业承担采购标的对应的货物制造商/服务承接商/工程承建商（根据项目属性确定）。</w:t>
      </w:r>
    </w:p>
    <w:p w14:paraId="3EEE1B88">
      <w:pPr>
        <w:spacing w:line="360" w:lineRule="auto"/>
        <w:rPr>
          <w:color w:val="auto"/>
          <w:highlight w:val="none"/>
          <w:lang w:bidi="ar"/>
        </w:rPr>
      </w:pPr>
      <w:r>
        <w:rPr>
          <w:rFonts w:hint="eastAsia"/>
          <w:color w:val="auto"/>
          <w:highlight w:val="none"/>
          <w:lang w:bidi="ar"/>
        </w:rPr>
        <w:t>6.从业人员、资产总额指标以上年度末数据为依据，营业收入指标以上年度累计数据为依据。无上年度数据的新成立企业可不填报。</w:t>
      </w:r>
    </w:p>
    <w:p w14:paraId="4BF737C9">
      <w:pPr>
        <w:spacing w:line="360" w:lineRule="auto"/>
        <w:rPr>
          <w:color w:val="auto"/>
          <w:highlight w:val="none"/>
          <w:lang w:bidi="ar"/>
        </w:rPr>
      </w:pPr>
      <w:r>
        <w:rPr>
          <w:rFonts w:hint="eastAsia"/>
          <w:color w:val="auto"/>
          <w:highlight w:val="none"/>
          <w:lang w:bidi="ar"/>
        </w:rPr>
        <w:t>7.“中型企业/小型企业/微型企业”部分，供应商应依据企业上年度从业人员、营业收入、资产总额等指标，按照《中小企业划型标准规定》（工信部联企业〔2011〕300号）、《金融业企业划型标准规定》（银发〔2015〕309号），判断“中小企业声明函”载明的货物制造商/服务承接商/工程承建商（根据项目属性确定）是否属于采购文件所属行业的中型企业/小型企业/微型企业。</w:t>
      </w:r>
    </w:p>
    <w:p w14:paraId="56280941">
      <w:pPr>
        <w:spacing w:line="360" w:lineRule="auto"/>
        <w:rPr>
          <w:color w:val="auto"/>
          <w:highlight w:val="none"/>
          <w:lang w:bidi="ar"/>
        </w:rPr>
      </w:pPr>
      <w:r>
        <w:rPr>
          <w:rFonts w:hint="eastAsia"/>
          <w:color w:val="auto"/>
          <w:highlight w:val="none"/>
          <w:lang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7278FDBF">
      <w:pPr>
        <w:spacing w:line="360" w:lineRule="auto"/>
        <w:rPr>
          <w:rStyle w:val="35"/>
          <w:rFonts w:cs="宋体"/>
          <w:color w:val="auto"/>
          <w:kern w:val="0"/>
          <w:szCs w:val="24"/>
          <w:highlight w:val="none"/>
          <w:lang w:bidi="ar"/>
        </w:rPr>
      </w:pPr>
      <w:r>
        <w:rPr>
          <w:rStyle w:val="35"/>
          <w:rFonts w:hint="eastAsia" w:cs="宋体"/>
          <w:color w:val="auto"/>
          <w:kern w:val="0"/>
          <w:szCs w:val="24"/>
          <w:highlight w:val="none"/>
          <w:lang w:bidi="ar"/>
        </w:rPr>
        <w:t>（二）关于“中小企业声明函”的提交要求</w:t>
      </w:r>
    </w:p>
    <w:p w14:paraId="684E54A0">
      <w:pPr>
        <w:spacing w:line="360" w:lineRule="auto"/>
        <w:rPr>
          <w:color w:val="auto"/>
          <w:highlight w:val="none"/>
          <w:lang w:bidi="ar"/>
        </w:rPr>
      </w:pPr>
      <w:r>
        <w:rPr>
          <w:rFonts w:hint="eastAsia"/>
          <w:color w:val="auto"/>
          <w:highlight w:val="none"/>
          <w:lang w:bidi="ar"/>
        </w:rPr>
        <w:t>1.投标（响应）供应商对“中小企业声明函”的真实性负责。投标（响应）供应商应当核实投标（响应）的货物制造商/服务承接商/工程承建商（根据项目属性确定）的相关信息，如对相关信息了解不充分，或者不能确定相关信息真实、准确的，不建议出具“中小企业声明函”。</w:t>
      </w:r>
    </w:p>
    <w:p w14:paraId="10877A02">
      <w:pPr>
        <w:spacing w:line="360" w:lineRule="auto"/>
        <w:rPr>
          <w:color w:val="auto"/>
          <w:highlight w:val="none"/>
          <w:lang w:bidi="ar"/>
        </w:rPr>
      </w:pPr>
      <w:r>
        <w:rPr>
          <w:rFonts w:hint="eastAsia"/>
          <w:color w:val="auto"/>
          <w:highlight w:val="none"/>
          <w:lang w:bidi="ar"/>
        </w:rPr>
        <w:t>2.鼓励供应商在投标（响应）时一并提供对货物制造商、服务承接商、工程承建商相关信息的核实核验情况以及其他佐证材料。</w:t>
      </w:r>
    </w:p>
    <w:p w14:paraId="79DA2A52">
      <w:pPr>
        <w:spacing w:line="360" w:lineRule="auto"/>
        <w:rPr>
          <w:color w:val="auto"/>
          <w:highlight w:val="none"/>
          <w:lang w:bidi="ar"/>
        </w:rPr>
      </w:pPr>
      <w:r>
        <w:rPr>
          <w:rFonts w:hint="eastAsia"/>
          <w:color w:val="auto"/>
          <w:highlight w:val="none"/>
          <w:lang w:bidi="ar"/>
        </w:rPr>
        <w:t>3.如供应商提供的“中小企业声明函”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384352BE">
      <w:pPr>
        <w:spacing w:line="360" w:lineRule="auto"/>
        <w:rPr>
          <w:color w:val="auto"/>
          <w:highlight w:val="none"/>
        </w:rPr>
      </w:pPr>
      <w:r>
        <w:rPr>
          <w:rFonts w:hint="eastAsia"/>
          <w:color w:val="auto"/>
          <w:highlight w:val="none"/>
        </w:rPr>
        <w:br w:type="page"/>
      </w:r>
    </w:p>
    <w:p w14:paraId="3FF3B7BB">
      <w:pPr>
        <w:spacing w:line="360" w:lineRule="auto"/>
        <w:rPr>
          <w:color w:val="auto"/>
          <w:highlight w:val="none"/>
        </w:rPr>
      </w:pPr>
      <w:r>
        <w:rPr>
          <w:rFonts w:hint="eastAsia"/>
          <w:color w:val="auto"/>
          <w:highlight w:val="none"/>
        </w:rPr>
        <w:t>附件2：</w:t>
      </w:r>
    </w:p>
    <w:p w14:paraId="1B875464">
      <w:pPr>
        <w:pStyle w:val="18"/>
        <w:spacing w:line="360" w:lineRule="auto"/>
        <w:rPr>
          <w:color w:val="auto"/>
          <w:highlight w:val="none"/>
        </w:rPr>
      </w:pPr>
      <w:r>
        <w:rPr>
          <w:rFonts w:hint="eastAsia"/>
          <w:color w:val="auto"/>
          <w:highlight w:val="none"/>
        </w:rPr>
        <w:t>关于印发中小企业划型标准规定的通知</w:t>
      </w:r>
    </w:p>
    <w:p w14:paraId="1EB78FF7">
      <w:pPr>
        <w:spacing w:line="360" w:lineRule="auto"/>
        <w:rPr>
          <w:rStyle w:val="35"/>
          <w:rFonts w:cs="宋体"/>
          <w:b w:val="0"/>
          <w:color w:val="auto"/>
          <w:szCs w:val="24"/>
          <w:highlight w:val="none"/>
        </w:rPr>
      </w:pPr>
      <w:r>
        <w:rPr>
          <w:rStyle w:val="35"/>
          <w:rFonts w:hint="eastAsia" w:cs="宋体"/>
          <w:b w:val="0"/>
          <w:color w:val="auto"/>
          <w:szCs w:val="24"/>
          <w:highlight w:val="none"/>
        </w:rPr>
        <w:t>工信部联企业〔2011〕300号</w:t>
      </w:r>
    </w:p>
    <w:p w14:paraId="56896066">
      <w:pPr>
        <w:spacing w:line="360" w:lineRule="auto"/>
        <w:rPr>
          <w:rStyle w:val="35"/>
          <w:rFonts w:cs="宋体"/>
          <w:b w:val="0"/>
          <w:color w:val="auto"/>
          <w:szCs w:val="24"/>
          <w:highlight w:val="none"/>
        </w:rPr>
      </w:pPr>
    </w:p>
    <w:p w14:paraId="0058B32D">
      <w:pPr>
        <w:spacing w:line="360" w:lineRule="auto"/>
        <w:rPr>
          <w:rStyle w:val="35"/>
          <w:rFonts w:cs="宋体"/>
          <w:b w:val="0"/>
          <w:color w:val="auto"/>
          <w:szCs w:val="24"/>
          <w:highlight w:val="none"/>
        </w:rPr>
      </w:pPr>
      <w:r>
        <w:rPr>
          <w:rStyle w:val="35"/>
          <w:rFonts w:hint="eastAsia" w:cs="宋体"/>
          <w:b w:val="0"/>
          <w:color w:val="auto"/>
          <w:szCs w:val="24"/>
          <w:highlight w:val="none"/>
        </w:rPr>
        <w:t>各省、自治区、直辖市人民政府，国务院各部委、各直属机构及有关单位：</w:t>
      </w:r>
    </w:p>
    <w:p w14:paraId="3C797E55">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3454AC65">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工业和信息化部　国家统计局</w:t>
      </w:r>
    </w:p>
    <w:p w14:paraId="3ED28D0F">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国家发展和改革委员会　财政部</w:t>
      </w:r>
    </w:p>
    <w:p w14:paraId="7A2BA7BC">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二○一一年六月十八日</w:t>
      </w:r>
    </w:p>
    <w:p w14:paraId="65117E67">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xml:space="preserve"> </w:t>
      </w:r>
    </w:p>
    <w:p w14:paraId="31E0E9A2">
      <w:pPr>
        <w:spacing w:line="360" w:lineRule="auto"/>
        <w:rPr>
          <w:rStyle w:val="35"/>
          <w:rFonts w:cs="宋体"/>
          <w:bCs w:val="0"/>
          <w:color w:val="auto"/>
          <w:sz w:val="28"/>
          <w:szCs w:val="28"/>
          <w:highlight w:val="none"/>
        </w:rPr>
      </w:pPr>
      <w:r>
        <w:rPr>
          <w:rStyle w:val="35"/>
          <w:rFonts w:hint="eastAsia" w:cs="宋体"/>
          <w:bCs w:val="0"/>
          <w:color w:val="auto"/>
          <w:sz w:val="28"/>
          <w:szCs w:val="28"/>
          <w:highlight w:val="none"/>
        </w:rPr>
        <w:t>中小企业划型标准规定</w:t>
      </w:r>
    </w:p>
    <w:p w14:paraId="5756ECAD">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一、根据《中华人民共和国中小企业促进法》和《国务院关于进一步促进中小企业发展的若干意见》(国发〔2009〕36号)，制定本规定。</w:t>
      </w:r>
    </w:p>
    <w:p w14:paraId="01716953">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二、中小企业划分为中型、小型、微型三种类型，具体标准根据企业从业人员、营业收入、资产总额等指标，结合行业特点制定。</w:t>
      </w:r>
    </w:p>
    <w:p w14:paraId="785D0F9B">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2BE347A5">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四、各行业划型标准为：</w:t>
      </w:r>
    </w:p>
    <w:p w14:paraId="52FB54B0">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（一）农、林、牧、渔业。营业收入20000万元以下的为中小微型企业。其中，营业收入500万元及以上的为中型企业，营业收入50万元及以上的为小型企业，营业收入50万元以下的为微型企业。</w:t>
      </w:r>
    </w:p>
    <w:p w14:paraId="744171E5">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3FA11C8">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6E61E6D7">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48662C9C">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E75930B">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E83BB41">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0A6D6C">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5E16FCF">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B5F80E4">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720CABD">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2ED336F2">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6C24BABD">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0F54E4B3">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2D0457E">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6DF0AD4">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（十六）其他未列明行业。从业人员300人以下的为中小微型企业。其中，从业人员100人及以上的为中型企业；从业人员10人及以上的为小型企业；从业人员10人以下的为微型企业。　　</w:t>
      </w:r>
    </w:p>
    <w:p w14:paraId="61659039">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五、企业类型的划分以统计部门的统计数据为依据。</w:t>
      </w:r>
    </w:p>
    <w:p w14:paraId="15866FBD">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六、本规定适用于在中华人民共和国境内依法设立的各类所有制和各种组织形式的企业。个体工商户和本规定以外的行业，参照本规定进行划型。</w:t>
      </w:r>
    </w:p>
    <w:p w14:paraId="27906AA5">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2474C9A5">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八、本规定由工业和信息化部、国家统计局会同有关部门根据《国民经济行业分类》修订情况和企业发展变化情况适时修订。</w:t>
      </w:r>
    </w:p>
    <w:p w14:paraId="6B46C66D">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九、本规定由工业和信息化部、国家统计局会同有关部门负责解释。</w:t>
      </w:r>
    </w:p>
    <w:p w14:paraId="126D04B3">
      <w:pPr>
        <w:spacing w:line="360" w:lineRule="auto"/>
        <w:rPr>
          <w:color w:val="auto"/>
          <w:spacing w:val="6"/>
          <w:sz w:val="21"/>
          <w:szCs w:val="21"/>
          <w:highlight w:val="none"/>
        </w:rPr>
      </w:pPr>
      <w:r>
        <w:rPr>
          <w:rStyle w:val="35"/>
          <w:rFonts w:hint="eastAsia" w:cs="宋体"/>
          <w:b w:val="0"/>
          <w:bCs w:val="0"/>
          <w:color w:val="auto"/>
          <w:szCs w:val="24"/>
          <w:highlight w:val="none"/>
        </w:rPr>
        <w:t>十、本规定自发布之日起执行，原国家经贸委、原国家计委、财政部和国家统计局2003年颁布的《中小企业标准暂行规定》同时废止。</w:t>
      </w:r>
    </w:p>
    <w:p w14:paraId="6C79E17B">
      <w:pPr>
        <w:spacing w:line="360" w:lineRule="auto"/>
        <w:rPr>
          <w:color w:val="auto"/>
          <w:highlight w:val="none"/>
        </w:rPr>
      </w:pPr>
    </w:p>
    <w:p w14:paraId="164160D5">
      <w:pPr>
        <w:spacing w:line="360" w:lineRule="auto"/>
        <w:rPr>
          <w:color w:val="auto"/>
          <w:highlight w:val="none"/>
        </w:rPr>
      </w:pPr>
    </w:p>
    <w:p w14:paraId="2E32687C">
      <w:pPr>
        <w:spacing w:line="360" w:lineRule="auto"/>
        <w:rPr>
          <w:color w:val="auto"/>
          <w:highlight w:val="none"/>
        </w:rPr>
      </w:pPr>
    </w:p>
    <w:p w14:paraId="05FC4A03">
      <w:pPr>
        <w:spacing w:line="360" w:lineRule="auto"/>
        <w:rPr>
          <w:color w:val="auto"/>
          <w:highlight w:val="none"/>
        </w:rPr>
      </w:pPr>
      <w:r>
        <w:rPr>
          <w:rFonts w:hint="eastAsia"/>
          <w:color w:val="auto"/>
          <w:highlight w:val="none"/>
        </w:rPr>
        <w:t>附件3：</w:t>
      </w:r>
    </w:p>
    <w:p w14:paraId="2C5B77DC">
      <w:pPr>
        <w:spacing w:line="360" w:lineRule="auto"/>
        <w:rPr>
          <w:color w:val="auto"/>
          <w:highlight w:val="none"/>
        </w:rPr>
      </w:pPr>
    </w:p>
    <w:p w14:paraId="7F791D4C">
      <w:pPr>
        <w:pStyle w:val="18"/>
        <w:spacing w:line="360" w:lineRule="auto"/>
        <w:rPr>
          <w:color w:val="auto"/>
          <w:highlight w:val="none"/>
        </w:rPr>
      </w:pPr>
      <w:r>
        <w:rPr>
          <w:rFonts w:hint="eastAsia"/>
          <w:color w:val="auto"/>
          <w:highlight w:val="none"/>
        </w:rPr>
        <w:t>关于印发《金融业企业划型标准规定》的通知</w:t>
      </w:r>
    </w:p>
    <w:p w14:paraId="707BD6B3">
      <w:pPr>
        <w:spacing w:line="360" w:lineRule="auto"/>
        <w:rPr>
          <w:rStyle w:val="35"/>
          <w:rFonts w:cs="宋体"/>
          <w:b w:val="0"/>
          <w:color w:val="auto"/>
          <w:szCs w:val="24"/>
          <w:highlight w:val="none"/>
        </w:rPr>
      </w:pPr>
      <w:r>
        <w:rPr>
          <w:rStyle w:val="35"/>
          <w:rFonts w:hint="eastAsia" w:cs="宋体"/>
          <w:b w:val="0"/>
          <w:color w:val="auto"/>
          <w:szCs w:val="24"/>
          <w:highlight w:val="none"/>
        </w:rPr>
        <w:t>银发〔2015〕309号</w:t>
      </w:r>
    </w:p>
    <w:p w14:paraId="1C24784D">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49FE7412">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请人民银行上海总部，各分行、营业管理部、省会（首府）城市中心支行、副省级城市中心支行会同所在省（区、市）银监局、证监局、保监局、统计局将本通知联合转发至辖内相关机构。</w:t>
      </w:r>
    </w:p>
    <w:p w14:paraId="2DE46309">
      <w:pPr>
        <w:spacing w:line="360" w:lineRule="auto"/>
        <w:rPr>
          <w:rStyle w:val="35"/>
          <w:rFonts w:cs="宋体"/>
          <w:b w:val="0"/>
          <w:bCs w:val="0"/>
          <w:color w:val="auto"/>
          <w:szCs w:val="24"/>
          <w:highlight w:val="none"/>
        </w:rPr>
      </w:pPr>
    </w:p>
    <w:p w14:paraId="1A294825">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附件：金融业企业划型标准规定</w:t>
      </w:r>
    </w:p>
    <w:p w14:paraId="19FA68D3">
      <w:pPr>
        <w:spacing w:line="360" w:lineRule="auto"/>
        <w:rPr>
          <w:rStyle w:val="35"/>
          <w:rFonts w:cs="宋体"/>
          <w:b w:val="0"/>
          <w:bCs w:val="0"/>
          <w:color w:val="auto"/>
          <w:szCs w:val="24"/>
          <w:highlight w:val="none"/>
        </w:rPr>
      </w:pPr>
      <w:r>
        <w:rPr>
          <w:rFonts w:hint="eastAsia"/>
          <w:color w:val="auto"/>
          <w:spacing w:val="6"/>
          <w:highlight w:val="none"/>
        </w:rPr>
        <w:t>                                      </w:t>
      </w:r>
      <w:r>
        <w:rPr>
          <w:rStyle w:val="35"/>
          <w:rFonts w:hint="eastAsia" w:cs="宋体"/>
          <w:b w:val="0"/>
          <w:bCs w:val="0"/>
          <w:color w:val="auto"/>
          <w:szCs w:val="24"/>
          <w:highlight w:val="none"/>
        </w:rPr>
        <w:t>                                   中国人民银行</w:t>
      </w:r>
    </w:p>
    <w:p w14:paraId="2F379DB6">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中国银行业监督管理委员会</w:t>
      </w:r>
    </w:p>
    <w:p w14:paraId="07A60F39">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中国证券监督管理委员会</w:t>
      </w:r>
    </w:p>
    <w:p w14:paraId="5E91E450">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中国保险监督管理委员会</w:t>
      </w:r>
    </w:p>
    <w:p w14:paraId="33C4C457">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中华人民共和国国家统计局</w:t>
      </w:r>
    </w:p>
    <w:p w14:paraId="2D099847">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2015年9月28日</w:t>
      </w:r>
    </w:p>
    <w:p w14:paraId="3811A367">
      <w:pPr>
        <w:spacing w:line="360" w:lineRule="auto"/>
        <w:rPr>
          <w:color w:val="auto"/>
          <w:highlight w:val="none"/>
        </w:rPr>
      </w:pPr>
    </w:p>
    <w:p w14:paraId="30985B0A">
      <w:pPr>
        <w:spacing w:line="360" w:lineRule="auto"/>
        <w:rPr>
          <w:color w:val="auto"/>
          <w:highlight w:val="none"/>
        </w:rPr>
      </w:pPr>
    </w:p>
    <w:p w14:paraId="6A99D356">
      <w:pPr>
        <w:spacing w:line="360" w:lineRule="auto"/>
        <w:rPr>
          <w:color w:val="auto"/>
          <w:highlight w:val="none"/>
        </w:rPr>
      </w:pPr>
      <w:r>
        <w:rPr>
          <w:rFonts w:hint="eastAsia"/>
          <w:color w:val="auto"/>
          <w:highlight w:val="none"/>
        </w:rPr>
        <w:br w:type="page"/>
      </w:r>
    </w:p>
    <w:p w14:paraId="770D5A67">
      <w:pPr>
        <w:pStyle w:val="4"/>
        <w:spacing w:line="360" w:lineRule="auto"/>
        <w:rPr>
          <w:color w:val="auto"/>
          <w:sz w:val="24"/>
          <w:szCs w:val="24"/>
          <w:highlight w:val="none"/>
        </w:rPr>
      </w:pPr>
      <w:bookmarkStart w:id="381" w:name="_Toc163492940"/>
      <w:r>
        <w:rPr>
          <w:rFonts w:hint="eastAsia"/>
          <w:color w:val="auto"/>
          <w:highlight w:val="none"/>
        </w:rPr>
        <w:t>（三）监狱企业证明文件</w:t>
      </w:r>
      <w:r>
        <w:rPr>
          <w:rFonts w:hint="eastAsia"/>
          <w:color w:val="auto"/>
          <w:sz w:val="24"/>
          <w:szCs w:val="24"/>
          <w:highlight w:val="none"/>
        </w:rPr>
        <w:t>【如适用】</w:t>
      </w:r>
      <w:bookmarkEnd w:id="381"/>
    </w:p>
    <w:p w14:paraId="491EA9FD">
      <w:pPr>
        <w:spacing w:line="360" w:lineRule="auto"/>
        <w:rPr>
          <w:color w:val="auto"/>
          <w:highlight w:val="none"/>
        </w:rPr>
      </w:pPr>
    </w:p>
    <w:p w14:paraId="4B3F2C64">
      <w:pPr>
        <w:spacing w:line="360" w:lineRule="auto"/>
        <w:rPr>
          <w:color w:val="auto"/>
          <w:highlight w:val="none"/>
        </w:rPr>
      </w:pPr>
      <w:r>
        <w:rPr>
          <w:rFonts w:hint="eastAsia"/>
          <w:color w:val="auto"/>
          <w:highlight w:val="none"/>
        </w:rPr>
        <w:t>【监狱企业应当提供由省级及以上监狱管理局、戒毒管理局（含新疆生产建设兵团）出具的监狱企业的证明文件，格式如下】。</w:t>
      </w:r>
    </w:p>
    <w:p w14:paraId="3085ADBA">
      <w:pPr>
        <w:pStyle w:val="18"/>
        <w:spacing w:line="360" w:lineRule="auto"/>
        <w:rPr>
          <w:color w:val="auto"/>
          <w:highlight w:val="none"/>
        </w:rPr>
      </w:pPr>
    </w:p>
    <w:p w14:paraId="121406E7">
      <w:pPr>
        <w:pStyle w:val="18"/>
        <w:spacing w:line="360" w:lineRule="auto"/>
        <w:rPr>
          <w:color w:val="auto"/>
          <w:highlight w:val="none"/>
        </w:rPr>
      </w:pPr>
      <w:r>
        <w:rPr>
          <w:rFonts w:hint="eastAsia"/>
          <w:color w:val="auto"/>
          <w:highlight w:val="none"/>
        </w:rPr>
        <w:t>监狱企业证明函</w:t>
      </w:r>
    </w:p>
    <w:p w14:paraId="42E49D35">
      <w:pPr>
        <w:spacing w:line="360" w:lineRule="auto"/>
        <w:rPr>
          <w:color w:val="auto"/>
          <w:highlight w:val="none"/>
        </w:rPr>
      </w:pPr>
    </w:p>
    <w:p w14:paraId="39BE2EC2">
      <w:pPr>
        <w:spacing w:line="360" w:lineRule="auto"/>
        <w:rPr>
          <w:color w:val="auto"/>
          <w:highlight w:val="none"/>
        </w:rPr>
      </w:pPr>
      <w:r>
        <w:rPr>
          <w:rFonts w:hint="eastAsia"/>
          <w:color w:val="auto"/>
          <w:highlight w:val="none"/>
        </w:rPr>
        <w:t>本公司郑重声明，根据财政部、司法部《关于政府采购支持监狱企业发展有关问题的通知》（财库〔2014〕68号）的规定，本公司为监狱企业。</w:t>
      </w:r>
    </w:p>
    <w:p w14:paraId="01A874AA">
      <w:pPr>
        <w:spacing w:line="360" w:lineRule="auto"/>
        <w:rPr>
          <w:color w:val="auto"/>
          <w:highlight w:val="none"/>
        </w:rPr>
      </w:pPr>
    </w:p>
    <w:p w14:paraId="09A2DEF6">
      <w:pPr>
        <w:spacing w:line="360" w:lineRule="auto"/>
        <w:rPr>
          <w:color w:val="auto"/>
          <w:highlight w:val="none"/>
        </w:rPr>
      </w:pPr>
    </w:p>
    <w:p w14:paraId="1D6F33C0">
      <w:pPr>
        <w:spacing w:line="360" w:lineRule="auto"/>
        <w:rPr>
          <w:color w:val="auto"/>
          <w:highlight w:val="none"/>
        </w:rPr>
      </w:pPr>
    </w:p>
    <w:p w14:paraId="7C0D2D0D">
      <w:pPr>
        <w:spacing w:line="360" w:lineRule="auto"/>
        <w:rPr>
          <w:color w:val="auto"/>
          <w:highlight w:val="none"/>
        </w:rPr>
      </w:pPr>
      <w:r>
        <w:rPr>
          <w:rFonts w:hint="eastAsia"/>
          <w:color w:val="auto"/>
          <w:highlight w:val="none"/>
        </w:rPr>
        <w:t>投标人名称（</w:t>
      </w:r>
      <w:r>
        <w:rPr>
          <w:rFonts w:hint="eastAsia"/>
          <w:color w:val="auto"/>
          <w:kern w:val="0"/>
          <w:highlight w:val="none"/>
        </w:rPr>
        <w:t>公章）</w:t>
      </w:r>
      <w:r>
        <w:rPr>
          <w:rFonts w:hint="eastAsia"/>
          <w:color w:val="auto"/>
          <w:highlight w:val="none"/>
        </w:rPr>
        <w:t>：</w:t>
      </w:r>
    </w:p>
    <w:p w14:paraId="2CBAB081">
      <w:pPr>
        <w:spacing w:line="360" w:lineRule="auto"/>
        <w:rPr>
          <w:color w:val="auto"/>
          <w:highlight w:val="none"/>
        </w:rPr>
      </w:pPr>
      <w:r>
        <w:rPr>
          <w:rFonts w:hint="eastAsia"/>
          <w:color w:val="auto"/>
          <w:highlight w:val="none"/>
        </w:rPr>
        <w:t>日期：   年  月  日</w:t>
      </w:r>
    </w:p>
    <w:p w14:paraId="239FB4EE">
      <w:pPr>
        <w:spacing w:line="360" w:lineRule="auto"/>
        <w:rPr>
          <w:color w:val="auto"/>
          <w:highlight w:val="none"/>
        </w:rPr>
      </w:pPr>
    </w:p>
    <w:p w14:paraId="349D9077">
      <w:pPr>
        <w:spacing w:line="360" w:lineRule="auto"/>
        <w:rPr>
          <w:color w:val="auto"/>
          <w:highlight w:val="none"/>
        </w:rPr>
      </w:pPr>
    </w:p>
    <w:p w14:paraId="2FD9A5E4">
      <w:pPr>
        <w:spacing w:line="360" w:lineRule="auto"/>
        <w:rPr>
          <w:color w:val="auto"/>
          <w:highlight w:val="none"/>
        </w:rPr>
      </w:pPr>
      <w:r>
        <w:rPr>
          <w:rFonts w:hint="eastAsia"/>
          <w:color w:val="auto"/>
          <w:highlight w:val="none"/>
        </w:rPr>
        <w:t>省级以上监狱管理局、戒毒管理局</w:t>
      </w:r>
    </w:p>
    <w:p w14:paraId="29ED10F3">
      <w:pPr>
        <w:spacing w:line="360" w:lineRule="auto"/>
        <w:rPr>
          <w:color w:val="auto"/>
          <w:highlight w:val="none"/>
        </w:rPr>
      </w:pPr>
      <w:r>
        <w:rPr>
          <w:rFonts w:hint="eastAsia"/>
          <w:color w:val="auto"/>
          <w:highlight w:val="none"/>
        </w:rPr>
        <w:t>（含新疆生产建设兵团）（</w:t>
      </w:r>
      <w:r>
        <w:rPr>
          <w:rFonts w:hint="eastAsia"/>
          <w:color w:val="auto"/>
          <w:kern w:val="0"/>
          <w:highlight w:val="none"/>
        </w:rPr>
        <w:t>盖章）</w:t>
      </w:r>
      <w:r>
        <w:rPr>
          <w:rFonts w:hint="eastAsia"/>
          <w:color w:val="auto"/>
          <w:highlight w:val="none"/>
        </w:rPr>
        <w:t xml:space="preserve">：  </w:t>
      </w:r>
    </w:p>
    <w:p w14:paraId="2287EB28">
      <w:pPr>
        <w:spacing w:line="360" w:lineRule="auto"/>
        <w:rPr>
          <w:color w:val="auto"/>
          <w:highlight w:val="none"/>
        </w:rPr>
      </w:pPr>
      <w:r>
        <w:rPr>
          <w:rFonts w:hint="eastAsia"/>
          <w:color w:val="auto"/>
          <w:highlight w:val="none"/>
        </w:rPr>
        <w:t>日期：   年  月  日</w:t>
      </w:r>
    </w:p>
    <w:p w14:paraId="184A157F">
      <w:pPr>
        <w:spacing w:line="360" w:lineRule="auto"/>
        <w:rPr>
          <w:color w:val="auto"/>
          <w:highlight w:val="none"/>
        </w:rPr>
      </w:pPr>
    </w:p>
    <w:p w14:paraId="69E00E8E">
      <w:pPr>
        <w:spacing w:line="360" w:lineRule="auto"/>
        <w:rPr>
          <w:color w:val="auto"/>
          <w:highlight w:val="none"/>
        </w:rPr>
      </w:pPr>
    </w:p>
    <w:p w14:paraId="5CE2DB8B">
      <w:pPr>
        <w:spacing w:line="360" w:lineRule="auto"/>
        <w:rPr>
          <w:color w:val="auto"/>
          <w:highlight w:val="none"/>
        </w:rPr>
      </w:pPr>
    </w:p>
    <w:p w14:paraId="0B48F3D0">
      <w:pPr>
        <w:spacing w:line="360" w:lineRule="auto"/>
        <w:rPr>
          <w:color w:val="auto"/>
          <w:highlight w:val="none"/>
        </w:rPr>
      </w:pPr>
    </w:p>
    <w:p w14:paraId="215DBD6D">
      <w:pPr>
        <w:spacing w:line="360" w:lineRule="auto"/>
        <w:rPr>
          <w:color w:val="auto"/>
          <w:highlight w:val="none"/>
        </w:rPr>
      </w:pPr>
    </w:p>
    <w:p w14:paraId="0E1AEB9F">
      <w:pPr>
        <w:spacing w:line="360" w:lineRule="auto"/>
        <w:rPr>
          <w:rFonts w:hint="eastAsia"/>
          <w:color w:val="auto"/>
          <w:highlight w:val="none"/>
        </w:rPr>
      </w:pPr>
      <w:bookmarkStart w:id="382" w:name="_Toc163492941"/>
      <w:r>
        <w:rPr>
          <w:rFonts w:hint="eastAsia"/>
          <w:color w:val="auto"/>
          <w:highlight w:val="none"/>
        </w:rPr>
        <w:br w:type="page"/>
      </w:r>
    </w:p>
    <w:p w14:paraId="4964E264">
      <w:pPr>
        <w:pStyle w:val="4"/>
        <w:spacing w:line="360" w:lineRule="auto"/>
        <w:rPr>
          <w:color w:val="auto"/>
          <w:highlight w:val="none"/>
        </w:rPr>
      </w:pPr>
      <w:r>
        <w:rPr>
          <w:rFonts w:hint="eastAsia"/>
          <w:color w:val="auto"/>
          <w:highlight w:val="none"/>
        </w:rPr>
        <w:t>（四）残疾人福利性单位声明函【如适用】</w:t>
      </w:r>
      <w:bookmarkEnd w:id="382"/>
    </w:p>
    <w:p w14:paraId="3C5C14A8">
      <w:pPr>
        <w:pStyle w:val="42"/>
        <w:spacing w:line="360" w:lineRule="auto"/>
        <w:rPr>
          <w:color w:val="auto"/>
          <w:highlight w:val="none"/>
        </w:rPr>
      </w:pPr>
    </w:p>
    <w:p w14:paraId="5463F490">
      <w:pPr>
        <w:pStyle w:val="42"/>
        <w:spacing w:line="360" w:lineRule="auto"/>
        <w:rPr>
          <w:color w:val="auto"/>
          <w:highlight w:val="none"/>
        </w:rPr>
      </w:pPr>
      <w:r>
        <w:rPr>
          <w:rFonts w:hint="eastAsia"/>
          <w:color w:val="auto"/>
          <w:highlight w:val="none"/>
        </w:rPr>
        <w:t>残疾人福利性单位声明函</w:t>
      </w:r>
    </w:p>
    <w:p w14:paraId="6FB49C14">
      <w:pPr>
        <w:spacing w:line="360" w:lineRule="auto"/>
        <w:rPr>
          <w:color w:val="auto"/>
          <w:highlight w:val="none"/>
        </w:rPr>
      </w:pPr>
    </w:p>
    <w:p w14:paraId="7A0DF021">
      <w:pPr>
        <w:spacing w:line="360" w:lineRule="auto"/>
        <w:rPr>
          <w:color w:val="auto"/>
          <w:highlight w:val="none"/>
        </w:rPr>
      </w:pPr>
      <w:r>
        <w:rPr>
          <w:rFonts w:hint="eastAsia"/>
          <w:color w:val="auto"/>
          <w:highlight w:val="none"/>
        </w:rPr>
        <w:t>本公司（联合体）郑重声明，根据《财政部 民政部 中国残疾人联合会关于促进残疾人就业政府采购政策的通知》（财库〔2017〕141号）的规定，本公司（联合体）参加</w:t>
      </w:r>
      <w:r>
        <w:rPr>
          <w:rFonts w:hint="eastAsia"/>
          <w:color w:val="auto"/>
          <w:highlight w:val="none"/>
          <w:u w:val="single"/>
        </w:rPr>
        <w:t xml:space="preserve"> （单位名称） </w:t>
      </w:r>
      <w:r>
        <w:rPr>
          <w:rFonts w:hint="eastAsia"/>
          <w:color w:val="auto"/>
          <w:highlight w:val="none"/>
        </w:rPr>
        <w:t>的</w:t>
      </w:r>
      <w:r>
        <w:rPr>
          <w:rFonts w:hint="eastAsia"/>
          <w:color w:val="auto"/>
          <w:highlight w:val="none"/>
          <w:u w:val="single"/>
        </w:rPr>
        <w:t xml:space="preserve"> （项目名称） </w:t>
      </w:r>
      <w:r>
        <w:rPr>
          <w:rFonts w:hint="eastAsia"/>
          <w:color w:val="auto"/>
          <w:highlight w:val="none"/>
        </w:rPr>
        <w:t>采购活动，提供的货物</w:t>
      </w:r>
      <w:r>
        <w:rPr>
          <w:rFonts w:hint="eastAsia"/>
          <w:b/>
          <w:color w:val="auto"/>
          <w:highlight w:val="none"/>
        </w:rPr>
        <w:t>全部由</w:t>
      </w:r>
      <w:r>
        <w:rPr>
          <w:rFonts w:hint="eastAsia"/>
          <w:color w:val="auto"/>
          <w:highlight w:val="none"/>
        </w:rPr>
        <w:t>符合政策要求的</w:t>
      </w:r>
      <w:r>
        <w:rPr>
          <w:rFonts w:hint="eastAsia"/>
          <w:b/>
          <w:color w:val="auto"/>
          <w:highlight w:val="none"/>
        </w:rPr>
        <w:t>残疾人福利性单位制造</w:t>
      </w:r>
      <w:r>
        <w:rPr>
          <w:rFonts w:hint="eastAsia"/>
          <w:color w:val="auto"/>
          <w:highlight w:val="none"/>
        </w:rPr>
        <w:t>。相关企业（含联合体中的残疾人福利性单位、签订分包意向协议书的残疾人福利性单位）的具体情况如下：</w:t>
      </w:r>
    </w:p>
    <w:p w14:paraId="4C8FC0B7">
      <w:pPr>
        <w:spacing w:line="360" w:lineRule="auto"/>
        <w:rPr>
          <w:color w:val="auto"/>
          <w:highlight w:val="none"/>
        </w:rPr>
      </w:pPr>
      <w:r>
        <w:rPr>
          <w:rFonts w:hint="eastAsia"/>
          <w:color w:val="auto"/>
          <w:highlight w:val="none"/>
        </w:rPr>
        <w:t>1.</w:t>
      </w:r>
      <w:r>
        <w:rPr>
          <w:rFonts w:hint="eastAsia"/>
          <w:color w:val="auto"/>
          <w:highlight w:val="none"/>
          <w:u w:val="single"/>
        </w:rPr>
        <w:t xml:space="preserve"> （标的名称） </w:t>
      </w:r>
      <w:r>
        <w:rPr>
          <w:rFonts w:hint="eastAsia"/>
          <w:color w:val="auto"/>
          <w:highlight w:val="none"/>
        </w:rPr>
        <w:t xml:space="preserve">，制造商为 </w:t>
      </w:r>
      <w:r>
        <w:rPr>
          <w:color w:val="auto"/>
          <w:highlight w:val="none"/>
          <w:u w:val="single"/>
        </w:rPr>
        <w:t xml:space="preserve">  </w:t>
      </w:r>
      <w:r>
        <w:rPr>
          <w:rFonts w:hint="eastAsia"/>
          <w:color w:val="auto"/>
          <w:highlight w:val="none"/>
          <w:u w:val="single"/>
        </w:rPr>
        <w:t xml:space="preserve">（企业名称） </w:t>
      </w:r>
      <w:r>
        <w:rPr>
          <w:rFonts w:hint="eastAsia"/>
          <w:color w:val="auto"/>
          <w:highlight w:val="none"/>
        </w:rPr>
        <w:t>，属于残疾人福利性单位；</w:t>
      </w:r>
    </w:p>
    <w:p w14:paraId="3E3E33ED">
      <w:pPr>
        <w:spacing w:line="360" w:lineRule="auto"/>
        <w:rPr>
          <w:color w:val="auto"/>
          <w:highlight w:val="none"/>
        </w:rPr>
      </w:pPr>
      <w:r>
        <w:rPr>
          <w:rFonts w:hint="eastAsia"/>
          <w:color w:val="auto"/>
          <w:highlight w:val="none"/>
        </w:rPr>
        <w:t xml:space="preserve">2. </w:t>
      </w:r>
      <w:r>
        <w:rPr>
          <w:rFonts w:hint="eastAsia"/>
          <w:color w:val="auto"/>
          <w:highlight w:val="none"/>
          <w:u w:val="single"/>
        </w:rPr>
        <w:t xml:space="preserve">（标的名称） </w:t>
      </w:r>
      <w:r>
        <w:rPr>
          <w:rFonts w:hint="eastAsia"/>
          <w:color w:val="auto"/>
          <w:highlight w:val="none"/>
        </w:rPr>
        <w:t xml:space="preserve">，制造商为 </w:t>
      </w:r>
      <w:r>
        <w:rPr>
          <w:color w:val="auto"/>
          <w:highlight w:val="none"/>
          <w:u w:val="single"/>
        </w:rPr>
        <w:t xml:space="preserve">  </w:t>
      </w:r>
      <w:r>
        <w:rPr>
          <w:rFonts w:hint="eastAsia"/>
          <w:color w:val="auto"/>
          <w:highlight w:val="none"/>
          <w:u w:val="single"/>
        </w:rPr>
        <w:t xml:space="preserve">（企业名称） </w:t>
      </w:r>
      <w:r>
        <w:rPr>
          <w:rFonts w:hint="eastAsia"/>
          <w:color w:val="auto"/>
          <w:highlight w:val="none"/>
        </w:rPr>
        <w:t>，属于残疾人福利性单位；</w:t>
      </w:r>
    </w:p>
    <w:p w14:paraId="27185AAD">
      <w:pPr>
        <w:spacing w:line="360" w:lineRule="auto"/>
        <w:rPr>
          <w:color w:val="auto"/>
          <w:highlight w:val="none"/>
        </w:rPr>
      </w:pPr>
      <w:r>
        <w:rPr>
          <w:rFonts w:hint="eastAsia"/>
          <w:color w:val="auto"/>
          <w:highlight w:val="none"/>
        </w:rPr>
        <w:t>……</w:t>
      </w:r>
    </w:p>
    <w:p w14:paraId="71EFB7E6">
      <w:pPr>
        <w:spacing w:line="360" w:lineRule="auto"/>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18DF868A">
      <w:pPr>
        <w:spacing w:line="360" w:lineRule="auto"/>
        <w:rPr>
          <w:color w:val="auto"/>
          <w:highlight w:val="none"/>
        </w:rPr>
      </w:pPr>
      <w:r>
        <w:rPr>
          <w:rFonts w:hint="eastAsia"/>
          <w:color w:val="auto"/>
          <w:highlight w:val="none"/>
        </w:rPr>
        <w:t>本企业对上述声明内容的真实性负责。如有虚假，将依法承担相应责任。</w:t>
      </w:r>
    </w:p>
    <w:p w14:paraId="17B3887A">
      <w:pPr>
        <w:spacing w:line="360" w:lineRule="auto"/>
        <w:rPr>
          <w:color w:val="auto"/>
          <w:highlight w:val="none"/>
        </w:rPr>
      </w:pPr>
    </w:p>
    <w:p w14:paraId="72B3CFE9">
      <w:pPr>
        <w:spacing w:line="360" w:lineRule="auto"/>
        <w:rPr>
          <w:color w:val="auto"/>
          <w:szCs w:val="24"/>
          <w:highlight w:val="none"/>
        </w:rPr>
      </w:pPr>
      <w:r>
        <w:rPr>
          <w:rFonts w:hint="eastAsia"/>
          <w:b/>
          <w:color w:val="auto"/>
          <w:szCs w:val="24"/>
          <w:highlight w:val="none"/>
        </w:rPr>
        <w:t>说明：</w:t>
      </w:r>
      <w:r>
        <w:rPr>
          <w:rFonts w:hint="eastAsia"/>
          <w:color w:val="auto"/>
          <w:szCs w:val="24"/>
          <w:highlight w:val="none"/>
        </w:rPr>
        <w:t>1、</w:t>
      </w:r>
      <w:r>
        <w:rPr>
          <w:rFonts w:hint="eastAsia"/>
          <w:color w:val="auto"/>
          <w:highlight w:val="none"/>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07D23E84">
      <w:pPr>
        <w:spacing w:line="360" w:lineRule="auto"/>
        <w:rPr>
          <w:color w:val="auto"/>
          <w:highlight w:val="none"/>
        </w:rPr>
      </w:pPr>
      <w:r>
        <w:rPr>
          <w:rFonts w:hint="eastAsia"/>
          <w:bCs/>
          <w:color w:val="auto"/>
          <w:highlight w:val="none"/>
          <w:lang w:val="zh-CN"/>
        </w:rPr>
        <w:t xml:space="preserve">      2、</w:t>
      </w:r>
      <w:r>
        <w:rPr>
          <w:rFonts w:hint="eastAsia"/>
          <w:color w:val="auto"/>
          <w:highlight w:val="none"/>
        </w:rPr>
        <w:t>以联合体形式参加的，应</w:t>
      </w:r>
      <w:r>
        <w:rPr>
          <w:rFonts w:hint="eastAsia"/>
          <w:bCs/>
          <w:color w:val="auto"/>
          <w:highlight w:val="none"/>
          <w:lang w:val="zh-CN"/>
        </w:rPr>
        <w:t>当</w:t>
      </w:r>
      <w:r>
        <w:rPr>
          <w:rFonts w:hint="eastAsia"/>
          <w:color w:val="auto"/>
          <w:highlight w:val="none"/>
        </w:rPr>
        <w:t>由联合体各方盖章。</w:t>
      </w:r>
    </w:p>
    <w:p w14:paraId="7E578647">
      <w:pPr>
        <w:spacing w:line="360" w:lineRule="auto"/>
        <w:rPr>
          <w:color w:val="auto"/>
          <w:highlight w:val="none"/>
          <w:lang w:val="zh-CN"/>
        </w:rPr>
      </w:pPr>
      <w:r>
        <w:rPr>
          <w:rFonts w:hint="eastAsia"/>
          <w:color w:val="auto"/>
          <w:highlight w:val="none"/>
          <w:lang w:val="zh-CN"/>
        </w:rPr>
        <w:t>投标人</w:t>
      </w:r>
      <w:r>
        <w:rPr>
          <w:rFonts w:hint="eastAsia"/>
          <w:color w:val="auto"/>
          <w:highlight w:val="none"/>
        </w:rPr>
        <w:t>名称</w:t>
      </w:r>
      <w:r>
        <w:rPr>
          <w:rFonts w:hint="eastAsia" w:cs="仿宋_GB2312"/>
          <w:color w:val="auto"/>
          <w:szCs w:val="24"/>
          <w:highlight w:val="none"/>
        </w:rPr>
        <w:t>（</w:t>
      </w:r>
      <w:r>
        <w:rPr>
          <w:rFonts w:hint="eastAsia" w:cs="宋体"/>
          <w:color w:val="auto"/>
          <w:kern w:val="0"/>
          <w:szCs w:val="24"/>
          <w:highlight w:val="none"/>
        </w:rPr>
        <w:t>公章</w:t>
      </w:r>
      <w:r>
        <w:rPr>
          <w:rFonts w:hint="eastAsia" w:cs="宋体"/>
          <w:color w:val="auto"/>
          <w:kern w:val="0"/>
          <w:highlight w:val="none"/>
          <w:lang w:val="zh-CN"/>
        </w:rPr>
        <w:t>)</w:t>
      </w:r>
      <w:r>
        <w:rPr>
          <w:rFonts w:hint="eastAsia"/>
          <w:color w:val="auto"/>
          <w:highlight w:val="none"/>
          <w:lang w:val="zh-CN"/>
        </w:rPr>
        <w:t xml:space="preserve">：              </w:t>
      </w:r>
    </w:p>
    <w:p w14:paraId="439CA8E5">
      <w:pPr>
        <w:spacing w:line="360" w:lineRule="auto"/>
        <w:rPr>
          <w:color w:val="auto"/>
          <w:highlight w:val="none"/>
        </w:rPr>
      </w:pPr>
      <w:r>
        <w:rPr>
          <w:rFonts w:hint="eastAsia"/>
          <w:color w:val="auto"/>
          <w:highlight w:val="none"/>
        </w:rPr>
        <w:t>日</w:t>
      </w:r>
      <w:r>
        <w:rPr>
          <w:color w:val="auto"/>
          <w:highlight w:val="none"/>
        </w:rPr>
        <w:t xml:space="preserve">  </w:t>
      </w:r>
      <w:r>
        <w:rPr>
          <w:rFonts w:hint="eastAsia"/>
          <w:color w:val="auto"/>
          <w:highlight w:val="none"/>
        </w:rPr>
        <w:t>期：</w:t>
      </w:r>
      <w:r>
        <w:rPr>
          <w:color w:val="auto"/>
          <w:highlight w:val="none"/>
        </w:rPr>
        <w:t xml:space="preserve">                         </w:t>
      </w:r>
    </w:p>
    <w:p w14:paraId="222E5EF4">
      <w:pPr>
        <w:rPr>
          <w:color w:val="auto"/>
          <w:highlight w:val="none"/>
        </w:rPr>
      </w:pPr>
      <w:r>
        <w:rPr>
          <w:rFonts w:hint="eastAsia"/>
          <w:color w:val="auto"/>
          <w:highlight w:val="none"/>
        </w:rPr>
        <w:br w:type="page"/>
      </w:r>
    </w:p>
    <w:p w14:paraId="5060D3A1">
      <w:pPr>
        <w:pStyle w:val="3"/>
        <w:rPr>
          <w:color w:val="auto"/>
          <w:highlight w:val="none"/>
        </w:rPr>
      </w:pPr>
      <w:bookmarkStart w:id="383" w:name="_Toc6028"/>
      <w:bookmarkStart w:id="384" w:name="_Toc163492942"/>
      <w:r>
        <w:rPr>
          <w:rFonts w:hint="eastAsia"/>
          <w:color w:val="auto"/>
          <w:highlight w:val="none"/>
        </w:rPr>
        <w:t>五、不参与围标串标承诺书</w:t>
      </w:r>
      <w:bookmarkEnd w:id="383"/>
    </w:p>
    <w:p w14:paraId="0EE21218">
      <w:pPr>
        <w:pStyle w:val="4"/>
        <w:bidi w:val="0"/>
        <w:jc w:val="center"/>
        <w:rPr>
          <w:rFonts w:hint="eastAsia"/>
          <w:color w:val="auto"/>
          <w:highlight w:val="none"/>
          <w:lang w:val="zh-CN"/>
        </w:rPr>
      </w:pPr>
      <w:r>
        <w:rPr>
          <w:rFonts w:hint="eastAsia"/>
          <w:color w:val="auto"/>
          <w:highlight w:val="none"/>
          <w:lang w:val="zh-CN"/>
        </w:rPr>
        <w:t>不参与围标串标承诺书</w:t>
      </w:r>
    </w:p>
    <w:p w14:paraId="6F478077">
      <w:pPr>
        <w:autoSpaceDE w:val="0"/>
        <w:autoSpaceDN w:val="0"/>
        <w:adjustRightInd w:val="0"/>
        <w:spacing w:line="560" w:lineRule="exact"/>
        <w:ind w:left="480" w:leftChars="200"/>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为诚实、客观、有序地参与</w:t>
      </w:r>
      <w:r>
        <w:rPr>
          <w:rFonts w:hint="eastAsia" w:ascii="仿宋" w:hAnsi="仿宋" w:eastAsia="仿宋" w:cs="仿宋"/>
          <w:color w:val="auto"/>
          <w:kern w:val="0"/>
          <w:sz w:val="28"/>
          <w:szCs w:val="28"/>
          <w:highlight w:val="none"/>
          <w:u w:val="single"/>
          <w:lang w:val="zh-CN"/>
        </w:rPr>
        <w:t xml:space="preserve">                     </w:t>
      </w:r>
      <w:r>
        <w:rPr>
          <w:rFonts w:hint="eastAsia" w:ascii="仿宋" w:hAnsi="仿宋" w:eastAsia="仿宋" w:cs="仿宋"/>
          <w:color w:val="auto"/>
          <w:kern w:val="0"/>
          <w:sz w:val="28"/>
          <w:szCs w:val="28"/>
          <w:highlight w:val="none"/>
          <w:lang w:val="zh-CN"/>
        </w:rPr>
        <w:t>项目</w:t>
      </w:r>
    </w:p>
    <w:p w14:paraId="25151E6D">
      <w:pPr>
        <w:autoSpaceDE w:val="0"/>
        <w:autoSpaceDN w:val="0"/>
        <w:adjustRightInd w:val="0"/>
        <w:spacing w:line="560" w:lineRule="exact"/>
        <w:rPr>
          <w:rFonts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采购活动，愿就以下内容作出承诺：</w:t>
      </w:r>
    </w:p>
    <w:p w14:paraId="14CF5424">
      <w:pPr>
        <w:autoSpaceDE w:val="0"/>
        <w:autoSpaceDN w:val="0"/>
        <w:adjustRightInd w:val="0"/>
        <w:spacing w:line="560" w:lineRule="exact"/>
        <w:ind w:firstLine="482"/>
        <w:rPr>
          <w:rFonts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一、严格遵守国家法律法规和行业规范，诚实守信，公平竞争，不参与任何形式的围标、串标行为，不与其他投标供应商存在控股、管理及其他关联关系。</w:t>
      </w:r>
    </w:p>
    <w:p w14:paraId="2E306278">
      <w:pPr>
        <w:autoSpaceDE w:val="0"/>
        <w:autoSpaceDN w:val="0"/>
        <w:adjustRightInd w:val="0"/>
        <w:spacing w:line="560" w:lineRule="exact"/>
        <w:ind w:firstLine="482"/>
        <w:rPr>
          <w:rFonts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二、依法参加采购活动，不与其他供应商互相串通投标；不使用具有串标嫌疑、关联关系的公司参与投标（包括但不限于工商登记邮箱、电话号码、高管人员一致等）；不与采购人或者招标代理机构串通投标；不向采购人或者评标委员会成员行贿以牟取中标。不排挤其他供应商的公平竞争，不损害采购人的合法权益，不损害国家利益、社会公共利益或者他人的合法权益。</w:t>
      </w:r>
    </w:p>
    <w:p w14:paraId="4233770A">
      <w:pPr>
        <w:autoSpaceDE w:val="0"/>
        <w:autoSpaceDN w:val="0"/>
        <w:adjustRightInd w:val="0"/>
        <w:spacing w:line="560" w:lineRule="exact"/>
        <w:ind w:firstLine="482"/>
        <w:rPr>
          <w:rFonts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三、若在招标投标过程中发现其他投标人或相关方有围标、串标等违法行为，及时告知采购人或代理机构，积极配合调查。</w:t>
      </w:r>
    </w:p>
    <w:p w14:paraId="2A7DF74A">
      <w:pPr>
        <w:autoSpaceDE w:val="0"/>
        <w:autoSpaceDN w:val="0"/>
        <w:adjustRightInd w:val="0"/>
        <w:spacing w:line="560" w:lineRule="exact"/>
        <w:ind w:firstLine="482"/>
        <w:rPr>
          <w:rFonts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四、愿接受社会各界监督。如有违反上述承诺行为，自愿放弃中标资格，限制以后投标，记入不良信用档案，没收本次投标保证金。同意采购人或代理机构有权将线索移交有关部门，并愿意承担由此引起的其他法律责任。</w:t>
      </w:r>
    </w:p>
    <w:p w14:paraId="2F33DE49">
      <w:pPr>
        <w:autoSpaceDE w:val="0"/>
        <w:autoSpaceDN w:val="0"/>
        <w:adjustRightInd w:val="0"/>
        <w:spacing w:line="560" w:lineRule="exact"/>
        <w:rPr>
          <w:rFonts w:hint="eastAsia" w:ascii="仿宋" w:hAnsi="仿宋" w:eastAsia="仿宋" w:cs="仿宋"/>
          <w:bCs/>
          <w:color w:val="auto"/>
          <w:kern w:val="0"/>
          <w:sz w:val="28"/>
          <w:szCs w:val="28"/>
          <w:highlight w:val="none"/>
          <w:lang w:val="zh-CN"/>
        </w:rPr>
      </w:pPr>
    </w:p>
    <w:p w14:paraId="3BF51059">
      <w:pPr>
        <w:autoSpaceDE w:val="0"/>
        <w:autoSpaceDN w:val="0"/>
        <w:adjustRightInd w:val="0"/>
        <w:spacing w:line="560" w:lineRule="exact"/>
        <w:rPr>
          <w:rFonts w:ascii="仿宋" w:hAnsi="仿宋" w:eastAsia="仿宋" w:cs="仿宋"/>
          <w:bCs/>
          <w:color w:val="auto"/>
          <w:kern w:val="0"/>
          <w:sz w:val="28"/>
          <w:szCs w:val="28"/>
          <w:highlight w:val="none"/>
          <w:lang w:val="zh-CN"/>
        </w:rPr>
      </w:pPr>
      <w:r>
        <w:rPr>
          <w:rFonts w:hint="eastAsia" w:ascii="仿宋" w:hAnsi="仿宋" w:eastAsia="仿宋" w:cs="仿宋"/>
          <w:bCs/>
          <w:color w:val="auto"/>
          <w:kern w:val="0"/>
          <w:sz w:val="28"/>
          <w:szCs w:val="28"/>
          <w:highlight w:val="none"/>
          <w:lang w:val="zh-CN"/>
        </w:rPr>
        <w:t>供应商：                             （公章）</w:t>
      </w:r>
    </w:p>
    <w:p w14:paraId="6FA53BBF">
      <w:pPr>
        <w:autoSpaceDE w:val="0"/>
        <w:autoSpaceDN w:val="0"/>
        <w:adjustRightInd w:val="0"/>
        <w:spacing w:line="560" w:lineRule="exact"/>
        <w:rPr>
          <w:rFonts w:ascii="仿宋" w:hAnsi="仿宋" w:eastAsia="仿宋" w:cs="仿宋"/>
          <w:bCs/>
          <w:color w:val="auto"/>
          <w:kern w:val="0"/>
          <w:sz w:val="28"/>
          <w:szCs w:val="28"/>
          <w:highlight w:val="none"/>
          <w:lang w:val="zh-CN"/>
        </w:rPr>
      </w:pPr>
      <w:r>
        <w:rPr>
          <w:rFonts w:hint="eastAsia" w:ascii="仿宋" w:hAnsi="仿宋" w:eastAsia="仿宋" w:cs="仿宋"/>
          <w:bCs/>
          <w:color w:val="auto"/>
          <w:kern w:val="0"/>
          <w:sz w:val="28"/>
          <w:szCs w:val="28"/>
          <w:highlight w:val="none"/>
          <w:lang w:val="zh-CN"/>
        </w:rPr>
        <w:t>法定代表人或委托代理人：             （签字）</w:t>
      </w:r>
    </w:p>
    <w:p w14:paraId="7C0C1AC0">
      <w:pPr>
        <w:spacing w:line="560" w:lineRule="exact"/>
        <w:rPr>
          <w:color w:val="auto"/>
          <w:sz w:val="32"/>
          <w:szCs w:val="32"/>
          <w:highlight w:val="none"/>
        </w:rPr>
      </w:pPr>
      <w:r>
        <w:rPr>
          <w:rFonts w:hint="eastAsia" w:ascii="仿宋" w:hAnsi="仿宋" w:eastAsia="仿宋" w:cs="仿宋"/>
          <w:bCs/>
          <w:color w:val="auto"/>
          <w:kern w:val="0"/>
          <w:sz w:val="28"/>
          <w:szCs w:val="28"/>
          <w:highlight w:val="none"/>
          <w:lang w:val="zh-CN"/>
        </w:rPr>
        <w:t xml:space="preserve">                                    年   月   日</w:t>
      </w:r>
    </w:p>
    <w:p w14:paraId="342E9573">
      <w:pPr>
        <w:pStyle w:val="13"/>
        <w:rPr>
          <w:color w:val="auto"/>
          <w:highlight w:val="none"/>
        </w:rPr>
      </w:pPr>
    </w:p>
    <w:p w14:paraId="3BEF9D8A">
      <w:pPr>
        <w:pStyle w:val="4"/>
        <w:bidi w:val="0"/>
        <w:jc w:val="center"/>
        <w:rPr>
          <w:rFonts w:hint="eastAsia" w:ascii="宋体" w:hAnsi="宋体" w:eastAsia="宋体"/>
          <w:color w:val="auto"/>
          <w:highlight w:val="none"/>
          <w:lang w:val="zh-CN"/>
        </w:rPr>
      </w:pPr>
      <w:r>
        <w:rPr>
          <w:rFonts w:hint="eastAsia" w:ascii="宋体" w:hAnsi="宋体" w:eastAsia="宋体"/>
          <w:color w:val="auto"/>
          <w:highlight w:val="none"/>
          <w:lang w:val="zh-CN"/>
        </w:rPr>
        <w:t>供应商诚信承诺书</w:t>
      </w:r>
    </w:p>
    <w:p w14:paraId="4EC9E9BA">
      <w:pPr>
        <w:autoSpaceDE w:val="0"/>
        <w:autoSpaceDN w:val="0"/>
        <w:adjustRightInd w:val="0"/>
        <w:spacing w:line="400" w:lineRule="exact"/>
        <w:jc w:val="center"/>
        <w:rPr>
          <w:rFonts w:ascii="仿宋" w:hAnsi="仿宋" w:eastAsia="仿宋" w:cs="仿宋"/>
          <w:color w:val="auto"/>
          <w:sz w:val="36"/>
          <w:szCs w:val="36"/>
          <w:highlight w:val="none"/>
        </w:rPr>
      </w:pPr>
    </w:p>
    <w:p w14:paraId="4633D0B3">
      <w:pPr>
        <w:autoSpaceDE w:val="0"/>
        <w:autoSpaceDN w:val="0"/>
        <w:adjustRightInd w:val="0"/>
        <w:spacing w:line="400" w:lineRule="exact"/>
        <w:ind w:firstLine="480"/>
        <w:rPr>
          <w:rFonts w:ascii="仿宋" w:hAnsi="仿宋" w:eastAsia="仿宋" w:cs="仿宋"/>
          <w:color w:val="auto"/>
          <w:kern w:val="0"/>
          <w:sz w:val="24"/>
          <w:highlight w:val="none"/>
          <w:lang w:val="zh-CN"/>
        </w:rPr>
      </w:pPr>
      <w:bookmarkStart w:id="385" w:name="_Hlk182910040"/>
      <w:r>
        <w:rPr>
          <w:rFonts w:hint="eastAsia" w:ascii="仿宋" w:hAnsi="仿宋" w:eastAsia="仿宋" w:cs="仿宋"/>
          <w:color w:val="auto"/>
          <w:kern w:val="0"/>
          <w:sz w:val="24"/>
          <w:highlight w:val="none"/>
          <w:lang w:val="zh-CN"/>
        </w:rPr>
        <w:t>为了诚实、客观、有序地参与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项目</w:t>
      </w:r>
      <w:r>
        <w:rPr>
          <w:rFonts w:hint="eastAsia" w:ascii="仿宋" w:hAnsi="仿宋" w:eastAsia="仿宋" w:cs="仿宋"/>
          <w:color w:val="auto"/>
          <w:kern w:val="0"/>
          <w:sz w:val="24"/>
          <w:highlight w:val="none"/>
          <w:lang w:val="zh-CN"/>
        </w:rPr>
        <w:t>采购活动，愿就以下内容作出承诺：</w:t>
      </w:r>
    </w:p>
    <w:bookmarkEnd w:id="385"/>
    <w:p w14:paraId="06CD8EDF">
      <w:pPr>
        <w:autoSpaceDE w:val="0"/>
        <w:autoSpaceDN w:val="0"/>
        <w:adjustRightInd w:val="0"/>
        <w:spacing w:line="400" w:lineRule="exact"/>
        <w:ind w:firstLine="48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一、自觉遵守各项法律、法规、规章、制度以及社会公德，维护廉洁环境，与同场竞争的供应商平等参加招采购活动。</w:t>
      </w:r>
    </w:p>
    <w:p w14:paraId="47164F45">
      <w:pPr>
        <w:autoSpaceDE w:val="0"/>
        <w:autoSpaceDN w:val="0"/>
        <w:adjustRightInd w:val="0"/>
        <w:spacing w:line="400" w:lineRule="exact"/>
        <w:ind w:firstLine="48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二、参加采购代理机构组织的采购活动时，严格按照</w:t>
      </w:r>
      <w:r>
        <w:rPr>
          <w:rFonts w:hint="eastAsia" w:ascii="仿宋" w:hAnsi="仿宋" w:eastAsia="仿宋" w:cs="仿宋"/>
          <w:color w:val="auto"/>
          <w:kern w:val="0"/>
          <w:sz w:val="24"/>
          <w:highlight w:val="none"/>
        </w:rPr>
        <w:t>招标</w:t>
      </w:r>
      <w:r>
        <w:rPr>
          <w:rFonts w:hint="eastAsia" w:ascii="仿宋" w:hAnsi="仿宋" w:eastAsia="仿宋" w:cs="仿宋"/>
          <w:color w:val="auto"/>
          <w:kern w:val="0"/>
          <w:sz w:val="24"/>
          <w:highlight w:val="none"/>
          <w:lang w:val="zh-CN"/>
        </w:rPr>
        <w:t>文件的规定和要求提供所需的相关材料，并对所提供的各类资料的真实性负责，不虚假应标，不虚列业绩；不以他人名义投标或者以其他方式弄虚作假，骗取中标。</w:t>
      </w:r>
    </w:p>
    <w:p w14:paraId="63DEC1F2">
      <w:pPr>
        <w:autoSpaceDE w:val="0"/>
        <w:autoSpaceDN w:val="0"/>
        <w:adjustRightInd w:val="0"/>
        <w:spacing w:line="400" w:lineRule="exact"/>
        <w:ind w:firstLine="48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三、尊重参与采购活动各相关方的合法行为，接受采购活动依法形成的意见、结果。</w:t>
      </w:r>
    </w:p>
    <w:p w14:paraId="755D1DA9">
      <w:pPr>
        <w:autoSpaceDE w:val="0"/>
        <w:autoSpaceDN w:val="0"/>
        <w:adjustRightInd w:val="0"/>
        <w:spacing w:line="400" w:lineRule="exact"/>
        <w:ind w:firstLine="480"/>
        <w:rPr>
          <w:rFonts w:ascii="仿宋" w:hAnsi="仿宋" w:eastAsia="仿宋" w:cs="仿宋"/>
          <w:color w:val="auto"/>
          <w:kern w:val="0"/>
          <w:sz w:val="24"/>
          <w:highlight w:val="none"/>
          <w:lang w:val="zh-CN"/>
        </w:rPr>
      </w:pPr>
      <w:bookmarkStart w:id="386" w:name="_Hlk182909516"/>
      <w:r>
        <w:rPr>
          <w:rFonts w:hint="eastAsia" w:ascii="仿宋" w:hAnsi="仿宋" w:eastAsia="仿宋" w:cs="仿宋"/>
          <w:color w:val="auto"/>
          <w:kern w:val="0"/>
          <w:sz w:val="24"/>
          <w:highlight w:val="none"/>
          <w:lang w:val="zh-CN"/>
        </w:rPr>
        <w:t>四、依法参加采购活动，不与其他供应商互相串通投标，不排挤其他供应商的公平竞争，不损害招标人的合法权益；不与招标人或者招标代理机构串通投标，损害国家利益、社会公共利益或者他人的合法权益；不向招标人或者评标委员会成员行贿以牟取中标。维护市场秩序，不提供“三无”产品、以次充好。</w:t>
      </w:r>
    </w:p>
    <w:bookmarkEnd w:id="386"/>
    <w:p w14:paraId="396E0AB2">
      <w:pPr>
        <w:autoSpaceDE w:val="0"/>
        <w:autoSpaceDN w:val="0"/>
        <w:adjustRightInd w:val="0"/>
        <w:spacing w:line="400" w:lineRule="exact"/>
        <w:ind w:firstLine="48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严格按照招标文件的规定和要求提供所需的相关材料，并对所提供的各类资料的真实性负责。如有违反按照自治区财政厅下发的《关于开展政府采购领域“四类”违法违规行为专项整治工作的通知》精神，自愿接受检验检测报告的问题；不存在提供虚假的合同业绩及学历证书等证明材料的问题；处罚。供应商对所投标（响应）文件的真实性负责，绝不存在提供虚假的认证证书、不存在提供虚假的《中小企业声明函》的问题；不存在其他提供虚假材料的问题。</w:t>
      </w:r>
    </w:p>
    <w:p w14:paraId="35DDE884">
      <w:pPr>
        <w:autoSpaceDE w:val="0"/>
        <w:autoSpaceDN w:val="0"/>
        <w:adjustRightInd w:val="0"/>
        <w:spacing w:line="400" w:lineRule="exact"/>
        <w:ind w:firstLine="48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六、积极推动采购活动健康开展，对采购活动有疑问、异议时，按法律规定的程序实名（加盖单位章和法定代表人签名）反映情况，不恶意中伤、无事生非，以和谐、平等的心态参加采购活动。</w:t>
      </w:r>
    </w:p>
    <w:p w14:paraId="10761C04">
      <w:pPr>
        <w:autoSpaceDE w:val="0"/>
        <w:autoSpaceDN w:val="0"/>
        <w:adjustRightInd w:val="0"/>
        <w:spacing w:line="400" w:lineRule="exact"/>
        <w:ind w:firstLine="48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七、认真履行成交人应承担的责任和义务，全面执行采购合同规定的各项内容，保质保量地按时提供采购物品。</w:t>
      </w:r>
    </w:p>
    <w:p w14:paraId="409E21B0">
      <w:pPr>
        <w:autoSpaceDE w:val="0"/>
        <w:autoSpaceDN w:val="0"/>
        <w:adjustRightInd w:val="0"/>
        <w:spacing w:line="400" w:lineRule="exact"/>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若本企业（单位）发生有悖于上述承诺的行为或形成恶意投诉，我们自愿接受《政府采购法》等有关法律法规中对供应商的相关处理：</w:t>
      </w:r>
      <w:bookmarkStart w:id="387" w:name="_Hlk182910718"/>
      <w:r>
        <w:rPr>
          <w:rFonts w:hint="eastAsia" w:ascii="仿宋" w:hAnsi="仿宋" w:eastAsia="仿宋" w:cs="仿宋"/>
          <w:color w:val="auto"/>
          <w:kern w:val="0"/>
          <w:sz w:val="24"/>
          <w:highlight w:val="none"/>
          <w:lang w:val="zh-CN"/>
        </w:rPr>
        <w:t>自愿放弃中标资格、限制以后投标、记入不良信用档案、没收本次投标保证金，并愿意承担由此引起的其他法律责任。</w:t>
      </w:r>
      <w:bookmarkEnd w:id="387"/>
    </w:p>
    <w:p w14:paraId="317866F9">
      <w:pPr>
        <w:autoSpaceDE w:val="0"/>
        <w:autoSpaceDN w:val="0"/>
        <w:adjustRightInd w:val="0"/>
        <w:spacing w:line="400" w:lineRule="exact"/>
        <w:ind w:firstLine="4435" w:firstLineChars="1848"/>
        <w:rPr>
          <w:rFonts w:ascii="仿宋" w:hAnsi="仿宋" w:eastAsia="仿宋" w:cs="仿宋"/>
          <w:bCs/>
          <w:color w:val="auto"/>
          <w:kern w:val="0"/>
          <w:sz w:val="24"/>
          <w:highlight w:val="none"/>
          <w:lang w:val="zh-CN"/>
        </w:rPr>
      </w:pPr>
      <w:bookmarkStart w:id="388" w:name="_Hlk182910783"/>
      <w:r>
        <w:rPr>
          <w:rFonts w:hint="eastAsia" w:ascii="仿宋" w:hAnsi="仿宋" w:eastAsia="仿宋" w:cs="仿宋"/>
          <w:bCs/>
          <w:color w:val="auto"/>
          <w:kern w:val="0"/>
          <w:sz w:val="24"/>
          <w:highlight w:val="none"/>
          <w:lang w:val="zh-CN"/>
        </w:rPr>
        <w:t>供应商：             （公章）</w:t>
      </w:r>
    </w:p>
    <w:p w14:paraId="7B7A7865">
      <w:pPr>
        <w:autoSpaceDE w:val="0"/>
        <w:autoSpaceDN w:val="0"/>
        <w:adjustRightInd w:val="0"/>
        <w:spacing w:line="400" w:lineRule="exact"/>
        <w:rPr>
          <w:rFonts w:ascii="仿宋" w:hAnsi="仿宋" w:eastAsia="仿宋" w:cs="仿宋"/>
          <w:bCs/>
          <w:color w:val="auto"/>
          <w:kern w:val="0"/>
          <w:sz w:val="24"/>
          <w:highlight w:val="none"/>
          <w:lang w:val="zh-CN"/>
        </w:rPr>
      </w:pPr>
      <w:r>
        <w:rPr>
          <w:rFonts w:hint="eastAsia" w:ascii="仿宋" w:hAnsi="仿宋" w:eastAsia="仿宋" w:cs="仿宋"/>
          <w:bCs/>
          <w:color w:val="auto"/>
          <w:kern w:val="0"/>
          <w:sz w:val="24"/>
          <w:highlight w:val="none"/>
          <w:lang w:val="zh-CN"/>
        </w:rPr>
        <w:t xml:space="preserve">                     法定代表人或委托代理人：             （签字）</w:t>
      </w:r>
    </w:p>
    <w:p w14:paraId="1D2CBD91">
      <w:pPr>
        <w:rPr>
          <w:color w:val="auto"/>
          <w:highlight w:val="none"/>
        </w:rPr>
      </w:pPr>
      <w:r>
        <w:rPr>
          <w:rFonts w:hint="eastAsia" w:ascii="仿宋" w:hAnsi="仿宋" w:eastAsia="仿宋" w:cs="仿宋"/>
          <w:bCs/>
          <w:color w:val="auto"/>
          <w:kern w:val="0"/>
          <w:sz w:val="24"/>
          <w:highlight w:val="none"/>
          <w:lang w:val="zh-CN"/>
        </w:rPr>
        <w:t xml:space="preserve">                                         年   月   日</w:t>
      </w:r>
      <w:bookmarkEnd w:id="388"/>
    </w:p>
    <w:p w14:paraId="2188D315">
      <w:pPr>
        <w:pStyle w:val="13"/>
        <w:rPr>
          <w:color w:val="auto"/>
          <w:highlight w:val="none"/>
        </w:rPr>
      </w:pPr>
    </w:p>
    <w:p w14:paraId="27F2D1D7">
      <w:pPr>
        <w:rPr>
          <w:color w:val="auto"/>
          <w:highlight w:val="none"/>
        </w:rPr>
      </w:pPr>
      <w:r>
        <w:rPr>
          <w:rFonts w:hint="eastAsia"/>
          <w:color w:val="auto"/>
          <w:highlight w:val="none"/>
        </w:rPr>
        <w:br w:type="page"/>
      </w:r>
    </w:p>
    <w:p w14:paraId="0229E436">
      <w:pPr>
        <w:pStyle w:val="3"/>
        <w:rPr>
          <w:color w:val="auto"/>
          <w:highlight w:val="none"/>
          <w:lang w:val="zh-CN"/>
        </w:rPr>
      </w:pPr>
      <w:bookmarkStart w:id="389" w:name="_Toc22101"/>
      <w:r>
        <w:rPr>
          <w:rFonts w:hint="eastAsia"/>
          <w:color w:val="auto"/>
          <w:highlight w:val="none"/>
        </w:rPr>
        <w:t>六、</w:t>
      </w:r>
      <w:bookmarkEnd w:id="384"/>
      <w:r>
        <w:rPr>
          <w:rFonts w:hint="eastAsia"/>
          <w:color w:val="auto"/>
          <w:highlight w:val="none"/>
          <w:lang w:val="zh-CN"/>
        </w:rPr>
        <w:t>其他资格证明文件</w:t>
      </w:r>
      <w:bookmarkEnd w:id="389"/>
    </w:p>
    <w:p w14:paraId="3C29FAAC">
      <w:pPr>
        <w:pStyle w:val="40"/>
        <w:rPr>
          <w:color w:val="auto"/>
          <w:highlight w:val="none"/>
        </w:rPr>
      </w:pPr>
      <w:r>
        <w:rPr>
          <w:rFonts w:hint="eastAsia"/>
          <w:color w:val="auto"/>
          <w:highlight w:val="none"/>
        </w:rPr>
        <w:t>投标人认为需提供的其它相关资格证明材料</w:t>
      </w:r>
    </w:p>
    <w:p w14:paraId="3E6FEE3C">
      <w:pPr>
        <w:pStyle w:val="40"/>
        <w:rPr>
          <w:color w:val="auto"/>
          <w:highlight w:val="none"/>
        </w:rPr>
      </w:pPr>
    </w:p>
    <w:p w14:paraId="33814F79">
      <w:pPr>
        <w:pStyle w:val="40"/>
        <w:rPr>
          <w:color w:val="auto"/>
          <w:highlight w:val="none"/>
        </w:rPr>
      </w:pPr>
    </w:p>
    <w:p w14:paraId="1F818DCE">
      <w:pPr>
        <w:pStyle w:val="40"/>
        <w:rPr>
          <w:color w:val="auto"/>
          <w:highlight w:val="none"/>
        </w:rPr>
      </w:pPr>
    </w:p>
    <w:p w14:paraId="64BAA528">
      <w:pPr>
        <w:pStyle w:val="40"/>
        <w:rPr>
          <w:color w:val="auto"/>
          <w:highlight w:val="none"/>
        </w:rPr>
      </w:pPr>
    </w:p>
    <w:p w14:paraId="002399C5">
      <w:pPr>
        <w:pStyle w:val="40"/>
        <w:rPr>
          <w:color w:val="auto"/>
          <w:highlight w:val="none"/>
        </w:rPr>
      </w:pPr>
    </w:p>
    <w:p w14:paraId="7E8652EF">
      <w:pPr>
        <w:pStyle w:val="40"/>
        <w:rPr>
          <w:color w:val="auto"/>
          <w:highlight w:val="none"/>
        </w:rPr>
      </w:pPr>
    </w:p>
    <w:p w14:paraId="7C8007FE">
      <w:pPr>
        <w:pStyle w:val="40"/>
        <w:rPr>
          <w:color w:val="auto"/>
          <w:highlight w:val="none"/>
        </w:rPr>
      </w:pPr>
    </w:p>
    <w:p w14:paraId="4E561F7B">
      <w:pPr>
        <w:pStyle w:val="40"/>
        <w:rPr>
          <w:color w:val="auto"/>
          <w:highlight w:val="none"/>
        </w:rPr>
      </w:pPr>
    </w:p>
    <w:p w14:paraId="3D7A4F01">
      <w:pPr>
        <w:pStyle w:val="40"/>
        <w:rPr>
          <w:color w:val="auto"/>
          <w:highlight w:val="none"/>
        </w:rPr>
      </w:pPr>
    </w:p>
    <w:p w14:paraId="6A38F38E">
      <w:pPr>
        <w:pStyle w:val="40"/>
        <w:rPr>
          <w:color w:val="auto"/>
          <w:highlight w:val="none"/>
        </w:rPr>
      </w:pPr>
    </w:p>
    <w:p w14:paraId="59CBB361">
      <w:pPr>
        <w:pStyle w:val="40"/>
        <w:rPr>
          <w:color w:val="auto"/>
          <w:highlight w:val="none"/>
        </w:rPr>
      </w:pPr>
    </w:p>
    <w:p w14:paraId="5967B238">
      <w:pPr>
        <w:pStyle w:val="40"/>
        <w:rPr>
          <w:color w:val="auto"/>
          <w:highlight w:val="none"/>
        </w:rPr>
      </w:pPr>
    </w:p>
    <w:p w14:paraId="1A040BAE">
      <w:pPr>
        <w:pStyle w:val="40"/>
        <w:rPr>
          <w:color w:val="auto"/>
          <w:highlight w:val="none"/>
        </w:rPr>
      </w:pPr>
    </w:p>
    <w:p w14:paraId="4EF42FDE">
      <w:pPr>
        <w:pStyle w:val="40"/>
        <w:rPr>
          <w:color w:val="auto"/>
          <w:highlight w:val="none"/>
        </w:rPr>
      </w:pPr>
    </w:p>
    <w:p w14:paraId="3069AAFF">
      <w:pPr>
        <w:pStyle w:val="40"/>
        <w:rPr>
          <w:color w:val="auto"/>
          <w:highlight w:val="none"/>
        </w:rPr>
      </w:pPr>
    </w:p>
    <w:p w14:paraId="1F328EA2">
      <w:pPr>
        <w:pStyle w:val="40"/>
        <w:rPr>
          <w:color w:val="auto"/>
          <w:highlight w:val="none"/>
        </w:rPr>
      </w:pPr>
    </w:p>
    <w:p w14:paraId="6CC5B786">
      <w:pPr>
        <w:pStyle w:val="40"/>
        <w:rPr>
          <w:color w:val="auto"/>
          <w:highlight w:val="none"/>
        </w:rPr>
      </w:pPr>
    </w:p>
    <w:p w14:paraId="6D0C48F6">
      <w:pPr>
        <w:pStyle w:val="40"/>
        <w:rPr>
          <w:color w:val="auto"/>
          <w:highlight w:val="none"/>
        </w:rPr>
      </w:pPr>
    </w:p>
    <w:p w14:paraId="6A09F099">
      <w:pPr>
        <w:pStyle w:val="40"/>
        <w:rPr>
          <w:color w:val="auto"/>
          <w:highlight w:val="none"/>
        </w:rPr>
      </w:pPr>
    </w:p>
    <w:p w14:paraId="3A039F18">
      <w:pPr>
        <w:pStyle w:val="40"/>
        <w:rPr>
          <w:color w:val="auto"/>
          <w:highlight w:val="none"/>
        </w:rPr>
      </w:pPr>
    </w:p>
    <w:p w14:paraId="68199BBA">
      <w:pPr>
        <w:pStyle w:val="40"/>
        <w:rPr>
          <w:color w:val="auto"/>
          <w:highlight w:val="none"/>
        </w:rPr>
      </w:pPr>
    </w:p>
    <w:p w14:paraId="1CEF61FC">
      <w:pPr>
        <w:pStyle w:val="40"/>
        <w:rPr>
          <w:color w:val="auto"/>
          <w:highlight w:val="none"/>
        </w:rPr>
      </w:pPr>
    </w:p>
    <w:p w14:paraId="08277549">
      <w:pPr>
        <w:pStyle w:val="40"/>
        <w:rPr>
          <w:color w:val="auto"/>
          <w:highlight w:val="none"/>
        </w:rPr>
      </w:pPr>
    </w:p>
    <w:p w14:paraId="7FB56957">
      <w:pPr>
        <w:pStyle w:val="40"/>
        <w:rPr>
          <w:color w:val="auto"/>
          <w:highlight w:val="none"/>
        </w:rPr>
      </w:pPr>
    </w:p>
    <w:p w14:paraId="5EAFBAFD">
      <w:pPr>
        <w:pStyle w:val="40"/>
        <w:rPr>
          <w:color w:val="auto"/>
          <w:highlight w:val="none"/>
        </w:rPr>
      </w:pPr>
    </w:p>
    <w:p w14:paraId="2FB4B34A">
      <w:pPr>
        <w:pStyle w:val="40"/>
        <w:rPr>
          <w:color w:val="auto"/>
          <w:highlight w:val="none"/>
        </w:rPr>
      </w:pPr>
    </w:p>
    <w:p w14:paraId="73C7E12C">
      <w:pPr>
        <w:pStyle w:val="63"/>
        <w:spacing w:line="360" w:lineRule="exact"/>
        <w:rPr>
          <w:rFonts w:ascii="宋体" w:hAnsi="宋体" w:eastAsia="宋体" w:cs="宋体"/>
          <w:b/>
          <w:bCs/>
          <w:color w:val="auto"/>
          <w:highlight w:val="none"/>
        </w:rPr>
      </w:pPr>
    </w:p>
    <w:p w14:paraId="23C8B51A">
      <w:pPr>
        <w:rPr>
          <w:color w:val="auto"/>
          <w:highlight w:val="none"/>
          <w:lang w:val="zh-CN"/>
        </w:rPr>
      </w:pPr>
      <w:r>
        <w:rPr>
          <w:color w:val="auto"/>
          <w:highlight w:val="none"/>
          <w:lang w:val="zh-CN"/>
        </w:rPr>
        <w:br w:type="page"/>
      </w:r>
    </w:p>
    <w:p w14:paraId="4787B582">
      <w:pPr>
        <w:rPr>
          <w:color w:val="auto"/>
          <w:highlight w:val="none"/>
          <w:lang w:val="zh-CN"/>
        </w:rPr>
      </w:pPr>
      <w:r>
        <w:rPr>
          <w:rFonts w:hint="eastAsia"/>
          <w:color w:val="auto"/>
          <w:highlight w:val="none"/>
          <w:lang w:val="zh-CN"/>
        </w:rPr>
        <w:t>封面：</w:t>
      </w:r>
    </w:p>
    <w:p w14:paraId="5EB938C0">
      <w:pPr>
        <w:rPr>
          <w:color w:val="auto"/>
          <w:highlight w:val="none"/>
        </w:rPr>
      </w:pPr>
    </w:p>
    <w:p w14:paraId="5A2F75FE">
      <w:pPr>
        <w:rPr>
          <w:color w:val="auto"/>
          <w:highlight w:val="none"/>
        </w:rPr>
      </w:pPr>
    </w:p>
    <w:p w14:paraId="2C5F4438">
      <w:pPr>
        <w:rPr>
          <w:color w:val="auto"/>
          <w:highlight w:val="none"/>
        </w:rPr>
      </w:pPr>
    </w:p>
    <w:p w14:paraId="40B739B8">
      <w:pPr>
        <w:pStyle w:val="2"/>
        <w:rPr>
          <w:color w:val="auto"/>
          <w:highlight w:val="none"/>
        </w:rPr>
      </w:pPr>
      <w:bookmarkStart w:id="390" w:name="_Toc4103"/>
      <w:r>
        <w:rPr>
          <w:rFonts w:hint="eastAsia"/>
          <w:color w:val="auto"/>
          <w:highlight w:val="none"/>
        </w:rPr>
        <w:t>投 标 文 件</w:t>
      </w:r>
      <w:bookmarkEnd w:id="390"/>
    </w:p>
    <w:p w14:paraId="7D5FE2F6">
      <w:pPr>
        <w:pStyle w:val="2"/>
        <w:rPr>
          <w:color w:val="auto"/>
          <w:highlight w:val="none"/>
        </w:rPr>
      </w:pPr>
      <w:bookmarkStart w:id="391" w:name="_Toc32571"/>
      <w:r>
        <w:rPr>
          <w:rFonts w:hint="eastAsia"/>
          <w:color w:val="auto"/>
          <w:highlight w:val="none"/>
        </w:rPr>
        <w:t>报价文件</w:t>
      </w:r>
      <w:bookmarkEnd w:id="391"/>
    </w:p>
    <w:p w14:paraId="62B369A6">
      <w:pPr>
        <w:spacing w:line="360" w:lineRule="auto"/>
        <w:rPr>
          <w:color w:val="auto"/>
          <w:highlight w:val="none"/>
        </w:rPr>
      </w:pPr>
      <w:r>
        <w:rPr>
          <w:rFonts w:hint="eastAsia"/>
          <w:color w:val="auto"/>
          <w:highlight w:val="none"/>
        </w:rPr>
        <w:t>（第XX包）【如不分包，请删去本行】</w:t>
      </w:r>
    </w:p>
    <w:p w14:paraId="4CEDDD16">
      <w:pPr>
        <w:spacing w:line="360" w:lineRule="auto"/>
        <w:rPr>
          <w:color w:val="auto"/>
          <w:highlight w:val="none"/>
        </w:rPr>
      </w:pPr>
    </w:p>
    <w:p w14:paraId="416645EA">
      <w:pPr>
        <w:spacing w:line="360" w:lineRule="auto"/>
        <w:rPr>
          <w:color w:val="auto"/>
          <w:highlight w:val="none"/>
        </w:rPr>
      </w:pPr>
    </w:p>
    <w:p w14:paraId="6007F480">
      <w:pPr>
        <w:spacing w:line="360" w:lineRule="auto"/>
        <w:rPr>
          <w:color w:val="auto"/>
          <w:highlight w:val="none"/>
        </w:rPr>
      </w:pPr>
    </w:p>
    <w:p w14:paraId="35BD6983">
      <w:pPr>
        <w:spacing w:line="360" w:lineRule="auto"/>
        <w:rPr>
          <w:color w:val="auto"/>
          <w:highlight w:val="none"/>
        </w:rPr>
      </w:pPr>
      <w:r>
        <w:rPr>
          <w:rFonts w:hint="eastAsia"/>
          <w:color w:val="auto"/>
          <w:highlight w:val="none"/>
        </w:rPr>
        <w:t xml:space="preserve">项目编号/包号：                            </w:t>
      </w:r>
    </w:p>
    <w:p w14:paraId="62B012B6">
      <w:pPr>
        <w:spacing w:line="360" w:lineRule="auto"/>
        <w:rPr>
          <w:color w:val="auto"/>
          <w:highlight w:val="none"/>
        </w:rPr>
      </w:pPr>
      <w:r>
        <w:rPr>
          <w:rFonts w:hint="eastAsia"/>
          <w:color w:val="auto"/>
          <w:highlight w:val="none"/>
        </w:rPr>
        <w:t xml:space="preserve">项目名称：                                 </w:t>
      </w:r>
    </w:p>
    <w:p w14:paraId="4E5D78D8">
      <w:pPr>
        <w:spacing w:line="360" w:lineRule="auto"/>
        <w:rPr>
          <w:color w:val="auto"/>
          <w:highlight w:val="none"/>
        </w:rPr>
      </w:pPr>
      <w:r>
        <w:rPr>
          <w:rFonts w:hint="eastAsia"/>
          <w:color w:val="auto"/>
          <w:highlight w:val="none"/>
        </w:rPr>
        <w:t xml:space="preserve">投 标 人：                                 </w:t>
      </w:r>
    </w:p>
    <w:p w14:paraId="0649ABB0">
      <w:pPr>
        <w:spacing w:line="360" w:lineRule="auto"/>
        <w:rPr>
          <w:color w:val="auto"/>
          <w:highlight w:val="none"/>
        </w:rPr>
      </w:pPr>
    </w:p>
    <w:p w14:paraId="45837F9C">
      <w:pPr>
        <w:spacing w:line="360" w:lineRule="auto"/>
        <w:rPr>
          <w:color w:val="auto"/>
          <w:highlight w:val="none"/>
        </w:rPr>
      </w:pPr>
    </w:p>
    <w:p w14:paraId="1B7576AC">
      <w:pPr>
        <w:spacing w:line="360" w:lineRule="auto"/>
        <w:rPr>
          <w:color w:val="auto"/>
          <w:highlight w:val="none"/>
        </w:rPr>
      </w:pPr>
      <w:r>
        <w:rPr>
          <w:rFonts w:hint="eastAsia"/>
          <w:color w:val="auto"/>
          <w:highlight w:val="none"/>
        </w:rPr>
        <w:t>年   月    日</w:t>
      </w:r>
    </w:p>
    <w:p w14:paraId="4AFB8D83">
      <w:pPr>
        <w:spacing w:line="360" w:lineRule="auto"/>
        <w:rPr>
          <w:color w:val="auto"/>
          <w:highlight w:val="none"/>
          <w:lang w:val="zh-CN"/>
        </w:rPr>
      </w:pPr>
      <w:r>
        <w:rPr>
          <w:color w:val="auto"/>
          <w:highlight w:val="none"/>
          <w:lang w:val="zh-CN"/>
        </w:rPr>
        <w:br w:type="page"/>
      </w:r>
    </w:p>
    <w:p w14:paraId="19B795B6">
      <w:pPr>
        <w:pStyle w:val="3"/>
        <w:rPr>
          <w:color w:val="auto"/>
          <w:highlight w:val="none"/>
        </w:rPr>
      </w:pPr>
      <w:bookmarkStart w:id="392" w:name="_Toc8563"/>
      <w:r>
        <w:rPr>
          <w:rFonts w:hint="eastAsia"/>
          <w:color w:val="auto"/>
          <w:highlight w:val="none"/>
        </w:rPr>
        <w:t>一、开标一览表</w:t>
      </w:r>
      <w:bookmarkEnd w:id="392"/>
    </w:p>
    <w:p w14:paraId="2176FDAA">
      <w:pPr>
        <w:rPr>
          <w:color w:val="auto"/>
          <w:highlight w:val="none"/>
        </w:rPr>
      </w:pPr>
    </w:p>
    <w:p w14:paraId="1252C17D">
      <w:pPr>
        <w:spacing w:line="360" w:lineRule="auto"/>
        <w:rPr>
          <w:color w:val="auto"/>
          <w:highlight w:val="none"/>
          <w:lang w:val="zh-CN"/>
        </w:rPr>
      </w:pPr>
      <w:r>
        <w:rPr>
          <w:rFonts w:hint="eastAsia"/>
          <w:color w:val="auto"/>
          <w:highlight w:val="none"/>
          <w:lang w:val="zh-CN"/>
        </w:rPr>
        <w:t xml:space="preserve">项目名称：                     </w:t>
      </w:r>
    </w:p>
    <w:p w14:paraId="20E6B04D">
      <w:pPr>
        <w:spacing w:line="360" w:lineRule="auto"/>
        <w:rPr>
          <w:color w:val="auto"/>
          <w:highlight w:val="none"/>
          <w:lang w:val="zh-CN"/>
        </w:rPr>
      </w:pPr>
      <w:r>
        <w:rPr>
          <w:rFonts w:hint="eastAsia"/>
          <w:color w:val="auto"/>
          <w:highlight w:val="none"/>
          <w:lang w:val="zh-CN"/>
        </w:rPr>
        <w:t>项目编号</w:t>
      </w:r>
      <w:r>
        <w:rPr>
          <w:rFonts w:hint="eastAsia"/>
          <w:color w:val="auto"/>
          <w:highlight w:val="none"/>
        </w:rPr>
        <w:t>/</w:t>
      </w:r>
      <w:r>
        <w:rPr>
          <w:rFonts w:hint="eastAsia"/>
          <w:color w:val="auto"/>
          <w:highlight w:val="none"/>
          <w:lang w:val="zh-CN"/>
        </w:rPr>
        <w:t xml:space="preserve">包号：                </w:t>
      </w:r>
    </w:p>
    <w:tbl>
      <w:tblPr>
        <w:tblStyle w:val="32"/>
        <w:tblW w:w="8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8"/>
        <w:gridCol w:w="2717"/>
        <w:gridCol w:w="3283"/>
      </w:tblGrid>
      <w:tr w14:paraId="6619A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2958" w:type="dxa"/>
            <w:vAlign w:val="center"/>
          </w:tcPr>
          <w:p w14:paraId="477E7B31">
            <w:pPr>
              <w:spacing w:line="360" w:lineRule="auto"/>
              <w:rPr>
                <w:color w:val="auto"/>
                <w:highlight w:val="none"/>
              </w:rPr>
            </w:pPr>
            <w:r>
              <w:rPr>
                <w:rFonts w:hint="eastAsia"/>
                <w:color w:val="auto"/>
                <w:highlight w:val="none"/>
              </w:rPr>
              <w:t>投标报价</w:t>
            </w:r>
          </w:p>
        </w:tc>
        <w:tc>
          <w:tcPr>
            <w:tcW w:w="2717" w:type="dxa"/>
            <w:vAlign w:val="center"/>
          </w:tcPr>
          <w:p w14:paraId="49BA9FBE">
            <w:pPr>
              <w:spacing w:line="360" w:lineRule="auto"/>
              <w:rPr>
                <w:color w:val="auto"/>
                <w:highlight w:val="none"/>
              </w:rPr>
            </w:pPr>
            <w:r>
              <w:rPr>
                <w:rFonts w:hint="eastAsia"/>
                <w:color w:val="auto"/>
                <w:highlight w:val="none"/>
              </w:rPr>
              <w:t>交货期限</w:t>
            </w:r>
          </w:p>
        </w:tc>
        <w:tc>
          <w:tcPr>
            <w:tcW w:w="3283" w:type="dxa"/>
            <w:vAlign w:val="center"/>
          </w:tcPr>
          <w:p w14:paraId="5FAEAAA2">
            <w:pPr>
              <w:spacing w:line="360" w:lineRule="auto"/>
              <w:rPr>
                <w:color w:val="auto"/>
                <w:highlight w:val="none"/>
              </w:rPr>
            </w:pPr>
            <w:r>
              <w:rPr>
                <w:rFonts w:hint="eastAsia"/>
                <w:color w:val="auto"/>
                <w:highlight w:val="none"/>
              </w:rPr>
              <w:t>备注（如有）</w:t>
            </w:r>
          </w:p>
        </w:tc>
      </w:tr>
      <w:tr w14:paraId="2292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2958" w:type="dxa"/>
            <w:vAlign w:val="center"/>
          </w:tcPr>
          <w:p w14:paraId="595C5C09">
            <w:pPr>
              <w:spacing w:line="360" w:lineRule="auto"/>
              <w:rPr>
                <w:color w:val="auto"/>
                <w:highlight w:val="none"/>
              </w:rPr>
            </w:pPr>
            <w:r>
              <w:rPr>
                <w:rFonts w:hint="eastAsia"/>
                <w:color w:val="auto"/>
                <w:highlight w:val="none"/>
              </w:rPr>
              <w:t>小写：</w:t>
            </w:r>
          </w:p>
          <w:p w14:paraId="724B88E7">
            <w:pPr>
              <w:spacing w:line="360" w:lineRule="auto"/>
              <w:rPr>
                <w:color w:val="auto"/>
                <w:highlight w:val="none"/>
              </w:rPr>
            </w:pPr>
            <w:r>
              <w:rPr>
                <w:rFonts w:hint="eastAsia"/>
                <w:color w:val="auto"/>
                <w:highlight w:val="none"/>
              </w:rPr>
              <w:t>大写：</w:t>
            </w:r>
          </w:p>
        </w:tc>
        <w:tc>
          <w:tcPr>
            <w:tcW w:w="2717" w:type="dxa"/>
            <w:vAlign w:val="center"/>
          </w:tcPr>
          <w:p w14:paraId="2D24CA19">
            <w:pPr>
              <w:spacing w:line="360" w:lineRule="auto"/>
              <w:rPr>
                <w:color w:val="auto"/>
                <w:highlight w:val="none"/>
              </w:rPr>
            </w:pPr>
          </w:p>
        </w:tc>
        <w:tc>
          <w:tcPr>
            <w:tcW w:w="3283" w:type="dxa"/>
            <w:vAlign w:val="center"/>
          </w:tcPr>
          <w:p w14:paraId="1E93F66A">
            <w:pPr>
              <w:spacing w:line="360" w:lineRule="auto"/>
              <w:rPr>
                <w:color w:val="auto"/>
                <w:highlight w:val="none"/>
              </w:rPr>
            </w:pPr>
          </w:p>
        </w:tc>
      </w:tr>
    </w:tbl>
    <w:p w14:paraId="453E5DF3">
      <w:pPr>
        <w:spacing w:line="360" w:lineRule="auto"/>
        <w:rPr>
          <w:color w:val="auto"/>
          <w:highlight w:val="none"/>
        </w:rPr>
      </w:pPr>
    </w:p>
    <w:p w14:paraId="6F463ADF">
      <w:pPr>
        <w:spacing w:line="360" w:lineRule="auto"/>
        <w:rPr>
          <w:color w:val="auto"/>
          <w:highlight w:val="none"/>
        </w:rPr>
      </w:pPr>
      <w:r>
        <w:rPr>
          <w:color w:val="auto"/>
          <w:highlight w:val="none"/>
        </w:rPr>
        <w:t>投标人名称</w:t>
      </w:r>
      <w:r>
        <w:rPr>
          <w:rFonts w:hint="eastAsia" w:cs="仿宋_GB2312"/>
          <w:color w:val="auto"/>
          <w:szCs w:val="24"/>
          <w:highlight w:val="none"/>
        </w:rPr>
        <w:t>（</w:t>
      </w:r>
      <w:r>
        <w:rPr>
          <w:rFonts w:hint="eastAsia" w:cs="宋体"/>
          <w:color w:val="auto"/>
          <w:kern w:val="0"/>
          <w:szCs w:val="24"/>
          <w:highlight w:val="none"/>
        </w:rPr>
        <w:t>公章</w:t>
      </w:r>
      <w:r>
        <w:rPr>
          <w:rFonts w:hint="eastAsia" w:cs="宋体"/>
          <w:color w:val="auto"/>
          <w:kern w:val="0"/>
          <w:highlight w:val="none"/>
          <w:lang w:val="zh-CN"/>
        </w:rPr>
        <w:t>)</w:t>
      </w:r>
      <w:r>
        <w:rPr>
          <w:color w:val="auto"/>
          <w:highlight w:val="none"/>
        </w:rPr>
        <w:t>：</w:t>
      </w:r>
    </w:p>
    <w:p w14:paraId="16D2DB80">
      <w:pPr>
        <w:spacing w:line="360" w:lineRule="auto"/>
        <w:rPr>
          <w:color w:val="auto"/>
          <w:highlight w:val="none"/>
          <w:lang w:bidi="ar"/>
        </w:rPr>
      </w:pPr>
      <w:r>
        <w:rPr>
          <w:rFonts w:hint="eastAsia"/>
          <w:color w:val="auto"/>
          <w:highlight w:val="none"/>
          <w:lang w:bidi="ar"/>
        </w:rPr>
        <w:t>法定代表人或授权代表（签字或印章）：</w:t>
      </w:r>
    </w:p>
    <w:p w14:paraId="6DCCD6D1">
      <w:pPr>
        <w:spacing w:line="360" w:lineRule="auto"/>
        <w:rPr>
          <w:color w:val="auto"/>
          <w:highlight w:val="none"/>
          <w:u w:val="single"/>
        </w:rPr>
      </w:pPr>
      <w:r>
        <w:rPr>
          <w:color w:val="auto"/>
          <w:highlight w:val="none"/>
        </w:rPr>
        <w:t>日期：</w:t>
      </w:r>
    </w:p>
    <w:p w14:paraId="2C9EA8C1">
      <w:pPr>
        <w:spacing w:line="360" w:lineRule="auto"/>
        <w:rPr>
          <w:color w:val="auto"/>
          <w:highlight w:val="none"/>
        </w:rPr>
      </w:pPr>
    </w:p>
    <w:p w14:paraId="7D3403C3">
      <w:pPr>
        <w:pStyle w:val="13"/>
        <w:spacing w:line="360" w:lineRule="auto"/>
        <w:rPr>
          <w:color w:val="auto"/>
          <w:highlight w:val="none"/>
        </w:rPr>
      </w:pPr>
    </w:p>
    <w:p w14:paraId="1A24E6AE">
      <w:pPr>
        <w:pStyle w:val="13"/>
        <w:spacing w:line="360" w:lineRule="auto"/>
        <w:rPr>
          <w:color w:val="auto"/>
          <w:highlight w:val="none"/>
        </w:rPr>
      </w:pPr>
    </w:p>
    <w:p w14:paraId="342C4AF6">
      <w:pPr>
        <w:pStyle w:val="13"/>
        <w:spacing w:line="360" w:lineRule="auto"/>
        <w:rPr>
          <w:color w:val="auto"/>
          <w:highlight w:val="none"/>
        </w:rPr>
      </w:pPr>
    </w:p>
    <w:p w14:paraId="6914A9D2">
      <w:pPr>
        <w:pStyle w:val="13"/>
        <w:spacing w:line="360" w:lineRule="auto"/>
        <w:rPr>
          <w:color w:val="auto"/>
          <w:highlight w:val="none"/>
        </w:rPr>
      </w:pPr>
    </w:p>
    <w:p w14:paraId="2BAEFFCD">
      <w:pPr>
        <w:spacing w:line="360" w:lineRule="auto"/>
        <w:rPr>
          <w:color w:val="auto"/>
          <w:highlight w:val="none"/>
        </w:rPr>
      </w:pPr>
      <w:r>
        <w:rPr>
          <w:rFonts w:hint="eastAsia"/>
          <w:color w:val="auto"/>
          <w:highlight w:val="none"/>
        </w:rPr>
        <w:t>注：</w:t>
      </w:r>
    </w:p>
    <w:p w14:paraId="2B070BB5">
      <w:pPr>
        <w:spacing w:line="360" w:lineRule="auto"/>
        <w:rPr>
          <w:color w:val="auto"/>
          <w:highlight w:val="none"/>
        </w:rPr>
      </w:pPr>
      <w:r>
        <w:rPr>
          <w:rFonts w:hint="eastAsia"/>
          <w:color w:val="auto"/>
          <w:highlight w:val="none"/>
        </w:rPr>
        <w:t>1.此表用于开标唱标之用。</w:t>
      </w:r>
    </w:p>
    <w:p w14:paraId="05BC93A6">
      <w:pPr>
        <w:spacing w:line="360" w:lineRule="auto"/>
        <w:rPr>
          <w:color w:val="auto"/>
          <w:highlight w:val="none"/>
        </w:rPr>
      </w:pPr>
      <w:r>
        <w:rPr>
          <w:rFonts w:hint="eastAsia"/>
          <w:color w:val="auto"/>
          <w:highlight w:val="none"/>
        </w:rPr>
        <w:t>2.表中投标报价即为优惠后报价，并作为评审及定标依据。任何有选择或有条件的投标报价，或者表中某一包填写多个报价，均为无效报价。</w:t>
      </w:r>
    </w:p>
    <w:p w14:paraId="22E600BD">
      <w:pPr>
        <w:pStyle w:val="13"/>
        <w:spacing w:line="360" w:lineRule="auto"/>
        <w:rPr>
          <w:rFonts w:hint="eastAsia" w:ascii="宋体" w:hAnsi="宋体" w:eastAsia="宋体" w:cstheme="minorBidi"/>
          <w:color w:val="auto"/>
          <w:kern w:val="2"/>
          <w:sz w:val="24"/>
          <w:szCs w:val="22"/>
          <w:highlight w:val="none"/>
          <w:lang w:val="en-US" w:eastAsia="zh-CN" w:bidi="ar-SA"/>
        </w:rPr>
      </w:pPr>
      <w:r>
        <w:rPr>
          <w:rFonts w:hint="eastAsia" w:ascii="宋体" w:hAnsi="宋体" w:eastAsia="宋体" w:cstheme="minorBidi"/>
          <w:color w:val="auto"/>
          <w:kern w:val="2"/>
          <w:sz w:val="24"/>
          <w:szCs w:val="22"/>
          <w:highlight w:val="none"/>
          <w:lang w:val="en-US" w:eastAsia="zh-CN" w:bidi="ar-SA"/>
        </w:rPr>
        <w:t>3.表中大写与小写不一致的，以大写为准。</w:t>
      </w:r>
    </w:p>
    <w:p w14:paraId="611F9F22">
      <w:pPr>
        <w:pStyle w:val="13"/>
        <w:rPr>
          <w:color w:val="auto"/>
          <w:highlight w:val="none"/>
        </w:rPr>
      </w:pPr>
    </w:p>
    <w:p w14:paraId="1EBA21DE">
      <w:pPr>
        <w:pStyle w:val="13"/>
        <w:rPr>
          <w:color w:val="auto"/>
          <w:highlight w:val="none"/>
        </w:rPr>
      </w:pPr>
    </w:p>
    <w:p w14:paraId="3BEE78D5">
      <w:pPr>
        <w:pStyle w:val="13"/>
        <w:rPr>
          <w:color w:val="auto"/>
          <w:highlight w:val="none"/>
        </w:rPr>
      </w:pPr>
    </w:p>
    <w:p w14:paraId="023F51F1">
      <w:pPr>
        <w:pStyle w:val="3"/>
        <w:rPr>
          <w:color w:val="auto"/>
          <w:highlight w:val="none"/>
        </w:rPr>
        <w:sectPr>
          <w:footerReference r:id="rId7" w:type="default"/>
          <w:pgSz w:w="11906" w:h="16838"/>
          <w:pgMar w:top="1440" w:right="1800" w:bottom="1440" w:left="1800" w:header="851" w:footer="992" w:gutter="0"/>
          <w:pgNumType w:fmt="numberInDash"/>
          <w:cols w:space="425" w:num="1"/>
          <w:docGrid w:type="lines" w:linePitch="312" w:charSpace="0"/>
        </w:sectPr>
      </w:pPr>
    </w:p>
    <w:p w14:paraId="4E199394">
      <w:pPr>
        <w:pStyle w:val="3"/>
        <w:rPr>
          <w:color w:val="auto"/>
          <w:highlight w:val="none"/>
        </w:rPr>
      </w:pPr>
      <w:bookmarkStart w:id="393" w:name="_Toc23873"/>
      <w:r>
        <w:rPr>
          <w:rFonts w:hint="eastAsia"/>
          <w:color w:val="auto"/>
          <w:highlight w:val="none"/>
        </w:rPr>
        <w:t>二、分项报价表</w:t>
      </w:r>
      <w:bookmarkEnd w:id="393"/>
    </w:p>
    <w:p w14:paraId="7E2F3E61">
      <w:pPr>
        <w:jc w:val="center"/>
        <w:rPr>
          <w:color w:val="auto"/>
          <w:highlight w:val="none"/>
          <w:lang w:val="zh-CN"/>
        </w:rPr>
      </w:pPr>
      <w:r>
        <w:rPr>
          <w:color w:val="auto"/>
          <w:sz w:val="28"/>
          <w:highlight w:val="none"/>
        </w:rPr>
        <w:t>投标明细报价表</w:t>
      </w:r>
    </w:p>
    <w:p w14:paraId="111CC78F">
      <w:pPr>
        <w:rPr>
          <w:color w:val="auto"/>
          <w:highlight w:val="none"/>
          <w:lang w:val="zh-CN"/>
        </w:rPr>
      </w:pPr>
      <w:r>
        <w:rPr>
          <w:rFonts w:hint="eastAsia"/>
          <w:color w:val="auto"/>
          <w:highlight w:val="none"/>
          <w:lang w:val="zh-CN"/>
        </w:rPr>
        <w:t xml:space="preserve">项目名称：                  </w:t>
      </w:r>
      <w:r>
        <w:rPr>
          <w:rFonts w:hint="eastAsia"/>
          <w:color w:val="auto"/>
          <w:highlight w:val="none"/>
        </w:rPr>
        <w:t xml:space="preserve">     </w:t>
      </w:r>
      <w:r>
        <w:rPr>
          <w:rFonts w:hint="eastAsia"/>
          <w:color w:val="auto"/>
          <w:highlight w:val="none"/>
          <w:lang w:val="zh-CN"/>
        </w:rPr>
        <w:t xml:space="preserve">   </w:t>
      </w:r>
    </w:p>
    <w:p w14:paraId="3502539E">
      <w:pPr>
        <w:rPr>
          <w:color w:val="auto"/>
          <w:highlight w:val="none"/>
          <w:lang w:val="zh-CN"/>
        </w:rPr>
      </w:pPr>
      <w:r>
        <w:rPr>
          <w:rFonts w:hint="eastAsia"/>
          <w:color w:val="auto"/>
          <w:highlight w:val="none"/>
          <w:lang w:val="zh-CN"/>
        </w:rPr>
        <w:t>项目编号</w:t>
      </w:r>
      <w:r>
        <w:rPr>
          <w:rFonts w:hint="eastAsia"/>
          <w:color w:val="auto"/>
          <w:highlight w:val="none"/>
        </w:rPr>
        <w:t>/</w:t>
      </w:r>
      <w:r>
        <w:rPr>
          <w:rFonts w:hint="eastAsia"/>
          <w:color w:val="auto"/>
          <w:highlight w:val="none"/>
          <w:lang w:val="zh-CN"/>
        </w:rPr>
        <w:t xml:space="preserve">包号：                           </w:t>
      </w:r>
    </w:p>
    <w:tbl>
      <w:tblPr>
        <w:tblStyle w:val="32"/>
        <w:tblW w:w="14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578"/>
        <w:gridCol w:w="1258"/>
        <w:gridCol w:w="1144"/>
        <w:gridCol w:w="1213"/>
        <w:gridCol w:w="1212"/>
        <w:gridCol w:w="1121"/>
        <w:gridCol w:w="800"/>
        <w:gridCol w:w="804"/>
        <w:gridCol w:w="1118"/>
        <w:gridCol w:w="1622"/>
        <w:gridCol w:w="1550"/>
      </w:tblGrid>
      <w:tr w14:paraId="25A6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792" w:type="dxa"/>
            <w:vAlign w:val="center"/>
          </w:tcPr>
          <w:p w14:paraId="52185C2A">
            <w:pPr>
              <w:widowControl w:val="0"/>
              <w:adjustRightInd w:val="0"/>
              <w:spacing w:line="360" w:lineRule="auto"/>
              <w:jc w:val="center"/>
              <w:textAlignment w:val="baseline"/>
              <w:rPr>
                <w:rFonts w:cs="宋体"/>
                <w:color w:val="auto"/>
                <w:kern w:val="0"/>
                <w:szCs w:val="24"/>
                <w:highlight w:val="none"/>
              </w:rPr>
            </w:pPr>
            <w:r>
              <w:rPr>
                <w:rFonts w:hint="eastAsia" w:cs="宋体"/>
                <w:color w:val="auto"/>
                <w:kern w:val="0"/>
                <w:szCs w:val="24"/>
                <w:highlight w:val="none"/>
              </w:rPr>
              <w:t>序号</w:t>
            </w:r>
          </w:p>
        </w:tc>
        <w:tc>
          <w:tcPr>
            <w:tcW w:w="1578" w:type="dxa"/>
            <w:vAlign w:val="center"/>
          </w:tcPr>
          <w:p w14:paraId="0E54F652">
            <w:pPr>
              <w:widowControl w:val="0"/>
              <w:adjustRightInd w:val="0"/>
              <w:spacing w:line="360" w:lineRule="auto"/>
              <w:jc w:val="center"/>
              <w:textAlignment w:val="baseline"/>
              <w:rPr>
                <w:rFonts w:hint="eastAsia" w:cs="宋体"/>
                <w:color w:val="auto"/>
                <w:kern w:val="0"/>
                <w:szCs w:val="24"/>
                <w:highlight w:val="none"/>
              </w:rPr>
            </w:pPr>
            <w:r>
              <w:rPr>
                <w:rFonts w:hint="eastAsia" w:cs="宋体"/>
                <w:color w:val="auto"/>
                <w:kern w:val="0"/>
                <w:szCs w:val="24"/>
                <w:highlight w:val="none"/>
              </w:rPr>
              <w:t>货物名称</w:t>
            </w:r>
          </w:p>
        </w:tc>
        <w:tc>
          <w:tcPr>
            <w:tcW w:w="1258" w:type="dxa"/>
            <w:vAlign w:val="center"/>
          </w:tcPr>
          <w:p w14:paraId="173B9F73">
            <w:pPr>
              <w:widowControl w:val="0"/>
              <w:adjustRightInd w:val="0"/>
              <w:spacing w:line="360" w:lineRule="auto"/>
              <w:jc w:val="center"/>
              <w:textAlignment w:val="baseline"/>
              <w:rPr>
                <w:rFonts w:hint="eastAsia" w:cs="宋体"/>
                <w:color w:val="auto"/>
                <w:kern w:val="0"/>
                <w:szCs w:val="24"/>
                <w:highlight w:val="none"/>
              </w:rPr>
            </w:pPr>
            <w:r>
              <w:rPr>
                <w:rFonts w:hint="eastAsia" w:cs="宋体"/>
                <w:color w:val="auto"/>
                <w:kern w:val="0"/>
                <w:szCs w:val="24"/>
                <w:highlight w:val="none"/>
              </w:rPr>
              <w:t>品牌</w:t>
            </w:r>
          </w:p>
        </w:tc>
        <w:tc>
          <w:tcPr>
            <w:tcW w:w="1144" w:type="dxa"/>
            <w:vAlign w:val="center"/>
          </w:tcPr>
          <w:p w14:paraId="29CBE32D">
            <w:pPr>
              <w:widowControl w:val="0"/>
              <w:adjustRightInd w:val="0"/>
              <w:spacing w:line="360" w:lineRule="auto"/>
              <w:jc w:val="center"/>
              <w:textAlignment w:val="baseline"/>
              <w:rPr>
                <w:rFonts w:hint="eastAsia" w:cs="宋体"/>
                <w:color w:val="auto"/>
                <w:kern w:val="0"/>
                <w:szCs w:val="24"/>
                <w:highlight w:val="none"/>
              </w:rPr>
            </w:pPr>
            <w:r>
              <w:rPr>
                <w:rFonts w:hint="eastAsia" w:cs="宋体"/>
                <w:color w:val="auto"/>
                <w:kern w:val="0"/>
                <w:szCs w:val="24"/>
                <w:highlight w:val="none"/>
              </w:rPr>
              <w:t>规格型号</w:t>
            </w:r>
          </w:p>
        </w:tc>
        <w:tc>
          <w:tcPr>
            <w:tcW w:w="1213" w:type="dxa"/>
            <w:vAlign w:val="center"/>
          </w:tcPr>
          <w:p w14:paraId="5645E3C6">
            <w:pPr>
              <w:widowControl w:val="0"/>
              <w:adjustRightInd w:val="0"/>
              <w:spacing w:line="360" w:lineRule="auto"/>
              <w:jc w:val="center"/>
              <w:textAlignment w:val="baseline"/>
              <w:rPr>
                <w:rFonts w:hint="default" w:eastAsia="宋体" w:cs="宋体"/>
                <w:color w:val="auto"/>
                <w:kern w:val="0"/>
                <w:szCs w:val="24"/>
                <w:highlight w:val="none"/>
                <w:lang w:val="en-US" w:eastAsia="zh-CN"/>
              </w:rPr>
            </w:pPr>
            <w:r>
              <w:rPr>
                <w:rFonts w:hint="eastAsia" w:cs="宋体"/>
                <w:color w:val="auto"/>
                <w:kern w:val="0"/>
                <w:szCs w:val="24"/>
                <w:highlight w:val="none"/>
              </w:rPr>
              <w:t>生产厂家</w:t>
            </w:r>
            <w:r>
              <w:rPr>
                <w:rFonts w:hint="eastAsia" w:cs="宋体"/>
                <w:color w:val="auto"/>
                <w:kern w:val="0"/>
                <w:szCs w:val="24"/>
                <w:highlight w:val="none"/>
                <w:lang w:val="en-US" w:eastAsia="zh-CN"/>
              </w:rPr>
              <w:t>或产地</w:t>
            </w:r>
          </w:p>
        </w:tc>
        <w:tc>
          <w:tcPr>
            <w:tcW w:w="1212" w:type="dxa"/>
            <w:vAlign w:val="center"/>
          </w:tcPr>
          <w:p w14:paraId="16248930">
            <w:pPr>
              <w:adjustRightInd w:val="0"/>
              <w:spacing w:line="360" w:lineRule="auto"/>
              <w:jc w:val="center"/>
              <w:textAlignment w:val="baseline"/>
              <w:rPr>
                <w:rFonts w:hint="eastAsia" w:cs="宋体"/>
                <w:color w:val="auto"/>
                <w:kern w:val="0"/>
                <w:szCs w:val="24"/>
                <w:highlight w:val="none"/>
              </w:rPr>
            </w:pPr>
            <w:r>
              <w:rPr>
                <w:rFonts w:hint="eastAsia" w:ascii="宋体" w:hAnsi="宋体" w:eastAsia="宋体" w:cs="宋体"/>
                <w:color w:val="auto"/>
                <w:kern w:val="0"/>
                <w:sz w:val="24"/>
                <w:szCs w:val="24"/>
                <w:highlight w:val="none"/>
              </w:rPr>
              <w:t>产品注册证名称</w:t>
            </w:r>
          </w:p>
        </w:tc>
        <w:tc>
          <w:tcPr>
            <w:tcW w:w="1121" w:type="dxa"/>
            <w:vAlign w:val="center"/>
          </w:tcPr>
          <w:p w14:paraId="4AA773D4">
            <w:pPr>
              <w:adjustRightInd w:val="0"/>
              <w:spacing w:line="360" w:lineRule="auto"/>
              <w:jc w:val="center"/>
              <w:textAlignment w:val="baseline"/>
              <w:rPr>
                <w:rFonts w:hint="eastAsia" w:cs="宋体"/>
                <w:color w:val="auto"/>
                <w:kern w:val="0"/>
                <w:szCs w:val="24"/>
                <w:highlight w:val="none"/>
              </w:rPr>
            </w:pPr>
            <w:r>
              <w:rPr>
                <w:rFonts w:hint="eastAsia" w:ascii="Arial" w:hAnsi="Arial" w:eastAsia="宋体" w:cs="Arial"/>
                <w:color w:val="auto"/>
                <w:sz w:val="24"/>
                <w:szCs w:val="24"/>
                <w:highlight w:val="none"/>
              </w:rPr>
              <w:t>产品注册证号</w:t>
            </w:r>
          </w:p>
        </w:tc>
        <w:tc>
          <w:tcPr>
            <w:tcW w:w="800" w:type="dxa"/>
            <w:vAlign w:val="center"/>
          </w:tcPr>
          <w:p w14:paraId="407D8636">
            <w:pPr>
              <w:widowControl w:val="0"/>
              <w:adjustRightInd w:val="0"/>
              <w:spacing w:line="360" w:lineRule="auto"/>
              <w:jc w:val="center"/>
              <w:textAlignment w:val="baseline"/>
              <w:rPr>
                <w:rFonts w:hint="eastAsia" w:cs="宋体"/>
                <w:color w:val="auto"/>
                <w:kern w:val="0"/>
                <w:szCs w:val="24"/>
                <w:highlight w:val="none"/>
              </w:rPr>
            </w:pPr>
            <w:r>
              <w:rPr>
                <w:rFonts w:hint="eastAsia" w:cs="宋体"/>
                <w:color w:val="auto"/>
                <w:kern w:val="0"/>
                <w:szCs w:val="24"/>
                <w:highlight w:val="none"/>
              </w:rPr>
              <w:t>单位</w:t>
            </w:r>
          </w:p>
        </w:tc>
        <w:tc>
          <w:tcPr>
            <w:tcW w:w="804" w:type="dxa"/>
            <w:vAlign w:val="center"/>
          </w:tcPr>
          <w:p w14:paraId="3E7E3E75">
            <w:pPr>
              <w:widowControl w:val="0"/>
              <w:adjustRightInd w:val="0"/>
              <w:spacing w:line="360" w:lineRule="auto"/>
              <w:jc w:val="center"/>
              <w:textAlignment w:val="baseline"/>
              <w:rPr>
                <w:rFonts w:hint="eastAsia" w:cs="宋体"/>
                <w:color w:val="auto"/>
                <w:kern w:val="0"/>
                <w:szCs w:val="24"/>
                <w:highlight w:val="none"/>
              </w:rPr>
            </w:pPr>
            <w:r>
              <w:rPr>
                <w:rFonts w:hint="eastAsia" w:cs="宋体"/>
                <w:color w:val="auto"/>
                <w:kern w:val="0"/>
                <w:szCs w:val="24"/>
                <w:highlight w:val="none"/>
              </w:rPr>
              <w:t>数量</w:t>
            </w:r>
          </w:p>
        </w:tc>
        <w:tc>
          <w:tcPr>
            <w:tcW w:w="1118" w:type="dxa"/>
            <w:vAlign w:val="center"/>
          </w:tcPr>
          <w:p w14:paraId="4EA67307">
            <w:pPr>
              <w:widowControl w:val="0"/>
              <w:adjustRightInd w:val="0"/>
              <w:spacing w:line="360" w:lineRule="auto"/>
              <w:jc w:val="center"/>
              <w:textAlignment w:val="baseline"/>
              <w:rPr>
                <w:rFonts w:hint="eastAsia" w:cs="宋体"/>
                <w:color w:val="auto"/>
                <w:kern w:val="0"/>
                <w:szCs w:val="24"/>
                <w:highlight w:val="none"/>
              </w:rPr>
            </w:pPr>
            <w:r>
              <w:rPr>
                <w:rFonts w:hint="eastAsia" w:cs="宋体"/>
                <w:color w:val="auto"/>
                <w:kern w:val="0"/>
                <w:szCs w:val="24"/>
                <w:highlight w:val="none"/>
              </w:rPr>
              <w:t>含税单价（元）</w:t>
            </w:r>
          </w:p>
        </w:tc>
        <w:tc>
          <w:tcPr>
            <w:tcW w:w="1622" w:type="dxa"/>
            <w:vAlign w:val="center"/>
          </w:tcPr>
          <w:p w14:paraId="426BFA7E">
            <w:pPr>
              <w:widowControl w:val="0"/>
              <w:adjustRightInd w:val="0"/>
              <w:spacing w:line="360" w:lineRule="auto"/>
              <w:jc w:val="center"/>
              <w:textAlignment w:val="baseline"/>
              <w:rPr>
                <w:rFonts w:hint="eastAsia" w:cs="宋体"/>
                <w:color w:val="auto"/>
                <w:kern w:val="0"/>
                <w:szCs w:val="24"/>
                <w:highlight w:val="none"/>
              </w:rPr>
            </w:pPr>
            <w:r>
              <w:rPr>
                <w:rFonts w:hint="eastAsia" w:cs="宋体"/>
                <w:color w:val="auto"/>
                <w:kern w:val="0"/>
                <w:szCs w:val="24"/>
                <w:highlight w:val="none"/>
              </w:rPr>
              <w:t>合计（元）</w:t>
            </w:r>
          </w:p>
        </w:tc>
        <w:tc>
          <w:tcPr>
            <w:tcW w:w="1550" w:type="dxa"/>
            <w:vAlign w:val="center"/>
          </w:tcPr>
          <w:p w14:paraId="6E9513FE">
            <w:pPr>
              <w:widowControl w:val="0"/>
              <w:adjustRightInd w:val="0"/>
              <w:spacing w:line="360" w:lineRule="auto"/>
              <w:jc w:val="center"/>
              <w:textAlignment w:val="baseline"/>
              <w:rPr>
                <w:rFonts w:hint="eastAsia" w:cs="宋体"/>
                <w:color w:val="auto"/>
                <w:kern w:val="0"/>
                <w:szCs w:val="24"/>
                <w:highlight w:val="none"/>
              </w:rPr>
            </w:pPr>
            <w:r>
              <w:rPr>
                <w:rFonts w:hint="eastAsia" w:cs="宋体"/>
                <w:color w:val="auto"/>
                <w:kern w:val="0"/>
                <w:szCs w:val="24"/>
                <w:highlight w:val="none"/>
              </w:rPr>
              <w:t>备注</w:t>
            </w:r>
          </w:p>
        </w:tc>
      </w:tr>
      <w:tr w14:paraId="2A43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92" w:type="dxa"/>
            <w:vAlign w:val="center"/>
          </w:tcPr>
          <w:p w14:paraId="2D7A3EE0">
            <w:pPr>
              <w:widowControl w:val="0"/>
              <w:adjustRightInd w:val="0"/>
              <w:spacing w:line="360" w:lineRule="auto"/>
              <w:jc w:val="center"/>
              <w:textAlignment w:val="baseline"/>
              <w:rPr>
                <w:rFonts w:hint="eastAsia" w:cs="宋体"/>
                <w:color w:val="auto"/>
                <w:kern w:val="0"/>
                <w:szCs w:val="24"/>
                <w:highlight w:val="none"/>
              </w:rPr>
            </w:pPr>
            <w:r>
              <w:rPr>
                <w:rFonts w:hint="eastAsia" w:cs="宋体"/>
                <w:color w:val="auto"/>
                <w:kern w:val="0"/>
                <w:szCs w:val="24"/>
                <w:highlight w:val="none"/>
              </w:rPr>
              <w:t>1</w:t>
            </w:r>
          </w:p>
        </w:tc>
        <w:tc>
          <w:tcPr>
            <w:tcW w:w="1578" w:type="dxa"/>
            <w:vAlign w:val="center"/>
          </w:tcPr>
          <w:p w14:paraId="25881E7C">
            <w:pPr>
              <w:adjustRightInd w:val="0"/>
              <w:jc w:val="center"/>
              <w:textAlignment w:val="center"/>
              <w:rPr>
                <w:rFonts w:hint="eastAsia" w:cs="方正仿宋_GB2312"/>
                <w:color w:val="auto"/>
                <w:kern w:val="0"/>
                <w:szCs w:val="18"/>
                <w:highlight w:val="none"/>
                <w:lang w:bidi="ar"/>
              </w:rPr>
            </w:pPr>
          </w:p>
        </w:tc>
        <w:tc>
          <w:tcPr>
            <w:tcW w:w="1258" w:type="dxa"/>
            <w:vAlign w:val="center"/>
          </w:tcPr>
          <w:p w14:paraId="5AEEB854">
            <w:pPr>
              <w:adjustRightInd w:val="0"/>
              <w:jc w:val="center"/>
              <w:textAlignment w:val="center"/>
              <w:rPr>
                <w:rFonts w:hint="eastAsia" w:cs="方正仿宋_GB2312"/>
                <w:color w:val="auto"/>
                <w:kern w:val="0"/>
                <w:szCs w:val="18"/>
                <w:highlight w:val="none"/>
                <w:lang w:bidi="ar"/>
              </w:rPr>
            </w:pPr>
          </w:p>
        </w:tc>
        <w:tc>
          <w:tcPr>
            <w:tcW w:w="1144" w:type="dxa"/>
            <w:vAlign w:val="center"/>
          </w:tcPr>
          <w:p w14:paraId="2398FD3E">
            <w:pPr>
              <w:widowControl w:val="0"/>
              <w:adjustRightInd w:val="0"/>
              <w:spacing w:line="360" w:lineRule="auto"/>
              <w:jc w:val="center"/>
              <w:textAlignment w:val="baseline"/>
              <w:rPr>
                <w:rFonts w:hint="eastAsia" w:cs="宋体"/>
                <w:color w:val="auto"/>
                <w:kern w:val="0"/>
                <w:szCs w:val="24"/>
                <w:highlight w:val="none"/>
              </w:rPr>
            </w:pPr>
          </w:p>
        </w:tc>
        <w:tc>
          <w:tcPr>
            <w:tcW w:w="1213" w:type="dxa"/>
            <w:vAlign w:val="center"/>
          </w:tcPr>
          <w:p w14:paraId="6D456FA8">
            <w:pPr>
              <w:widowControl w:val="0"/>
              <w:adjustRightInd w:val="0"/>
              <w:spacing w:line="360" w:lineRule="auto"/>
              <w:jc w:val="center"/>
              <w:textAlignment w:val="baseline"/>
              <w:rPr>
                <w:rFonts w:hint="eastAsia" w:cs="宋体"/>
                <w:color w:val="auto"/>
                <w:kern w:val="0"/>
                <w:szCs w:val="24"/>
                <w:highlight w:val="none"/>
              </w:rPr>
            </w:pPr>
          </w:p>
        </w:tc>
        <w:tc>
          <w:tcPr>
            <w:tcW w:w="1212" w:type="dxa"/>
          </w:tcPr>
          <w:p w14:paraId="14F8ABB1">
            <w:pPr>
              <w:widowControl w:val="0"/>
              <w:adjustRightInd w:val="0"/>
              <w:spacing w:line="360" w:lineRule="auto"/>
              <w:jc w:val="center"/>
              <w:textAlignment w:val="baseline"/>
              <w:rPr>
                <w:rFonts w:hint="eastAsia" w:cs="宋体"/>
                <w:color w:val="auto"/>
                <w:kern w:val="0"/>
                <w:szCs w:val="24"/>
                <w:highlight w:val="none"/>
              </w:rPr>
            </w:pPr>
          </w:p>
        </w:tc>
        <w:tc>
          <w:tcPr>
            <w:tcW w:w="1121" w:type="dxa"/>
            <w:vAlign w:val="center"/>
          </w:tcPr>
          <w:p w14:paraId="2763672E">
            <w:pPr>
              <w:widowControl w:val="0"/>
              <w:adjustRightInd w:val="0"/>
              <w:spacing w:line="360" w:lineRule="auto"/>
              <w:jc w:val="center"/>
              <w:textAlignment w:val="baseline"/>
              <w:rPr>
                <w:rFonts w:hint="eastAsia" w:cs="宋体"/>
                <w:color w:val="auto"/>
                <w:kern w:val="0"/>
                <w:szCs w:val="24"/>
                <w:highlight w:val="none"/>
              </w:rPr>
            </w:pPr>
          </w:p>
        </w:tc>
        <w:tc>
          <w:tcPr>
            <w:tcW w:w="800" w:type="dxa"/>
            <w:vAlign w:val="center"/>
          </w:tcPr>
          <w:p w14:paraId="770C5E90">
            <w:pPr>
              <w:widowControl w:val="0"/>
              <w:adjustRightInd w:val="0"/>
              <w:spacing w:line="360" w:lineRule="auto"/>
              <w:jc w:val="center"/>
              <w:textAlignment w:val="baseline"/>
              <w:rPr>
                <w:rFonts w:hint="eastAsia" w:cs="宋体"/>
                <w:color w:val="auto"/>
                <w:kern w:val="0"/>
                <w:szCs w:val="24"/>
                <w:highlight w:val="none"/>
              </w:rPr>
            </w:pPr>
          </w:p>
        </w:tc>
        <w:tc>
          <w:tcPr>
            <w:tcW w:w="804" w:type="dxa"/>
            <w:vAlign w:val="center"/>
          </w:tcPr>
          <w:p w14:paraId="4A702E64">
            <w:pPr>
              <w:adjustRightInd w:val="0"/>
              <w:spacing w:line="360" w:lineRule="atLeast"/>
              <w:jc w:val="center"/>
              <w:textAlignment w:val="center"/>
              <w:rPr>
                <w:rFonts w:cs="宋体"/>
                <w:color w:val="auto"/>
                <w:szCs w:val="24"/>
                <w:highlight w:val="none"/>
              </w:rPr>
            </w:pPr>
          </w:p>
        </w:tc>
        <w:tc>
          <w:tcPr>
            <w:tcW w:w="1118" w:type="dxa"/>
            <w:vAlign w:val="center"/>
          </w:tcPr>
          <w:p w14:paraId="5FFB717A">
            <w:pPr>
              <w:adjustRightInd w:val="0"/>
              <w:spacing w:line="360" w:lineRule="atLeast"/>
              <w:jc w:val="center"/>
              <w:textAlignment w:val="center"/>
              <w:rPr>
                <w:rFonts w:cs="宋体"/>
                <w:color w:val="auto"/>
                <w:szCs w:val="24"/>
                <w:highlight w:val="none"/>
              </w:rPr>
            </w:pPr>
          </w:p>
        </w:tc>
        <w:tc>
          <w:tcPr>
            <w:tcW w:w="1622" w:type="dxa"/>
            <w:vAlign w:val="center"/>
          </w:tcPr>
          <w:p w14:paraId="08D3DC53">
            <w:pPr>
              <w:widowControl w:val="0"/>
              <w:adjustRightInd w:val="0"/>
              <w:spacing w:line="360" w:lineRule="atLeast"/>
              <w:jc w:val="center"/>
              <w:textAlignment w:val="center"/>
              <w:rPr>
                <w:rFonts w:hint="eastAsia" w:cs="仿宋"/>
                <w:color w:val="auto"/>
                <w:kern w:val="0"/>
                <w:szCs w:val="24"/>
                <w:highlight w:val="none"/>
                <w:lang w:bidi="ar"/>
              </w:rPr>
            </w:pPr>
          </w:p>
        </w:tc>
        <w:tc>
          <w:tcPr>
            <w:tcW w:w="1550" w:type="dxa"/>
            <w:vAlign w:val="center"/>
          </w:tcPr>
          <w:p w14:paraId="4CAD440E">
            <w:pPr>
              <w:widowControl w:val="0"/>
              <w:adjustRightInd w:val="0"/>
              <w:spacing w:line="360" w:lineRule="auto"/>
              <w:jc w:val="center"/>
              <w:textAlignment w:val="baseline"/>
              <w:rPr>
                <w:rFonts w:hint="eastAsia" w:cs="宋体"/>
                <w:color w:val="auto"/>
                <w:kern w:val="0"/>
                <w:szCs w:val="24"/>
                <w:highlight w:val="none"/>
              </w:rPr>
            </w:pPr>
          </w:p>
        </w:tc>
      </w:tr>
      <w:tr w14:paraId="6F41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92" w:type="dxa"/>
            <w:vAlign w:val="center"/>
          </w:tcPr>
          <w:p w14:paraId="49E30885">
            <w:pPr>
              <w:widowControl w:val="0"/>
              <w:adjustRightInd w:val="0"/>
              <w:spacing w:line="360" w:lineRule="auto"/>
              <w:jc w:val="center"/>
              <w:textAlignment w:val="baseline"/>
              <w:rPr>
                <w:rFonts w:hint="eastAsia" w:cs="宋体"/>
                <w:color w:val="auto"/>
                <w:kern w:val="0"/>
                <w:szCs w:val="24"/>
                <w:highlight w:val="none"/>
              </w:rPr>
            </w:pPr>
            <w:r>
              <w:rPr>
                <w:rFonts w:hint="eastAsia" w:cs="宋体"/>
                <w:color w:val="auto"/>
                <w:kern w:val="0"/>
                <w:szCs w:val="24"/>
                <w:highlight w:val="none"/>
              </w:rPr>
              <w:t>2</w:t>
            </w:r>
          </w:p>
        </w:tc>
        <w:tc>
          <w:tcPr>
            <w:tcW w:w="1578" w:type="dxa"/>
            <w:vAlign w:val="center"/>
          </w:tcPr>
          <w:p w14:paraId="181D153F">
            <w:pPr>
              <w:adjustRightInd w:val="0"/>
              <w:jc w:val="center"/>
              <w:textAlignment w:val="center"/>
              <w:rPr>
                <w:rFonts w:hint="eastAsia" w:cs="方正仿宋_GB2312"/>
                <w:color w:val="auto"/>
                <w:kern w:val="0"/>
                <w:szCs w:val="18"/>
                <w:highlight w:val="none"/>
                <w:lang w:bidi="ar"/>
              </w:rPr>
            </w:pPr>
          </w:p>
        </w:tc>
        <w:tc>
          <w:tcPr>
            <w:tcW w:w="1258" w:type="dxa"/>
            <w:vAlign w:val="center"/>
          </w:tcPr>
          <w:p w14:paraId="021A56A6">
            <w:pPr>
              <w:adjustRightInd w:val="0"/>
              <w:jc w:val="center"/>
              <w:textAlignment w:val="center"/>
              <w:rPr>
                <w:rFonts w:hint="eastAsia" w:cs="方正仿宋_GB2312"/>
                <w:color w:val="auto"/>
                <w:kern w:val="0"/>
                <w:szCs w:val="18"/>
                <w:highlight w:val="none"/>
                <w:lang w:bidi="ar"/>
              </w:rPr>
            </w:pPr>
          </w:p>
        </w:tc>
        <w:tc>
          <w:tcPr>
            <w:tcW w:w="1144" w:type="dxa"/>
            <w:vAlign w:val="center"/>
          </w:tcPr>
          <w:p w14:paraId="6CC680A9">
            <w:pPr>
              <w:widowControl w:val="0"/>
              <w:adjustRightInd w:val="0"/>
              <w:spacing w:line="360" w:lineRule="auto"/>
              <w:jc w:val="center"/>
              <w:textAlignment w:val="baseline"/>
              <w:rPr>
                <w:rFonts w:hint="eastAsia" w:cs="宋体"/>
                <w:color w:val="auto"/>
                <w:kern w:val="0"/>
                <w:szCs w:val="24"/>
                <w:highlight w:val="none"/>
              </w:rPr>
            </w:pPr>
          </w:p>
        </w:tc>
        <w:tc>
          <w:tcPr>
            <w:tcW w:w="1213" w:type="dxa"/>
            <w:vAlign w:val="center"/>
          </w:tcPr>
          <w:p w14:paraId="7CE7AE8D">
            <w:pPr>
              <w:widowControl w:val="0"/>
              <w:adjustRightInd w:val="0"/>
              <w:spacing w:line="360" w:lineRule="auto"/>
              <w:jc w:val="center"/>
              <w:textAlignment w:val="baseline"/>
              <w:rPr>
                <w:rFonts w:hint="eastAsia" w:cs="宋体"/>
                <w:color w:val="auto"/>
                <w:kern w:val="0"/>
                <w:szCs w:val="24"/>
                <w:highlight w:val="none"/>
              </w:rPr>
            </w:pPr>
          </w:p>
        </w:tc>
        <w:tc>
          <w:tcPr>
            <w:tcW w:w="1212" w:type="dxa"/>
          </w:tcPr>
          <w:p w14:paraId="53600373">
            <w:pPr>
              <w:widowControl w:val="0"/>
              <w:adjustRightInd w:val="0"/>
              <w:spacing w:line="360" w:lineRule="auto"/>
              <w:jc w:val="center"/>
              <w:textAlignment w:val="baseline"/>
              <w:rPr>
                <w:rFonts w:hint="eastAsia" w:cs="宋体"/>
                <w:color w:val="auto"/>
                <w:kern w:val="0"/>
                <w:szCs w:val="24"/>
                <w:highlight w:val="none"/>
              </w:rPr>
            </w:pPr>
          </w:p>
        </w:tc>
        <w:tc>
          <w:tcPr>
            <w:tcW w:w="1121" w:type="dxa"/>
            <w:vAlign w:val="center"/>
          </w:tcPr>
          <w:p w14:paraId="50E83836">
            <w:pPr>
              <w:widowControl w:val="0"/>
              <w:adjustRightInd w:val="0"/>
              <w:spacing w:line="360" w:lineRule="auto"/>
              <w:jc w:val="center"/>
              <w:textAlignment w:val="baseline"/>
              <w:rPr>
                <w:rFonts w:hint="eastAsia" w:cs="宋体"/>
                <w:color w:val="auto"/>
                <w:kern w:val="0"/>
                <w:szCs w:val="24"/>
                <w:highlight w:val="none"/>
              </w:rPr>
            </w:pPr>
          </w:p>
        </w:tc>
        <w:tc>
          <w:tcPr>
            <w:tcW w:w="800" w:type="dxa"/>
            <w:vAlign w:val="center"/>
          </w:tcPr>
          <w:p w14:paraId="5FA2C2C4">
            <w:pPr>
              <w:widowControl w:val="0"/>
              <w:adjustRightInd w:val="0"/>
              <w:spacing w:line="360" w:lineRule="auto"/>
              <w:jc w:val="center"/>
              <w:textAlignment w:val="baseline"/>
              <w:rPr>
                <w:rFonts w:hint="eastAsia" w:cs="宋体"/>
                <w:color w:val="auto"/>
                <w:kern w:val="0"/>
                <w:szCs w:val="24"/>
                <w:highlight w:val="none"/>
              </w:rPr>
            </w:pPr>
          </w:p>
        </w:tc>
        <w:tc>
          <w:tcPr>
            <w:tcW w:w="804" w:type="dxa"/>
            <w:vAlign w:val="center"/>
          </w:tcPr>
          <w:p w14:paraId="1F74B285">
            <w:pPr>
              <w:adjustRightInd w:val="0"/>
              <w:spacing w:line="360" w:lineRule="atLeast"/>
              <w:jc w:val="center"/>
              <w:textAlignment w:val="center"/>
              <w:rPr>
                <w:rFonts w:cs="宋体"/>
                <w:color w:val="auto"/>
                <w:szCs w:val="24"/>
                <w:highlight w:val="none"/>
              </w:rPr>
            </w:pPr>
          </w:p>
        </w:tc>
        <w:tc>
          <w:tcPr>
            <w:tcW w:w="1118" w:type="dxa"/>
            <w:vAlign w:val="center"/>
          </w:tcPr>
          <w:p w14:paraId="79B6DA68">
            <w:pPr>
              <w:adjustRightInd w:val="0"/>
              <w:spacing w:line="360" w:lineRule="atLeast"/>
              <w:jc w:val="center"/>
              <w:textAlignment w:val="center"/>
              <w:rPr>
                <w:rFonts w:cs="宋体"/>
                <w:color w:val="auto"/>
                <w:szCs w:val="24"/>
                <w:highlight w:val="none"/>
              </w:rPr>
            </w:pPr>
          </w:p>
        </w:tc>
        <w:tc>
          <w:tcPr>
            <w:tcW w:w="1622" w:type="dxa"/>
            <w:vAlign w:val="center"/>
          </w:tcPr>
          <w:p w14:paraId="4033F21F">
            <w:pPr>
              <w:adjustRightInd w:val="0"/>
              <w:spacing w:line="360" w:lineRule="atLeast"/>
              <w:jc w:val="center"/>
              <w:textAlignment w:val="center"/>
              <w:rPr>
                <w:rFonts w:cs="宋体"/>
                <w:color w:val="auto"/>
                <w:kern w:val="0"/>
                <w:szCs w:val="24"/>
                <w:highlight w:val="none"/>
                <w:lang w:bidi="ar"/>
              </w:rPr>
            </w:pPr>
          </w:p>
        </w:tc>
        <w:tc>
          <w:tcPr>
            <w:tcW w:w="1550" w:type="dxa"/>
            <w:vAlign w:val="center"/>
          </w:tcPr>
          <w:p w14:paraId="3A252DC5">
            <w:pPr>
              <w:widowControl w:val="0"/>
              <w:adjustRightInd w:val="0"/>
              <w:spacing w:line="360" w:lineRule="auto"/>
              <w:jc w:val="center"/>
              <w:textAlignment w:val="baseline"/>
              <w:rPr>
                <w:rFonts w:hint="eastAsia" w:cs="宋体"/>
                <w:color w:val="auto"/>
                <w:kern w:val="0"/>
                <w:szCs w:val="24"/>
                <w:highlight w:val="none"/>
              </w:rPr>
            </w:pPr>
          </w:p>
        </w:tc>
      </w:tr>
      <w:tr w14:paraId="7C96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92" w:type="dxa"/>
            <w:vAlign w:val="center"/>
          </w:tcPr>
          <w:p w14:paraId="36DC722E">
            <w:pPr>
              <w:widowControl w:val="0"/>
              <w:adjustRightInd w:val="0"/>
              <w:spacing w:line="360" w:lineRule="auto"/>
              <w:jc w:val="center"/>
              <w:textAlignment w:val="baseline"/>
              <w:rPr>
                <w:rFonts w:hint="eastAsia" w:cs="宋体"/>
                <w:color w:val="auto"/>
                <w:kern w:val="0"/>
                <w:szCs w:val="24"/>
                <w:highlight w:val="none"/>
              </w:rPr>
            </w:pPr>
            <w:r>
              <w:rPr>
                <w:rFonts w:cs="宋体"/>
                <w:color w:val="auto"/>
                <w:kern w:val="0"/>
                <w:szCs w:val="24"/>
                <w:highlight w:val="none"/>
              </w:rPr>
              <w:t>3</w:t>
            </w:r>
          </w:p>
        </w:tc>
        <w:tc>
          <w:tcPr>
            <w:tcW w:w="1578" w:type="dxa"/>
            <w:vAlign w:val="center"/>
          </w:tcPr>
          <w:p w14:paraId="376260C1">
            <w:pPr>
              <w:adjustRightInd w:val="0"/>
              <w:jc w:val="center"/>
              <w:textAlignment w:val="center"/>
              <w:rPr>
                <w:rFonts w:hint="eastAsia" w:cs="方正仿宋_GB2312"/>
                <w:color w:val="auto"/>
                <w:kern w:val="0"/>
                <w:szCs w:val="18"/>
                <w:highlight w:val="none"/>
                <w:lang w:bidi="ar"/>
              </w:rPr>
            </w:pPr>
          </w:p>
        </w:tc>
        <w:tc>
          <w:tcPr>
            <w:tcW w:w="1258" w:type="dxa"/>
            <w:vAlign w:val="center"/>
          </w:tcPr>
          <w:p w14:paraId="4E5C5CAA">
            <w:pPr>
              <w:adjustRightInd w:val="0"/>
              <w:jc w:val="center"/>
              <w:textAlignment w:val="center"/>
              <w:rPr>
                <w:rFonts w:hint="eastAsia" w:cs="方正仿宋_GB2312"/>
                <w:color w:val="auto"/>
                <w:kern w:val="0"/>
                <w:szCs w:val="18"/>
                <w:highlight w:val="none"/>
                <w:lang w:bidi="ar"/>
              </w:rPr>
            </w:pPr>
          </w:p>
        </w:tc>
        <w:tc>
          <w:tcPr>
            <w:tcW w:w="1144" w:type="dxa"/>
            <w:vAlign w:val="center"/>
          </w:tcPr>
          <w:p w14:paraId="1EB07A41">
            <w:pPr>
              <w:widowControl w:val="0"/>
              <w:adjustRightInd w:val="0"/>
              <w:spacing w:line="360" w:lineRule="auto"/>
              <w:jc w:val="center"/>
              <w:textAlignment w:val="baseline"/>
              <w:rPr>
                <w:rFonts w:hint="eastAsia" w:cs="宋体"/>
                <w:color w:val="auto"/>
                <w:kern w:val="0"/>
                <w:szCs w:val="24"/>
                <w:highlight w:val="none"/>
              </w:rPr>
            </w:pPr>
          </w:p>
        </w:tc>
        <w:tc>
          <w:tcPr>
            <w:tcW w:w="1213" w:type="dxa"/>
            <w:vAlign w:val="center"/>
          </w:tcPr>
          <w:p w14:paraId="68572F47">
            <w:pPr>
              <w:widowControl w:val="0"/>
              <w:adjustRightInd w:val="0"/>
              <w:spacing w:line="360" w:lineRule="auto"/>
              <w:jc w:val="center"/>
              <w:textAlignment w:val="baseline"/>
              <w:rPr>
                <w:rFonts w:hint="eastAsia" w:cs="宋体"/>
                <w:color w:val="auto"/>
                <w:kern w:val="0"/>
                <w:szCs w:val="24"/>
                <w:highlight w:val="none"/>
              </w:rPr>
            </w:pPr>
          </w:p>
        </w:tc>
        <w:tc>
          <w:tcPr>
            <w:tcW w:w="1212" w:type="dxa"/>
          </w:tcPr>
          <w:p w14:paraId="32874E0D">
            <w:pPr>
              <w:widowControl w:val="0"/>
              <w:adjustRightInd w:val="0"/>
              <w:spacing w:line="360" w:lineRule="auto"/>
              <w:jc w:val="center"/>
              <w:textAlignment w:val="baseline"/>
              <w:rPr>
                <w:rFonts w:hint="eastAsia" w:cs="宋体"/>
                <w:color w:val="auto"/>
                <w:kern w:val="0"/>
                <w:szCs w:val="24"/>
                <w:highlight w:val="none"/>
              </w:rPr>
            </w:pPr>
          </w:p>
        </w:tc>
        <w:tc>
          <w:tcPr>
            <w:tcW w:w="1121" w:type="dxa"/>
            <w:vAlign w:val="center"/>
          </w:tcPr>
          <w:p w14:paraId="74707CDC">
            <w:pPr>
              <w:widowControl w:val="0"/>
              <w:adjustRightInd w:val="0"/>
              <w:spacing w:line="360" w:lineRule="auto"/>
              <w:jc w:val="center"/>
              <w:textAlignment w:val="baseline"/>
              <w:rPr>
                <w:rFonts w:hint="eastAsia" w:cs="宋体"/>
                <w:color w:val="auto"/>
                <w:kern w:val="0"/>
                <w:szCs w:val="24"/>
                <w:highlight w:val="none"/>
              </w:rPr>
            </w:pPr>
          </w:p>
        </w:tc>
        <w:tc>
          <w:tcPr>
            <w:tcW w:w="800" w:type="dxa"/>
            <w:vAlign w:val="center"/>
          </w:tcPr>
          <w:p w14:paraId="287DE8AC">
            <w:pPr>
              <w:widowControl w:val="0"/>
              <w:adjustRightInd w:val="0"/>
              <w:spacing w:line="360" w:lineRule="auto"/>
              <w:jc w:val="center"/>
              <w:textAlignment w:val="baseline"/>
              <w:rPr>
                <w:rFonts w:hint="eastAsia" w:cs="宋体"/>
                <w:color w:val="auto"/>
                <w:kern w:val="0"/>
                <w:szCs w:val="24"/>
                <w:highlight w:val="none"/>
              </w:rPr>
            </w:pPr>
          </w:p>
        </w:tc>
        <w:tc>
          <w:tcPr>
            <w:tcW w:w="804" w:type="dxa"/>
            <w:vAlign w:val="center"/>
          </w:tcPr>
          <w:p w14:paraId="4CBB08F1">
            <w:pPr>
              <w:adjustRightInd w:val="0"/>
              <w:spacing w:line="360" w:lineRule="atLeast"/>
              <w:jc w:val="center"/>
              <w:textAlignment w:val="center"/>
              <w:rPr>
                <w:rFonts w:cs="宋体"/>
                <w:color w:val="auto"/>
                <w:kern w:val="0"/>
                <w:szCs w:val="24"/>
                <w:highlight w:val="none"/>
                <w:lang w:bidi="ar"/>
              </w:rPr>
            </w:pPr>
          </w:p>
        </w:tc>
        <w:tc>
          <w:tcPr>
            <w:tcW w:w="1118" w:type="dxa"/>
            <w:vAlign w:val="center"/>
          </w:tcPr>
          <w:p w14:paraId="3B6F5B9F">
            <w:pPr>
              <w:adjustRightInd w:val="0"/>
              <w:spacing w:line="360" w:lineRule="atLeast"/>
              <w:jc w:val="center"/>
              <w:textAlignment w:val="center"/>
              <w:rPr>
                <w:rFonts w:cs="宋体"/>
                <w:color w:val="auto"/>
                <w:kern w:val="0"/>
                <w:szCs w:val="24"/>
                <w:highlight w:val="none"/>
                <w:lang w:bidi="ar"/>
              </w:rPr>
            </w:pPr>
          </w:p>
        </w:tc>
        <w:tc>
          <w:tcPr>
            <w:tcW w:w="1622" w:type="dxa"/>
            <w:vAlign w:val="center"/>
          </w:tcPr>
          <w:p w14:paraId="0CC36C0A">
            <w:pPr>
              <w:adjustRightInd w:val="0"/>
              <w:spacing w:line="360" w:lineRule="atLeast"/>
              <w:jc w:val="center"/>
              <w:textAlignment w:val="center"/>
              <w:rPr>
                <w:rFonts w:cs="宋体"/>
                <w:color w:val="auto"/>
                <w:kern w:val="0"/>
                <w:szCs w:val="24"/>
                <w:highlight w:val="none"/>
                <w:lang w:bidi="ar"/>
              </w:rPr>
            </w:pPr>
          </w:p>
        </w:tc>
        <w:tc>
          <w:tcPr>
            <w:tcW w:w="1550" w:type="dxa"/>
            <w:vAlign w:val="center"/>
          </w:tcPr>
          <w:p w14:paraId="20C6753E">
            <w:pPr>
              <w:widowControl w:val="0"/>
              <w:adjustRightInd w:val="0"/>
              <w:spacing w:line="360" w:lineRule="auto"/>
              <w:jc w:val="center"/>
              <w:textAlignment w:val="baseline"/>
              <w:rPr>
                <w:rFonts w:hint="eastAsia" w:cs="宋体"/>
                <w:color w:val="auto"/>
                <w:kern w:val="0"/>
                <w:szCs w:val="24"/>
                <w:highlight w:val="none"/>
              </w:rPr>
            </w:pPr>
          </w:p>
        </w:tc>
      </w:tr>
      <w:tr w14:paraId="432E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370" w:type="dxa"/>
            <w:gridSpan w:val="2"/>
            <w:vAlign w:val="center"/>
          </w:tcPr>
          <w:p w14:paraId="7EC87C65">
            <w:pPr>
              <w:widowControl w:val="0"/>
              <w:adjustRightInd w:val="0"/>
              <w:spacing w:line="360" w:lineRule="auto"/>
              <w:jc w:val="center"/>
              <w:textAlignment w:val="baseline"/>
              <w:rPr>
                <w:rFonts w:hint="eastAsia" w:cs="宋体"/>
                <w:b/>
                <w:color w:val="auto"/>
                <w:kern w:val="0"/>
                <w:szCs w:val="24"/>
                <w:highlight w:val="none"/>
              </w:rPr>
            </w:pPr>
            <w:r>
              <w:rPr>
                <w:rFonts w:hint="eastAsia" w:cs="宋体"/>
                <w:b/>
                <w:color w:val="auto"/>
                <w:kern w:val="0"/>
                <w:szCs w:val="24"/>
                <w:highlight w:val="none"/>
              </w:rPr>
              <w:t>总计：人民币（大写）</w:t>
            </w:r>
          </w:p>
        </w:tc>
        <w:tc>
          <w:tcPr>
            <w:tcW w:w="7552" w:type="dxa"/>
            <w:gridSpan w:val="7"/>
          </w:tcPr>
          <w:p w14:paraId="3663EB13">
            <w:pPr>
              <w:widowControl w:val="0"/>
              <w:adjustRightInd w:val="0"/>
              <w:spacing w:line="360" w:lineRule="auto"/>
              <w:jc w:val="center"/>
              <w:textAlignment w:val="baseline"/>
              <w:rPr>
                <w:rFonts w:hint="eastAsia" w:cs="宋体"/>
                <w:b/>
                <w:color w:val="auto"/>
                <w:kern w:val="0"/>
                <w:szCs w:val="24"/>
                <w:highlight w:val="none"/>
              </w:rPr>
            </w:pPr>
            <w:r>
              <w:rPr>
                <w:rFonts w:hint="eastAsia" w:cs="宋体"/>
                <w:b/>
                <w:color w:val="auto"/>
                <w:kern w:val="0"/>
                <w:szCs w:val="24"/>
                <w:highlight w:val="none"/>
                <w:lang w:val="en-US" w:eastAsia="zh-CN"/>
              </w:rPr>
              <w:t xml:space="preserve">   </w:t>
            </w:r>
            <w:r>
              <w:rPr>
                <w:rFonts w:hint="eastAsia" w:cs="宋体"/>
                <w:b/>
                <w:color w:val="auto"/>
                <w:kern w:val="0"/>
                <w:szCs w:val="24"/>
                <w:highlight w:val="none"/>
              </w:rPr>
              <w:t>　元</w:t>
            </w:r>
          </w:p>
        </w:tc>
        <w:tc>
          <w:tcPr>
            <w:tcW w:w="1118" w:type="dxa"/>
            <w:vAlign w:val="center"/>
          </w:tcPr>
          <w:p w14:paraId="7030EF08">
            <w:pPr>
              <w:widowControl w:val="0"/>
              <w:adjustRightInd w:val="0"/>
              <w:spacing w:line="360" w:lineRule="auto"/>
              <w:jc w:val="center"/>
              <w:textAlignment w:val="baseline"/>
              <w:rPr>
                <w:rFonts w:hint="eastAsia" w:cs="宋体"/>
                <w:b/>
                <w:color w:val="auto"/>
                <w:kern w:val="0"/>
                <w:szCs w:val="24"/>
                <w:highlight w:val="none"/>
              </w:rPr>
            </w:pPr>
            <w:r>
              <w:rPr>
                <w:rFonts w:hint="eastAsia" w:cs="宋体"/>
                <w:b/>
                <w:color w:val="auto"/>
                <w:kern w:val="0"/>
                <w:szCs w:val="24"/>
                <w:highlight w:val="none"/>
              </w:rPr>
              <w:t>小写：￥</w:t>
            </w:r>
          </w:p>
        </w:tc>
        <w:tc>
          <w:tcPr>
            <w:tcW w:w="3172" w:type="dxa"/>
            <w:gridSpan w:val="2"/>
            <w:vAlign w:val="center"/>
          </w:tcPr>
          <w:p w14:paraId="17DEDD6E">
            <w:pPr>
              <w:widowControl w:val="0"/>
              <w:adjustRightInd w:val="0"/>
              <w:spacing w:line="360" w:lineRule="auto"/>
              <w:jc w:val="center"/>
              <w:textAlignment w:val="baseline"/>
              <w:rPr>
                <w:rFonts w:hint="eastAsia" w:cs="宋体"/>
                <w:b/>
                <w:color w:val="auto"/>
                <w:kern w:val="0"/>
                <w:szCs w:val="24"/>
                <w:highlight w:val="none"/>
              </w:rPr>
            </w:pPr>
            <w:r>
              <w:rPr>
                <w:rFonts w:hint="eastAsia" w:cs="宋体"/>
                <w:b/>
                <w:color w:val="auto"/>
                <w:kern w:val="0"/>
                <w:szCs w:val="24"/>
                <w:highlight w:val="none"/>
              </w:rPr>
              <w:t>　元</w:t>
            </w:r>
          </w:p>
        </w:tc>
      </w:tr>
      <w:tr w14:paraId="2457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4212" w:type="dxa"/>
            <w:gridSpan w:val="12"/>
            <w:vAlign w:val="center"/>
          </w:tcPr>
          <w:p w14:paraId="48FA75B6">
            <w:pPr>
              <w:widowControl w:val="0"/>
              <w:adjustRightInd w:val="0"/>
              <w:spacing w:line="360" w:lineRule="auto"/>
              <w:jc w:val="left"/>
              <w:textAlignment w:val="baseline"/>
              <w:rPr>
                <w:rFonts w:hint="eastAsia" w:cs="宋体"/>
                <w:b/>
                <w:color w:val="auto"/>
                <w:kern w:val="0"/>
                <w:szCs w:val="24"/>
                <w:highlight w:val="none"/>
              </w:rPr>
            </w:pPr>
            <w:r>
              <w:rPr>
                <w:rFonts w:hint="eastAsia" w:cs="宋体"/>
                <w:color w:val="auto"/>
                <w:kern w:val="0"/>
                <w:szCs w:val="24"/>
                <w:highlight w:val="none"/>
              </w:rPr>
              <w:t>说明：</w:t>
            </w:r>
            <w:r>
              <w:rPr>
                <w:rFonts w:hint="eastAsia"/>
                <w:color w:val="auto"/>
                <w:highlight w:val="none"/>
              </w:rPr>
              <w:t>全部货物及所需附件购置费、包装费、运输费、人工费、保险费、安装调试费、各种税费、资料费、售后服务费及完成项目应有的全部费用</w:t>
            </w:r>
          </w:p>
        </w:tc>
      </w:tr>
    </w:tbl>
    <w:p w14:paraId="7A905D1E">
      <w:pPr>
        <w:spacing w:line="360" w:lineRule="auto"/>
        <w:rPr>
          <w:color w:val="auto"/>
          <w:highlight w:val="none"/>
        </w:rPr>
      </w:pPr>
      <w:r>
        <w:rPr>
          <w:color w:val="auto"/>
          <w:highlight w:val="none"/>
        </w:rPr>
        <w:t>投标人名称</w:t>
      </w:r>
      <w:r>
        <w:rPr>
          <w:rFonts w:hint="eastAsia" w:cs="仿宋_GB2312"/>
          <w:color w:val="auto"/>
          <w:szCs w:val="24"/>
          <w:highlight w:val="none"/>
        </w:rPr>
        <w:t>（</w:t>
      </w:r>
      <w:r>
        <w:rPr>
          <w:rFonts w:hint="eastAsia" w:cs="宋体"/>
          <w:color w:val="auto"/>
          <w:kern w:val="0"/>
          <w:szCs w:val="24"/>
          <w:highlight w:val="none"/>
        </w:rPr>
        <w:t>公章</w:t>
      </w:r>
      <w:r>
        <w:rPr>
          <w:rFonts w:hint="eastAsia" w:cs="宋体"/>
          <w:color w:val="auto"/>
          <w:kern w:val="0"/>
          <w:highlight w:val="none"/>
          <w:lang w:val="zh-CN"/>
        </w:rPr>
        <w:t>)</w:t>
      </w:r>
      <w:r>
        <w:rPr>
          <w:color w:val="auto"/>
          <w:highlight w:val="none"/>
        </w:rPr>
        <w:t>：</w:t>
      </w:r>
    </w:p>
    <w:p w14:paraId="17AF1C1E">
      <w:pPr>
        <w:spacing w:line="360" w:lineRule="auto"/>
        <w:rPr>
          <w:color w:val="auto"/>
          <w:highlight w:val="none"/>
          <w:lang w:bidi="ar"/>
        </w:rPr>
      </w:pPr>
      <w:r>
        <w:rPr>
          <w:rFonts w:hint="eastAsia"/>
          <w:color w:val="auto"/>
          <w:highlight w:val="none"/>
          <w:lang w:bidi="ar"/>
        </w:rPr>
        <w:t>法定代表人或授权代表（签字或印章）：</w:t>
      </w:r>
    </w:p>
    <w:p w14:paraId="465E3F01">
      <w:pPr>
        <w:spacing w:line="360" w:lineRule="auto"/>
        <w:rPr>
          <w:color w:val="auto"/>
          <w:highlight w:val="none"/>
        </w:rPr>
      </w:pPr>
      <w:r>
        <w:rPr>
          <w:color w:val="auto"/>
          <w:highlight w:val="none"/>
        </w:rPr>
        <w:t>日期：</w:t>
      </w:r>
    </w:p>
    <w:p w14:paraId="27BEC737">
      <w:pPr>
        <w:spacing w:line="360" w:lineRule="auto"/>
        <w:rPr>
          <w:color w:val="auto"/>
          <w:highlight w:val="none"/>
        </w:rPr>
      </w:pPr>
      <w:r>
        <w:rPr>
          <w:rFonts w:hint="eastAsia"/>
          <w:b/>
          <w:color w:val="auto"/>
          <w:highlight w:val="none"/>
        </w:rPr>
        <w:t>注：</w:t>
      </w:r>
      <w:r>
        <w:rPr>
          <w:rFonts w:hint="eastAsia"/>
          <w:color w:val="auto"/>
          <w:highlight w:val="none"/>
        </w:rPr>
        <w:t>1.</w:t>
      </w:r>
      <w:r>
        <w:rPr>
          <w:color w:val="auto"/>
          <w:highlight w:val="none"/>
        </w:rPr>
        <w:t>按照本表填写的</w:t>
      </w:r>
      <w:r>
        <w:rPr>
          <w:rFonts w:hint="eastAsia"/>
          <w:color w:val="auto"/>
          <w:highlight w:val="none"/>
        </w:rPr>
        <w:t>总</w:t>
      </w:r>
      <w:r>
        <w:rPr>
          <w:color w:val="auto"/>
          <w:highlight w:val="none"/>
        </w:rPr>
        <w:t>价填写到</w:t>
      </w:r>
      <w:r>
        <w:rPr>
          <w:rFonts w:hint="eastAsia"/>
          <w:color w:val="auto"/>
          <w:highlight w:val="none"/>
        </w:rPr>
        <w:t>“开标一览表”</w:t>
      </w:r>
      <w:r>
        <w:rPr>
          <w:color w:val="auto"/>
          <w:highlight w:val="none"/>
        </w:rPr>
        <w:t>中对应的</w:t>
      </w:r>
      <w:r>
        <w:rPr>
          <w:rFonts w:hint="eastAsia"/>
          <w:color w:val="auto"/>
          <w:highlight w:val="none"/>
        </w:rPr>
        <w:t>“投标报价”</w:t>
      </w:r>
      <w:r>
        <w:rPr>
          <w:color w:val="auto"/>
          <w:highlight w:val="none"/>
        </w:rPr>
        <w:t>栏中。</w:t>
      </w:r>
    </w:p>
    <w:p w14:paraId="44AF77C5">
      <w:pPr>
        <w:spacing w:line="360" w:lineRule="auto"/>
        <w:rPr>
          <w:color w:val="auto"/>
          <w:highlight w:val="none"/>
          <w:lang w:bidi="ar"/>
        </w:rPr>
      </w:pPr>
      <w:r>
        <w:rPr>
          <w:rFonts w:hint="eastAsia"/>
          <w:color w:val="auto"/>
          <w:highlight w:val="none"/>
        </w:rPr>
        <w:t>2.表中所列货物为对应本项目需求的全部货物及所需附件购置费、包装费、运输费、人工费、保险费、安装调试费、各种税费、资料费、售后服务费及完成项目应有的全部费用。如有漏项或缺项，投标人承担全部责任。</w:t>
      </w:r>
      <w:r>
        <w:rPr>
          <w:color w:val="auto"/>
          <w:highlight w:val="none"/>
          <w:lang w:bidi="ar"/>
        </w:rPr>
        <w:br w:type="page"/>
      </w:r>
    </w:p>
    <w:p w14:paraId="73F8A095">
      <w:pPr>
        <w:pStyle w:val="3"/>
        <w:rPr>
          <w:rFonts w:hint="eastAsia"/>
          <w:color w:val="auto"/>
          <w:highlight w:val="none"/>
        </w:rPr>
        <w:sectPr>
          <w:pgSz w:w="16838" w:h="11906" w:orient="landscape"/>
          <w:pgMar w:top="1803" w:right="1440" w:bottom="1803" w:left="1440" w:header="851" w:footer="992" w:gutter="0"/>
          <w:pgNumType w:fmt="numberInDash"/>
          <w:cols w:space="0" w:num="1"/>
          <w:docGrid w:type="lines" w:linePitch="332" w:charSpace="0"/>
        </w:sectPr>
      </w:pPr>
      <w:bookmarkStart w:id="394" w:name="_Toc11433"/>
    </w:p>
    <w:p w14:paraId="173D09D0">
      <w:pPr>
        <w:pStyle w:val="3"/>
        <w:rPr>
          <w:color w:val="auto"/>
          <w:highlight w:val="none"/>
        </w:rPr>
      </w:pPr>
      <w:r>
        <w:rPr>
          <w:rFonts w:hint="eastAsia"/>
          <w:color w:val="auto"/>
          <w:highlight w:val="none"/>
        </w:rPr>
        <w:t>三、关于符合本国产品标准的声明函或财政部规定的其他证明文件</w:t>
      </w:r>
      <w:bookmarkEnd w:id="394"/>
    </w:p>
    <w:p w14:paraId="15B81AA0">
      <w:pPr>
        <w:spacing w:line="360" w:lineRule="auto"/>
        <w:rPr>
          <w:color w:val="auto"/>
          <w:highlight w:val="none"/>
        </w:rPr>
      </w:pPr>
      <w:r>
        <w:rPr>
          <w:rFonts w:hint="eastAsia"/>
          <w:color w:val="auto"/>
          <w:highlight w:val="none"/>
        </w:rPr>
        <w:t>附件1</w:t>
      </w:r>
    </w:p>
    <w:p w14:paraId="2B2C283C">
      <w:pPr>
        <w:spacing w:line="360" w:lineRule="auto"/>
        <w:jc w:val="center"/>
        <w:rPr>
          <w:b/>
          <w:bCs/>
          <w:color w:val="auto"/>
          <w:highlight w:val="none"/>
          <w:lang w:bidi="ar"/>
        </w:rPr>
      </w:pPr>
      <w:r>
        <w:rPr>
          <w:rFonts w:hint="eastAsia"/>
          <w:b/>
          <w:bCs/>
          <w:color w:val="auto"/>
          <w:highlight w:val="none"/>
          <w:lang w:bidi="ar"/>
        </w:rPr>
        <w:t>（一）关于符合本国产品标准的声明函</w:t>
      </w:r>
    </w:p>
    <w:p w14:paraId="63B3CB16">
      <w:pPr>
        <w:spacing w:line="360" w:lineRule="auto"/>
        <w:rPr>
          <w:color w:val="auto"/>
          <w:highlight w:val="none"/>
          <w:lang w:bidi="ar"/>
        </w:rPr>
      </w:pPr>
      <w:r>
        <w:rPr>
          <w:rFonts w:hint="eastAsia"/>
          <w:color w:val="auto"/>
          <w:highlight w:val="none"/>
          <w:lang w:bidi="ar"/>
        </w:rPr>
        <w:t>本公司（单位）郑重声明，根据《国务院办公厅关于在政府采购中实施本国产品标准及相关政策的通知》（国办发〔2025〕34号）的规定，本公司（单位）提供的以下产品属于本国产品。具体情况如下：</w:t>
      </w:r>
    </w:p>
    <w:p w14:paraId="77F003BE">
      <w:pPr>
        <w:spacing w:line="360" w:lineRule="auto"/>
        <w:rPr>
          <w:color w:val="auto"/>
          <w:highlight w:val="none"/>
          <w:lang w:bidi="ar"/>
        </w:rPr>
      </w:pPr>
      <w:r>
        <w:rPr>
          <w:rFonts w:hint="eastAsia"/>
          <w:color w:val="auto"/>
          <w:highlight w:val="none"/>
          <w:lang w:bidi="ar"/>
        </w:rPr>
        <w:t>1.（产品名称1）1，生产厂为（厂名）2，厂址为（生产厂址）。（产品名称1）的中国境内生产的组件成本占比≥（规定比例）3。（产品名称1）的（关键组件）4在中国境内生产。（产品名称1）的（关键工序）5在中国境内完成。</w:t>
      </w:r>
    </w:p>
    <w:p w14:paraId="0700D4BA">
      <w:pPr>
        <w:spacing w:line="360" w:lineRule="auto"/>
        <w:rPr>
          <w:color w:val="auto"/>
          <w:highlight w:val="none"/>
          <w:lang w:bidi="ar"/>
        </w:rPr>
      </w:pPr>
      <w:r>
        <w:rPr>
          <w:rFonts w:hint="eastAsia"/>
          <w:color w:val="auto"/>
          <w:highlight w:val="none"/>
          <w:lang w:bidi="ar"/>
        </w:rPr>
        <w:t>2.</w:t>
      </w:r>
      <w:r>
        <w:rPr>
          <w:rFonts w:hint="eastAsia"/>
          <w:color w:val="auto"/>
          <w:highlight w:val="none"/>
          <w:u w:val="single"/>
          <w:lang w:bidi="ar"/>
        </w:rPr>
        <w:t>（产品名称2）</w:t>
      </w:r>
      <w:r>
        <w:rPr>
          <w:rFonts w:hint="eastAsia"/>
          <w:color w:val="auto"/>
          <w:highlight w:val="none"/>
          <w:lang w:bidi="ar"/>
        </w:rPr>
        <w:t>，生产厂为</w:t>
      </w:r>
      <w:r>
        <w:rPr>
          <w:rFonts w:hint="eastAsia"/>
          <w:color w:val="auto"/>
          <w:highlight w:val="none"/>
          <w:u w:val="single"/>
          <w:lang w:bidi="ar"/>
        </w:rPr>
        <w:t>（厂名）</w:t>
      </w:r>
      <w:r>
        <w:rPr>
          <w:rFonts w:hint="eastAsia"/>
          <w:color w:val="auto"/>
          <w:highlight w:val="none"/>
          <w:lang w:bidi="ar"/>
        </w:rPr>
        <w:t>，厂址为</w:t>
      </w:r>
      <w:r>
        <w:rPr>
          <w:rFonts w:hint="eastAsia"/>
          <w:color w:val="auto"/>
          <w:highlight w:val="none"/>
          <w:u w:val="single"/>
          <w:lang w:bidi="ar"/>
        </w:rPr>
        <w:t>（生产厂址）</w:t>
      </w:r>
      <w:r>
        <w:rPr>
          <w:rFonts w:hint="eastAsia"/>
          <w:color w:val="auto"/>
          <w:highlight w:val="none"/>
          <w:lang w:bidi="ar"/>
        </w:rPr>
        <w:t>。</w:t>
      </w:r>
      <w:r>
        <w:rPr>
          <w:rFonts w:hint="eastAsia"/>
          <w:color w:val="auto"/>
          <w:highlight w:val="none"/>
          <w:u w:val="single"/>
          <w:lang w:bidi="ar"/>
        </w:rPr>
        <w:t>（产品名称2）</w:t>
      </w:r>
      <w:r>
        <w:rPr>
          <w:rFonts w:hint="eastAsia"/>
          <w:color w:val="auto"/>
          <w:highlight w:val="none"/>
          <w:lang w:bidi="ar"/>
        </w:rPr>
        <w:t>的中国境内生产的组件成本占比≥</w:t>
      </w:r>
      <w:r>
        <w:rPr>
          <w:rFonts w:hint="eastAsia"/>
          <w:color w:val="auto"/>
          <w:highlight w:val="none"/>
          <w:u w:val="single"/>
          <w:lang w:bidi="ar"/>
        </w:rPr>
        <w:t>（规定比例）</w:t>
      </w:r>
      <w:r>
        <w:rPr>
          <w:rFonts w:hint="eastAsia"/>
          <w:color w:val="auto"/>
          <w:highlight w:val="none"/>
          <w:lang w:bidi="ar"/>
        </w:rPr>
        <w:t>。</w:t>
      </w:r>
      <w:r>
        <w:rPr>
          <w:rFonts w:hint="eastAsia"/>
          <w:color w:val="auto"/>
          <w:highlight w:val="none"/>
          <w:u w:val="single"/>
          <w:lang w:bidi="ar"/>
        </w:rPr>
        <w:t>（产品名称2）</w:t>
      </w:r>
      <w:r>
        <w:rPr>
          <w:rFonts w:hint="eastAsia"/>
          <w:color w:val="auto"/>
          <w:highlight w:val="none"/>
          <w:lang w:bidi="ar"/>
        </w:rPr>
        <w:t>的</w:t>
      </w:r>
      <w:r>
        <w:rPr>
          <w:rFonts w:hint="eastAsia"/>
          <w:color w:val="auto"/>
          <w:highlight w:val="none"/>
          <w:u w:val="single"/>
          <w:lang w:bidi="ar"/>
        </w:rPr>
        <w:t>（关键组件）</w:t>
      </w:r>
      <w:r>
        <w:rPr>
          <w:rFonts w:hint="eastAsia"/>
          <w:color w:val="auto"/>
          <w:highlight w:val="none"/>
          <w:lang w:bidi="ar"/>
        </w:rPr>
        <w:t>在中国境内生产。</w:t>
      </w:r>
      <w:r>
        <w:rPr>
          <w:rFonts w:hint="eastAsia"/>
          <w:color w:val="auto"/>
          <w:highlight w:val="none"/>
          <w:u w:val="single"/>
          <w:lang w:bidi="ar"/>
        </w:rPr>
        <w:t>（产品名称2）</w:t>
      </w:r>
      <w:r>
        <w:rPr>
          <w:rFonts w:hint="eastAsia"/>
          <w:color w:val="auto"/>
          <w:highlight w:val="none"/>
          <w:lang w:bidi="ar"/>
        </w:rPr>
        <w:t>的（关键工序）在中国境内完成。</w:t>
      </w:r>
    </w:p>
    <w:p w14:paraId="7F86FC45">
      <w:pPr>
        <w:spacing w:line="360" w:lineRule="auto"/>
        <w:rPr>
          <w:color w:val="auto"/>
          <w:highlight w:val="none"/>
          <w:lang w:bidi="ar"/>
        </w:rPr>
      </w:pPr>
      <w:r>
        <w:rPr>
          <w:rFonts w:hint="eastAsia"/>
          <w:color w:val="auto"/>
          <w:highlight w:val="none"/>
          <w:lang w:bidi="ar"/>
        </w:rPr>
        <w:t>……</w:t>
      </w:r>
    </w:p>
    <w:p w14:paraId="20AD2E6D">
      <w:pPr>
        <w:spacing w:line="360" w:lineRule="auto"/>
        <w:rPr>
          <w:color w:val="auto"/>
          <w:highlight w:val="none"/>
          <w:lang w:bidi="ar"/>
        </w:rPr>
      </w:pPr>
      <w:r>
        <w:rPr>
          <w:rFonts w:hint="eastAsia"/>
          <w:color w:val="auto"/>
          <w:highlight w:val="none"/>
          <w:lang w:bidi="ar"/>
        </w:rPr>
        <w:t>本公司（单位）对上述声明内容的真实性负责。如有虚假，愿承担相应法律责任。</w:t>
      </w:r>
    </w:p>
    <w:p w14:paraId="561205E8">
      <w:pPr>
        <w:spacing w:line="360" w:lineRule="auto"/>
        <w:rPr>
          <w:color w:val="auto"/>
          <w:highlight w:val="none"/>
          <w:lang w:bidi="ar"/>
        </w:rPr>
      </w:pPr>
    </w:p>
    <w:p w14:paraId="42727721">
      <w:pPr>
        <w:spacing w:line="360" w:lineRule="auto"/>
        <w:rPr>
          <w:color w:val="auto"/>
          <w:highlight w:val="none"/>
          <w:lang w:bidi="ar"/>
        </w:rPr>
      </w:pPr>
      <w:r>
        <w:rPr>
          <w:rFonts w:hint="eastAsia"/>
          <w:color w:val="auto"/>
          <w:highlight w:val="none"/>
          <w:lang w:bidi="ar"/>
        </w:rPr>
        <w:t>公司（单位）名称（盖章）：　        </w:t>
      </w:r>
    </w:p>
    <w:p w14:paraId="0F92C0C5">
      <w:pPr>
        <w:spacing w:line="360" w:lineRule="auto"/>
        <w:rPr>
          <w:color w:val="auto"/>
          <w:highlight w:val="none"/>
          <w:lang w:bidi="ar"/>
        </w:rPr>
      </w:pPr>
      <w:r>
        <w:rPr>
          <w:rFonts w:hint="eastAsia"/>
          <w:color w:val="auto"/>
          <w:highlight w:val="none"/>
          <w:lang w:bidi="ar"/>
        </w:rPr>
        <w:t>日期：　     </w:t>
      </w:r>
      <w:r>
        <w:rPr>
          <w:rFonts w:hint="eastAsia" w:cs="宋体"/>
          <w:color w:val="auto"/>
          <w:highlight w:val="none"/>
          <w:lang w:bidi="ar"/>
        </w:rPr>
        <w:t>年　</w:t>
      </w:r>
      <w:r>
        <w:rPr>
          <w:rFonts w:hint="eastAsia"/>
          <w:color w:val="auto"/>
          <w:highlight w:val="none"/>
          <w:lang w:bidi="ar"/>
        </w:rPr>
        <w:t>  </w:t>
      </w:r>
      <w:r>
        <w:rPr>
          <w:rFonts w:hint="eastAsia" w:cs="宋体"/>
          <w:color w:val="auto"/>
          <w:highlight w:val="none"/>
          <w:lang w:bidi="ar"/>
        </w:rPr>
        <w:t>月　</w:t>
      </w:r>
      <w:r>
        <w:rPr>
          <w:rFonts w:hint="eastAsia"/>
          <w:color w:val="auto"/>
          <w:highlight w:val="none"/>
          <w:lang w:bidi="ar"/>
        </w:rPr>
        <w:t>  </w:t>
      </w:r>
      <w:r>
        <w:rPr>
          <w:rFonts w:hint="eastAsia" w:cs="宋体"/>
          <w:color w:val="auto"/>
          <w:highlight w:val="none"/>
          <w:lang w:bidi="ar"/>
        </w:rPr>
        <w:t>日</w:t>
      </w:r>
      <w:r>
        <w:rPr>
          <w:rFonts w:hint="eastAsia"/>
          <w:color w:val="auto"/>
          <w:highlight w:val="none"/>
          <w:lang w:bidi="ar"/>
        </w:rPr>
        <w:t>         </w:t>
      </w:r>
    </w:p>
    <w:p w14:paraId="454A670F">
      <w:pPr>
        <w:spacing w:line="360" w:lineRule="auto"/>
        <w:rPr>
          <w:color w:val="auto"/>
          <w:highlight w:val="none"/>
          <w:lang w:bidi="ar"/>
        </w:rPr>
      </w:pPr>
    </w:p>
    <w:p w14:paraId="7487AB14">
      <w:pPr>
        <w:spacing w:line="360" w:lineRule="auto"/>
        <w:rPr>
          <w:color w:val="auto"/>
          <w:highlight w:val="none"/>
          <w:lang w:bidi="ar"/>
        </w:rPr>
      </w:pPr>
      <w:r>
        <w:rPr>
          <w:rFonts w:hint="eastAsia"/>
          <w:b/>
          <w:bCs/>
          <w:color w:val="auto"/>
          <w:highlight w:val="none"/>
          <w:lang w:bidi="ar"/>
        </w:rPr>
        <w:t>注：</w:t>
      </w:r>
      <w:r>
        <w:rPr>
          <w:rFonts w:hint="eastAsia"/>
          <w:color w:val="auto"/>
          <w:highlight w:val="none"/>
          <w:lang w:bidi="ar"/>
        </w:rPr>
        <w:t>1.产品如有型号，请在“产品名称”栏一并填写。</w:t>
      </w:r>
    </w:p>
    <w:p w14:paraId="0B8EA92E">
      <w:pPr>
        <w:spacing w:line="360" w:lineRule="auto"/>
        <w:rPr>
          <w:color w:val="auto"/>
          <w:highlight w:val="none"/>
          <w:lang w:bidi="ar"/>
        </w:rPr>
      </w:pPr>
      <w:r>
        <w:rPr>
          <w:rFonts w:hint="eastAsia"/>
          <w:color w:val="auto"/>
          <w:highlight w:val="none"/>
          <w:lang w:bidi="ar"/>
        </w:rPr>
        <w:t>2.生产厂名与厂址应与生产厂营业执照载明的相关信息保持一致。</w:t>
      </w:r>
    </w:p>
    <w:p w14:paraId="1A337EED">
      <w:pPr>
        <w:spacing w:line="360" w:lineRule="auto"/>
        <w:rPr>
          <w:color w:val="auto"/>
          <w:highlight w:val="none"/>
          <w:lang w:bidi="ar"/>
        </w:rPr>
      </w:pPr>
      <w:r>
        <w:rPr>
          <w:rFonts w:hint="eastAsia"/>
          <w:color w:val="auto"/>
          <w:highlight w:val="none"/>
          <w:lang w:bidi="ar"/>
        </w:rPr>
        <w:t>3.该产品的中国境内生产的组件成本占比相关要求实施前，“规定比例”栏可不填，下同。</w:t>
      </w:r>
    </w:p>
    <w:p w14:paraId="017E03C9">
      <w:pPr>
        <w:spacing w:line="360" w:lineRule="auto"/>
        <w:rPr>
          <w:color w:val="auto"/>
          <w:highlight w:val="none"/>
          <w:lang w:bidi="ar"/>
        </w:rPr>
      </w:pPr>
      <w:r>
        <w:rPr>
          <w:rFonts w:hint="eastAsia"/>
          <w:color w:val="auto"/>
          <w:highlight w:val="none"/>
          <w:lang w:bidi="ar"/>
        </w:rPr>
        <w:t>4.该产品的关键组件要求实施前，“关键组件”栏可不填，下同。</w:t>
      </w:r>
    </w:p>
    <w:p w14:paraId="527E9076">
      <w:pPr>
        <w:spacing w:line="360" w:lineRule="auto"/>
        <w:rPr>
          <w:color w:val="auto"/>
          <w:highlight w:val="none"/>
          <w:lang w:bidi="ar"/>
        </w:rPr>
      </w:pPr>
      <w:r>
        <w:rPr>
          <w:rFonts w:hint="eastAsia"/>
          <w:color w:val="auto"/>
          <w:highlight w:val="none"/>
          <w:lang w:bidi="ar"/>
        </w:rPr>
        <w:t>5.该产品的关键工序要求实施前，“关键工序”栏可不填，下同。</w:t>
      </w:r>
    </w:p>
    <w:p w14:paraId="4F0CD023">
      <w:pPr>
        <w:spacing w:line="360" w:lineRule="auto"/>
        <w:rPr>
          <w:color w:val="auto"/>
          <w:highlight w:val="none"/>
          <w:lang w:bidi="ar"/>
        </w:rPr>
      </w:pPr>
      <w:r>
        <w:rPr>
          <w:rFonts w:hint="eastAsia"/>
          <w:color w:val="auto"/>
          <w:highlight w:val="none"/>
          <w:lang w:bidi="ar"/>
        </w:rPr>
        <w:br w:type="page"/>
      </w:r>
    </w:p>
    <w:p w14:paraId="27AC3A34">
      <w:pPr>
        <w:spacing w:line="360" w:lineRule="auto"/>
        <w:rPr>
          <w:color w:val="auto"/>
          <w:highlight w:val="none"/>
        </w:rPr>
      </w:pPr>
      <w:r>
        <w:rPr>
          <w:rFonts w:hint="eastAsia"/>
          <w:color w:val="auto"/>
          <w:highlight w:val="none"/>
        </w:rPr>
        <w:t>附件2</w:t>
      </w:r>
    </w:p>
    <w:p w14:paraId="73762291">
      <w:pPr>
        <w:spacing w:line="360" w:lineRule="auto"/>
        <w:jc w:val="center"/>
        <w:rPr>
          <w:b/>
          <w:bCs/>
          <w:color w:val="auto"/>
          <w:highlight w:val="none"/>
          <w:lang w:bidi="ar"/>
        </w:rPr>
      </w:pPr>
      <w:r>
        <w:rPr>
          <w:rFonts w:hint="eastAsia"/>
          <w:b/>
          <w:bCs/>
          <w:color w:val="auto"/>
          <w:highlight w:val="none"/>
          <w:lang w:bidi="ar"/>
        </w:rPr>
        <w:t>（二）本国产品成本占比承诺函</w:t>
      </w:r>
    </w:p>
    <w:p w14:paraId="70520437">
      <w:pPr>
        <w:spacing w:line="360" w:lineRule="auto"/>
        <w:rPr>
          <w:color w:val="auto"/>
          <w:highlight w:val="none"/>
        </w:rPr>
      </w:pPr>
    </w:p>
    <w:p w14:paraId="0DB2867A">
      <w:pPr>
        <w:spacing w:line="360" w:lineRule="auto"/>
        <w:rPr>
          <w:color w:val="auto"/>
          <w:highlight w:val="none"/>
          <w:lang w:bidi="ar"/>
        </w:rPr>
      </w:pPr>
      <w:r>
        <w:rPr>
          <w:rFonts w:hint="eastAsia"/>
          <w:color w:val="auto"/>
          <w:highlight w:val="none"/>
          <w:lang w:bidi="ar"/>
        </w:rPr>
        <w:t>致:[采购人/采购代理机构名称]</w:t>
      </w:r>
    </w:p>
    <w:p w14:paraId="35D83CE1">
      <w:pPr>
        <w:spacing w:line="360" w:lineRule="auto"/>
        <w:rPr>
          <w:color w:val="auto"/>
          <w:highlight w:val="none"/>
          <w:lang w:bidi="ar"/>
        </w:rPr>
      </w:pPr>
      <w:r>
        <w:rPr>
          <w:rFonts w:hint="eastAsia"/>
          <w:color w:val="auto"/>
          <w:highlight w:val="none"/>
          <w:lang w:bidi="ar"/>
        </w:rPr>
        <w:t>本单位就参与[项目名称      、编号      ]政府采购项目，郑重承诺如下:</w:t>
      </w:r>
    </w:p>
    <w:p w14:paraId="1AF20BA6">
      <w:pPr>
        <w:spacing w:line="360" w:lineRule="auto"/>
        <w:rPr>
          <w:color w:val="auto"/>
          <w:highlight w:val="none"/>
          <w:lang w:bidi="ar"/>
        </w:rPr>
      </w:pPr>
      <w:r>
        <w:rPr>
          <w:rFonts w:hint="eastAsia"/>
          <w:color w:val="auto"/>
          <w:highlight w:val="none"/>
          <w:lang w:bidi="ar"/>
        </w:rPr>
        <w:t>本单位为该项目(或采购包)提供的符合本国产品标准的产品成本之和，占所提供全部产品成本之和的比例为</w:t>
      </w:r>
      <w:r>
        <w:rPr>
          <w:rFonts w:hint="eastAsia"/>
          <w:color w:val="auto"/>
          <w:highlight w:val="none"/>
          <w:u w:val="single"/>
          <w:lang w:bidi="ar"/>
        </w:rPr>
        <w:t xml:space="preserve">     </w:t>
      </w:r>
      <w:r>
        <w:rPr>
          <w:rFonts w:hint="eastAsia"/>
          <w:color w:val="auto"/>
          <w:highlight w:val="none"/>
          <w:lang w:bidi="ar"/>
        </w:rPr>
        <w:t>%。本承诺内容真实有效，若存在虚假承诺，愿意承担相应法律责任，放弃中标(成交)资格，并接受政府采购监管部门处罚。</w:t>
      </w:r>
    </w:p>
    <w:p w14:paraId="77112795">
      <w:pPr>
        <w:spacing w:line="360" w:lineRule="auto"/>
        <w:rPr>
          <w:color w:val="auto"/>
          <w:highlight w:val="none"/>
          <w:lang w:bidi="ar"/>
        </w:rPr>
      </w:pPr>
    </w:p>
    <w:p w14:paraId="2D423BF7">
      <w:pPr>
        <w:spacing w:line="360" w:lineRule="auto"/>
        <w:rPr>
          <w:color w:val="auto"/>
          <w:highlight w:val="none"/>
          <w:lang w:bidi="ar"/>
        </w:rPr>
      </w:pPr>
      <w:r>
        <w:rPr>
          <w:rFonts w:hint="eastAsia"/>
          <w:color w:val="auto"/>
          <w:highlight w:val="none"/>
          <w:lang w:bidi="ar"/>
        </w:rPr>
        <w:t>承诺人(供应商公章):</w:t>
      </w:r>
    </w:p>
    <w:p w14:paraId="700D132E">
      <w:pPr>
        <w:spacing w:line="360" w:lineRule="auto"/>
        <w:rPr>
          <w:color w:val="auto"/>
          <w:highlight w:val="none"/>
          <w:lang w:bidi="ar"/>
        </w:rPr>
      </w:pPr>
      <w:r>
        <w:rPr>
          <w:rFonts w:hint="eastAsia"/>
          <w:color w:val="auto"/>
          <w:highlight w:val="none"/>
          <w:lang w:bidi="ar"/>
        </w:rPr>
        <w:t>法定代表人或授权代表签字:</w:t>
      </w:r>
    </w:p>
    <w:p w14:paraId="181EB0A5">
      <w:pPr>
        <w:spacing w:line="360" w:lineRule="auto"/>
        <w:rPr>
          <w:color w:val="auto"/>
          <w:highlight w:val="none"/>
          <w:lang w:bidi="ar"/>
        </w:rPr>
      </w:pPr>
      <w:r>
        <w:rPr>
          <w:rFonts w:hint="eastAsia"/>
          <w:color w:val="auto"/>
          <w:highlight w:val="none"/>
          <w:lang w:bidi="ar"/>
        </w:rPr>
        <w:t>日期:  年  月  日</w:t>
      </w:r>
    </w:p>
    <w:p w14:paraId="1460DCCE">
      <w:pPr>
        <w:spacing w:line="360" w:lineRule="auto"/>
        <w:rPr>
          <w:color w:val="auto"/>
          <w:highlight w:val="none"/>
          <w:lang w:bidi="ar"/>
        </w:rPr>
      </w:pPr>
    </w:p>
    <w:p w14:paraId="06B83E82">
      <w:pPr>
        <w:spacing w:line="360" w:lineRule="auto"/>
        <w:rPr>
          <w:color w:val="auto"/>
          <w:highlight w:val="none"/>
          <w:lang w:bidi="ar"/>
        </w:rPr>
      </w:pPr>
    </w:p>
    <w:p w14:paraId="66001D7B">
      <w:pPr>
        <w:spacing w:line="360" w:lineRule="auto"/>
        <w:rPr>
          <w:color w:val="auto"/>
          <w:highlight w:val="none"/>
          <w:lang w:bidi="ar"/>
        </w:rPr>
      </w:pPr>
    </w:p>
    <w:p w14:paraId="7C021D0F">
      <w:pPr>
        <w:spacing w:line="360" w:lineRule="auto"/>
        <w:rPr>
          <w:color w:val="auto"/>
          <w:highlight w:val="none"/>
          <w:lang w:bidi="ar"/>
        </w:rPr>
      </w:pPr>
    </w:p>
    <w:p w14:paraId="76759014">
      <w:pPr>
        <w:spacing w:line="360" w:lineRule="auto"/>
        <w:rPr>
          <w:color w:val="auto"/>
          <w:highlight w:val="none"/>
          <w:lang w:bidi="ar"/>
        </w:rPr>
      </w:pPr>
    </w:p>
    <w:p w14:paraId="58812651">
      <w:pPr>
        <w:spacing w:line="360" w:lineRule="auto"/>
        <w:rPr>
          <w:color w:val="auto"/>
          <w:highlight w:val="none"/>
          <w:lang w:bidi="ar"/>
        </w:rPr>
      </w:pPr>
    </w:p>
    <w:p w14:paraId="52453F98">
      <w:pPr>
        <w:spacing w:line="360" w:lineRule="auto"/>
        <w:rPr>
          <w:color w:val="auto"/>
          <w:highlight w:val="none"/>
          <w:lang w:bidi="ar"/>
        </w:rPr>
      </w:pPr>
    </w:p>
    <w:p w14:paraId="56191D50">
      <w:pPr>
        <w:spacing w:line="360" w:lineRule="auto"/>
        <w:rPr>
          <w:color w:val="auto"/>
          <w:highlight w:val="none"/>
          <w:lang w:bidi="ar"/>
        </w:rPr>
      </w:pPr>
    </w:p>
    <w:p w14:paraId="41A1A992">
      <w:pPr>
        <w:spacing w:line="360" w:lineRule="auto"/>
        <w:rPr>
          <w:color w:val="auto"/>
          <w:highlight w:val="none"/>
          <w:lang w:bidi="ar"/>
        </w:rPr>
      </w:pPr>
    </w:p>
    <w:p w14:paraId="46EA488E">
      <w:pPr>
        <w:spacing w:line="360" w:lineRule="auto"/>
        <w:rPr>
          <w:color w:val="auto"/>
          <w:highlight w:val="none"/>
          <w:lang w:bidi="ar"/>
        </w:rPr>
      </w:pPr>
    </w:p>
    <w:p w14:paraId="4299AC58">
      <w:pPr>
        <w:spacing w:line="360" w:lineRule="auto"/>
        <w:rPr>
          <w:color w:val="auto"/>
          <w:highlight w:val="none"/>
          <w:lang w:bidi="ar"/>
        </w:rPr>
        <w:sectPr>
          <w:pgSz w:w="11906" w:h="16838"/>
          <w:pgMar w:top="1440" w:right="1803" w:bottom="1440" w:left="1803" w:header="851" w:footer="992" w:gutter="0"/>
          <w:pgNumType w:fmt="numberInDash"/>
          <w:cols w:space="0" w:num="1"/>
          <w:docGrid w:type="lines" w:linePitch="332" w:charSpace="0"/>
        </w:sectPr>
      </w:pPr>
      <w:r>
        <w:rPr>
          <w:rFonts w:hint="eastAsia"/>
          <w:b/>
          <w:bCs/>
          <w:color w:val="auto"/>
          <w:highlight w:val="none"/>
          <w:lang w:bidi="ar"/>
        </w:rPr>
        <w:t>注：</w:t>
      </w:r>
      <w:r>
        <w:rPr>
          <w:rFonts w:hint="eastAsia"/>
          <w:color w:val="auto"/>
          <w:highlight w:val="none"/>
          <w:lang w:bidi="ar"/>
        </w:rPr>
        <w:t>若供应商所投产品均符合本国产品标准，且已提供《声明函》，可不填写《承诺函》。</w:t>
      </w:r>
    </w:p>
    <w:p w14:paraId="084FDF5B">
      <w:pPr>
        <w:pStyle w:val="63"/>
        <w:spacing w:line="360" w:lineRule="exact"/>
        <w:rPr>
          <w:rFonts w:ascii="宋体" w:hAnsi="宋体" w:eastAsia="宋体" w:cs="宋体"/>
          <w:b/>
          <w:bCs/>
          <w:color w:val="auto"/>
          <w:highlight w:val="none"/>
        </w:rPr>
      </w:pPr>
    </w:p>
    <w:p w14:paraId="46CA7447">
      <w:pPr>
        <w:rPr>
          <w:color w:val="auto"/>
          <w:highlight w:val="none"/>
          <w:lang w:val="zh-CN"/>
        </w:rPr>
      </w:pPr>
      <w:r>
        <w:rPr>
          <w:rFonts w:hint="eastAsia"/>
          <w:color w:val="auto"/>
          <w:highlight w:val="none"/>
          <w:lang w:val="zh-CN"/>
        </w:rPr>
        <w:t>封面：</w:t>
      </w:r>
    </w:p>
    <w:p w14:paraId="6C51FDFC">
      <w:pPr>
        <w:rPr>
          <w:color w:val="auto"/>
          <w:highlight w:val="none"/>
        </w:rPr>
      </w:pPr>
    </w:p>
    <w:p w14:paraId="188EA530">
      <w:pPr>
        <w:rPr>
          <w:color w:val="auto"/>
          <w:highlight w:val="none"/>
        </w:rPr>
      </w:pPr>
    </w:p>
    <w:p w14:paraId="2C49370A">
      <w:pPr>
        <w:rPr>
          <w:color w:val="auto"/>
          <w:highlight w:val="none"/>
        </w:rPr>
      </w:pPr>
    </w:p>
    <w:p w14:paraId="5CD5B1E4">
      <w:pPr>
        <w:pStyle w:val="2"/>
        <w:rPr>
          <w:color w:val="auto"/>
          <w:highlight w:val="none"/>
        </w:rPr>
      </w:pPr>
      <w:bookmarkStart w:id="395" w:name="_Toc14188"/>
      <w:r>
        <w:rPr>
          <w:rFonts w:hint="eastAsia"/>
          <w:color w:val="auto"/>
          <w:highlight w:val="none"/>
        </w:rPr>
        <w:t>投 标 文 件</w:t>
      </w:r>
      <w:bookmarkEnd w:id="395"/>
    </w:p>
    <w:p w14:paraId="0FD69A8C">
      <w:pPr>
        <w:pStyle w:val="2"/>
        <w:rPr>
          <w:color w:val="auto"/>
          <w:highlight w:val="none"/>
        </w:rPr>
      </w:pPr>
      <w:bookmarkStart w:id="396" w:name="_Toc26592"/>
      <w:r>
        <w:rPr>
          <w:rFonts w:hint="eastAsia"/>
          <w:color w:val="auto"/>
          <w:highlight w:val="none"/>
        </w:rPr>
        <w:t>商务技术文件</w:t>
      </w:r>
      <w:bookmarkEnd w:id="396"/>
    </w:p>
    <w:p w14:paraId="15571572">
      <w:pPr>
        <w:spacing w:line="360" w:lineRule="auto"/>
        <w:rPr>
          <w:color w:val="auto"/>
          <w:highlight w:val="none"/>
        </w:rPr>
      </w:pPr>
      <w:r>
        <w:rPr>
          <w:rFonts w:hint="eastAsia"/>
          <w:color w:val="auto"/>
          <w:highlight w:val="none"/>
        </w:rPr>
        <w:t>（第XX包）【如不分包，请删去本行】</w:t>
      </w:r>
    </w:p>
    <w:p w14:paraId="2AA60458">
      <w:pPr>
        <w:spacing w:line="360" w:lineRule="auto"/>
        <w:rPr>
          <w:color w:val="auto"/>
          <w:highlight w:val="none"/>
        </w:rPr>
      </w:pPr>
    </w:p>
    <w:p w14:paraId="4415D3A1">
      <w:pPr>
        <w:spacing w:line="360" w:lineRule="auto"/>
        <w:rPr>
          <w:color w:val="auto"/>
          <w:highlight w:val="none"/>
        </w:rPr>
      </w:pPr>
    </w:p>
    <w:p w14:paraId="502EC269">
      <w:pPr>
        <w:spacing w:line="360" w:lineRule="auto"/>
        <w:rPr>
          <w:color w:val="auto"/>
          <w:highlight w:val="none"/>
        </w:rPr>
      </w:pPr>
    </w:p>
    <w:p w14:paraId="6F7D7D68">
      <w:pPr>
        <w:spacing w:line="360" w:lineRule="auto"/>
        <w:rPr>
          <w:color w:val="auto"/>
          <w:highlight w:val="none"/>
        </w:rPr>
      </w:pPr>
    </w:p>
    <w:p w14:paraId="5A9FB84A">
      <w:pPr>
        <w:spacing w:line="360" w:lineRule="auto"/>
        <w:rPr>
          <w:color w:val="auto"/>
          <w:highlight w:val="none"/>
        </w:rPr>
      </w:pPr>
      <w:r>
        <w:rPr>
          <w:rFonts w:hint="eastAsia"/>
          <w:color w:val="auto"/>
          <w:highlight w:val="none"/>
        </w:rPr>
        <w:t xml:space="preserve">项目编号/包号：                           </w:t>
      </w:r>
    </w:p>
    <w:p w14:paraId="07111A4E">
      <w:pPr>
        <w:spacing w:line="360" w:lineRule="auto"/>
        <w:rPr>
          <w:color w:val="auto"/>
          <w:highlight w:val="none"/>
        </w:rPr>
      </w:pPr>
      <w:r>
        <w:rPr>
          <w:rFonts w:hint="eastAsia"/>
          <w:color w:val="auto"/>
          <w:highlight w:val="none"/>
        </w:rPr>
        <w:t xml:space="preserve">项目名称：                                </w:t>
      </w:r>
    </w:p>
    <w:p w14:paraId="6CD213F2">
      <w:pPr>
        <w:spacing w:line="360" w:lineRule="auto"/>
        <w:rPr>
          <w:color w:val="auto"/>
          <w:highlight w:val="none"/>
        </w:rPr>
      </w:pPr>
      <w:r>
        <w:rPr>
          <w:rFonts w:hint="eastAsia"/>
          <w:color w:val="auto"/>
          <w:highlight w:val="none"/>
        </w:rPr>
        <w:t xml:space="preserve">投 标 人：                                </w:t>
      </w:r>
    </w:p>
    <w:p w14:paraId="512633AB">
      <w:pPr>
        <w:spacing w:line="360" w:lineRule="auto"/>
        <w:rPr>
          <w:color w:val="auto"/>
          <w:highlight w:val="none"/>
        </w:rPr>
      </w:pPr>
    </w:p>
    <w:p w14:paraId="1CAED862">
      <w:pPr>
        <w:spacing w:line="360" w:lineRule="auto"/>
        <w:rPr>
          <w:color w:val="auto"/>
          <w:highlight w:val="none"/>
        </w:rPr>
      </w:pPr>
    </w:p>
    <w:p w14:paraId="63A630C8">
      <w:pPr>
        <w:spacing w:line="360" w:lineRule="auto"/>
        <w:rPr>
          <w:color w:val="auto"/>
          <w:highlight w:val="none"/>
        </w:rPr>
      </w:pPr>
    </w:p>
    <w:p w14:paraId="5E147863">
      <w:pPr>
        <w:spacing w:line="360" w:lineRule="auto"/>
        <w:rPr>
          <w:color w:val="auto"/>
          <w:highlight w:val="none"/>
        </w:rPr>
      </w:pPr>
      <w:r>
        <w:rPr>
          <w:rFonts w:hint="eastAsia"/>
          <w:color w:val="auto"/>
          <w:highlight w:val="none"/>
        </w:rPr>
        <w:t>年   月    日</w:t>
      </w:r>
    </w:p>
    <w:p w14:paraId="20ED93AA">
      <w:pPr>
        <w:spacing w:line="360" w:lineRule="auto"/>
        <w:rPr>
          <w:color w:val="auto"/>
          <w:highlight w:val="none"/>
          <w:lang w:val="zh-CN"/>
        </w:rPr>
      </w:pPr>
      <w:r>
        <w:rPr>
          <w:color w:val="auto"/>
          <w:highlight w:val="none"/>
          <w:lang w:val="zh-CN"/>
        </w:rPr>
        <w:br w:type="page"/>
      </w:r>
    </w:p>
    <w:p w14:paraId="3CCE4406">
      <w:pPr>
        <w:pStyle w:val="3"/>
        <w:rPr>
          <w:color w:val="auto"/>
          <w:highlight w:val="none"/>
        </w:rPr>
      </w:pPr>
      <w:bookmarkStart w:id="397" w:name="_Toc25402"/>
      <w:bookmarkStart w:id="398" w:name="_Toc109899489"/>
      <w:bookmarkStart w:id="399" w:name="_Toc163492915"/>
      <w:bookmarkStart w:id="400" w:name="_Toc109900327"/>
      <w:bookmarkStart w:id="401" w:name="_Toc140132831"/>
      <w:bookmarkStart w:id="402" w:name="_Toc109899908"/>
      <w:bookmarkStart w:id="403" w:name="_Toc28987"/>
      <w:bookmarkStart w:id="404" w:name="_Toc3577"/>
      <w:bookmarkStart w:id="405" w:name="_Toc155185921"/>
      <w:r>
        <w:rPr>
          <w:rFonts w:hint="eastAsia"/>
          <w:color w:val="auto"/>
          <w:highlight w:val="none"/>
        </w:rPr>
        <w:t>一、投标函</w:t>
      </w:r>
      <w:bookmarkEnd w:id="397"/>
      <w:bookmarkEnd w:id="398"/>
      <w:bookmarkEnd w:id="399"/>
      <w:bookmarkEnd w:id="400"/>
      <w:bookmarkEnd w:id="401"/>
      <w:bookmarkEnd w:id="402"/>
      <w:bookmarkEnd w:id="403"/>
      <w:bookmarkEnd w:id="404"/>
      <w:bookmarkEnd w:id="405"/>
    </w:p>
    <w:p w14:paraId="70A3B82F">
      <w:pPr>
        <w:spacing w:line="360" w:lineRule="auto"/>
        <w:rPr>
          <w:color w:val="auto"/>
          <w:highlight w:val="none"/>
        </w:rPr>
      </w:pPr>
      <w:r>
        <w:rPr>
          <w:rFonts w:hint="eastAsia"/>
          <w:color w:val="auto"/>
          <w:highlight w:val="none"/>
        </w:rPr>
        <w:t>致：（采购人）</w:t>
      </w:r>
    </w:p>
    <w:p w14:paraId="115F6CFD">
      <w:pPr>
        <w:spacing w:line="360" w:lineRule="auto"/>
        <w:rPr>
          <w:b/>
          <w:bCs/>
          <w:color w:val="auto"/>
          <w:highlight w:val="none"/>
        </w:rPr>
      </w:pPr>
      <w:r>
        <w:rPr>
          <w:rFonts w:hint="eastAsia"/>
          <w:color w:val="auto"/>
          <w:highlight w:val="none"/>
        </w:rPr>
        <w:t>根据贵方</w:t>
      </w:r>
      <w:r>
        <w:rPr>
          <w:rFonts w:hint="eastAsia"/>
          <w:color w:val="auto"/>
          <w:highlight w:val="none"/>
          <w:u w:val="single"/>
        </w:rPr>
        <w:t>（项目名称）（项目编号/包号）</w:t>
      </w:r>
      <w:r>
        <w:rPr>
          <w:rFonts w:hint="eastAsia"/>
          <w:color w:val="auto"/>
          <w:highlight w:val="none"/>
        </w:rPr>
        <w:t>项目的招标公告，签字代表</w:t>
      </w:r>
      <w:r>
        <w:rPr>
          <w:rFonts w:hint="eastAsia"/>
          <w:color w:val="auto"/>
          <w:highlight w:val="none"/>
          <w:u w:val="single"/>
        </w:rPr>
        <w:t>（姓名、职务）</w:t>
      </w:r>
      <w:r>
        <w:rPr>
          <w:rFonts w:hint="eastAsia"/>
          <w:color w:val="auto"/>
          <w:highlight w:val="none"/>
        </w:rPr>
        <w:t>经正式授权并代表投标人</w:t>
      </w:r>
      <w:r>
        <w:rPr>
          <w:rFonts w:hint="eastAsia"/>
          <w:color w:val="auto"/>
          <w:highlight w:val="none"/>
          <w:u w:val="single"/>
        </w:rPr>
        <w:t>（投标人名称、地址）</w:t>
      </w:r>
      <w:r>
        <w:rPr>
          <w:rFonts w:hint="eastAsia"/>
          <w:color w:val="auto"/>
          <w:highlight w:val="none"/>
        </w:rPr>
        <w:t>提交下述文件</w:t>
      </w:r>
      <w:r>
        <w:rPr>
          <w:rFonts w:hint="eastAsia"/>
          <w:b/>
          <w:bCs/>
          <w:color w:val="auto"/>
          <w:highlight w:val="none"/>
        </w:rPr>
        <w:t>：</w:t>
      </w:r>
    </w:p>
    <w:p w14:paraId="40B6206B">
      <w:pPr>
        <w:spacing w:line="360" w:lineRule="auto"/>
        <w:rPr>
          <w:color w:val="auto"/>
          <w:highlight w:val="none"/>
        </w:rPr>
      </w:pPr>
      <w:r>
        <w:rPr>
          <w:rFonts w:hint="eastAsia"/>
          <w:color w:val="auto"/>
          <w:highlight w:val="none"/>
        </w:rPr>
        <w:t>1.资格证明文件</w:t>
      </w:r>
      <w:r>
        <w:rPr>
          <w:color w:val="auto"/>
          <w:highlight w:val="none"/>
        </w:rPr>
        <w:t>；</w:t>
      </w:r>
    </w:p>
    <w:p w14:paraId="485D7E29">
      <w:pPr>
        <w:spacing w:line="360" w:lineRule="auto"/>
        <w:rPr>
          <w:color w:val="auto"/>
          <w:highlight w:val="none"/>
        </w:rPr>
      </w:pPr>
      <w:r>
        <w:rPr>
          <w:rFonts w:hint="eastAsia"/>
          <w:color w:val="auto"/>
          <w:highlight w:val="none"/>
        </w:rPr>
        <w:t>2.投标报价</w:t>
      </w:r>
      <w:r>
        <w:rPr>
          <w:color w:val="auto"/>
          <w:highlight w:val="none"/>
        </w:rPr>
        <w:t>文件</w:t>
      </w:r>
      <w:r>
        <w:rPr>
          <w:rFonts w:hint="eastAsia"/>
          <w:color w:val="auto"/>
          <w:highlight w:val="none"/>
        </w:rPr>
        <w:t>；</w:t>
      </w:r>
    </w:p>
    <w:p w14:paraId="101CCBD1">
      <w:pPr>
        <w:spacing w:line="360" w:lineRule="auto"/>
        <w:rPr>
          <w:color w:val="auto"/>
          <w:highlight w:val="none"/>
        </w:rPr>
      </w:pPr>
      <w:r>
        <w:rPr>
          <w:rFonts w:hint="eastAsia"/>
          <w:color w:val="auto"/>
          <w:highlight w:val="none"/>
        </w:rPr>
        <w:t>3.商务技术文件</w:t>
      </w:r>
      <w:r>
        <w:rPr>
          <w:color w:val="auto"/>
          <w:highlight w:val="none"/>
        </w:rPr>
        <w:t>。</w:t>
      </w:r>
    </w:p>
    <w:p w14:paraId="699DC868">
      <w:pPr>
        <w:spacing w:line="360" w:lineRule="auto"/>
        <w:rPr>
          <w:color w:val="auto"/>
          <w:highlight w:val="none"/>
        </w:rPr>
      </w:pPr>
      <w:r>
        <w:rPr>
          <w:color w:val="auto"/>
          <w:highlight w:val="none"/>
        </w:rPr>
        <w:t>根据此函，签字代表宣布同意如下：</w:t>
      </w:r>
    </w:p>
    <w:p w14:paraId="4183B3FB">
      <w:pPr>
        <w:spacing w:line="360" w:lineRule="auto"/>
        <w:rPr>
          <w:color w:val="auto"/>
          <w:highlight w:val="none"/>
        </w:rPr>
      </w:pPr>
      <w:r>
        <w:rPr>
          <w:rFonts w:hint="eastAsia"/>
          <w:color w:val="auto"/>
          <w:highlight w:val="none"/>
        </w:rPr>
        <w:t>1.</w:t>
      </w:r>
      <w:r>
        <w:rPr>
          <w:color w:val="auto"/>
          <w:highlight w:val="none"/>
        </w:rPr>
        <w:t>所附投标价格表中规定的应提交和交付的</w:t>
      </w:r>
      <w:r>
        <w:rPr>
          <w:rFonts w:hint="eastAsia"/>
          <w:color w:val="auto"/>
          <w:highlight w:val="none"/>
        </w:rPr>
        <w:t>货物</w:t>
      </w:r>
      <w:r>
        <w:rPr>
          <w:color w:val="auto"/>
          <w:highlight w:val="none"/>
        </w:rPr>
        <w:t>和</w:t>
      </w:r>
      <w:r>
        <w:rPr>
          <w:rFonts w:hint="eastAsia"/>
          <w:color w:val="auto"/>
          <w:highlight w:val="none"/>
        </w:rPr>
        <w:t>相关</w:t>
      </w:r>
      <w:r>
        <w:rPr>
          <w:color w:val="auto"/>
          <w:highlight w:val="none"/>
        </w:rPr>
        <w:t>服务</w:t>
      </w:r>
      <w:r>
        <w:rPr>
          <w:rFonts w:hint="eastAsia"/>
          <w:color w:val="auto"/>
          <w:highlight w:val="none"/>
        </w:rPr>
        <w:t>（如有）</w:t>
      </w:r>
      <w:r>
        <w:rPr>
          <w:color w:val="auto"/>
          <w:highlight w:val="none"/>
        </w:rPr>
        <w:t>的</w:t>
      </w:r>
      <w:r>
        <w:rPr>
          <w:rFonts w:hint="eastAsia"/>
          <w:color w:val="auto"/>
          <w:highlight w:val="none"/>
        </w:rPr>
        <w:t>投标报价</w:t>
      </w:r>
      <w:r>
        <w:rPr>
          <w:color w:val="auto"/>
          <w:highlight w:val="none"/>
        </w:rPr>
        <w:t>为</w:t>
      </w:r>
      <w:r>
        <w:rPr>
          <w:rFonts w:hint="eastAsia"/>
          <w:color w:val="auto"/>
          <w:highlight w:val="none"/>
        </w:rPr>
        <w:t xml:space="preserve"> </w:t>
      </w:r>
      <w:r>
        <w:rPr>
          <w:rFonts w:hint="eastAsia"/>
          <w:color w:val="auto"/>
          <w:highlight w:val="none"/>
          <w:u w:val="single"/>
        </w:rPr>
        <w:t xml:space="preserve">                  </w:t>
      </w:r>
      <w:r>
        <w:rPr>
          <w:color w:val="auto"/>
          <w:highlight w:val="none"/>
        </w:rPr>
        <w:t>。</w:t>
      </w:r>
    </w:p>
    <w:p w14:paraId="3DDAA941">
      <w:pPr>
        <w:spacing w:line="360" w:lineRule="auto"/>
        <w:rPr>
          <w:color w:val="auto"/>
          <w:highlight w:val="none"/>
        </w:rPr>
      </w:pPr>
      <w:r>
        <w:rPr>
          <w:rFonts w:hint="eastAsia"/>
          <w:color w:val="auto"/>
          <w:highlight w:val="none"/>
        </w:rPr>
        <w:t>2.我方</w:t>
      </w:r>
      <w:r>
        <w:rPr>
          <w:color w:val="auto"/>
          <w:highlight w:val="none"/>
        </w:rPr>
        <w:t>将按招标文件的规定履行合同责任和义务。</w:t>
      </w:r>
    </w:p>
    <w:p w14:paraId="154BBB49">
      <w:pPr>
        <w:spacing w:line="360" w:lineRule="auto"/>
        <w:rPr>
          <w:color w:val="auto"/>
          <w:highlight w:val="none"/>
        </w:rPr>
      </w:pPr>
      <w:r>
        <w:rPr>
          <w:rFonts w:hint="eastAsia"/>
          <w:color w:val="auto"/>
          <w:highlight w:val="none"/>
        </w:rPr>
        <w:t>3.我方</w:t>
      </w:r>
      <w:r>
        <w:rPr>
          <w:color w:val="auto"/>
          <w:highlight w:val="none"/>
        </w:rPr>
        <w:t>已详细审查全部招标文件，包括第</w:t>
      </w:r>
      <w:r>
        <w:rPr>
          <w:iCs/>
          <w:color w:val="auto"/>
          <w:highlight w:val="none"/>
          <w:u w:val="single"/>
        </w:rPr>
        <w:t>（编号、补遗书）（如果有的话）</w:t>
      </w:r>
      <w:r>
        <w:rPr>
          <w:color w:val="auto"/>
          <w:highlight w:val="none"/>
        </w:rPr>
        <w:t>。我</w:t>
      </w:r>
      <w:r>
        <w:rPr>
          <w:rFonts w:hint="eastAsia"/>
          <w:color w:val="auto"/>
          <w:highlight w:val="none"/>
        </w:rPr>
        <w:t>方</w:t>
      </w:r>
      <w:r>
        <w:rPr>
          <w:color w:val="auto"/>
          <w:highlight w:val="none"/>
        </w:rPr>
        <w:t>完全理解并同意放弃对这方面有不明及误解的权力。</w:t>
      </w:r>
    </w:p>
    <w:p w14:paraId="07BACEA6">
      <w:pPr>
        <w:spacing w:line="360" w:lineRule="auto"/>
        <w:rPr>
          <w:color w:val="auto"/>
          <w:highlight w:val="none"/>
        </w:rPr>
      </w:pPr>
      <w:r>
        <w:rPr>
          <w:rFonts w:hint="eastAsia"/>
          <w:color w:val="auto"/>
          <w:highlight w:val="none"/>
        </w:rPr>
        <w:t>4.投标有效期为自提交投标文件的截止之日起</w:t>
      </w:r>
      <w:r>
        <w:rPr>
          <w:rFonts w:hint="eastAsia"/>
          <w:i/>
          <w:color w:val="auto"/>
          <w:highlight w:val="none"/>
          <w:u w:val="single"/>
        </w:rPr>
        <w:t xml:space="preserve"> </w:t>
      </w:r>
      <w:r>
        <w:rPr>
          <w:rFonts w:hint="eastAsia"/>
          <w:iCs/>
          <w:color w:val="auto"/>
          <w:highlight w:val="none"/>
          <w:u w:val="single"/>
        </w:rPr>
        <w:t>（由投标人填写）</w:t>
      </w:r>
      <w:r>
        <w:rPr>
          <w:color w:val="auto"/>
          <w:highlight w:val="none"/>
        </w:rPr>
        <w:t>个日历天。</w:t>
      </w:r>
    </w:p>
    <w:p w14:paraId="693DC0BA">
      <w:pPr>
        <w:spacing w:line="360" w:lineRule="auto"/>
        <w:rPr>
          <w:color w:val="auto"/>
          <w:highlight w:val="none"/>
        </w:rPr>
      </w:pPr>
      <w:r>
        <w:rPr>
          <w:rFonts w:hint="eastAsia"/>
          <w:color w:val="auto"/>
          <w:highlight w:val="none"/>
        </w:rPr>
        <w:t>5.我方</w:t>
      </w:r>
      <w:r>
        <w:rPr>
          <w:color w:val="auto"/>
          <w:highlight w:val="none"/>
        </w:rPr>
        <w:t>同意提供按照贵方</w:t>
      </w:r>
      <w:r>
        <w:rPr>
          <w:rFonts w:hint="eastAsia"/>
          <w:color w:val="auto"/>
          <w:highlight w:val="none"/>
        </w:rPr>
        <w:t>招标文件</w:t>
      </w:r>
      <w:r>
        <w:rPr>
          <w:color w:val="auto"/>
          <w:highlight w:val="none"/>
        </w:rPr>
        <w:t>要求的与投标有关的一切数据或资料，</w:t>
      </w:r>
      <w:r>
        <w:rPr>
          <w:rFonts w:hint="eastAsia"/>
          <w:color w:val="auto"/>
          <w:highlight w:val="none"/>
        </w:rPr>
        <w:t>采用综合评分法时，我方</w:t>
      </w:r>
      <w:r>
        <w:rPr>
          <w:color w:val="auto"/>
          <w:highlight w:val="none"/>
        </w:rPr>
        <w:t>完全理解贵方不一定接受最低价的投标。</w:t>
      </w:r>
    </w:p>
    <w:p w14:paraId="21E76153">
      <w:pPr>
        <w:spacing w:line="360" w:lineRule="auto"/>
        <w:rPr>
          <w:color w:val="auto"/>
          <w:highlight w:val="none"/>
        </w:rPr>
      </w:pPr>
      <w:r>
        <w:rPr>
          <w:rFonts w:hint="eastAsia"/>
          <w:color w:val="auto"/>
          <w:highlight w:val="none"/>
        </w:rPr>
        <w:t>6.本项目如由中标人支付采购代理服务费，我方同意按投标人须知前附表中规定向采购代理机构支付采购代理服务费。</w:t>
      </w:r>
    </w:p>
    <w:p w14:paraId="222B488E">
      <w:pPr>
        <w:spacing w:line="360" w:lineRule="auto"/>
        <w:rPr>
          <w:color w:val="auto"/>
          <w:highlight w:val="none"/>
        </w:rPr>
      </w:pPr>
      <w:r>
        <w:rPr>
          <w:rFonts w:hint="eastAsia"/>
          <w:color w:val="auto"/>
          <w:highlight w:val="none"/>
        </w:rPr>
        <w:t>7.重要声明：</w:t>
      </w:r>
    </w:p>
    <w:p w14:paraId="73CAA102">
      <w:pPr>
        <w:spacing w:line="360" w:lineRule="auto"/>
        <w:rPr>
          <w:color w:val="auto"/>
          <w:highlight w:val="none"/>
        </w:rPr>
      </w:pPr>
      <w:r>
        <w:rPr>
          <w:rFonts w:hint="eastAsia"/>
          <w:color w:val="auto"/>
          <w:highlight w:val="none"/>
        </w:rPr>
        <w:t>1）与我方单位负责人为同一人的其他单位名称：</w:t>
      </w:r>
    </w:p>
    <w:p w14:paraId="212FCADF">
      <w:pPr>
        <w:spacing w:line="360" w:lineRule="auto"/>
        <w:rPr>
          <w:iCs/>
          <w:color w:val="auto"/>
          <w:highlight w:val="none"/>
        </w:rPr>
      </w:pPr>
      <w:r>
        <w:rPr>
          <w:rFonts w:hint="eastAsia"/>
          <w:color w:val="auto"/>
          <w:highlight w:val="none"/>
        </w:rPr>
        <w:t>□无；□有，具体单位名称为：</w:t>
      </w:r>
      <w:r>
        <w:rPr>
          <w:rFonts w:hint="eastAsia" w:cs="Arial"/>
          <w:iCs/>
          <w:color w:val="auto"/>
          <w:highlight w:val="none"/>
          <w:u w:val="single"/>
        </w:rPr>
        <w:t>（由投标人如实填写）</w:t>
      </w:r>
      <w:r>
        <w:rPr>
          <w:rFonts w:hint="eastAsia"/>
          <w:iCs/>
          <w:color w:val="auto"/>
          <w:highlight w:val="none"/>
        </w:rPr>
        <w:t>。</w:t>
      </w:r>
    </w:p>
    <w:p w14:paraId="2B57AAFA">
      <w:pPr>
        <w:spacing w:line="360" w:lineRule="auto"/>
        <w:rPr>
          <w:color w:val="auto"/>
          <w:highlight w:val="none"/>
        </w:rPr>
      </w:pPr>
      <w:r>
        <w:rPr>
          <w:rFonts w:hint="eastAsia"/>
          <w:color w:val="auto"/>
          <w:highlight w:val="none"/>
        </w:rPr>
        <w:t>2）与我方存在控股、管理关系的其他单位的名称：</w:t>
      </w:r>
    </w:p>
    <w:p w14:paraId="2A7A0B80">
      <w:pPr>
        <w:spacing w:line="360" w:lineRule="auto"/>
        <w:rPr>
          <w:color w:val="auto"/>
          <w:highlight w:val="none"/>
        </w:rPr>
      </w:pPr>
      <w:r>
        <w:rPr>
          <w:rFonts w:hint="eastAsia"/>
          <w:color w:val="auto"/>
          <w:highlight w:val="none"/>
        </w:rPr>
        <w:t xml:space="preserve">□无；□有，具体单位名称为： </w:t>
      </w:r>
      <w:r>
        <w:rPr>
          <w:rFonts w:hint="eastAsia" w:cs="Arial"/>
          <w:color w:val="auto"/>
          <w:highlight w:val="none"/>
          <w:u w:val="single"/>
        </w:rPr>
        <w:t>（由投标人如实填写）</w:t>
      </w:r>
      <w:r>
        <w:rPr>
          <w:rFonts w:hint="eastAsia"/>
          <w:color w:val="auto"/>
          <w:highlight w:val="none"/>
        </w:rPr>
        <w:t>。</w:t>
      </w:r>
    </w:p>
    <w:p w14:paraId="31DB2603">
      <w:pPr>
        <w:spacing w:line="360" w:lineRule="auto"/>
        <w:rPr>
          <w:color w:val="auto"/>
          <w:highlight w:val="none"/>
        </w:rPr>
      </w:pPr>
      <w:r>
        <w:rPr>
          <w:rFonts w:hint="eastAsia"/>
          <w:color w:val="auto"/>
          <w:highlight w:val="none"/>
        </w:rPr>
        <w:t>3）参与本项目采购活动前，是否为本项目前期准备提供过整体设计、规范编制或者项目管理、监理、检测等服务：</w:t>
      </w:r>
    </w:p>
    <w:p w14:paraId="7B7DDE20">
      <w:pPr>
        <w:spacing w:line="360" w:lineRule="auto"/>
        <w:rPr>
          <w:color w:val="auto"/>
          <w:highlight w:val="none"/>
        </w:rPr>
      </w:pPr>
      <w:r>
        <w:rPr>
          <w:rFonts w:hint="eastAsia"/>
          <w:color w:val="auto"/>
          <w:highlight w:val="none"/>
        </w:rPr>
        <w:t xml:space="preserve">□无；□有，已提供的具体服务内容为： </w:t>
      </w:r>
      <w:r>
        <w:rPr>
          <w:rFonts w:hint="eastAsia" w:cs="Arial"/>
          <w:color w:val="auto"/>
          <w:highlight w:val="none"/>
          <w:u w:val="single"/>
        </w:rPr>
        <w:t>（由投标人如实填写）</w:t>
      </w:r>
      <w:r>
        <w:rPr>
          <w:rFonts w:hint="eastAsia"/>
          <w:color w:val="auto"/>
          <w:highlight w:val="none"/>
        </w:rPr>
        <w:t>。</w:t>
      </w:r>
    </w:p>
    <w:p w14:paraId="548CB078">
      <w:pPr>
        <w:spacing w:line="360" w:lineRule="auto"/>
        <w:rPr>
          <w:color w:val="auto"/>
          <w:highlight w:val="none"/>
        </w:rPr>
      </w:pPr>
      <w:r>
        <w:rPr>
          <w:rFonts w:hint="eastAsia"/>
          <w:color w:val="auto"/>
          <w:highlight w:val="none"/>
        </w:rPr>
        <w:t>（备注：以上</w:t>
      </w:r>
      <w:r>
        <w:rPr>
          <w:color w:val="auto"/>
          <w:highlight w:val="none"/>
        </w:rPr>
        <w:t>3</w:t>
      </w:r>
      <w:r>
        <w:rPr>
          <w:rFonts w:hint="eastAsia"/>
          <w:color w:val="auto"/>
          <w:highlight w:val="none"/>
        </w:rPr>
        <w:t>项声明，必须如实选择，选中项用</w:t>
      </w:r>
      <w:r>
        <w:rPr>
          <w:rFonts w:ascii="Segoe UI Symbol" w:hAnsi="Segoe UI Symbol" w:cs="Segoe UI Symbol"/>
          <w:color w:val="auto"/>
          <w:highlight w:val="none"/>
        </w:rPr>
        <w:t>☑</w:t>
      </w:r>
      <w:r>
        <w:rPr>
          <w:rFonts w:hint="eastAsia" w:cs="宋体"/>
          <w:color w:val="auto"/>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490026B1">
      <w:pPr>
        <w:spacing w:line="360" w:lineRule="auto"/>
        <w:rPr>
          <w:color w:val="auto"/>
          <w:highlight w:val="none"/>
        </w:rPr>
      </w:pPr>
      <w:r>
        <w:rPr>
          <w:rFonts w:hint="eastAsia"/>
          <w:color w:val="auto"/>
          <w:highlight w:val="none"/>
        </w:rPr>
        <w:t>4）我方在本投标文件中所提供的全部资料均真实有效，我方承诺对其真实性负责并承担相应后果。</w:t>
      </w:r>
    </w:p>
    <w:p w14:paraId="21774DA7">
      <w:pPr>
        <w:spacing w:line="360" w:lineRule="auto"/>
        <w:rPr>
          <w:color w:val="auto"/>
          <w:highlight w:val="none"/>
        </w:rPr>
      </w:pPr>
      <w:r>
        <w:rPr>
          <w:rFonts w:hint="eastAsia"/>
          <w:color w:val="auto"/>
          <w:highlight w:val="none"/>
        </w:rPr>
        <w:t>5）</w:t>
      </w:r>
      <w:bookmarkStart w:id="406" w:name="_Hlk161604053"/>
      <w:r>
        <w:rPr>
          <w:rFonts w:hint="eastAsia"/>
          <w:color w:val="auto"/>
          <w:highlight w:val="none"/>
        </w:rPr>
        <w:t>我方承诺本《投标函》的签章对本投标文件全部内容具有约束力并承担法律责任。</w:t>
      </w:r>
      <w:bookmarkEnd w:id="406"/>
    </w:p>
    <w:p w14:paraId="4655E3CE">
      <w:pPr>
        <w:spacing w:line="360" w:lineRule="auto"/>
        <w:rPr>
          <w:color w:val="auto"/>
          <w:highlight w:val="none"/>
        </w:rPr>
      </w:pPr>
    </w:p>
    <w:p w14:paraId="4EC857BE">
      <w:pPr>
        <w:spacing w:line="360" w:lineRule="auto"/>
        <w:rPr>
          <w:color w:val="auto"/>
          <w:highlight w:val="none"/>
        </w:rPr>
      </w:pPr>
    </w:p>
    <w:p w14:paraId="233A7691">
      <w:pPr>
        <w:spacing w:line="360" w:lineRule="auto"/>
        <w:rPr>
          <w:color w:val="auto"/>
          <w:highlight w:val="none"/>
        </w:rPr>
      </w:pPr>
    </w:p>
    <w:p w14:paraId="2379C862">
      <w:pPr>
        <w:spacing w:line="360" w:lineRule="auto"/>
        <w:rPr>
          <w:color w:val="auto"/>
          <w:highlight w:val="none"/>
          <w:lang w:val="zh-CN"/>
        </w:rPr>
      </w:pPr>
      <w:r>
        <w:rPr>
          <w:rFonts w:hint="eastAsia"/>
          <w:color w:val="auto"/>
          <w:highlight w:val="none"/>
          <w:lang w:bidi="ar"/>
        </w:rPr>
        <w:t>投标人名称</w:t>
      </w:r>
      <w:r>
        <w:rPr>
          <w:rFonts w:hint="eastAsia" w:cs="仿宋_GB2312"/>
          <w:color w:val="auto"/>
          <w:highlight w:val="none"/>
        </w:rPr>
        <w:t>（</w:t>
      </w:r>
      <w:r>
        <w:rPr>
          <w:rFonts w:hint="eastAsia"/>
          <w:color w:val="auto"/>
          <w:highlight w:val="none"/>
        </w:rPr>
        <w:t>公章）</w:t>
      </w:r>
      <w:r>
        <w:rPr>
          <w:rFonts w:hint="eastAsia"/>
          <w:color w:val="auto"/>
          <w:highlight w:val="none"/>
          <w:lang w:val="zh-CN"/>
        </w:rPr>
        <w:t>：</w:t>
      </w:r>
    </w:p>
    <w:p w14:paraId="51452045">
      <w:pPr>
        <w:spacing w:line="360" w:lineRule="auto"/>
        <w:rPr>
          <w:color w:val="auto"/>
          <w:highlight w:val="none"/>
          <w:lang w:bidi="ar"/>
        </w:rPr>
      </w:pPr>
      <w:r>
        <w:rPr>
          <w:rFonts w:hint="eastAsia"/>
          <w:color w:val="auto"/>
          <w:highlight w:val="none"/>
          <w:lang w:bidi="ar"/>
        </w:rPr>
        <w:t>法定代表人或授权代表（签字或印章）：</w:t>
      </w:r>
    </w:p>
    <w:p w14:paraId="2EF4A9CE">
      <w:pPr>
        <w:spacing w:line="360" w:lineRule="auto"/>
        <w:rPr>
          <w:color w:val="auto"/>
          <w:highlight w:val="none"/>
        </w:rPr>
      </w:pPr>
      <w:r>
        <w:rPr>
          <w:rFonts w:hint="eastAsia"/>
          <w:color w:val="auto"/>
          <w:highlight w:val="none"/>
        </w:rPr>
        <w:t>通  讯  地  址：</w:t>
      </w:r>
    </w:p>
    <w:p w14:paraId="3839F66E">
      <w:pPr>
        <w:spacing w:line="360" w:lineRule="auto"/>
        <w:rPr>
          <w:color w:val="auto"/>
          <w:highlight w:val="none"/>
        </w:rPr>
      </w:pPr>
      <w:r>
        <w:rPr>
          <w:rFonts w:hint="eastAsia"/>
          <w:color w:val="auto"/>
          <w:highlight w:val="none"/>
        </w:rPr>
        <w:t xml:space="preserve">传       </w:t>
      </w:r>
      <w:r>
        <w:rPr>
          <w:color w:val="auto"/>
          <w:highlight w:val="none"/>
        </w:rPr>
        <w:t xml:space="preserve">   </w:t>
      </w:r>
      <w:r>
        <w:rPr>
          <w:rFonts w:hint="eastAsia"/>
          <w:color w:val="auto"/>
          <w:highlight w:val="none"/>
        </w:rPr>
        <w:t>真：</w:t>
      </w:r>
    </w:p>
    <w:p w14:paraId="29B8B27A">
      <w:pPr>
        <w:spacing w:line="360" w:lineRule="auto"/>
        <w:rPr>
          <w:color w:val="auto"/>
          <w:highlight w:val="none"/>
        </w:rPr>
      </w:pPr>
      <w:r>
        <w:rPr>
          <w:rFonts w:hint="eastAsia"/>
          <w:color w:val="auto"/>
          <w:highlight w:val="none"/>
        </w:rPr>
        <w:t>电          话：</w:t>
      </w:r>
    </w:p>
    <w:p w14:paraId="6CDEDF40">
      <w:pPr>
        <w:spacing w:line="360" w:lineRule="auto"/>
        <w:rPr>
          <w:rFonts w:cs="Arial"/>
          <w:color w:val="auto"/>
          <w:szCs w:val="24"/>
          <w:highlight w:val="none"/>
        </w:rPr>
      </w:pPr>
      <w:r>
        <w:rPr>
          <w:rFonts w:hint="eastAsia"/>
          <w:color w:val="auto"/>
          <w:highlight w:val="none"/>
        </w:rPr>
        <w:t xml:space="preserve">日     </w:t>
      </w:r>
      <w:r>
        <w:rPr>
          <w:color w:val="auto"/>
          <w:highlight w:val="none"/>
        </w:rPr>
        <w:t xml:space="preserve">  </w:t>
      </w:r>
      <w:r>
        <w:rPr>
          <w:rFonts w:hint="eastAsia"/>
          <w:color w:val="auto"/>
          <w:highlight w:val="none"/>
        </w:rPr>
        <w:t xml:space="preserve">   期：</w:t>
      </w:r>
    </w:p>
    <w:p w14:paraId="43C2F5CE">
      <w:pPr>
        <w:rPr>
          <w:color w:val="auto"/>
          <w:highlight w:val="none"/>
        </w:rPr>
      </w:pPr>
    </w:p>
    <w:p w14:paraId="53989E92">
      <w:pPr>
        <w:rPr>
          <w:color w:val="auto"/>
          <w:highlight w:val="none"/>
        </w:rPr>
      </w:pPr>
      <w:r>
        <w:rPr>
          <w:color w:val="auto"/>
          <w:highlight w:val="none"/>
        </w:rPr>
        <w:br w:type="page"/>
      </w:r>
    </w:p>
    <w:p w14:paraId="260FBEAB">
      <w:pPr>
        <w:pStyle w:val="3"/>
        <w:rPr>
          <w:color w:val="auto"/>
          <w:highlight w:val="none"/>
        </w:rPr>
      </w:pPr>
      <w:bookmarkStart w:id="407" w:name="_Toc155185924"/>
      <w:bookmarkStart w:id="408" w:name="_Toc163492918"/>
      <w:bookmarkStart w:id="409" w:name="_Toc7740"/>
      <w:r>
        <w:rPr>
          <w:rFonts w:hint="eastAsia"/>
          <w:color w:val="auto"/>
          <w:highlight w:val="none"/>
        </w:rPr>
        <w:t>二、法定代表人（单位负责人）身份证明</w:t>
      </w:r>
      <w:bookmarkEnd w:id="407"/>
      <w:bookmarkEnd w:id="408"/>
      <w:bookmarkEnd w:id="409"/>
    </w:p>
    <w:p w14:paraId="2FBB0838">
      <w:pPr>
        <w:rPr>
          <w:color w:val="auto"/>
          <w:highlight w:val="none"/>
        </w:rPr>
      </w:pPr>
      <w:r>
        <w:rPr>
          <w:rFonts w:hint="eastAsia"/>
          <w:color w:val="auto"/>
          <w:highlight w:val="none"/>
        </w:rPr>
        <w:t xml:space="preserve">致：（采购人或采购代理机构） </w:t>
      </w:r>
    </w:p>
    <w:p w14:paraId="6B5B0A51">
      <w:pPr>
        <w:rPr>
          <w:color w:val="auto"/>
          <w:highlight w:val="none"/>
        </w:rPr>
      </w:pPr>
      <w:r>
        <w:rPr>
          <w:rFonts w:hint="eastAsia"/>
          <w:color w:val="auto"/>
          <w:highlight w:val="none"/>
        </w:rPr>
        <w:t xml:space="preserve">兹证明， </w:t>
      </w:r>
    </w:p>
    <w:p w14:paraId="4CE9D9EE">
      <w:pPr>
        <w:rPr>
          <w:color w:val="auto"/>
          <w:highlight w:val="none"/>
        </w:rPr>
      </w:pPr>
      <w:r>
        <w:rPr>
          <w:rFonts w:hint="eastAsia"/>
          <w:color w:val="auto"/>
          <w:highlight w:val="none"/>
        </w:rPr>
        <w:t xml:space="preserve">姓名：____性别：____年龄：____职务：____ </w:t>
      </w:r>
    </w:p>
    <w:p w14:paraId="0FC4AB05">
      <w:pPr>
        <w:rPr>
          <w:color w:val="auto"/>
          <w:highlight w:val="none"/>
        </w:rPr>
      </w:pPr>
      <w:r>
        <w:rPr>
          <w:rFonts w:hint="eastAsia"/>
          <w:color w:val="auto"/>
          <w:highlight w:val="none"/>
        </w:rPr>
        <w:t xml:space="preserve">系 </w:t>
      </w:r>
      <w:r>
        <w:rPr>
          <w:rFonts w:hint="eastAsia"/>
          <w:color w:val="auto"/>
          <w:highlight w:val="none"/>
          <w:u w:val="single"/>
        </w:rPr>
        <w:t xml:space="preserve">            </w:t>
      </w:r>
      <w:r>
        <w:rPr>
          <w:rFonts w:hint="eastAsia"/>
          <w:color w:val="auto"/>
          <w:highlight w:val="none"/>
        </w:rPr>
        <w:t xml:space="preserve">（投标人名称）的法定代表人（单位负责人）。 </w:t>
      </w:r>
    </w:p>
    <w:p w14:paraId="7DEB1C7F">
      <w:pPr>
        <w:rPr>
          <w:color w:val="auto"/>
          <w:highlight w:val="none"/>
        </w:rPr>
      </w:pPr>
      <w:r>
        <w:rPr>
          <w:rFonts w:hint="eastAsia"/>
          <w:color w:val="auto"/>
          <w:highlight w:val="none"/>
        </w:rPr>
        <w:t xml:space="preserve">附：法定代表人（单位负责人）身份证、护照等身份证明文件电子件： </w:t>
      </w:r>
    </w:p>
    <w:p w14:paraId="02C5CF19">
      <w:pPr>
        <w:rPr>
          <w:color w:val="auto"/>
          <w:highlight w:val="none"/>
        </w:rPr>
      </w:pPr>
    </w:p>
    <w:p w14:paraId="1BB1C0B3">
      <w:pPr>
        <w:rPr>
          <w:color w:val="auto"/>
          <w:highlight w:val="none"/>
        </w:rPr>
      </w:pPr>
    </w:p>
    <w:tbl>
      <w:tblPr>
        <w:tblStyle w:val="32"/>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4B37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7AC9C173">
            <w:pPr>
              <w:rPr>
                <w:color w:val="auto"/>
                <w:highlight w:val="none"/>
              </w:rPr>
            </w:pPr>
          </w:p>
        </w:tc>
      </w:tr>
    </w:tbl>
    <w:p w14:paraId="3FA70E77">
      <w:pPr>
        <w:rPr>
          <w:color w:val="auto"/>
          <w:highlight w:val="none"/>
        </w:rPr>
      </w:pPr>
    </w:p>
    <w:p w14:paraId="010E38BC">
      <w:pPr>
        <w:rPr>
          <w:color w:val="auto"/>
          <w:highlight w:val="none"/>
        </w:rPr>
      </w:pPr>
      <w:r>
        <w:rPr>
          <w:rFonts w:hint="eastAsia" w:cs="宋体"/>
          <w:color w:val="auto"/>
          <w:highlight w:val="none"/>
          <w:lang w:bidi="ar"/>
        </w:rPr>
        <w:t>投标人名称</w:t>
      </w:r>
      <w:r>
        <w:rPr>
          <w:rFonts w:hint="eastAsia" w:cs="仿宋_GB2312"/>
          <w:color w:val="auto"/>
          <w:highlight w:val="none"/>
        </w:rPr>
        <w:t>（</w:t>
      </w:r>
      <w:r>
        <w:rPr>
          <w:rFonts w:hint="eastAsia" w:cs="宋体"/>
          <w:color w:val="auto"/>
          <w:highlight w:val="none"/>
        </w:rPr>
        <w:t>公章）</w:t>
      </w:r>
      <w:r>
        <w:rPr>
          <w:rFonts w:hint="eastAsia" w:cs="宋体"/>
          <w:color w:val="auto"/>
          <w:highlight w:val="none"/>
          <w:lang w:bidi="ar"/>
        </w:rPr>
        <w:t>：</w:t>
      </w:r>
      <w:r>
        <w:rPr>
          <w:color w:val="auto"/>
          <w:highlight w:val="none"/>
          <w:lang w:bidi="ar"/>
        </w:rPr>
        <w:t xml:space="preserve">________________ </w:t>
      </w:r>
    </w:p>
    <w:p w14:paraId="21C6FEAF">
      <w:pPr>
        <w:rPr>
          <w:color w:val="auto"/>
          <w:highlight w:val="none"/>
        </w:rPr>
      </w:pPr>
      <w:r>
        <w:rPr>
          <w:rFonts w:hint="eastAsia"/>
          <w:color w:val="auto"/>
          <w:highlight w:val="none"/>
          <w:lang w:bidi="ar"/>
        </w:rPr>
        <w:t>法定代表人（单位负责人）（签字或</w:t>
      </w:r>
      <w:r>
        <w:rPr>
          <w:rFonts w:hint="eastAsia"/>
          <w:color w:val="auto"/>
          <w:highlight w:val="none"/>
        </w:rPr>
        <w:t>盖章</w:t>
      </w:r>
      <w:r>
        <w:rPr>
          <w:rFonts w:hint="eastAsia"/>
          <w:color w:val="auto"/>
          <w:highlight w:val="none"/>
          <w:lang w:bidi="ar"/>
        </w:rPr>
        <w:t>）：</w:t>
      </w:r>
      <w:r>
        <w:rPr>
          <w:rFonts w:ascii="DejaVuSans" w:hAnsi="DejaVuSans" w:eastAsia="DejaVuSans" w:cs="DejaVuSans"/>
          <w:color w:val="auto"/>
          <w:highlight w:val="none"/>
          <w:lang w:bidi="ar"/>
        </w:rPr>
        <w:t xml:space="preserve">_______ </w:t>
      </w:r>
    </w:p>
    <w:p w14:paraId="5B4C3330">
      <w:pPr>
        <w:rPr>
          <w:color w:val="auto"/>
          <w:highlight w:val="none"/>
          <w:lang w:bidi="ar"/>
        </w:rPr>
      </w:pPr>
    </w:p>
    <w:p w14:paraId="4888286A">
      <w:pPr>
        <w:rPr>
          <w:color w:val="auto"/>
          <w:highlight w:val="none"/>
        </w:rPr>
      </w:pPr>
      <w:r>
        <w:rPr>
          <w:rFonts w:hint="eastAsia" w:cs="宋体"/>
          <w:color w:val="auto"/>
          <w:highlight w:val="none"/>
          <w:lang w:bidi="ar"/>
        </w:rPr>
        <w:t>日期：</w:t>
      </w:r>
      <w:r>
        <w:rPr>
          <w:color w:val="auto"/>
          <w:highlight w:val="none"/>
          <w:lang w:bidi="ar"/>
        </w:rPr>
        <w:t>_____</w:t>
      </w:r>
      <w:r>
        <w:rPr>
          <w:rFonts w:hint="eastAsia" w:cs="宋体"/>
          <w:color w:val="auto"/>
          <w:highlight w:val="none"/>
          <w:lang w:bidi="ar"/>
        </w:rPr>
        <w:t>年</w:t>
      </w:r>
      <w:r>
        <w:rPr>
          <w:color w:val="auto"/>
          <w:highlight w:val="none"/>
          <w:lang w:bidi="ar"/>
        </w:rPr>
        <w:t>______</w:t>
      </w:r>
      <w:r>
        <w:rPr>
          <w:rFonts w:hint="eastAsia" w:cs="宋体"/>
          <w:color w:val="auto"/>
          <w:highlight w:val="none"/>
          <w:lang w:bidi="ar"/>
        </w:rPr>
        <w:t>月</w:t>
      </w:r>
      <w:r>
        <w:rPr>
          <w:color w:val="auto"/>
          <w:highlight w:val="none"/>
          <w:lang w:bidi="ar"/>
        </w:rPr>
        <w:t>______</w:t>
      </w:r>
      <w:r>
        <w:rPr>
          <w:rFonts w:hint="eastAsia" w:cs="宋体"/>
          <w:color w:val="auto"/>
          <w:highlight w:val="none"/>
          <w:lang w:bidi="ar"/>
        </w:rPr>
        <w:t>日</w:t>
      </w:r>
    </w:p>
    <w:p w14:paraId="7DCFDD13">
      <w:pPr>
        <w:rPr>
          <w:color w:val="auto"/>
          <w:highlight w:val="none"/>
        </w:rPr>
      </w:pPr>
    </w:p>
    <w:p w14:paraId="5B97A941">
      <w:pPr>
        <w:rPr>
          <w:color w:val="auto"/>
          <w:highlight w:val="none"/>
        </w:rPr>
      </w:pPr>
      <w:r>
        <w:rPr>
          <w:color w:val="auto"/>
          <w:highlight w:val="none"/>
        </w:rPr>
        <w:br w:type="page"/>
      </w:r>
    </w:p>
    <w:p w14:paraId="52514B3E">
      <w:pPr>
        <w:pStyle w:val="3"/>
        <w:rPr>
          <w:color w:val="auto"/>
          <w:highlight w:val="none"/>
        </w:rPr>
      </w:pPr>
      <w:bookmarkStart w:id="410" w:name="_Toc12401"/>
      <w:bookmarkStart w:id="411" w:name="_Toc155185925"/>
      <w:bookmarkStart w:id="412" w:name="_Toc163492919"/>
      <w:r>
        <w:rPr>
          <w:rFonts w:hint="eastAsia"/>
          <w:color w:val="auto"/>
          <w:highlight w:val="none"/>
        </w:rPr>
        <w:t>三、授权委托书</w:t>
      </w:r>
      <w:bookmarkEnd w:id="410"/>
      <w:bookmarkEnd w:id="411"/>
      <w:bookmarkEnd w:id="412"/>
    </w:p>
    <w:p w14:paraId="4D75A968">
      <w:pPr>
        <w:spacing w:line="360" w:lineRule="auto"/>
        <w:rPr>
          <w:color w:val="auto"/>
          <w:highlight w:val="none"/>
        </w:rPr>
      </w:pPr>
      <w:r>
        <w:rPr>
          <w:rFonts w:hint="eastAsia"/>
          <w:color w:val="auto"/>
          <w:highlight w:val="none"/>
        </w:rPr>
        <w:t>本人</w:t>
      </w:r>
      <w:r>
        <w:rPr>
          <w:color w:val="auto"/>
          <w:highlight w:val="none"/>
          <w:u w:val="single"/>
        </w:rPr>
        <w:t xml:space="preserve">     </w:t>
      </w:r>
      <w:r>
        <w:rPr>
          <w:rFonts w:hint="eastAsia"/>
          <w:color w:val="auto"/>
          <w:highlight w:val="none"/>
        </w:rPr>
        <w:t>（姓名）系</w:t>
      </w:r>
      <w:r>
        <w:rPr>
          <w:rFonts w:hint="eastAsia"/>
          <w:color w:val="auto"/>
          <w:highlight w:val="none"/>
          <w:u w:val="single"/>
        </w:rPr>
        <w:t xml:space="preserve">          </w:t>
      </w:r>
      <w:r>
        <w:rPr>
          <w:rFonts w:hint="eastAsia"/>
          <w:color w:val="auto"/>
          <w:highlight w:val="none"/>
        </w:rPr>
        <w:t>（投标人名称）的法定代表人（单位负责人），现委托</w:t>
      </w:r>
      <w:r>
        <w:rPr>
          <w:rFonts w:hint="eastAsia"/>
          <w:color w:val="auto"/>
          <w:highlight w:val="none"/>
          <w:u w:val="single"/>
        </w:rPr>
        <w:t xml:space="preserve">     </w:t>
      </w:r>
      <w:r>
        <w:rPr>
          <w:rFonts w:hint="eastAsia"/>
          <w:color w:val="auto"/>
          <w:highlight w:val="none"/>
        </w:rPr>
        <w:t>（姓名）为我方代理人。代理人根据授权，以我方名义签署、澄清确认、说明、补正、递交、撤回、修改</w:t>
      </w:r>
      <w:r>
        <w:rPr>
          <w:rFonts w:hint="eastAsia"/>
          <w:color w:val="auto"/>
          <w:highlight w:val="none"/>
          <w:u w:val="single"/>
        </w:rPr>
        <w:t xml:space="preserve">           </w:t>
      </w:r>
      <w:r>
        <w:rPr>
          <w:rFonts w:hint="eastAsia"/>
          <w:color w:val="auto"/>
          <w:highlight w:val="none"/>
        </w:rPr>
        <w:t>（项目名称）投标文件、签订合同和处理有关事宜，其法律后果由我方承担。</w:t>
      </w:r>
    </w:p>
    <w:p w14:paraId="45794433">
      <w:pPr>
        <w:spacing w:line="360" w:lineRule="auto"/>
        <w:rPr>
          <w:color w:val="auto"/>
          <w:highlight w:val="none"/>
        </w:rPr>
      </w:pPr>
      <w:r>
        <w:rPr>
          <w:rFonts w:hint="eastAsia"/>
          <w:color w:val="auto"/>
          <w:highlight w:val="none"/>
        </w:rPr>
        <w:t>委托期限：自本授权委托书签署之日起至投标有效期届满之日止。</w:t>
      </w:r>
    </w:p>
    <w:p w14:paraId="2925F925">
      <w:pPr>
        <w:spacing w:line="360" w:lineRule="auto"/>
        <w:rPr>
          <w:color w:val="auto"/>
          <w:highlight w:val="none"/>
        </w:rPr>
      </w:pPr>
      <w:r>
        <w:rPr>
          <w:rFonts w:hint="eastAsia"/>
          <w:color w:val="auto"/>
          <w:highlight w:val="none"/>
        </w:rPr>
        <w:t>代理人无转委托权。</w:t>
      </w:r>
    </w:p>
    <w:p w14:paraId="328ACFF6">
      <w:pPr>
        <w:spacing w:line="360" w:lineRule="auto"/>
        <w:rPr>
          <w:color w:val="auto"/>
          <w:highlight w:val="none"/>
        </w:rPr>
      </w:pPr>
    </w:p>
    <w:p w14:paraId="5BECAE06">
      <w:pPr>
        <w:spacing w:line="360" w:lineRule="auto"/>
        <w:rPr>
          <w:color w:val="auto"/>
          <w:highlight w:val="none"/>
        </w:rPr>
      </w:pPr>
      <w:r>
        <w:rPr>
          <w:rFonts w:hint="eastAsia" w:cs="宋体"/>
          <w:color w:val="auto"/>
          <w:highlight w:val="none"/>
          <w:lang w:bidi="ar"/>
        </w:rPr>
        <w:t>投标人名称</w:t>
      </w:r>
      <w:r>
        <w:rPr>
          <w:rFonts w:hint="eastAsia" w:cs="仿宋_GB2312"/>
          <w:color w:val="auto"/>
          <w:highlight w:val="none"/>
        </w:rPr>
        <w:t>（</w:t>
      </w:r>
      <w:r>
        <w:rPr>
          <w:rFonts w:hint="eastAsia" w:cs="宋体"/>
          <w:color w:val="auto"/>
          <w:highlight w:val="none"/>
        </w:rPr>
        <w:t>公章）</w:t>
      </w:r>
      <w:r>
        <w:rPr>
          <w:rFonts w:hint="eastAsia" w:cs="宋体"/>
          <w:color w:val="auto"/>
          <w:highlight w:val="none"/>
          <w:lang w:bidi="ar"/>
        </w:rPr>
        <w:t>：</w:t>
      </w:r>
      <w:r>
        <w:rPr>
          <w:color w:val="auto"/>
          <w:highlight w:val="none"/>
          <w:lang w:bidi="ar"/>
        </w:rPr>
        <w:t xml:space="preserve">________________ </w:t>
      </w:r>
    </w:p>
    <w:p w14:paraId="413C97BC">
      <w:pPr>
        <w:spacing w:line="360" w:lineRule="auto"/>
        <w:rPr>
          <w:color w:val="auto"/>
          <w:highlight w:val="none"/>
        </w:rPr>
      </w:pPr>
      <w:r>
        <w:rPr>
          <w:rFonts w:hint="eastAsia"/>
          <w:color w:val="auto"/>
          <w:highlight w:val="none"/>
          <w:lang w:bidi="ar"/>
        </w:rPr>
        <w:t>法定代表人（单位负责人）（签字或</w:t>
      </w:r>
      <w:r>
        <w:rPr>
          <w:rFonts w:hint="eastAsia"/>
          <w:color w:val="auto"/>
          <w:highlight w:val="none"/>
        </w:rPr>
        <w:t>盖章）</w:t>
      </w:r>
      <w:r>
        <w:rPr>
          <w:rFonts w:hint="eastAsia"/>
          <w:color w:val="auto"/>
          <w:highlight w:val="none"/>
          <w:lang w:bidi="ar"/>
        </w:rPr>
        <w:t>：</w:t>
      </w:r>
      <w:r>
        <w:rPr>
          <w:rFonts w:ascii="DejaVuSans" w:hAnsi="DejaVuSans" w:eastAsia="DejaVuSans" w:cs="DejaVuSans"/>
          <w:color w:val="auto"/>
          <w:highlight w:val="none"/>
          <w:lang w:bidi="ar"/>
        </w:rPr>
        <w:t xml:space="preserve">________________ </w:t>
      </w:r>
    </w:p>
    <w:p w14:paraId="59D911B0">
      <w:pPr>
        <w:spacing w:line="360" w:lineRule="auto"/>
        <w:rPr>
          <w:color w:val="auto"/>
          <w:highlight w:val="none"/>
        </w:rPr>
      </w:pPr>
      <w:r>
        <w:rPr>
          <w:rFonts w:hint="eastAsia" w:cs="宋体"/>
          <w:color w:val="auto"/>
          <w:highlight w:val="none"/>
          <w:lang w:bidi="ar"/>
        </w:rPr>
        <w:t>委托代理人（签字或</w:t>
      </w:r>
      <w:r>
        <w:rPr>
          <w:rFonts w:hint="eastAsia" w:cs="宋体"/>
          <w:color w:val="auto"/>
          <w:highlight w:val="none"/>
        </w:rPr>
        <w:t>盖章）</w:t>
      </w:r>
      <w:r>
        <w:rPr>
          <w:rFonts w:hint="eastAsia" w:cs="宋体"/>
          <w:color w:val="auto"/>
          <w:highlight w:val="none"/>
          <w:lang w:bidi="ar"/>
        </w:rPr>
        <w:t>：</w:t>
      </w:r>
      <w:r>
        <w:rPr>
          <w:color w:val="auto"/>
          <w:highlight w:val="none"/>
          <w:lang w:bidi="ar"/>
        </w:rPr>
        <w:t xml:space="preserve">________________ </w:t>
      </w:r>
      <w:r>
        <w:rPr>
          <w:rFonts w:hint="eastAsia"/>
          <w:color w:val="auto"/>
          <w:highlight w:val="none"/>
          <w:lang w:bidi="ar"/>
        </w:rPr>
        <w:t xml:space="preserve">   联系电话：</w:t>
      </w:r>
      <w:r>
        <w:rPr>
          <w:color w:val="auto"/>
          <w:highlight w:val="none"/>
          <w:lang w:bidi="ar"/>
        </w:rPr>
        <w:t>________</w:t>
      </w:r>
    </w:p>
    <w:p w14:paraId="0E05CC55">
      <w:pPr>
        <w:spacing w:line="360" w:lineRule="auto"/>
        <w:rPr>
          <w:color w:val="auto"/>
          <w:highlight w:val="none"/>
        </w:rPr>
      </w:pPr>
      <w:r>
        <w:rPr>
          <w:rFonts w:hint="eastAsia" w:cs="宋体"/>
          <w:color w:val="auto"/>
          <w:highlight w:val="none"/>
          <w:lang w:bidi="ar"/>
        </w:rPr>
        <w:t>日期：</w:t>
      </w:r>
      <w:r>
        <w:rPr>
          <w:color w:val="auto"/>
          <w:highlight w:val="none"/>
          <w:lang w:bidi="ar"/>
        </w:rPr>
        <w:t>_____</w:t>
      </w:r>
      <w:r>
        <w:rPr>
          <w:rFonts w:hint="eastAsia" w:cs="宋体"/>
          <w:color w:val="auto"/>
          <w:highlight w:val="none"/>
          <w:lang w:bidi="ar"/>
        </w:rPr>
        <w:t>年</w:t>
      </w:r>
      <w:r>
        <w:rPr>
          <w:color w:val="auto"/>
          <w:highlight w:val="none"/>
          <w:lang w:bidi="ar"/>
        </w:rPr>
        <w:t>______</w:t>
      </w:r>
      <w:r>
        <w:rPr>
          <w:rFonts w:hint="eastAsia" w:cs="宋体"/>
          <w:color w:val="auto"/>
          <w:highlight w:val="none"/>
          <w:lang w:bidi="ar"/>
        </w:rPr>
        <w:t>月</w:t>
      </w:r>
      <w:r>
        <w:rPr>
          <w:color w:val="auto"/>
          <w:highlight w:val="none"/>
          <w:lang w:bidi="ar"/>
        </w:rPr>
        <w:t>______</w:t>
      </w:r>
      <w:r>
        <w:rPr>
          <w:rFonts w:hint="eastAsia" w:cs="宋体"/>
          <w:color w:val="auto"/>
          <w:highlight w:val="none"/>
          <w:lang w:bidi="ar"/>
        </w:rPr>
        <w:t xml:space="preserve">日 </w:t>
      </w:r>
    </w:p>
    <w:p w14:paraId="1F9C5EDD">
      <w:pPr>
        <w:spacing w:line="360" w:lineRule="auto"/>
        <w:rPr>
          <w:color w:val="auto"/>
          <w:highlight w:val="none"/>
        </w:rPr>
      </w:pPr>
    </w:p>
    <w:p w14:paraId="169C1892">
      <w:pPr>
        <w:spacing w:line="360" w:lineRule="auto"/>
        <w:rPr>
          <w:color w:val="auto"/>
          <w:highlight w:val="none"/>
        </w:rPr>
      </w:pPr>
      <w:r>
        <w:rPr>
          <w:rFonts w:hint="eastAsia"/>
          <w:color w:val="auto"/>
          <w:highlight w:val="none"/>
          <w:lang w:bidi="ar"/>
        </w:rPr>
        <w:t xml:space="preserve">附：法定代表人及委托代理人身份证明文件电子件： </w:t>
      </w:r>
    </w:p>
    <w:tbl>
      <w:tblPr>
        <w:tblStyle w:val="32"/>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53702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21" w:hRule="atLeast"/>
        </w:trPr>
        <w:tc>
          <w:tcPr>
            <w:tcW w:w="8527" w:type="dxa"/>
          </w:tcPr>
          <w:p w14:paraId="78F229EA">
            <w:pPr>
              <w:spacing w:line="360" w:lineRule="auto"/>
              <w:rPr>
                <w:color w:val="auto"/>
                <w:highlight w:val="none"/>
              </w:rPr>
            </w:pPr>
          </w:p>
        </w:tc>
      </w:tr>
    </w:tbl>
    <w:p w14:paraId="4AC7291B">
      <w:pPr>
        <w:spacing w:line="360" w:lineRule="auto"/>
        <w:rPr>
          <w:color w:val="auto"/>
          <w:highlight w:val="none"/>
        </w:rPr>
      </w:pPr>
      <w:r>
        <w:rPr>
          <w:rFonts w:hint="eastAsia"/>
          <w:color w:val="auto"/>
          <w:highlight w:val="none"/>
        </w:rPr>
        <w:t xml:space="preserve">说明： </w:t>
      </w:r>
    </w:p>
    <w:p w14:paraId="76A5454A">
      <w:pPr>
        <w:spacing w:line="360" w:lineRule="auto"/>
        <w:rPr>
          <w:color w:val="auto"/>
          <w:highlight w:val="none"/>
        </w:rPr>
      </w:pPr>
      <w:r>
        <w:rPr>
          <w:rFonts w:hint="eastAsia"/>
          <w:color w:val="auto"/>
          <w:highlight w:val="none"/>
        </w:rPr>
        <w:t xml:space="preserve">1.若投标人为事业单位或其他组织或分支机构，则法定代表人（单位负责人）处的签署人可为单位负责人。 </w:t>
      </w:r>
    </w:p>
    <w:p w14:paraId="6110BFC4">
      <w:pPr>
        <w:spacing w:line="360" w:lineRule="auto"/>
        <w:rPr>
          <w:color w:val="auto"/>
          <w:highlight w:val="none"/>
        </w:rPr>
      </w:pPr>
      <w:r>
        <w:rPr>
          <w:color w:val="auto"/>
          <w:highlight w:val="none"/>
        </w:rPr>
        <w:t>2.</w:t>
      </w:r>
      <w:r>
        <w:rPr>
          <w:rFonts w:hint="eastAsia"/>
          <w:color w:val="auto"/>
          <w:highlight w:val="none"/>
        </w:rPr>
        <w:t xml:space="preserve">若投标文件中签字之处均为法定代表人（单位负责人）本人签署，则可不提供本《授权委托书》，但须提供《法定代表人（单位负责人）身份证明》。 </w:t>
      </w:r>
    </w:p>
    <w:p w14:paraId="0F4775AC">
      <w:pPr>
        <w:spacing w:line="360" w:lineRule="auto"/>
        <w:rPr>
          <w:color w:val="auto"/>
          <w:highlight w:val="none"/>
        </w:rPr>
      </w:pPr>
      <w:r>
        <w:rPr>
          <w:color w:val="auto"/>
          <w:highlight w:val="none"/>
        </w:rPr>
        <w:t>3.</w:t>
      </w:r>
      <w:r>
        <w:rPr>
          <w:rFonts w:hint="eastAsia"/>
          <w:color w:val="auto"/>
          <w:highlight w:val="none"/>
        </w:rPr>
        <w:t xml:space="preserve">投标人为自然人的情形，可不提供本《授权委托书》。 </w:t>
      </w:r>
    </w:p>
    <w:p w14:paraId="0431820E">
      <w:pPr>
        <w:spacing w:line="360" w:lineRule="auto"/>
        <w:rPr>
          <w:color w:val="auto"/>
          <w:highlight w:val="none"/>
        </w:rPr>
      </w:pPr>
      <w:r>
        <w:rPr>
          <w:color w:val="auto"/>
          <w:highlight w:val="none"/>
        </w:rPr>
        <w:t>4.</w:t>
      </w:r>
      <w:r>
        <w:rPr>
          <w:rFonts w:hint="eastAsia"/>
          <w:color w:val="auto"/>
          <w:highlight w:val="none"/>
        </w:rPr>
        <w:t>投标人应随本《授权委托书》同时提供法定代表人（单位负责人）及委托代理人的有效的身份证、护照等身份证明文件电子件。提供身份证的，应同时提供身份证</w:t>
      </w:r>
      <w:r>
        <w:rPr>
          <w:rFonts w:hint="eastAsia"/>
          <w:b/>
          <w:bCs/>
          <w:color w:val="auto"/>
          <w:highlight w:val="none"/>
        </w:rPr>
        <w:t>双面</w:t>
      </w:r>
      <w:r>
        <w:rPr>
          <w:rFonts w:hint="eastAsia"/>
          <w:color w:val="auto"/>
          <w:highlight w:val="none"/>
        </w:rPr>
        <w:t>电子件。</w:t>
      </w:r>
    </w:p>
    <w:p w14:paraId="0BFC9AC2">
      <w:pPr>
        <w:spacing w:line="360" w:lineRule="auto"/>
        <w:rPr>
          <w:rFonts w:asciiTheme="majorHAnsi" w:hAnsiTheme="majorHAnsi" w:cstheme="majorBidi"/>
          <w:b/>
          <w:bCs/>
          <w:color w:val="auto"/>
          <w:sz w:val="32"/>
          <w:szCs w:val="32"/>
          <w:highlight w:val="none"/>
        </w:rPr>
      </w:pPr>
      <w:bookmarkStart w:id="413" w:name="_Toc155185934"/>
      <w:bookmarkStart w:id="414" w:name="_Toc163492928"/>
      <w:r>
        <w:rPr>
          <w:color w:val="auto"/>
          <w:highlight w:val="none"/>
        </w:rPr>
        <w:br w:type="page"/>
      </w:r>
    </w:p>
    <w:p w14:paraId="4E3EF357">
      <w:pPr>
        <w:pStyle w:val="3"/>
        <w:rPr>
          <w:color w:val="auto"/>
          <w:highlight w:val="none"/>
        </w:rPr>
      </w:pPr>
      <w:bookmarkStart w:id="415" w:name="_Toc4311"/>
      <w:r>
        <w:rPr>
          <w:rFonts w:hint="eastAsia"/>
          <w:color w:val="auto"/>
          <w:highlight w:val="none"/>
        </w:rPr>
        <w:t>四、</w:t>
      </w:r>
      <w:bookmarkEnd w:id="413"/>
      <w:bookmarkEnd w:id="414"/>
      <w:bookmarkStart w:id="416" w:name="_Toc163492929"/>
      <w:r>
        <w:rPr>
          <w:rFonts w:hint="eastAsia"/>
          <w:color w:val="auto"/>
          <w:highlight w:val="none"/>
          <w:lang w:val="zh-CN"/>
        </w:rPr>
        <w:t>政府采购</w:t>
      </w:r>
      <w:r>
        <w:rPr>
          <w:rFonts w:hint="eastAsia"/>
          <w:color w:val="auto"/>
          <w:highlight w:val="none"/>
        </w:rPr>
        <w:t>投标人</w:t>
      </w:r>
      <w:r>
        <w:rPr>
          <w:rFonts w:hint="eastAsia"/>
          <w:color w:val="auto"/>
          <w:highlight w:val="none"/>
          <w:lang w:val="zh-CN"/>
        </w:rPr>
        <w:t>廉洁自律承诺书</w:t>
      </w:r>
      <w:bookmarkEnd w:id="415"/>
    </w:p>
    <w:p w14:paraId="554F0203">
      <w:pPr>
        <w:pStyle w:val="13"/>
        <w:rPr>
          <w:color w:val="auto"/>
          <w:highlight w:val="none"/>
          <w:u w:val="single"/>
        </w:rPr>
      </w:pPr>
    </w:p>
    <w:p w14:paraId="7DB2A943">
      <w:pPr>
        <w:spacing w:line="360" w:lineRule="auto"/>
        <w:rPr>
          <w:color w:val="auto"/>
          <w:kern w:val="0"/>
          <w:highlight w:val="none"/>
        </w:rPr>
      </w:pP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r>
        <w:rPr>
          <w:rFonts w:hint="eastAsia"/>
          <w:color w:val="auto"/>
          <w:highlight w:val="none"/>
        </w:rPr>
        <w:t>（采购人）、（采购代理机构）</w:t>
      </w:r>
      <w:r>
        <w:rPr>
          <w:rFonts w:hint="eastAsia"/>
          <w:color w:val="auto"/>
          <w:kern w:val="0"/>
          <w:highlight w:val="none"/>
          <w:lang w:val="zh-CN"/>
        </w:rPr>
        <w:t>：</w:t>
      </w:r>
    </w:p>
    <w:p w14:paraId="3B7F40CE">
      <w:pPr>
        <w:spacing w:line="360" w:lineRule="auto"/>
        <w:rPr>
          <w:color w:val="auto"/>
          <w:highlight w:val="none"/>
          <w:lang w:val="zh-CN"/>
        </w:rPr>
      </w:pPr>
      <w:r>
        <w:rPr>
          <w:rFonts w:hint="eastAsia"/>
          <w:color w:val="auto"/>
          <w:highlight w:val="none"/>
          <w:lang w:val="zh-CN"/>
        </w:rPr>
        <w:t>我单位响应你</w:t>
      </w:r>
      <w:r>
        <w:rPr>
          <w:rFonts w:hint="eastAsia"/>
          <w:color w:val="auto"/>
          <w:highlight w:val="none"/>
        </w:rPr>
        <w:t>单位</w:t>
      </w:r>
      <w:r>
        <w:rPr>
          <w:rFonts w:hint="eastAsia"/>
          <w:color w:val="auto"/>
          <w:highlight w:val="none"/>
          <w:lang w:val="zh-CN"/>
        </w:rPr>
        <w:t>项目招标</w:t>
      </w:r>
      <w:r>
        <w:rPr>
          <w:rFonts w:hint="eastAsia"/>
          <w:color w:val="auto"/>
          <w:highlight w:val="none"/>
        </w:rPr>
        <w:t>文件</w:t>
      </w:r>
      <w:r>
        <w:rPr>
          <w:rFonts w:hint="eastAsia"/>
          <w:color w:val="auto"/>
          <w:highlight w:val="none"/>
          <w:lang w:val="zh-CN"/>
        </w:rPr>
        <w:t>要求参加投标。在这次投标过程中和中标后，我们将严格遵守国家法律法规要求，并郑重承诺：</w:t>
      </w:r>
    </w:p>
    <w:p w14:paraId="75CD128C">
      <w:pPr>
        <w:spacing w:line="360" w:lineRule="auto"/>
        <w:rPr>
          <w:color w:val="auto"/>
          <w:highlight w:val="none"/>
          <w:lang w:val="zh-CN"/>
        </w:rPr>
      </w:pPr>
      <w:r>
        <w:rPr>
          <w:rFonts w:hint="eastAsia"/>
          <w:color w:val="auto"/>
          <w:highlight w:val="none"/>
          <w:lang w:val="zh-CN"/>
        </w:rPr>
        <w:t xml:space="preserve">一、不向项目有关人员及部门赠送礼金礼物、有价证券、回扣以及中介费、介绍费、咨询费等好处费； </w:t>
      </w:r>
    </w:p>
    <w:p w14:paraId="6CC5F06A">
      <w:pPr>
        <w:spacing w:line="360" w:lineRule="auto"/>
        <w:rPr>
          <w:color w:val="auto"/>
          <w:highlight w:val="none"/>
          <w:lang w:val="zh-CN"/>
        </w:rPr>
      </w:pPr>
      <w:r>
        <w:rPr>
          <w:rFonts w:hint="eastAsia"/>
          <w:color w:val="auto"/>
          <w:highlight w:val="none"/>
          <w:lang w:val="zh-CN"/>
        </w:rPr>
        <w:t xml:space="preserve">二、不为项目有关人员及部门报销应由你方单位或个人支付的费用； </w:t>
      </w:r>
    </w:p>
    <w:p w14:paraId="25AAD645">
      <w:pPr>
        <w:spacing w:line="360" w:lineRule="auto"/>
        <w:rPr>
          <w:color w:val="auto"/>
          <w:highlight w:val="none"/>
          <w:lang w:val="zh-CN"/>
        </w:rPr>
      </w:pPr>
      <w:r>
        <w:rPr>
          <w:rFonts w:hint="eastAsia"/>
          <w:color w:val="auto"/>
          <w:highlight w:val="none"/>
          <w:lang w:val="zh-CN"/>
        </w:rPr>
        <w:t>三、不向项目有关人员及部门提供有可能影响公正的宴请和健身娱乐等活动；</w:t>
      </w:r>
    </w:p>
    <w:p w14:paraId="3C490776">
      <w:pPr>
        <w:spacing w:line="360" w:lineRule="auto"/>
        <w:rPr>
          <w:color w:val="auto"/>
          <w:highlight w:val="none"/>
          <w:lang w:val="zh-CN"/>
        </w:rPr>
      </w:pPr>
      <w:r>
        <w:rPr>
          <w:rFonts w:hint="eastAsia"/>
          <w:color w:val="auto"/>
          <w:highlight w:val="none"/>
          <w:lang w:val="zh-CN"/>
        </w:rPr>
        <w:t>四、不为项目有关人员及部门出国（境）、旅游等提供方便；</w:t>
      </w:r>
    </w:p>
    <w:p w14:paraId="5676B1A3">
      <w:pPr>
        <w:spacing w:line="360" w:lineRule="auto"/>
        <w:rPr>
          <w:color w:val="auto"/>
          <w:highlight w:val="none"/>
          <w:lang w:val="zh-CN"/>
        </w:rPr>
      </w:pPr>
      <w:r>
        <w:rPr>
          <w:rFonts w:hint="eastAsia"/>
          <w:color w:val="auto"/>
          <w:highlight w:val="none"/>
          <w:lang w:val="zh-CN"/>
        </w:rPr>
        <w:t>五、不为项目有关人员个人装修住房、婚丧嫁娶、配偶子女工作安排等提供好处；</w:t>
      </w:r>
    </w:p>
    <w:p w14:paraId="262E1A78">
      <w:pPr>
        <w:spacing w:line="360" w:lineRule="auto"/>
        <w:rPr>
          <w:color w:val="auto"/>
          <w:highlight w:val="none"/>
          <w:lang w:val="zh-CN"/>
        </w:rPr>
      </w:pPr>
      <w:r>
        <w:rPr>
          <w:rFonts w:hint="eastAsia"/>
          <w:color w:val="auto"/>
          <w:highlight w:val="none"/>
          <w:lang w:val="zh-CN"/>
        </w:rPr>
        <w:t>六、严格遵守《中华人民共和国政府采购法》《中华人民共和国政府采购法</w:t>
      </w:r>
      <w:r>
        <w:rPr>
          <w:rFonts w:hint="eastAsia"/>
          <w:color w:val="auto"/>
          <w:highlight w:val="none"/>
        </w:rPr>
        <w:t>实施条例</w:t>
      </w:r>
      <w:r>
        <w:rPr>
          <w:rFonts w:hint="eastAsia"/>
          <w:color w:val="auto"/>
          <w:highlight w:val="none"/>
          <w:lang w:val="zh-CN"/>
        </w:rPr>
        <w:t xml:space="preserve">》《中华人民共和国民法典》等法律法规，诚实守信，合法经营，坚决抵制各种违法违纪行为。 </w:t>
      </w:r>
    </w:p>
    <w:p w14:paraId="59721832">
      <w:pPr>
        <w:spacing w:line="360" w:lineRule="auto"/>
        <w:rPr>
          <w:color w:val="auto"/>
          <w:highlight w:val="none"/>
          <w:lang w:val="zh-CN"/>
        </w:rPr>
      </w:pPr>
      <w:r>
        <w:rPr>
          <w:rFonts w:hint="eastAsia"/>
          <w:color w:val="auto"/>
          <w:highlight w:val="none"/>
          <w:lang w:val="zh-CN"/>
        </w:rPr>
        <w:t>如违反上述承诺，你单位有权立即取消我单位投标、中标或在建项目的建设资格，有权拒绝我单位在一定时期内进入你单位进行项目建设或其他经营活动，并通报</w:t>
      </w:r>
      <w:r>
        <w:rPr>
          <w:rFonts w:hint="eastAsia"/>
          <w:color w:val="auto"/>
          <w:highlight w:val="none"/>
        </w:rPr>
        <w:t>兵团</w:t>
      </w:r>
      <w:r>
        <w:rPr>
          <w:rFonts w:hint="eastAsia"/>
          <w:color w:val="auto"/>
          <w:highlight w:val="none"/>
          <w:lang w:val="zh-CN"/>
        </w:rPr>
        <w:t>财政局。由此引起的相应损失均由我单位承担。</w:t>
      </w:r>
    </w:p>
    <w:p w14:paraId="7F3491EF">
      <w:pPr>
        <w:spacing w:line="360" w:lineRule="auto"/>
        <w:rPr>
          <w:color w:val="auto"/>
          <w:highlight w:val="none"/>
          <w:lang w:val="zh-CN"/>
        </w:rPr>
      </w:pPr>
    </w:p>
    <w:p w14:paraId="784BDC69">
      <w:pPr>
        <w:spacing w:line="360" w:lineRule="auto"/>
        <w:rPr>
          <w:color w:val="auto"/>
          <w:highlight w:val="none"/>
          <w:lang w:val="zh-CN"/>
        </w:rPr>
      </w:pPr>
    </w:p>
    <w:p w14:paraId="15512ACC">
      <w:pPr>
        <w:spacing w:line="360" w:lineRule="auto"/>
        <w:rPr>
          <w:color w:val="auto"/>
          <w:highlight w:val="none"/>
          <w:lang w:val="zh-CN"/>
        </w:rPr>
      </w:pPr>
    </w:p>
    <w:p w14:paraId="18173CE6">
      <w:pPr>
        <w:spacing w:line="360" w:lineRule="auto"/>
        <w:rPr>
          <w:color w:val="auto"/>
          <w:highlight w:val="none"/>
          <w:lang w:val="zh-CN"/>
        </w:rPr>
      </w:pPr>
      <w:r>
        <w:rPr>
          <w:rFonts w:hint="eastAsia"/>
          <w:color w:val="auto"/>
          <w:highlight w:val="none"/>
          <w:lang w:val="zh-CN"/>
        </w:rPr>
        <w:t>投标人名称</w:t>
      </w:r>
      <w:r>
        <w:rPr>
          <w:rFonts w:hint="eastAsia" w:cs="仿宋_GB2312"/>
          <w:color w:val="auto"/>
          <w:highlight w:val="none"/>
        </w:rPr>
        <w:t>（</w:t>
      </w:r>
      <w:r>
        <w:rPr>
          <w:rFonts w:hint="eastAsia"/>
          <w:color w:val="auto"/>
          <w:highlight w:val="none"/>
        </w:rPr>
        <w:t>公章）</w:t>
      </w:r>
      <w:r>
        <w:rPr>
          <w:rFonts w:hint="eastAsia"/>
          <w:color w:val="auto"/>
          <w:highlight w:val="none"/>
          <w:lang w:val="zh-CN"/>
        </w:rPr>
        <w:t xml:space="preserve">：                                                                                                                                                                                                               </w:t>
      </w:r>
    </w:p>
    <w:p w14:paraId="125D3AD8">
      <w:pPr>
        <w:spacing w:line="360" w:lineRule="auto"/>
        <w:rPr>
          <w:rFonts w:asciiTheme="majorHAnsi" w:hAnsiTheme="majorHAnsi" w:cstheme="majorBidi"/>
          <w:b/>
          <w:bCs/>
          <w:color w:val="auto"/>
          <w:highlight w:val="none"/>
        </w:rPr>
      </w:pPr>
      <w:r>
        <w:rPr>
          <w:rFonts w:hint="eastAsia"/>
          <w:color w:val="auto"/>
          <w:highlight w:val="none"/>
          <w:lang w:val="zh-CN"/>
        </w:rPr>
        <w:t>日期</w:t>
      </w:r>
      <w:r>
        <w:rPr>
          <w:rFonts w:hint="eastAsia"/>
          <w:color w:val="auto"/>
          <w:highlight w:val="none"/>
        </w:rPr>
        <w:t>：</w:t>
      </w:r>
      <w:r>
        <w:rPr>
          <w:rFonts w:hint="eastAsia"/>
          <w:color w:val="auto"/>
          <w:highlight w:val="none"/>
          <w:lang w:val="zh-CN"/>
        </w:rPr>
        <w:t xml:space="preserve">   年   月   日</w:t>
      </w:r>
    </w:p>
    <w:p w14:paraId="5BDE4174">
      <w:pPr>
        <w:rPr>
          <w:color w:val="auto"/>
          <w:highlight w:val="none"/>
        </w:rPr>
      </w:pPr>
    </w:p>
    <w:p w14:paraId="41429458">
      <w:pPr>
        <w:pStyle w:val="13"/>
        <w:rPr>
          <w:color w:val="auto"/>
          <w:highlight w:val="none"/>
        </w:rPr>
      </w:pPr>
    </w:p>
    <w:p w14:paraId="36EEFEB9">
      <w:pPr>
        <w:pStyle w:val="13"/>
        <w:rPr>
          <w:color w:val="auto"/>
          <w:highlight w:val="none"/>
        </w:rPr>
      </w:pPr>
    </w:p>
    <w:p w14:paraId="6BEA2EF3">
      <w:pPr>
        <w:rPr>
          <w:rFonts w:asciiTheme="majorHAnsi" w:hAnsiTheme="majorHAnsi" w:cstheme="majorBidi"/>
          <w:b/>
          <w:bCs/>
          <w:color w:val="auto"/>
          <w:sz w:val="32"/>
          <w:szCs w:val="32"/>
          <w:highlight w:val="none"/>
        </w:rPr>
      </w:pPr>
      <w:r>
        <w:rPr>
          <w:color w:val="auto"/>
          <w:highlight w:val="none"/>
        </w:rPr>
        <w:br w:type="page"/>
      </w:r>
    </w:p>
    <w:p w14:paraId="4AAB9E35">
      <w:pPr>
        <w:pStyle w:val="3"/>
        <w:rPr>
          <w:color w:val="auto"/>
          <w:highlight w:val="none"/>
        </w:rPr>
      </w:pPr>
      <w:bookmarkStart w:id="417" w:name="_Toc17030"/>
      <w:r>
        <w:rPr>
          <w:rFonts w:hint="eastAsia"/>
          <w:color w:val="auto"/>
          <w:highlight w:val="none"/>
        </w:rPr>
        <w:t>五、</w:t>
      </w:r>
      <w:r>
        <w:rPr>
          <w:rFonts w:hint="eastAsia"/>
          <w:color w:val="auto"/>
          <w:highlight w:val="none"/>
          <w:lang w:val="zh-CN"/>
        </w:rPr>
        <w:t>实质性响应一览表【</w:t>
      </w:r>
      <w:r>
        <w:rPr>
          <w:rFonts w:hint="eastAsia"/>
          <w:color w:val="auto"/>
          <w:highlight w:val="none"/>
        </w:rPr>
        <w:t>本表须与第五章的一致】</w:t>
      </w:r>
      <w:bookmarkEnd w:id="417"/>
    </w:p>
    <w:p w14:paraId="3CF8E158">
      <w:pPr>
        <w:rPr>
          <w:color w:val="auto"/>
          <w:highlight w:val="none"/>
        </w:rPr>
      </w:pPr>
      <w:r>
        <w:rPr>
          <w:rFonts w:hint="eastAsia"/>
          <w:color w:val="auto"/>
          <w:highlight w:val="none"/>
        </w:rPr>
        <w:t>（投标人须对本附表所有内容逐条响应且无负偏离，否则其</w:t>
      </w:r>
      <w:r>
        <w:rPr>
          <w:rFonts w:hint="eastAsia"/>
          <w:b/>
          <w:color w:val="auto"/>
          <w:highlight w:val="none"/>
        </w:rPr>
        <w:t>投标无效</w:t>
      </w:r>
      <w:r>
        <w:rPr>
          <w:rFonts w:hint="eastAsia"/>
          <w:color w:val="auto"/>
          <w:highlight w:val="none"/>
        </w:rPr>
        <w:t>）</w:t>
      </w:r>
    </w:p>
    <w:p w14:paraId="04E311C6">
      <w:pPr>
        <w:pStyle w:val="25"/>
        <w:rPr>
          <w:color w:val="auto"/>
          <w:highlight w:val="none"/>
        </w:rPr>
      </w:pPr>
    </w:p>
    <w:tbl>
      <w:tblPr>
        <w:tblStyle w:val="32"/>
        <w:tblW w:w="529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1991"/>
        <w:gridCol w:w="3746"/>
        <w:gridCol w:w="1955"/>
        <w:gridCol w:w="922"/>
      </w:tblGrid>
      <w:tr w14:paraId="394BA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6" w:type="pct"/>
            <w:vMerge w:val="restart"/>
            <w:vAlign w:val="center"/>
          </w:tcPr>
          <w:p w14:paraId="0CBA9245">
            <w:pPr>
              <w:rPr>
                <w:color w:val="auto"/>
                <w:highlight w:val="none"/>
              </w:rPr>
            </w:pPr>
            <w:r>
              <w:rPr>
                <w:rFonts w:hint="eastAsia"/>
                <w:color w:val="auto"/>
                <w:highlight w:val="none"/>
              </w:rPr>
              <w:t>序号</w:t>
            </w:r>
          </w:p>
        </w:tc>
        <w:tc>
          <w:tcPr>
            <w:tcW w:w="3178" w:type="pct"/>
            <w:gridSpan w:val="2"/>
            <w:vAlign w:val="center"/>
          </w:tcPr>
          <w:p w14:paraId="33FC3F88">
            <w:pPr>
              <w:rPr>
                <w:color w:val="auto"/>
                <w:highlight w:val="none"/>
              </w:rPr>
            </w:pPr>
            <w:r>
              <w:rPr>
                <w:rFonts w:hint="eastAsia"/>
                <w:color w:val="auto"/>
                <w:highlight w:val="none"/>
              </w:rPr>
              <w:t>招标文件要求的实质性响应内容</w:t>
            </w:r>
          </w:p>
        </w:tc>
        <w:tc>
          <w:tcPr>
            <w:tcW w:w="1083" w:type="pct"/>
            <w:vMerge w:val="restart"/>
            <w:vAlign w:val="center"/>
          </w:tcPr>
          <w:p w14:paraId="2FF6A7DD">
            <w:pPr>
              <w:rPr>
                <w:color w:val="auto"/>
                <w:highlight w:val="none"/>
              </w:rPr>
            </w:pPr>
            <w:r>
              <w:rPr>
                <w:rFonts w:hint="eastAsia"/>
                <w:color w:val="auto"/>
                <w:highlight w:val="none"/>
              </w:rPr>
              <w:t>投标文件响应的具体内容</w:t>
            </w:r>
          </w:p>
        </w:tc>
        <w:tc>
          <w:tcPr>
            <w:tcW w:w="511" w:type="pct"/>
            <w:vMerge w:val="restart"/>
            <w:vAlign w:val="center"/>
          </w:tcPr>
          <w:p w14:paraId="48B6E4E8">
            <w:pPr>
              <w:rPr>
                <w:color w:val="auto"/>
                <w:highlight w:val="none"/>
              </w:rPr>
            </w:pPr>
            <w:r>
              <w:rPr>
                <w:rFonts w:hint="eastAsia"/>
                <w:color w:val="auto"/>
                <w:highlight w:val="none"/>
              </w:rPr>
              <w:t>备注</w:t>
            </w:r>
          </w:p>
        </w:tc>
      </w:tr>
      <w:tr w14:paraId="7522F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26" w:type="pct"/>
            <w:vMerge w:val="continue"/>
            <w:vAlign w:val="center"/>
          </w:tcPr>
          <w:p w14:paraId="7FCAE72D">
            <w:pPr>
              <w:rPr>
                <w:color w:val="auto"/>
                <w:highlight w:val="none"/>
              </w:rPr>
            </w:pPr>
          </w:p>
        </w:tc>
        <w:tc>
          <w:tcPr>
            <w:tcW w:w="1103" w:type="pct"/>
            <w:vAlign w:val="center"/>
          </w:tcPr>
          <w:p w14:paraId="529B564E">
            <w:pPr>
              <w:rPr>
                <w:color w:val="auto"/>
                <w:highlight w:val="none"/>
              </w:rPr>
            </w:pPr>
            <w:r>
              <w:rPr>
                <w:rFonts w:hint="eastAsia"/>
                <w:color w:val="auto"/>
                <w:highlight w:val="none"/>
              </w:rPr>
              <w:t>实质性要求</w:t>
            </w:r>
          </w:p>
        </w:tc>
        <w:tc>
          <w:tcPr>
            <w:tcW w:w="2074" w:type="pct"/>
            <w:vAlign w:val="center"/>
          </w:tcPr>
          <w:p w14:paraId="4D8D9DE1">
            <w:pPr>
              <w:rPr>
                <w:color w:val="auto"/>
                <w:highlight w:val="none"/>
              </w:rPr>
            </w:pPr>
            <w:r>
              <w:rPr>
                <w:rFonts w:hint="eastAsia"/>
                <w:color w:val="auto"/>
                <w:highlight w:val="none"/>
              </w:rPr>
              <w:t>招标文件中的规定</w:t>
            </w:r>
          </w:p>
        </w:tc>
        <w:tc>
          <w:tcPr>
            <w:tcW w:w="1083" w:type="pct"/>
            <w:vMerge w:val="continue"/>
            <w:vAlign w:val="center"/>
          </w:tcPr>
          <w:p w14:paraId="662932FC">
            <w:pPr>
              <w:rPr>
                <w:color w:val="auto"/>
                <w:highlight w:val="none"/>
              </w:rPr>
            </w:pPr>
          </w:p>
        </w:tc>
        <w:tc>
          <w:tcPr>
            <w:tcW w:w="511" w:type="pct"/>
            <w:vMerge w:val="continue"/>
            <w:vAlign w:val="center"/>
          </w:tcPr>
          <w:p w14:paraId="12331273">
            <w:pPr>
              <w:rPr>
                <w:color w:val="auto"/>
                <w:highlight w:val="none"/>
              </w:rPr>
            </w:pPr>
          </w:p>
        </w:tc>
      </w:tr>
      <w:tr w14:paraId="3472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2DA01415">
            <w:pPr>
              <w:rPr>
                <w:color w:val="auto"/>
                <w:highlight w:val="none"/>
              </w:rPr>
            </w:pPr>
            <w:r>
              <w:rPr>
                <w:rFonts w:hint="eastAsia"/>
                <w:color w:val="auto"/>
                <w:highlight w:val="none"/>
              </w:rPr>
              <w:t>1</w:t>
            </w:r>
          </w:p>
        </w:tc>
        <w:tc>
          <w:tcPr>
            <w:tcW w:w="1103" w:type="pct"/>
            <w:shd w:val="clear" w:color="auto" w:fill="auto"/>
            <w:vAlign w:val="center"/>
          </w:tcPr>
          <w:p w14:paraId="043AAF88">
            <w:pPr>
              <w:rPr>
                <w:color w:val="auto"/>
                <w:highlight w:val="none"/>
              </w:rPr>
            </w:pPr>
          </w:p>
        </w:tc>
        <w:tc>
          <w:tcPr>
            <w:tcW w:w="2074" w:type="pct"/>
            <w:shd w:val="clear" w:color="auto" w:fill="auto"/>
            <w:vAlign w:val="center"/>
          </w:tcPr>
          <w:p w14:paraId="6999264D">
            <w:pPr>
              <w:rPr>
                <w:color w:val="auto"/>
                <w:highlight w:val="none"/>
              </w:rPr>
            </w:pPr>
          </w:p>
        </w:tc>
        <w:tc>
          <w:tcPr>
            <w:tcW w:w="1083" w:type="pct"/>
            <w:vAlign w:val="center"/>
          </w:tcPr>
          <w:p w14:paraId="450F526D">
            <w:pPr>
              <w:rPr>
                <w:color w:val="auto"/>
                <w:highlight w:val="none"/>
              </w:rPr>
            </w:pPr>
          </w:p>
        </w:tc>
        <w:tc>
          <w:tcPr>
            <w:tcW w:w="511" w:type="pct"/>
            <w:vAlign w:val="center"/>
          </w:tcPr>
          <w:p w14:paraId="3AAD0113">
            <w:pPr>
              <w:rPr>
                <w:color w:val="auto"/>
                <w:highlight w:val="none"/>
              </w:rPr>
            </w:pPr>
          </w:p>
        </w:tc>
      </w:tr>
      <w:tr w14:paraId="1DE1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1BF21902">
            <w:pPr>
              <w:rPr>
                <w:color w:val="auto"/>
                <w:highlight w:val="none"/>
              </w:rPr>
            </w:pPr>
            <w:r>
              <w:rPr>
                <w:rFonts w:hint="eastAsia"/>
                <w:color w:val="auto"/>
                <w:highlight w:val="none"/>
              </w:rPr>
              <w:t>2</w:t>
            </w:r>
          </w:p>
        </w:tc>
        <w:tc>
          <w:tcPr>
            <w:tcW w:w="1103" w:type="pct"/>
            <w:shd w:val="clear" w:color="auto" w:fill="auto"/>
            <w:vAlign w:val="center"/>
          </w:tcPr>
          <w:p w14:paraId="37955A50">
            <w:pPr>
              <w:rPr>
                <w:color w:val="auto"/>
                <w:highlight w:val="none"/>
              </w:rPr>
            </w:pPr>
          </w:p>
        </w:tc>
        <w:tc>
          <w:tcPr>
            <w:tcW w:w="2074" w:type="pct"/>
            <w:shd w:val="clear" w:color="auto" w:fill="auto"/>
            <w:vAlign w:val="center"/>
          </w:tcPr>
          <w:p w14:paraId="0EEF24BC">
            <w:pPr>
              <w:rPr>
                <w:color w:val="auto"/>
                <w:highlight w:val="none"/>
              </w:rPr>
            </w:pPr>
          </w:p>
        </w:tc>
        <w:tc>
          <w:tcPr>
            <w:tcW w:w="1083" w:type="pct"/>
            <w:vAlign w:val="center"/>
          </w:tcPr>
          <w:p w14:paraId="438FB9AA">
            <w:pPr>
              <w:rPr>
                <w:color w:val="auto"/>
                <w:highlight w:val="none"/>
              </w:rPr>
            </w:pPr>
          </w:p>
        </w:tc>
        <w:tc>
          <w:tcPr>
            <w:tcW w:w="511" w:type="pct"/>
            <w:vAlign w:val="center"/>
          </w:tcPr>
          <w:p w14:paraId="4F616062">
            <w:pPr>
              <w:rPr>
                <w:color w:val="auto"/>
                <w:highlight w:val="none"/>
              </w:rPr>
            </w:pPr>
          </w:p>
        </w:tc>
      </w:tr>
      <w:tr w14:paraId="50AF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22E67975">
            <w:pPr>
              <w:rPr>
                <w:color w:val="auto"/>
                <w:highlight w:val="none"/>
              </w:rPr>
            </w:pPr>
            <w:r>
              <w:rPr>
                <w:rFonts w:hint="eastAsia"/>
                <w:color w:val="auto"/>
                <w:highlight w:val="none"/>
              </w:rPr>
              <w:t>3</w:t>
            </w:r>
          </w:p>
        </w:tc>
        <w:tc>
          <w:tcPr>
            <w:tcW w:w="1103" w:type="pct"/>
            <w:shd w:val="clear" w:color="auto" w:fill="auto"/>
            <w:vAlign w:val="center"/>
          </w:tcPr>
          <w:p w14:paraId="1CDDD623">
            <w:pPr>
              <w:pStyle w:val="52"/>
              <w:rPr>
                <w:rFonts w:cs="宋体"/>
                <w:color w:val="auto"/>
                <w:szCs w:val="24"/>
                <w:highlight w:val="none"/>
              </w:rPr>
            </w:pPr>
          </w:p>
        </w:tc>
        <w:tc>
          <w:tcPr>
            <w:tcW w:w="2074" w:type="pct"/>
            <w:shd w:val="clear" w:color="auto" w:fill="auto"/>
            <w:vAlign w:val="center"/>
          </w:tcPr>
          <w:p w14:paraId="7BB70B10">
            <w:pPr>
              <w:pStyle w:val="52"/>
              <w:rPr>
                <w:rFonts w:cs="宋体"/>
                <w:color w:val="auto"/>
                <w:szCs w:val="24"/>
                <w:highlight w:val="none"/>
              </w:rPr>
            </w:pPr>
          </w:p>
        </w:tc>
        <w:tc>
          <w:tcPr>
            <w:tcW w:w="1083" w:type="pct"/>
            <w:vAlign w:val="center"/>
          </w:tcPr>
          <w:p w14:paraId="2B6A7511">
            <w:pPr>
              <w:rPr>
                <w:color w:val="auto"/>
                <w:highlight w:val="none"/>
              </w:rPr>
            </w:pPr>
          </w:p>
        </w:tc>
        <w:tc>
          <w:tcPr>
            <w:tcW w:w="511" w:type="pct"/>
            <w:vAlign w:val="center"/>
          </w:tcPr>
          <w:p w14:paraId="4FF7BA61">
            <w:pPr>
              <w:rPr>
                <w:color w:val="auto"/>
                <w:highlight w:val="none"/>
              </w:rPr>
            </w:pPr>
          </w:p>
        </w:tc>
      </w:tr>
      <w:tr w14:paraId="737A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29BBFDF0">
            <w:pPr>
              <w:rPr>
                <w:color w:val="auto"/>
                <w:highlight w:val="none"/>
              </w:rPr>
            </w:pPr>
            <w:r>
              <w:rPr>
                <w:rFonts w:hint="eastAsia"/>
                <w:color w:val="auto"/>
                <w:highlight w:val="none"/>
              </w:rPr>
              <w:t>4</w:t>
            </w:r>
          </w:p>
        </w:tc>
        <w:tc>
          <w:tcPr>
            <w:tcW w:w="1103" w:type="pct"/>
            <w:shd w:val="clear" w:color="auto" w:fill="auto"/>
            <w:vAlign w:val="center"/>
          </w:tcPr>
          <w:p w14:paraId="6BEEFDFE">
            <w:pPr>
              <w:pStyle w:val="52"/>
              <w:rPr>
                <w:rFonts w:cs="宋体"/>
                <w:color w:val="auto"/>
                <w:szCs w:val="24"/>
                <w:highlight w:val="none"/>
              </w:rPr>
            </w:pPr>
          </w:p>
        </w:tc>
        <w:tc>
          <w:tcPr>
            <w:tcW w:w="2074" w:type="pct"/>
            <w:shd w:val="clear" w:color="auto" w:fill="auto"/>
            <w:vAlign w:val="center"/>
          </w:tcPr>
          <w:p w14:paraId="14FB54F4">
            <w:pPr>
              <w:pStyle w:val="52"/>
              <w:rPr>
                <w:rFonts w:cs="宋体"/>
                <w:color w:val="auto"/>
                <w:szCs w:val="24"/>
                <w:highlight w:val="none"/>
              </w:rPr>
            </w:pPr>
          </w:p>
        </w:tc>
        <w:tc>
          <w:tcPr>
            <w:tcW w:w="1083" w:type="pct"/>
            <w:vAlign w:val="center"/>
          </w:tcPr>
          <w:p w14:paraId="1D42FF01">
            <w:pPr>
              <w:rPr>
                <w:color w:val="auto"/>
                <w:highlight w:val="none"/>
              </w:rPr>
            </w:pPr>
          </w:p>
        </w:tc>
        <w:tc>
          <w:tcPr>
            <w:tcW w:w="511" w:type="pct"/>
            <w:vAlign w:val="center"/>
          </w:tcPr>
          <w:p w14:paraId="6A6D02CF">
            <w:pPr>
              <w:rPr>
                <w:color w:val="auto"/>
                <w:highlight w:val="none"/>
              </w:rPr>
            </w:pPr>
          </w:p>
        </w:tc>
      </w:tr>
      <w:tr w14:paraId="0F9D9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71D7B373">
            <w:pPr>
              <w:rPr>
                <w:color w:val="auto"/>
                <w:highlight w:val="none"/>
              </w:rPr>
            </w:pPr>
            <w:r>
              <w:rPr>
                <w:rFonts w:hint="eastAsia"/>
                <w:color w:val="auto"/>
                <w:highlight w:val="none"/>
              </w:rPr>
              <w:t>5</w:t>
            </w:r>
          </w:p>
        </w:tc>
        <w:tc>
          <w:tcPr>
            <w:tcW w:w="1103" w:type="pct"/>
            <w:vAlign w:val="center"/>
          </w:tcPr>
          <w:p w14:paraId="05209E3A">
            <w:pPr>
              <w:rPr>
                <w:color w:val="auto"/>
                <w:highlight w:val="none"/>
              </w:rPr>
            </w:pPr>
            <w:r>
              <w:rPr>
                <w:rFonts w:hint="eastAsia"/>
                <w:color w:val="auto"/>
                <w:highlight w:val="none"/>
                <w:lang w:val="zh-CN"/>
              </w:rPr>
              <w:t>……</w:t>
            </w:r>
          </w:p>
        </w:tc>
        <w:tc>
          <w:tcPr>
            <w:tcW w:w="2074" w:type="pct"/>
            <w:vAlign w:val="center"/>
          </w:tcPr>
          <w:p w14:paraId="0586984B">
            <w:pPr>
              <w:pStyle w:val="76"/>
              <w:rPr>
                <w:color w:val="auto"/>
                <w:highlight w:val="none"/>
              </w:rPr>
            </w:pPr>
          </w:p>
        </w:tc>
        <w:tc>
          <w:tcPr>
            <w:tcW w:w="1083" w:type="pct"/>
            <w:vAlign w:val="center"/>
          </w:tcPr>
          <w:p w14:paraId="38800F9D">
            <w:pPr>
              <w:rPr>
                <w:color w:val="auto"/>
                <w:highlight w:val="none"/>
              </w:rPr>
            </w:pPr>
          </w:p>
        </w:tc>
        <w:tc>
          <w:tcPr>
            <w:tcW w:w="511" w:type="pct"/>
            <w:vAlign w:val="center"/>
          </w:tcPr>
          <w:p w14:paraId="26726EE3">
            <w:pPr>
              <w:rPr>
                <w:color w:val="auto"/>
                <w:highlight w:val="none"/>
              </w:rPr>
            </w:pPr>
          </w:p>
        </w:tc>
      </w:tr>
      <w:tr w14:paraId="7D609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6BF3DF21">
            <w:pPr>
              <w:rPr>
                <w:color w:val="auto"/>
                <w:highlight w:val="none"/>
              </w:rPr>
            </w:pPr>
            <w:r>
              <w:rPr>
                <w:rFonts w:hint="eastAsia"/>
                <w:color w:val="auto"/>
                <w:highlight w:val="none"/>
              </w:rPr>
              <w:t>6</w:t>
            </w:r>
          </w:p>
        </w:tc>
        <w:tc>
          <w:tcPr>
            <w:tcW w:w="1103" w:type="pct"/>
            <w:vAlign w:val="center"/>
          </w:tcPr>
          <w:p w14:paraId="62984378">
            <w:pPr>
              <w:rPr>
                <w:color w:val="auto"/>
                <w:highlight w:val="none"/>
              </w:rPr>
            </w:pPr>
            <w:r>
              <w:rPr>
                <w:rFonts w:hint="eastAsia"/>
                <w:color w:val="auto"/>
                <w:highlight w:val="none"/>
                <w:lang w:val="zh-CN"/>
              </w:rPr>
              <w:t>……</w:t>
            </w:r>
          </w:p>
        </w:tc>
        <w:tc>
          <w:tcPr>
            <w:tcW w:w="2074" w:type="pct"/>
            <w:vAlign w:val="center"/>
          </w:tcPr>
          <w:p w14:paraId="4F8A41C6">
            <w:pPr>
              <w:rPr>
                <w:color w:val="auto"/>
                <w:highlight w:val="none"/>
              </w:rPr>
            </w:pPr>
          </w:p>
        </w:tc>
        <w:tc>
          <w:tcPr>
            <w:tcW w:w="1083" w:type="pct"/>
            <w:vAlign w:val="center"/>
          </w:tcPr>
          <w:p w14:paraId="2C59E68A">
            <w:pPr>
              <w:rPr>
                <w:color w:val="auto"/>
                <w:highlight w:val="none"/>
              </w:rPr>
            </w:pPr>
          </w:p>
        </w:tc>
        <w:tc>
          <w:tcPr>
            <w:tcW w:w="511" w:type="pct"/>
            <w:vAlign w:val="center"/>
          </w:tcPr>
          <w:p w14:paraId="3FC846E2">
            <w:pPr>
              <w:rPr>
                <w:color w:val="auto"/>
                <w:highlight w:val="none"/>
              </w:rPr>
            </w:pPr>
          </w:p>
        </w:tc>
      </w:tr>
      <w:tr w14:paraId="4670B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06B16A40">
            <w:pPr>
              <w:rPr>
                <w:color w:val="auto"/>
                <w:highlight w:val="none"/>
              </w:rPr>
            </w:pPr>
            <w:r>
              <w:rPr>
                <w:rFonts w:hint="eastAsia"/>
                <w:color w:val="auto"/>
                <w:highlight w:val="none"/>
              </w:rPr>
              <w:t>7</w:t>
            </w:r>
          </w:p>
        </w:tc>
        <w:tc>
          <w:tcPr>
            <w:tcW w:w="1103" w:type="pct"/>
            <w:vAlign w:val="center"/>
          </w:tcPr>
          <w:p w14:paraId="255CC1F8">
            <w:pPr>
              <w:rPr>
                <w:color w:val="auto"/>
                <w:highlight w:val="none"/>
              </w:rPr>
            </w:pPr>
            <w:r>
              <w:rPr>
                <w:rFonts w:hint="eastAsia"/>
                <w:color w:val="auto"/>
                <w:highlight w:val="none"/>
                <w:lang w:val="zh-CN"/>
              </w:rPr>
              <w:t>……</w:t>
            </w:r>
          </w:p>
        </w:tc>
        <w:tc>
          <w:tcPr>
            <w:tcW w:w="2074" w:type="pct"/>
            <w:vAlign w:val="center"/>
          </w:tcPr>
          <w:p w14:paraId="0A385078">
            <w:pPr>
              <w:rPr>
                <w:color w:val="auto"/>
                <w:highlight w:val="none"/>
              </w:rPr>
            </w:pPr>
          </w:p>
        </w:tc>
        <w:tc>
          <w:tcPr>
            <w:tcW w:w="1083" w:type="pct"/>
            <w:vAlign w:val="center"/>
          </w:tcPr>
          <w:p w14:paraId="0AAB1442">
            <w:pPr>
              <w:rPr>
                <w:color w:val="auto"/>
                <w:highlight w:val="none"/>
              </w:rPr>
            </w:pPr>
          </w:p>
        </w:tc>
        <w:tc>
          <w:tcPr>
            <w:tcW w:w="511" w:type="pct"/>
            <w:vAlign w:val="center"/>
          </w:tcPr>
          <w:p w14:paraId="3FFD95D1">
            <w:pPr>
              <w:rPr>
                <w:color w:val="auto"/>
                <w:highlight w:val="none"/>
              </w:rPr>
            </w:pPr>
          </w:p>
        </w:tc>
      </w:tr>
      <w:tr w14:paraId="1D04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796CEA58">
            <w:pPr>
              <w:rPr>
                <w:color w:val="auto"/>
                <w:highlight w:val="none"/>
              </w:rPr>
            </w:pPr>
          </w:p>
        </w:tc>
        <w:tc>
          <w:tcPr>
            <w:tcW w:w="1103" w:type="pct"/>
            <w:shd w:val="clear" w:color="auto" w:fill="auto"/>
            <w:vAlign w:val="center"/>
          </w:tcPr>
          <w:p w14:paraId="6E87C579">
            <w:pPr>
              <w:rPr>
                <w:color w:val="auto"/>
                <w:highlight w:val="none"/>
                <w:lang w:val="zh-CN"/>
              </w:rPr>
            </w:pPr>
            <w:r>
              <w:rPr>
                <w:rFonts w:hint="eastAsia"/>
                <w:color w:val="auto"/>
                <w:highlight w:val="none"/>
                <w:lang w:val="zh-CN"/>
              </w:rPr>
              <w:t>……</w:t>
            </w:r>
          </w:p>
        </w:tc>
        <w:tc>
          <w:tcPr>
            <w:tcW w:w="2074" w:type="pct"/>
            <w:vAlign w:val="center"/>
          </w:tcPr>
          <w:p w14:paraId="62DF336A">
            <w:pPr>
              <w:rPr>
                <w:color w:val="auto"/>
                <w:highlight w:val="none"/>
              </w:rPr>
            </w:pPr>
          </w:p>
        </w:tc>
        <w:tc>
          <w:tcPr>
            <w:tcW w:w="1083" w:type="pct"/>
            <w:vAlign w:val="center"/>
          </w:tcPr>
          <w:p w14:paraId="6ED39372">
            <w:pPr>
              <w:rPr>
                <w:color w:val="auto"/>
                <w:highlight w:val="none"/>
              </w:rPr>
            </w:pPr>
          </w:p>
        </w:tc>
        <w:tc>
          <w:tcPr>
            <w:tcW w:w="511" w:type="pct"/>
            <w:vAlign w:val="center"/>
          </w:tcPr>
          <w:p w14:paraId="0AFA4307">
            <w:pPr>
              <w:rPr>
                <w:color w:val="auto"/>
                <w:highlight w:val="none"/>
              </w:rPr>
            </w:pPr>
          </w:p>
        </w:tc>
      </w:tr>
    </w:tbl>
    <w:p w14:paraId="74138A14">
      <w:pPr>
        <w:rPr>
          <w:color w:val="auto"/>
          <w:highlight w:val="none"/>
        </w:rPr>
      </w:pPr>
    </w:p>
    <w:p w14:paraId="30F1F24C">
      <w:pPr>
        <w:rPr>
          <w:color w:val="auto"/>
          <w:highlight w:val="none"/>
        </w:rPr>
      </w:pPr>
      <w:r>
        <w:rPr>
          <w:rFonts w:hint="eastAsia"/>
          <w:color w:val="auto"/>
          <w:highlight w:val="none"/>
        </w:rPr>
        <w:br w:type="page"/>
      </w:r>
    </w:p>
    <w:p w14:paraId="62576D09">
      <w:pPr>
        <w:pStyle w:val="3"/>
        <w:rPr>
          <w:color w:val="auto"/>
          <w:highlight w:val="none"/>
        </w:rPr>
      </w:pPr>
      <w:bookmarkStart w:id="418" w:name="_Toc11528"/>
      <w:r>
        <w:rPr>
          <w:rFonts w:hint="eastAsia"/>
          <w:color w:val="auto"/>
          <w:highlight w:val="none"/>
        </w:rPr>
        <w:t>六、商务响应偏离表</w:t>
      </w:r>
      <w:bookmarkEnd w:id="416"/>
      <w:bookmarkEnd w:id="418"/>
    </w:p>
    <w:p w14:paraId="372A55FD">
      <w:pPr>
        <w:spacing w:line="360" w:lineRule="auto"/>
        <w:rPr>
          <w:color w:val="auto"/>
          <w:highlight w:val="none"/>
        </w:rPr>
      </w:pPr>
      <w:r>
        <w:rPr>
          <w:rFonts w:hint="eastAsia"/>
          <w:color w:val="auto"/>
          <w:highlight w:val="none"/>
        </w:rPr>
        <w:t xml:space="preserve">项目名称：                                         </w:t>
      </w:r>
    </w:p>
    <w:p w14:paraId="03F321F5">
      <w:pPr>
        <w:spacing w:line="360" w:lineRule="auto"/>
        <w:rPr>
          <w:color w:val="auto"/>
          <w:highlight w:val="none"/>
        </w:rPr>
      </w:pPr>
      <w:r>
        <w:rPr>
          <w:rFonts w:hint="eastAsia"/>
          <w:color w:val="auto"/>
          <w:highlight w:val="none"/>
        </w:rPr>
        <w:t>项目编号</w:t>
      </w:r>
      <w:r>
        <w:rPr>
          <w:rFonts w:hint="eastAsia"/>
          <w:bCs/>
          <w:color w:val="auto"/>
          <w:szCs w:val="21"/>
          <w:highlight w:val="none"/>
        </w:rPr>
        <w:t>/</w:t>
      </w:r>
      <w:r>
        <w:rPr>
          <w:rFonts w:hint="eastAsia"/>
          <w:bCs/>
          <w:color w:val="auto"/>
          <w:szCs w:val="21"/>
          <w:highlight w:val="none"/>
          <w:lang w:val="zh-CN"/>
        </w:rPr>
        <w:t>包号</w:t>
      </w:r>
      <w:r>
        <w:rPr>
          <w:rFonts w:hint="eastAsia"/>
          <w:color w:val="auto"/>
          <w:highlight w:val="none"/>
        </w:rPr>
        <w:t xml:space="preserve">：        </w:t>
      </w:r>
    </w:p>
    <w:tbl>
      <w:tblPr>
        <w:tblStyle w:val="32"/>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1030B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4466641E">
            <w:pPr>
              <w:pStyle w:val="52"/>
              <w:spacing w:line="360" w:lineRule="auto"/>
              <w:jc w:val="center"/>
              <w:rPr>
                <w:rFonts w:cs="宋体"/>
                <w:color w:val="auto"/>
                <w:sz w:val="21"/>
                <w:szCs w:val="21"/>
                <w:highlight w:val="none"/>
              </w:rPr>
            </w:pPr>
            <w:r>
              <w:rPr>
                <w:rFonts w:hint="eastAsia" w:cs="宋体"/>
                <w:color w:val="auto"/>
                <w:sz w:val="21"/>
                <w:szCs w:val="21"/>
                <w:highlight w:val="none"/>
              </w:rPr>
              <w:t>序号</w:t>
            </w:r>
          </w:p>
        </w:tc>
        <w:tc>
          <w:tcPr>
            <w:tcW w:w="1395" w:type="pct"/>
            <w:vAlign w:val="center"/>
          </w:tcPr>
          <w:p w14:paraId="2AE8CF9A">
            <w:pPr>
              <w:pStyle w:val="52"/>
              <w:spacing w:line="360" w:lineRule="auto"/>
              <w:jc w:val="center"/>
              <w:rPr>
                <w:rFonts w:cs="宋体"/>
                <w:color w:val="auto"/>
                <w:sz w:val="21"/>
                <w:szCs w:val="21"/>
                <w:highlight w:val="none"/>
              </w:rPr>
            </w:pPr>
            <w:r>
              <w:rPr>
                <w:rFonts w:hint="eastAsia" w:cs="宋体"/>
                <w:color w:val="auto"/>
                <w:sz w:val="21"/>
                <w:szCs w:val="21"/>
                <w:highlight w:val="none"/>
              </w:rPr>
              <w:t>招标文件的商务条款</w:t>
            </w:r>
          </w:p>
        </w:tc>
        <w:tc>
          <w:tcPr>
            <w:tcW w:w="1002" w:type="pct"/>
            <w:vAlign w:val="center"/>
          </w:tcPr>
          <w:p w14:paraId="77195E61">
            <w:pPr>
              <w:pStyle w:val="52"/>
              <w:spacing w:line="360" w:lineRule="auto"/>
              <w:jc w:val="center"/>
              <w:rPr>
                <w:rFonts w:cs="宋体"/>
                <w:color w:val="auto"/>
                <w:sz w:val="21"/>
                <w:szCs w:val="21"/>
                <w:highlight w:val="none"/>
              </w:rPr>
            </w:pPr>
            <w:r>
              <w:rPr>
                <w:rFonts w:hint="eastAsia" w:cs="宋体"/>
                <w:color w:val="auto"/>
                <w:sz w:val="21"/>
                <w:szCs w:val="21"/>
                <w:highlight w:val="none"/>
              </w:rPr>
              <w:t>投标文件的响应内容</w:t>
            </w:r>
          </w:p>
        </w:tc>
        <w:tc>
          <w:tcPr>
            <w:tcW w:w="1090" w:type="pct"/>
            <w:vAlign w:val="center"/>
          </w:tcPr>
          <w:p w14:paraId="5DB888E2">
            <w:pPr>
              <w:pStyle w:val="52"/>
              <w:spacing w:line="360" w:lineRule="auto"/>
              <w:jc w:val="center"/>
              <w:rPr>
                <w:rFonts w:cs="宋体"/>
                <w:color w:val="auto"/>
                <w:sz w:val="21"/>
                <w:szCs w:val="21"/>
                <w:highlight w:val="none"/>
              </w:rPr>
            </w:pPr>
            <w:r>
              <w:rPr>
                <w:rFonts w:hint="eastAsia" w:cs="宋体"/>
                <w:color w:val="auto"/>
                <w:sz w:val="21"/>
                <w:szCs w:val="21"/>
                <w:highlight w:val="none"/>
              </w:rPr>
              <w:t>响应情况</w:t>
            </w:r>
          </w:p>
        </w:tc>
        <w:tc>
          <w:tcPr>
            <w:tcW w:w="1090" w:type="pct"/>
            <w:vAlign w:val="center"/>
          </w:tcPr>
          <w:p w14:paraId="2A52800A">
            <w:pPr>
              <w:pStyle w:val="52"/>
              <w:spacing w:line="360" w:lineRule="auto"/>
              <w:jc w:val="center"/>
              <w:rPr>
                <w:rFonts w:cs="宋体"/>
                <w:color w:val="auto"/>
                <w:sz w:val="21"/>
                <w:szCs w:val="21"/>
                <w:highlight w:val="none"/>
              </w:rPr>
            </w:pPr>
            <w:r>
              <w:rPr>
                <w:rFonts w:hint="eastAsia" w:cs="宋体"/>
                <w:color w:val="auto"/>
                <w:sz w:val="21"/>
                <w:szCs w:val="21"/>
                <w:highlight w:val="none"/>
              </w:rPr>
              <w:t>说明及索引</w:t>
            </w:r>
          </w:p>
        </w:tc>
      </w:tr>
      <w:tr w14:paraId="46D05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87EB756">
            <w:pPr>
              <w:pStyle w:val="52"/>
              <w:spacing w:line="360" w:lineRule="auto"/>
              <w:jc w:val="center"/>
              <w:rPr>
                <w:rFonts w:cs="宋体"/>
                <w:color w:val="auto"/>
                <w:sz w:val="21"/>
                <w:szCs w:val="21"/>
                <w:highlight w:val="none"/>
              </w:rPr>
            </w:pPr>
            <w:r>
              <w:rPr>
                <w:rFonts w:hint="eastAsia" w:cs="宋体"/>
                <w:color w:val="auto"/>
                <w:sz w:val="21"/>
                <w:szCs w:val="21"/>
                <w:highlight w:val="none"/>
              </w:rPr>
              <w:t>1</w:t>
            </w:r>
          </w:p>
        </w:tc>
        <w:tc>
          <w:tcPr>
            <w:tcW w:w="1395" w:type="pct"/>
            <w:vAlign w:val="center"/>
          </w:tcPr>
          <w:p w14:paraId="5CD49387">
            <w:pPr>
              <w:pStyle w:val="52"/>
              <w:spacing w:line="360" w:lineRule="auto"/>
              <w:jc w:val="center"/>
              <w:rPr>
                <w:rFonts w:cs="宋体"/>
                <w:color w:val="auto"/>
                <w:sz w:val="21"/>
                <w:szCs w:val="21"/>
                <w:highlight w:val="none"/>
              </w:rPr>
            </w:pPr>
            <w:r>
              <w:rPr>
                <w:rFonts w:hint="eastAsia" w:cs="宋体"/>
                <w:color w:val="auto"/>
                <w:sz w:val="21"/>
                <w:szCs w:val="21"/>
                <w:highlight w:val="none"/>
              </w:rPr>
              <w:t>*******</w:t>
            </w:r>
          </w:p>
        </w:tc>
        <w:tc>
          <w:tcPr>
            <w:tcW w:w="1002" w:type="pct"/>
            <w:vAlign w:val="center"/>
          </w:tcPr>
          <w:p w14:paraId="1BC661F0">
            <w:pPr>
              <w:pStyle w:val="52"/>
              <w:spacing w:line="360" w:lineRule="auto"/>
              <w:jc w:val="center"/>
              <w:rPr>
                <w:rFonts w:cs="宋体"/>
                <w:color w:val="auto"/>
                <w:sz w:val="21"/>
                <w:szCs w:val="21"/>
                <w:highlight w:val="none"/>
              </w:rPr>
            </w:pPr>
            <w:r>
              <w:rPr>
                <w:rFonts w:hint="eastAsia" w:cs="宋体"/>
                <w:color w:val="auto"/>
                <w:sz w:val="21"/>
                <w:szCs w:val="21"/>
                <w:highlight w:val="none"/>
              </w:rPr>
              <w:t>*******</w:t>
            </w:r>
          </w:p>
        </w:tc>
        <w:tc>
          <w:tcPr>
            <w:tcW w:w="1090" w:type="pct"/>
            <w:vAlign w:val="center"/>
          </w:tcPr>
          <w:p w14:paraId="0ACA1820">
            <w:pPr>
              <w:pStyle w:val="52"/>
              <w:spacing w:line="360" w:lineRule="auto"/>
              <w:jc w:val="center"/>
              <w:rPr>
                <w:rFonts w:cs="宋体"/>
                <w:color w:val="auto"/>
                <w:sz w:val="21"/>
                <w:szCs w:val="21"/>
                <w:highlight w:val="none"/>
              </w:rPr>
            </w:pPr>
            <w:r>
              <w:rPr>
                <w:rFonts w:hint="eastAsia" w:cs="宋体"/>
                <w:color w:val="auto"/>
                <w:sz w:val="21"/>
                <w:szCs w:val="21"/>
                <w:highlight w:val="none"/>
              </w:rPr>
              <w:t>响应/偏离</w:t>
            </w:r>
          </w:p>
        </w:tc>
        <w:tc>
          <w:tcPr>
            <w:tcW w:w="1090" w:type="pct"/>
            <w:vAlign w:val="center"/>
          </w:tcPr>
          <w:p w14:paraId="65638C4F">
            <w:pPr>
              <w:pStyle w:val="52"/>
              <w:spacing w:line="360" w:lineRule="auto"/>
              <w:jc w:val="center"/>
              <w:rPr>
                <w:rFonts w:cs="宋体"/>
                <w:color w:val="auto"/>
                <w:sz w:val="21"/>
                <w:szCs w:val="21"/>
                <w:highlight w:val="none"/>
              </w:rPr>
            </w:pPr>
          </w:p>
        </w:tc>
      </w:tr>
      <w:tr w14:paraId="4F9D0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16616C21">
            <w:pPr>
              <w:pStyle w:val="52"/>
              <w:spacing w:line="360" w:lineRule="auto"/>
              <w:jc w:val="center"/>
              <w:rPr>
                <w:rFonts w:cs="宋体"/>
                <w:color w:val="auto"/>
                <w:sz w:val="21"/>
                <w:szCs w:val="21"/>
                <w:highlight w:val="none"/>
              </w:rPr>
            </w:pPr>
            <w:r>
              <w:rPr>
                <w:rFonts w:hint="eastAsia" w:cs="宋体"/>
                <w:color w:val="auto"/>
                <w:sz w:val="21"/>
                <w:szCs w:val="21"/>
                <w:highlight w:val="none"/>
              </w:rPr>
              <w:t>2</w:t>
            </w:r>
          </w:p>
        </w:tc>
        <w:tc>
          <w:tcPr>
            <w:tcW w:w="1395" w:type="pct"/>
            <w:vAlign w:val="center"/>
          </w:tcPr>
          <w:p w14:paraId="18BC5688">
            <w:pPr>
              <w:pStyle w:val="52"/>
              <w:spacing w:line="360" w:lineRule="auto"/>
              <w:jc w:val="center"/>
              <w:rPr>
                <w:rFonts w:cs="宋体"/>
                <w:color w:val="auto"/>
                <w:sz w:val="21"/>
                <w:szCs w:val="21"/>
                <w:highlight w:val="none"/>
              </w:rPr>
            </w:pPr>
            <w:r>
              <w:rPr>
                <w:rFonts w:hint="eastAsia" w:cs="宋体"/>
                <w:color w:val="auto"/>
                <w:sz w:val="21"/>
                <w:szCs w:val="21"/>
                <w:highlight w:val="none"/>
              </w:rPr>
              <w:t>*******</w:t>
            </w:r>
          </w:p>
        </w:tc>
        <w:tc>
          <w:tcPr>
            <w:tcW w:w="1002" w:type="pct"/>
            <w:vAlign w:val="center"/>
          </w:tcPr>
          <w:p w14:paraId="58D4A94C">
            <w:pPr>
              <w:pStyle w:val="52"/>
              <w:spacing w:line="360" w:lineRule="auto"/>
              <w:jc w:val="center"/>
              <w:rPr>
                <w:rFonts w:cs="宋体"/>
                <w:color w:val="auto"/>
                <w:sz w:val="21"/>
                <w:szCs w:val="21"/>
                <w:highlight w:val="none"/>
              </w:rPr>
            </w:pPr>
            <w:r>
              <w:rPr>
                <w:rFonts w:hint="eastAsia" w:cs="宋体"/>
                <w:color w:val="auto"/>
                <w:sz w:val="21"/>
                <w:szCs w:val="21"/>
                <w:highlight w:val="none"/>
              </w:rPr>
              <w:t>*******</w:t>
            </w:r>
          </w:p>
        </w:tc>
        <w:tc>
          <w:tcPr>
            <w:tcW w:w="1090" w:type="pct"/>
            <w:vAlign w:val="center"/>
          </w:tcPr>
          <w:p w14:paraId="0EEB105F">
            <w:pPr>
              <w:pStyle w:val="52"/>
              <w:spacing w:line="360" w:lineRule="auto"/>
              <w:jc w:val="center"/>
              <w:rPr>
                <w:rFonts w:cs="宋体"/>
                <w:color w:val="auto"/>
                <w:sz w:val="21"/>
                <w:szCs w:val="21"/>
                <w:highlight w:val="none"/>
              </w:rPr>
            </w:pPr>
          </w:p>
        </w:tc>
        <w:tc>
          <w:tcPr>
            <w:tcW w:w="1090" w:type="pct"/>
            <w:vAlign w:val="center"/>
          </w:tcPr>
          <w:p w14:paraId="1B9220BA">
            <w:pPr>
              <w:pStyle w:val="52"/>
              <w:spacing w:line="360" w:lineRule="auto"/>
              <w:jc w:val="center"/>
              <w:rPr>
                <w:rFonts w:cs="宋体"/>
                <w:color w:val="auto"/>
                <w:sz w:val="21"/>
                <w:szCs w:val="21"/>
                <w:highlight w:val="none"/>
              </w:rPr>
            </w:pPr>
          </w:p>
        </w:tc>
      </w:tr>
      <w:tr w14:paraId="49F9F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11EF7707">
            <w:pPr>
              <w:pStyle w:val="52"/>
              <w:spacing w:line="360" w:lineRule="auto"/>
              <w:jc w:val="center"/>
              <w:rPr>
                <w:rFonts w:cs="宋体"/>
                <w:color w:val="auto"/>
                <w:sz w:val="21"/>
                <w:szCs w:val="21"/>
                <w:highlight w:val="none"/>
              </w:rPr>
            </w:pPr>
            <w:r>
              <w:rPr>
                <w:rFonts w:hint="eastAsia" w:cs="宋体"/>
                <w:color w:val="auto"/>
                <w:sz w:val="21"/>
                <w:szCs w:val="21"/>
                <w:highlight w:val="none"/>
              </w:rPr>
              <w:t>3</w:t>
            </w:r>
          </w:p>
        </w:tc>
        <w:tc>
          <w:tcPr>
            <w:tcW w:w="1395" w:type="pct"/>
            <w:vAlign w:val="center"/>
          </w:tcPr>
          <w:p w14:paraId="03F78339">
            <w:pPr>
              <w:pStyle w:val="52"/>
              <w:spacing w:line="360" w:lineRule="auto"/>
              <w:jc w:val="center"/>
              <w:rPr>
                <w:rFonts w:cs="宋体"/>
                <w:color w:val="auto"/>
                <w:sz w:val="21"/>
                <w:szCs w:val="21"/>
                <w:highlight w:val="none"/>
              </w:rPr>
            </w:pPr>
            <w:r>
              <w:rPr>
                <w:rFonts w:hint="eastAsia" w:cs="宋体"/>
                <w:color w:val="auto"/>
                <w:sz w:val="21"/>
                <w:szCs w:val="21"/>
                <w:highlight w:val="none"/>
              </w:rPr>
              <w:t>*******</w:t>
            </w:r>
          </w:p>
        </w:tc>
        <w:tc>
          <w:tcPr>
            <w:tcW w:w="1002" w:type="pct"/>
            <w:vAlign w:val="center"/>
          </w:tcPr>
          <w:p w14:paraId="109849D1">
            <w:pPr>
              <w:pStyle w:val="52"/>
              <w:spacing w:line="360" w:lineRule="auto"/>
              <w:jc w:val="center"/>
              <w:rPr>
                <w:rFonts w:cs="宋体"/>
                <w:color w:val="auto"/>
                <w:sz w:val="21"/>
                <w:szCs w:val="21"/>
                <w:highlight w:val="none"/>
              </w:rPr>
            </w:pPr>
            <w:r>
              <w:rPr>
                <w:rFonts w:hint="eastAsia" w:cs="宋体"/>
                <w:color w:val="auto"/>
                <w:sz w:val="21"/>
                <w:szCs w:val="21"/>
                <w:highlight w:val="none"/>
              </w:rPr>
              <w:t>*******</w:t>
            </w:r>
          </w:p>
        </w:tc>
        <w:tc>
          <w:tcPr>
            <w:tcW w:w="1090" w:type="pct"/>
            <w:vAlign w:val="center"/>
          </w:tcPr>
          <w:p w14:paraId="69E51D6A">
            <w:pPr>
              <w:pStyle w:val="52"/>
              <w:spacing w:line="360" w:lineRule="auto"/>
              <w:jc w:val="center"/>
              <w:rPr>
                <w:rFonts w:cs="宋体"/>
                <w:color w:val="auto"/>
                <w:sz w:val="21"/>
                <w:szCs w:val="21"/>
                <w:highlight w:val="none"/>
              </w:rPr>
            </w:pPr>
          </w:p>
        </w:tc>
        <w:tc>
          <w:tcPr>
            <w:tcW w:w="1090" w:type="pct"/>
            <w:vAlign w:val="center"/>
          </w:tcPr>
          <w:p w14:paraId="0CCBBD3F">
            <w:pPr>
              <w:pStyle w:val="52"/>
              <w:spacing w:line="360" w:lineRule="auto"/>
              <w:jc w:val="center"/>
              <w:rPr>
                <w:rFonts w:cs="宋体"/>
                <w:color w:val="auto"/>
                <w:sz w:val="21"/>
                <w:szCs w:val="21"/>
                <w:highlight w:val="none"/>
              </w:rPr>
            </w:pPr>
          </w:p>
        </w:tc>
      </w:tr>
      <w:tr w14:paraId="3884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A5C1B4D">
            <w:pPr>
              <w:pStyle w:val="52"/>
              <w:spacing w:line="360" w:lineRule="auto"/>
              <w:jc w:val="center"/>
              <w:rPr>
                <w:rFonts w:cs="宋体"/>
                <w:color w:val="auto"/>
                <w:sz w:val="21"/>
                <w:szCs w:val="21"/>
                <w:highlight w:val="none"/>
              </w:rPr>
            </w:pPr>
          </w:p>
        </w:tc>
        <w:tc>
          <w:tcPr>
            <w:tcW w:w="1395" w:type="pct"/>
            <w:vAlign w:val="center"/>
          </w:tcPr>
          <w:p w14:paraId="753A3D4F">
            <w:pPr>
              <w:pStyle w:val="52"/>
              <w:spacing w:line="360" w:lineRule="auto"/>
              <w:jc w:val="center"/>
              <w:rPr>
                <w:rFonts w:cs="宋体"/>
                <w:color w:val="auto"/>
                <w:sz w:val="21"/>
                <w:szCs w:val="21"/>
                <w:highlight w:val="none"/>
              </w:rPr>
            </w:pPr>
          </w:p>
        </w:tc>
        <w:tc>
          <w:tcPr>
            <w:tcW w:w="1002" w:type="pct"/>
            <w:vAlign w:val="center"/>
          </w:tcPr>
          <w:p w14:paraId="4B82DF0E">
            <w:pPr>
              <w:pStyle w:val="52"/>
              <w:spacing w:line="360" w:lineRule="auto"/>
              <w:jc w:val="center"/>
              <w:rPr>
                <w:rFonts w:cs="宋体"/>
                <w:color w:val="auto"/>
                <w:sz w:val="21"/>
                <w:szCs w:val="21"/>
                <w:highlight w:val="none"/>
              </w:rPr>
            </w:pPr>
          </w:p>
        </w:tc>
        <w:tc>
          <w:tcPr>
            <w:tcW w:w="1090" w:type="pct"/>
            <w:vAlign w:val="center"/>
          </w:tcPr>
          <w:p w14:paraId="6F7DCE8A">
            <w:pPr>
              <w:pStyle w:val="52"/>
              <w:spacing w:line="360" w:lineRule="auto"/>
              <w:jc w:val="center"/>
              <w:rPr>
                <w:rFonts w:cs="宋体"/>
                <w:color w:val="auto"/>
                <w:sz w:val="21"/>
                <w:szCs w:val="21"/>
                <w:highlight w:val="none"/>
              </w:rPr>
            </w:pPr>
          </w:p>
        </w:tc>
        <w:tc>
          <w:tcPr>
            <w:tcW w:w="1090" w:type="pct"/>
            <w:vAlign w:val="center"/>
          </w:tcPr>
          <w:p w14:paraId="281DB8A2">
            <w:pPr>
              <w:pStyle w:val="52"/>
              <w:spacing w:line="360" w:lineRule="auto"/>
              <w:jc w:val="center"/>
              <w:rPr>
                <w:rFonts w:cs="宋体"/>
                <w:color w:val="auto"/>
                <w:sz w:val="21"/>
                <w:szCs w:val="21"/>
                <w:highlight w:val="none"/>
              </w:rPr>
            </w:pPr>
          </w:p>
        </w:tc>
      </w:tr>
      <w:tr w14:paraId="168D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150FEC44">
            <w:pPr>
              <w:pStyle w:val="52"/>
              <w:spacing w:line="360" w:lineRule="auto"/>
              <w:jc w:val="center"/>
              <w:rPr>
                <w:rFonts w:cs="宋体"/>
                <w:color w:val="auto"/>
                <w:sz w:val="21"/>
                <w:szCs w:val="21"/>
                <w:highlight w:val="none"/>
              </w:rPr>
            </w:pPr>
          </w:p>
        </w:tc>
        <w:tc>
          <w:tcPr>
            <w:tcW w:w="1395" w:type="pct"/>
            <w:vAlign w:val="center"/>
          </w:tcPr>
          <w:p w14:paraId="26A3E976">
            <w:pPr>
              <w:pStyle w:val="52"/>
              <w:spacing w:line="360" w:lineRule="auto"/>
              <w:jc w:val="center"/>
              <w:rPr>
                <w:rFonts w:cs="宋体"/>
                <w:color w:val="auto"/>
                <w:sz w:val="21"/>
                <w:szCs w:val="21"/>
                <w:highlight w:val="none"/>
              </w:rPr>
            </w:pPr>
          </w:p>
        </w:tc>
        <w:tc>
          <w:tcPr>
            <w:tcW w:w="1002" w:type="pct"/>
            <w:vAlign w:val="center"/>
          </w:tcPr>
          <w:p w14:paraId="32794622">
            <w:pPr>
              <w:pStyle w:val="52"/>
              <w:spacing w:line="360" w:lineRule="auto"/>
              <w:jc w:val="center"/>
              <w:rPr>
                <w:rFonts w:cs="宋体"/>
                <w:color w:val="auto"/>
                <w:sz w:val="21"/>
                <w:szCs w:val="21"/>
                <w:highlight w:val="none"/>
              </w:rPr>
            </w:pPr>
          </w:p>
        </w:tc>
        <w:tc>
          <w:tcPr>
            <w:tcW w:w="1090" w:type="pct"/>
            <w:vAlign w:val="center"/>
          </w:tcPr>
          <w:p w14:paraId="61996847">
            <w:pPr>
              <w:pStyle w:val="52"/>
              <w:spacing w:line="360" w:lineRule="auto"/>
              <w:jc w:val="center"/>
              <w:rPr>
                <w:rFonts w:cs="宋体"/>
                <w:color w:val="auto"/>
                <w:sz w:val="21"/>
                <w:szCs w:val="21"/>
                <w:highlight w:val="none"/>
              </w:rPr>
            </w:pPr>
          </w:p>
        </w:tc>
        <w:tc>
          <w:tcPr>
            <w:tcW w:w="1090" w:type="pct"/>
            <w:vAlign w:val="center"/>
          </w:tcPr>
          <w:p w14:paraId="564E3F58">
            <w:pPr>
              <w:pStyle w:val="52"/>
              <w:spacing w:line="360" w:lineRule="auto"/>
              <w:jc w:val="center"/>
              <w:rPr>
                <w:rFonts w:cs="宋体"/>
                <w:color w:val="auto"/>
                <w:sz w:val="21"/>
                <w:szCs w:val="21"/>
                <w:highlight w:val="none"/>
              </w:rPr>
            </w:pPr>
          </w:p>
        </w:tc>
      </w:tr>
      <w:tr w14:paraId="6816A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7EE217B">
            <w:pPr>
              <w:pStyle w:val="52"/>
              <w:spacing w:line="360" w:lineRule="auto"/>
              <w:jc w:val="center"/>
              <w:rPr>
                <w:rFonts w:cs="宋体"/>
                <w:color w:val="auto"/>
                <w:sz w:val="21"/>
                <w:szCs w:val="21"/>
                <w:highlight w:val="none"/>
              </w:rPr>
            </w:pPr>
          </w:p>
        </w:tc>
        <w:tc>
          <w:tcPr>
            <w:tcW w:w="1395" w:type="pct"/>
            <w:vAlign w:val="center"/>
          </w:tcPr>
          <w:p w14:paraId="0F1FF617">
            <w:pPr>
              <w:pStyle w:val="52"/>
              <w:spacing w:line="360" w:lineRule="auto"/>
              <w:jc w:val="center"/>
              <w:rPr>
                <w:rFonts w:cs="宋体"/>
                <w:color w:val="auto"/>
                <w:sz w:val="21"/>
                <w:szCs w:val="21"/>
                <w:highlight w:val="none"/>
              </w:rPr>
            </w:pPr>
          </w:p>
        </w:tc>
        <w:tc>
          <w:tcPr>
            <w:tcW w:w="1002" w:type="pct"/>
            <w:vAlign w:val="center"/>
          </w:tcPr>
          <w:p w14:paraId="4FE1FCBC">
            <w:pPr>
              <w:pStyle w:val="52"/>
              <w:spacing w:line="360" w:lineRule="auto"/>
              <w:jc w:val="center"/>
              <w:rPr>
                <w:rFonts w:cs="宋体"/>
                <w:color w:val="auto"/>
                <w:sz w:val="21"/>
                <w:szCs w:val="21"/>
                <w:highlight w:val="none"/>
              </w:rPr>
            </w:pPr>
          </w:p>
        </w:tc>
        <w:tc>
          <w:tcPr>
            <w:tcW w:w="1090" w:type="pct"/>
            <w:vAlign w:val="center"/>
          </w:tcPr>
          <w:p w14:paraId="4842DC52">
            <w:pPr>
              <w:pStyle w:val="52"/>
              <w:spacing w:line="360" w:lineRule="auto"/>
              <w:jc w:val="center"/>
              <w:rPr>
                <w:rFonts w:cs="宋体"/>
                <w:color w:val="auto"/>
                <w:sz w:val="21"/>
                <w:szCs w:val="21"/>
                <w:highlight w:val="none"/>
              </w:rPr>
            </w:pPr>
          </w:p>
        </w:tc>
        <w:tc>
          <w:tcPr>
            <w:tcW w:w="1090" w:type="pct"/>
            <w:vAlign w:val="center"/>
          </w:tcPr>
          <w:p w14:paraId="4FB9F098">
            <w:pPr>
              <w:pStyle w:val="52"/>
              <w:spacing w:line="360" w:lineRule="auto"/>
              <w:jc w:val="center"/>
              <w:rPr>
                <w:rFonts w:cs="宋体"/>
                <w:color w:val="auto"/>
                <w:sz w:val="21"/>
                <w:szCs w:val="21"/>
                <w:highlight w:val="none"/>
              </w:rPr>
            </w:pPr>
          </w:p>
        </w:tc>
      </w:tr>
      <w:tr w14:paraId="7411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F747438">
            <w:pPr>
              <w:pStyle w:val="52"/>
              <w:spacing w:line="360" w:lineRule="auto"/>
              <w:jc w:val="center"/>
              <w:rPr>
                <w:rFonts w:cs="宋体"/>
                <w:color w:val="auto"/>
                <w:sz w:val="21"/>
                <w:szCs w:val="21"/>
                <w:highlight w:val="none"/>
              </w:rPr>
            </w:pPr>
          </w:p>
        </w:tc>
        <w:tc>
          <w:tcPr>
            <w:tcW w:w="1395" w:type="pct"/>
            <w:vAlign w:val="center"/>
          </w:tcPr>
          <w:p w14:paraId="27E9161A">
            <w:pPr>
              <w:pStyle w:val="52"/>
              <w:spacing w:line="360" w:lineRule="auto"/>
              <w:jc w:val="center"/>
              <w:rPr>
                <w:rFonts w:cs="宋体"/>
                <w:color w:val="auto"/>
                <w:sz w:val="21"/>
                <w:szCs w:val="21"/>
                <w:highlight w:val="none"/>
              </w:rPr>
            </w:pPr>
          </w:p>
        </w:tc>
        <w:tc>
          <w:tcPr>
            <w:tcW w:w="1002" w:type="pct"/>
            <w:vAlign w:val="center"/>
          </w:tcPr>
          <w:p w14:paraId="683B129D">
            <w:pPr>
              <w:pStyle w:val="52"/>
              <w:spacing w:line="360" w:lineRule="auto"/>
              <w:jc w:val="center"/>
              <w:rPr>
                <w:rFonts w:cs="宋体"/>
                <w:color w:val="auto"/>
                <w:sz w:val="21"/>
                <w:szCs w:val="21"/>
                <w:highlight w:val="none"/>
              </w:rPr>
            </w:pPr>
          </w:p>
        </w:tc>
        <w:tc>
          <w:tcPr>
            <w:tcW w:w="1090" w:type="pct"/>
            <w:vAlign w:val="center"/>
          </w:tcPr>
          <w:p w14:paraId="102EB9A1">
            <w:pPr>
              <w:pStyle w:val="52"/>
              <w:spacing w:line="360" w:lineRule="auto"/>
              <w:jc w:val="center"/>
              <w:rPr>
                <w:rFonts w:cs="宋体"/>
                <w:color w:val="auto"/>
                <w:sz w:val="21"/>
                <w:szCs w:val="21"/>
                <w:highlight w:val="none"/>
              </w:rPr>
            </w:pPr>
          </w:p>
        </w:tc>
        <w:tc>
          <w:tcPr>
            <w:tcW w:w="1090" w:type="pct"/>
            <w:vAlign w:val="center"/>
          </w:tcPr>
          <w:p w14:paraId="67474FD8">
            <w:pPr>
              <w:pStyle w:val="52"/>
              <w:spacing w:line="360" w:lineRule="auto"/>
              <w:jc w:val="center"/>
              <w:rPr>
                <w:rFonts w:cs="宋体"/>
                <w:color w:val="auto"/>
                <w:sz w:val="21"/>
                <w:szCs w:val="21"/>
                <w:highlight w:val="none"/>
              </w:rPr>
            </w:pPr>
          </w:p>
        </w:tc>
      </w:tr>
      <w:tr w14:paraId="78E03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5C944DF1">
            <w:pPr>
              <w:pStyle w:val="52"/>
              <w:spacing w:line="360" w:lineRule="auto"/>
              <w:jc w:val="center"/>
              <w:rPr>
                <w:rFonts w:cs="宋体"/>
                <w:color w:val="auto"/>
                <w:sz w:val="21"/>
                <w:szCs w:val="21"/>
                <w:highlight w:val="none"/>
              </w:rPr>
            </w:pPr>
          </w:p>
        </w:tc>
        <w:tc>
          <w:tcPr>
            <w:tcW w:w="1395" w:type="pct"/>
            <w:vAlign w:val="center"/>
          </w:tcPr>
          <w:p w14:paraId="6CBC5E36">
            <w:pPr>
              <w:pStyle w:val="52"/>
              <w:spacing w:line="360" w:lineRule="auto"/>
              <w:jc w:val="center"/>
              <w:rPr>
                <w:rFonts w:cs="宋体"/>
                <w:color w:val="auto"/>
                <w:sz w:val="21"/>
                <w:szCs w:val="21"/>
                <w:highlight w:val="none"/>
              </w:rPr>
            </w:pPr>
          </w:p>
        </w:tc>
        <w:tc>
          <w:tcPr>
            <w:tcW w:w="1002" w:type="pct"/>
            <w:vAlign w:val="center"/>
          </w:tcPr>
          <w:p w14:paraId="7FFCB04C">
            <w:pPr>
              <w:pStyle w:val="52"/>
              <w:spacing w:line="360" w:lineRule="auto"/>
              <w:jc w:val="center"/>
              <w:rPr>
                <w:rFonts w:cs="宋体"/>
                <w:color w:val="auto"/>
                <w:sz w:val="21"/>
                <w:szCs w:val="21"/>
                <w:highlight w:val="none"/>
              </w:rPr>
            </w:pPr>
          </w:p>
        </w:tc>
        <w:tc>
          <w:tcPr>
            <w:tcW w:w="1090" w:type="pct"/>
            <w:vAlign w:val="center"/>
          </w:tcPr>
          <w:p w14:paraId="287FD3BB">
            <w:pPr>
              <w:pStyle w:val="52"/>
              <w:spacing w:line="360" w:lineRule="auto"/>
              <w:jc w:val="center"/>
              <w:rPr>
                <w:rFonts w:cs="宋体"/>
                <w:color w:val="auto"/>
                <w:sz w:val="21"/>
                <w:szCs w:val="21"/>
                <w:highlight w:val="none"/>
              </w:rPr>
            </w:pPr>
          </w:p>
        </w:tc>
        <w:tc>
          <w:tcPr>
            <w:tcW w:w="1090" w:type="pct"/>
            <w:vAlign w:val="center"/>
          </w:tcPr>
          <w:p w14:paraId="22278374">
            <w:pPr>
              <w:pStyle w:val="52"/>
              <w:spacing w:line="360" w:lineRule="auto"/>
              <w:jc w:val="center"/>
              <w:rPr>
                <w:rFonts w:cs="宋体"/>
                <w:color w:val="auto"/>
                <w:sz w:val="21"/>
                <w:szCs w:val="21"/>
                <w:highlight w:val="none"/>
              </w:rPr>
            </w:pPr>
          </w:p>
        </w:tc>
      </w:tr>
      <w:tr w14:paraId="1091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164726C0">
            <w:pPr>
              <w:pStyle w:val="52"/>
              <w:spacing w:line="360" w:lineRule="auto"/>
              <w:jc w:val="center"/>
              <w:rPr>
                <w:rFonts w:cs="宋体"/>
                <w:color w:val="auto"/>
                <w:sz w:val="21"/>
                <w:szCs w:val="21"/>
                <w:highlight w:val="none"/>
              </w:rPr>
            </w:pPr>
          </w:p>
        </w:tc>
        <w:tc>
          <w:tcPr>
            <w:tcW w:w="1395" w:type="pct"/>
            <w:vAlign w:val="center"/>
          </w:tcPr>
          <w:p w14:paraId="73B9049C">
            <w:pPr>
              <w:pStyle w:val="52"/>
              <w:spacing w:line="360" w:lineRule="auto"/>
              <w:jc w:val="center"/>
              <w:rPr>
                <w:rFonts w:cs="宋体"/>
                <w:color w:val="auto"/>
                <w:sz w:val="21"/>
                <w:szCs w:val="21"/>
                <w:highlight w:val="none"/>
              </w:rPr>
            </w:pPr>
          </w:p>
        </w:tc>
        <w:tc>
          <w:tcPr>
            <w:tcW w:w="1002" w:type="pct"/>
            <w:vAlign w:val="center"/>
          </w:tcPr>
          <w:p w14:paraId="781E9B3A">
            <w:pPr>
              <w:pStyle w:val="52"/>
              <w:spacing w:line="360" w:lineRule="auto"/>
              <w:jc w:val="center"/>
              <w:rPr>
                <w:rFonts w:cs="宋体"/>
                <w:color w:val="auto"/>
                <w:sz w:val="21"/>
                <w:szCs w:val="21"/>
                <w:highlight w:val="none"/>
              </w:rPr>
            </w:pPr>
          </w:p>
        </w:tc>
        <w:tc>
          <w:tcPr>
            <w:tcW w:w="1090" w:type="pct"/>
            <w:vAlign w:val="center"/>
          </w:tcPr>
          <w:p w14:paraId="2EA9648D">
            <w:pPr>
              <w:pStyle w:val="52"/>
              <w:spacing w:line="360" w:lineRule="auto"/>
              <w:jc w:val="center"/>
              <w:rPr>
                <w:rFonts w:cs="宋体"/>
                <w:color w:val="auto"/>
                <w:sz w:val="21"/>
                <w:szCs w:val="21"/>
                <w:highlight w:val="none"/>
              </w:rPr>
            </w:pPr>
          </w:p>
        </w:tc>
        <w:tc>
          <w:tcPr>
            <w:tcW w:w="1090" w:type="pct"/>
            <w:vAlign w:val="center"/>
          </w:tcPr>
          <w:p w14:paraId="2490D945">
            <w:pPr>
              <w:pStyle w:val="52"/>
              <w:spacing w:line="360" w:lineRule="auto"/>
              <w:jc w:val="center"/>
              <w:rPr>
                <w:rFonts w:cs="宋体"/>
                <w:color w:val="auto"/>
                <w:sz w:val="21"/>
                <w:szCs w:val="21"/>
                <w:highlight w:val="none"/>
              </w:rPr>
            </w:pPr>
          </w:p>
        </w:tc>
      </w:tr>
      <w:tr w14:paraId="5B6C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735C1948">
            <w:pPr>
              <w:pStyle w:val="52"/>
              <w:spacing w:line="360" w:lineRule="auto"/>
              <w:jc w:val="center"/>
              <w:rPr>
                <w:rFonts w:cs="宋体"/>
                <w:color w:val="auto"/>
                <w:sz w:val="21"/>
                <w:szCs w:val="21"/>
                <w:highlight w:val="none"/>
              </w:rPr>
            </w:pPr>
            <w:r>
              <w:rPr>
                <w:rFonts w:hint="eastAsia" w:cs="宋体"/>
                <w:color w:val="auto"/>
                <w:sz w:val="21"/>
                <w:szCs w:val="21"/>
                <w:highlight w:val="none"/>
              </w:rPr>
              <w:t>……</w:t>
            </w:r>
          </w:p>
        </w:tc>
        <w:tc>
          <w:tcPr>
            <w:tcW w:w="1395" w:type="pct"/>
            <w:vAlign w:val="center"/>
          </w:tcPr>
          <w:p w14:paraId="7A702128">
            <w:pPr>
              <w:pStyle w:val="52"/>
              <w:spacing w:line="360" w:lineRule="auto"/>
              <w:jc w:val="center"/>
              <w:rPr>
                <w:rFonts w:cs="宋体"/>
                <w:color w:val="auto"/>
                <w:sz w:val="21"/>
                <w:szCs w:val="21"/>
                <w:highlight w:val="none"/>
              </w:rPr>
            </w:pPr>
            <w:r>
              <w:rPr>
                <w:rFonts w:hint="eastAsia" w:cs="宋体"/>
                <w:color w:val="auto"/>
                <w:sz w:val="21"/>
                <w:szCs w:val="21"/>
                <w:highlight w:val="none"/>
              </w:rPr>
              <w:t>…………</w:t>
            </w:r>
          </w:p>
        </w:tc>
        <w:tc>
          <w:tcPr>
            <w:tcW w:w="1002" w:type="pct"/>
            <w:vAlign w:val="center"/>
          </w:tcPr>
          <w:p w14:paraId="771BB4F0">
            <w:pPr>
              <w:pStyle w:val="52"/>
              <w:spacing w:line="360" w:lineRule="auto"/>
              <w:jc w:val="center"/>
              <w:rPr>
                <w:rFonts w:cs="宋体"/>
                <w:color w:val="auto"/>
                <w:sz w:val="21"/>
                <w:szCs w:val="21"/>
                <w:highlight w:val="none"/>
              </w:rPr>
            </w:pPr>
            <w:r>
              <w:rPr>
                <w:rFonts w:hint="eastAsia" w:cs="宋体"/>
                <w:color w:val="auto"/>
                <w:sz w:val="21"/>
                <w:szCs w:val="21"/>
                <w:highlight w:val="none"/>
              </w:rPr>
              <w:t>…………</w:t>
            </w:r>
          </w:p>
        </w:tc>
        <w:tc>
          <w:tcPr>
            <w:tcW w:w="1090" w:type="pct"/>
            <w:vAlign w:val="center"/>
          </w:tcPr>
          <w:p w14:paraId="6536C342">
            <w:pPr>
              <w:pStyle w:val="52"/>
              <w:spacing w:line="360" w:lineRule="auto"/>
              <w:jc w:val="center"/>
              <w:rPr>
                <w:rFonts w:cs="宋体"/>
                <w:color w:val="auto"/>
                <w:sz w:val="21"/>
                <w:szCs w:val="21"/>
                <w:highlight w:val="none"/>
              </w:rPr>
            </w:pPr>
            <w:r>
              <w:rPr>
                <w:rFonts w:hint="eastAsia" w:cs="宋体"/>
                <w:color w:val="auto"/>
                <w:sz w:val="21"/>
                <w:szCs w:val="21"/>
                <w:highlight w:val="none"/>
              </w:rPr>
              <w:t>……</w:t>
            </w:r>
          </w:p>
        </w:tc>
        <w:tc>
          <w:tcPr>
            <w:tcW w:w="1090" w:type="pct"/>
            <w:vAlign w:val="center"/>
          </w:tcPr>
          <w:p w14:paraId="0B097D34">
            <w:pPr>
              <w:pStyle w:val="52"/>
              <w:spacing w:line="360" w:lineRule="auto"/>
              <w:jc w:val="center"/>
              <w:rPr>
                <w:rFonts w:cs="宋体"/>
                <w:color w:val="auto"/>
                <w:sz w:val="21"/>
                <w:szCs w:val="21"/>
                <w:highlight w:val="none"/>
              </w:rPr>
            </w:pPr>
          </w:p>
        </w:tc>
      </w:tr>
    </w:tbl>
    <w:p w14:paraId="577400B9">
      <w:pPr>
        <w:spacing w:line="360" w:lineRule="auto"/>
        <w:rPr>
          <w:color w:val="auto"/>
          <w:highlight w:val="none"/>
        </w:rPr>
      </w:pPr>
    </w:p>
    <w:p w14:paraId="39297829">
      <w:pPr>
        <w:spacing w:line="360" w:lineRule="auto"/>
        <w:rPr>
          <w:color w:val="auto"/>
          <w:highlight w:val="none"/>
        </w:rPr>
      </w:pPr>
    </w:p>
    <w:p w14:paraId="0F989FB0">
      <w:pPr>
        <w:spacing w:line="360" w:lineRule="auto"/>
        <w:rPr>
          <w:color w:val="auto"/>
          <w:highlight w:val="none"/>
        </w:rPr>
      </w:pPr>
      <w:r>
        <w:rPr>
          <w:rFonts w:hint="eastAsia"/>
          <w:color w:val="auto"/>
          <w:highlight w:val="none"/>
        </w:rPr>
        <w:t>投标人名称（</w:t>
      </w:r>
      <w:r>
        <w:rPr>
          <w:rFonts w:hint="eastAsia" w:cs="宋体"/>
          <w:color w:val="auto"/>
          <w:kern w:val="0"/>
          <w:highlight w:val="none"/>
        </w:rPr>
        <w:t>公章）</w:t>
      </w:r>
      <w:r>
        <w:rPr>
          <w:rFonts w:hint="eastAsia"/>
          <w:color w:val="auto"/>
          <w:highlight w:val="none"/>
        </w:rPr>
        <w:t>：</w:t>
      </w:r>
      <w:r>
        <w:rPr>
          <w:color w:val="auto"/>
          <w:highlight w:val="none"/>
        </w:rPr>
        <w:t xml:space="preserve"> </w:t>
      </w:r>
    </w:p>
    <w:p w14:paraId="3DD33E94">
      <w:pPr>
        <w:spacing w:line="360" w:lineRule="auto"/>
        <w:rPr>
          <w:color w:val="auto"/>
          <w:highlight w:val="none"/>
        </w:rPr>
      </w:pPr>
      <w:r>
        <w:rPr>
          <w:rFonts w:hint="eastAsia"/>
          <w:color w:val="auto"/>
          <w:highlight w:val="none"/>
        </w:rPr>
        <w:t>日      期：</w:t>
      </w:r>
    </w:p>
    <w:p w14:paraId="6B4E2BD7">
      <w:pPr>
        <w:spacing w:line="360" w:lineRule="auto"/>
        <w:rPr>
          <w:color w:val="auto"/>
          <w:highlight w:val="none"/>
        </w:rPr>
      </w:pPr>
    </w:p>
    <w:p w14:paraId="1B4D432E">
      <w:pPr>
        <w:spacing w:line="360" w:lineRule="auto"/>
        <w:rPr>
          <w:color w:val="auto"/>
          <w:szCs w:val="24"/>
          <w:highlight w:val="none"/>
        </w:rPr>
      </w:pPr>
      <w:r>
        <w:rPr>
          <w:rFonts w:hint="eastAsia"/>
          <w:color w:val="auto"/>
          <w:highlight w:val="none"/>
        </w:rPr>
        <w:t>注：投标人应按照招标文件“第三章 采购需求”中的商务要求填写：</w:t>
      </w:r>
    </w:p>
    <w:p w14:paraId="513D8261">
      <w:pPr>
        <w:spacing w:line="360" w:lineRule="auto"/>
        <w:rPr>
          <w:color w:val="auto"/>
          <w:highlight w:val="none"/>
        </w:rPr>
      </w:pPr>
      <w:r>
        <w:rPr>
          <w:rFonts w:hint="eastAsia"/>
          <w:color w:val="auto"/>
          <w:highlight w:val="none"/>
        </w:rPr>
        <w:t xml:space="preserve">1.“招标文件的商务条款”栏应详细列明招标文件中的商务要求。 </w:t>
      </w:r>
    </w:p>
    <w:p w14:paraId="2BD8F07D">
      <w:pPr>
        <w:spacing w:line="360" w:lineRule="auto"/>
        <w:rPr>
          <w:color w:val="auto"/>
          <w:highlight w:val="none"/>
        </w:rPr>
      </w:pPr>
      <w:r>
        <w:rPr>
          <w:rFonts w:hint="eastAsia"/>
          <w:color w:val="auto"/>
          <w:highlight w:val="none"/>
        </w:rPr>
        <w:t>2.“投标文件的响应内容”栏填写投标人对招标文件提出的商务条款作出的明确响应，并列明具体响应数值或内容，只注明符合、满足等无具体内容表述的，将视为未实质性满足招标文件要求</w:t>
      </w:r>
      <w:r>
        <w:rPr>
          <w:color w:val="auto"/>
          <w:highlight w:val="none"/>
        </w:rPr>
        <w:t>，</w:t>
      </w:r>
      <w:r>
        <w:rPr>
          <w:rFonts w:hint="eastAsia"/>
          <w:b/>
          <w:bCs/>
          <w:color w:val="auto"/>
          <w:highlight w:val="none"/>
        </w:rPr>
        <w:t>投标</w:t>
      </w:r>
      <w:r>
        <w:rPr>
          <w:b/>
          <w:bCs/>
          <w:color w:val="auto"/>
          <w:highlight w:val="none"/>
        </w:rPr>
        <w:t>无效</w:t>
      </w:r>
      <w:r>
        <w:rPr>
          <w:rFonts w:hint="eastAsia"/>
          <w:color w:val="auto"/>
          <w:highlight w:val="none"/>
        </w:rPr>
        <w:t xml:space="preserve">。 </w:t>
      </w:r>
    </w:p>
    <w:p w14:paraId="5496210C">
      <w:pPr>
        <w:spacing w:line="360" w:lineRule="auto"/>
        <w:rPr>
          <w:color w:val="auto"/>
          <w:highlight w:val="none"/>
        </w:rPr>
      </w:pPr>
      <w:r>
        <w:rPr>
          <w:rFonts w:hint="eastAsia"/>
          <w:color w:val="auto"/>
          <w:highlight w:val="none"/>
        </w:rPr>
        <w:t xml:space="preserve">3.“响应情况”栏应据实填写“响应”、“正偏离”或“负偏离”。 </w:t>
      </w:r>
    </w:p>
    <w:p w14:paraId="212A6FAE">
      <w:pPr>
        <w:spacing w:line="360" w:lineRule="auto"/>
        <w:rPr>
          <w:color w:val="auto"/>
          <w:highlight w:val="none"/>
        </w:rPr>
      </w:pPr>
      <w:r>
        <w:rPr>
          <w:rFonts w:hint="eastAsia"/>
          <w:color w:val="auto"/>
          <w:highlight w:val="none"/>
        </w:rPr>
        <w:t>4.“说明及索引”栏可填写偏离情况的具体说明及索引。</w:t>
      </w:r>
    </w:p>
    <w:p w14:paraId="2E60C127">
      <w:pPr>
        <w:spacing w:line="360" w:lineRule="auto"/>
        <w:rPr>
          <w:color w:val="auto"/>
          <w:highlight w:val="none"/>
        </w:rPr>
      </w:pPr>
      <w:r>
        <w:rPr>
          <w:rFonts w:hint="eastAsia"/>
          <w:color w:val="auto"/>
          <w:highlight w:val="none"/>
        </w:rPr>
        <w:t>5.对招标文件中的所有商务要求，除本表所列明的所有偏离外，均视作供应商</w:t>
      </w:r>
      <w:r>
        <w:rPr>
          <w:color w:val="auto"/>
          <w:highlight w:val="none"/>
        </w:rPr>
        <w:t>已对之理解和响应。此表中若无任何文字说明，内容为空白的，</w:t>
      </w:r>
      <w:r>
        <w:rPr>
          <w:b/>
          <w:bCs/>
          <w:color w:val="auto"/>
          <w:highlight w:val="none"/>
        </w:rPr>
        <w:t>投标无效</w:t>
      </w:r>
      <w:r>
        <w:rPr>
          <w:color w:val="auto"/>
          <w:highlight w:val="none"/>
        </w:rPr>
        <w:t>。</w:t>
      </w:r>
    </w:p>
    <w:p w14:paraId="7392FB8E">
      <w:pPr>
        <w:spacing w:line="360" w:lineRule="auto"/>
        <w:rPr>
          <w:color w:val="auto"/>
          <w:highlight w:val="none"/>
        </w:rPr>
      </w:pPr>
      <w:r>
        <w:rPr>
          <w:color w:val="auto"/>
          <w:highlight w:val="none"/>
        </w:rPr>
        <w:br w:type="page"/>
      </w:r>
    </w:p>
    <w:p w14:paraId="34A1FB72">
      <w:pPr>
        <w:pStyle w:val="3"/>
        <w:spacing w:line="360" w:lineRule="auto"/>
        <w:rPr>
          <w:color w:val="auto"/>
          <w:highlight w:val="none"/>
        </w:rPr>
      </w:pPr>
      <w:bookmarkStart w:id="419" w:name="_Toc163492930"/>
      <w:bookmarkStart w:id="420" w:name="_Toc17988"/>
      <w:r>
        <w:rPr>
          <w:rFonts w:hint="eastAsia"/>
          <w:color w:val="auto"/>
          <w:highlight w:val="none"/>
        </w:rPr>
        <w:t>七、业绩证明文件</w:t>
      </w:r>
      <w:bookmarkEnd w:id="419"/>
      <w:bookmarkEnd w:id="420"/>
    </w:p>
    <w:p w14:paraId="6F043C71">
      <w:pPr>
        <w:spacing w:line="360" w:lineRule="auto"/>
        <w:rPr>
          <w:rFonts w:cs="仿宋_GB2312"/>
          <w:color w:val="auto"/>
          <w:szCs w:val="24"/>
          <w:highlight w:val="none"/>
        </w:rPr>
      </w:pPr>
      <w:r>
        <w:rPr>
          <w:color w:val="auto"/>
          <w:highlight w:val="none"/>
        </w:rPr>
        <w:fldChar w:fldCharType="begin"/>
      </w:r>
      <w:r>
        <w:rPr>
          <w:color w:val="auto"/>
          <w:highlight w:val="none"/>
        </w:rPr>
        <w:instrText xml:space="preserve"> LINK Word.Document.8 "D:\\音乐厅\\4通用设备\\招标文件\\音乐厅空调设备招标文件v1.0.doc" "OLE_LINK8" \r  \* MERGEFORMAT </w:instrText>
      </w:r>
      <w:r>
        <w:rPr>
          <w:color w:val="auto"/>
          <w:highlight w:val="none"/>
        </w:rPr>
        <w:fldChar w:fldCharType="separate"/>
      </w:r>
      <w:r>
        <w:rPr>
          <w:rFonts w:hint="eastAsia" w:cs="仿宋_GB2312"/>
          <w:color w:val="auto"/>
          <w:szCs w:val="24"/>
          <w:highlight w:val="none"/>
        </w:rPr>
        <w:t xml:space="preserve">项目名称：                                         </w:t>
      </w:r>
    </w:p>
    <w:p w14:paraId="3254D928">
      <w:pPr>
        <w:spacing w:line="360" w:lineRule="auto"/>
        <w:rPr>
          <w:rFonts w:cs="Arial"/>
          <w:bCs/>
          <w:color w:val="auto"/>
          <w:szCs w:val="21"/>
          <w:highlight w:val="none"/>
        </w:rPr>
      </w:pPr>
      <w:r>
        <w:rPr>
          <w:rFonts w:hint="eastAsia"/>
          <w:color w:val="auto"/>
          <w:highlight w:val="none"/>
        </w:rPr>
        <w:t>项目编号</w:t>
      </w:r>
      <w:r>
        <w:rPr>
          <w:rFonts w:hint="eastAsia"/>
          <w:bCs/>
          <w:color w:val="auto"/>
          <w:szCs w:val="21"/>
          <w:highlight w:val="none"/>
        </w:rPr>
        <w:t>/</w:t>
      </w:r>
      <w:r>
        <w:rPr>
          <w:rFonts w:hint="eastAsia"/>
          <w:bCs/>
          <w:color w:val="auto"/>
          <w:szCs w:val="21"/>
          <w:highlight w:val="none"/>
          <w:lang w:val="zh-CN"/>
        </w:rPr>
        <w:t>包号</w:t>
      </w:r>
      <w:r>
        <w:rPr>
          <w:rFonts w:hint="eastAsia"/>
          <w:color w:val="auto"/>
          <w:highlight w:val="none"/>
        </w:rPr>
        <w:t xml:space="preserve">：      </w:t>
      </w:r>
      <w:r>
        <w:rPr>
          <w:rFonts w:cs="Arial"/>
          <w:bCs/>
          <w:color w:val="auto"/>
          <w:szCs w:val="21"/>
          <w:highlight w:val="none"/>
        </w:rPr>
        <w:fldChar w:fldCharType="end"/>
      </w:r>
    </w:p>
    <w:tbl>
      <w:tblPr>
        <w:tblStyle w:val="32"/>
        <w:tblW w:w="9072"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560"/>
        <w:gridCol w:w="1248"/>
        <w:gridCol w:w="1560"/>
        <w:gridCol w:w="1344"/>
        <w:gridCol w:w="1525"/>
        <w:gridCol w:w="1091"/>
      </w:tblGrid>
      <w:tr w14:paraId="5715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3DBF2504">
            <w:pPr>
              <w:spacing w:line="360" w:lineRule="auto"/>
              <w:rPr>
                <w:color w:val="auto"/>
                <w:highlight w:val="none"/>
              </w:rPr>
            </w:pPr>
            <w:bookmarkStart w:id="421" w:name="_Hlk46779239"/>
            <w:r>
              <w:rPr>
                <w:rFonts w:hint="eastAsia"/>
                <w:color w:val="auto"/>
                <w:highlight w:val="none"/>
              </w:rPr>
              <w:t>序号</w:t>
            </w:r>
          </w:p>
        </w:tc>
        <w:tc>
          <w:tcPr>
            <w:tcW w:w="1560" w:type="dxa"/>
            <w:shd w:val="clear" w:color="auto" w:fill="auto"/>
            <w:vAlign w:val="center"/>
          </w:tcPr>
          <w:p w14:paraId="30A3C227">
            <w:pPr>
              <w:spacing w:line="360" w:lineRule="auto"/>
              <w:rPr>
                <w:color w:val="auto"/>
                <w:highlight w:val="none"/>
              </w:rPr>
            </w:pPr>
            <w:r>
              <w:rPr>
                <w:rFonts w:hint="eastAsia"/>
                <w:color w:val="auto"/>
                <w:highlight w:val="none"/>
              </w:rPr>
              <w:t>项目名称</w:t>
            </w:r>
          </w:p>
        </w:tc>
        <w:tc>
          <w:tcPr>
            <w:tcW w:w="1248" w:type="dxa"/>
            <w:shd w:val="clear" w:color="auto" w:fill="auto"/>
            <w:vAlign w:val="center"/>
          </w:tcPr>
          <w:p w14:paraId="341406B5">
            <w:pPr>
              <w:spacing w:line="360" w:lineRule="auto"/>
              <w:rPr>
                <w:color w:val="auto"/>
                <w:highlight w:val="none"/>
              </w:rPr>
            </w:pPr>
            <w:r>
              <w:rPr>
                <w:rFonts w:hint="eastAsia"/>
                <w:color w:val="auto"/>
                <w:highlight w:val="none"/>
              </w:rPr>
              <w:t>标的内容</w:t>
            </w:r>
          </w:p>
        </w:tc>
        <w:tc>
          <w:tcPr>
            <w:tcW w:w="1560" w:type="dxa"/>
            <w:shd w:val="clear" w:color="auto" w:fill="auto"/>
            <w:vAlign w:val="center"/>
          </w:tcPr>
          <w:p w14:paraId="38794D17">
            <w:pPr>
              <w:spacing w:line="360" w:lineRule="auto"/>
              <w:rPr>
                <w:color w:val="auto"/>
                <w:highlight w:val="none"/>
              </w:rPr>
            </w:pPr>
            <w:r>
              <w:rPr>
                <w:rFonts w:hint="eastAsia"/>
                <w:color w:val="auto"/>
                <w:highlight w:val="none"/>
              </w:rPr>
              <w:t>采购人名称</w:t>
            </w:r>
          </w:p>
        </w:tc>
        <w:tc>
          <w:tcPr>
            <w:tcW w:w="1344" w:type="dxa"/>
            <w:shd w:val="clear" w:color="auto" w:fill="auto"/>
            <w:vAlign w:val="center"/>
          </w:tcPr>
          <w:p w14:paraId="47D9362C">
            <w:pPr>
              <w:spacing w:line="360" w:lineRule="auto"/>
              <w:rPr>
                <w:color w:val="auto"/>
                <w:highlight w:val="none"/>
              </w:rPr>
            </w:pPr>
            <w:r>
              <w:rPr>
                <w:rFonts w:hint="eastAsia"/>
                <w:color w:val="auto"/>
                <w:highlight w:val="none"/>
              </w:rPr>
              <w:t>中标（成交）金额</w:t>
            </w:r>
          </w:p>
        </w:tc>
        <w:tc>
          <w:tcPr>
            <w:tcW w:w="1525" w:type="dxa"/>
            <w:shd w:val="clear" w:color="auto" w:fill="auto"/>
            <w:vAlign w:val="center"/>
          </w:tcPr>
          <w:p w14:paraId="407D76B1">
            <w:pPr>
              <w:spacing w:line="360" w:lineRule="auto"/>
              <w:rPr>
                <w:color w:val="auto"/>
                <w:highlight w:val="none"/>
              </w:rPr>
            </w:pPr>
            <w:r>
              <w:rPr>
                <w:rFonts w:hint="eastAsia"/>
                <w:color w:val="auto"/>
                <w:highlight w:val="none"/>
              </w:rPr>
              <w:t>采购合同签订时间</w:t>
            </w:r>
          </w:p>
        </w:tc>
        <w:tc>
          <w:tcPr>
            <w:tcW w:w="1091" w:type="dxa"/>
            <w:vAlign w:val="center"/>
          </w:tcPr>
          <w:p w14:paraId="7D00AD27">
            <w:pPr>
              <w:spacing w:line="360" w:lineRule="auto"/>
              <w:rPr>
                <w:color w:val="auto"/>
                <w:highlight w:val="none"/>
              </w:rPr>
            </w:pPr>
            <w:r>
              <w:rPr>
                <w:rFonts w:hint="eastAsia"/>
                <w:color w:val="auto"/>
                <w:highlight w:val="none"/>
              </w:rPr>
              <w:t>备注</w:t>
            </w:r>
          </w:p>
        </w:tc>
      </w:tr>
      <w:tr w14:paraId="6D599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2D8D5B4A">
            <w:pPr>
              <w:spacing w:line="360" w:lineRule="auto"/>
              <w:rPr>
                <w:color w:val="auto"/>
                <w:highlight w:val="none"/>
              </w:rPr>
            </w:pPr>
            <w:r>
              <w:rPr>
                <w:rFonts w:hint="eastAsia"/>
                <w:color w:val="auto"/>
                <w:highlight w:val="none"/>
              </w:rPr>
              <w:t>1</w:t>
            </w:r>
          </w:p>
        </w:tc>
        <w:tc>
          <w:tcPr>
            <w:tcW w:w="1560" w:type="dxa"/>
            <w:vAlign w:val="center"/>
          </w:tcPr>
          <w:p w14:paraId="39E654EE">
            <w:pPr>
              <w:spacing w:line="360" w:lineRule="auto"/>
              <w:rPr>
                <w:color w:val="auto"/>
                <w:highlight w:val="none"/>
              </w:rPr>
            </w:pPr>
          </w:p>
        </w:tc>
        <w:tc>
          <w:tcPr>
            <w:tcW w:w="1248" w:type="dxa"/>
            <w:vAlign w:val="center"/>
          </w:tcPr>
          <w:p w14:paraId="57CC104F">
            <w:pPr>
              <w:spacing w:line="360" w:lineRule="auto"/>
              <w:rPr>
                <w:color w:val="auto"/>
                <w:highlight w:val="none"/>
              </w:rPr>
            </w:pPr>
          </w:p>
        </w:tc>
        <w:tc>
          <w:tcPr>
            <w:tcW w:w="1560" w:type="dxa"/>
            <w:vAlign w:val="center"/>
          </w:tcPr>
          <w:p w14:paraId="4B9E63F6">
            <w:pPr>
              <w:spacing w:line="360" w:lineRule="auto"/>
              <w:rPr>
                <w:color w:val="auto"/>
                <w:highlight w:val="none"/>
              </w:rPr>
            </w:pPr>
          </w:p>
        </w:tc>
        <w:tc>
          <w:tcPr>
            <w:tcW w:w="1344" w:type="dxa"/>
            <w:vAlign w:val="center"/>
          </w:tcPr>
          <w:p w14:paraId="56C1879B">
            <w:pPr>
              <w:spacing w:line="360" w:lineRule="auto"/>
              <w:rPr>
                <w:color w:val="auto"/>
                <w:highlight w:val="none"/>
              </w:rPr>
            </w:pPr>
          </w:p>
        </w:tc>
        <w:tc>
          <w:tcPr>
            <w:tcW w:w="1525" w:type="dxa"/>
            <w:vAlign w:val="center"/>
          </w:tcPr>
          <w:p w14:paraId="2A2887D3">
            <w:pPr>
              <w:spacing w:line="360" w:lineRule="auto"/>
              <w:rPr>
                <w:color w:val="auto"/>
                <w:highlight w:val="none"/>
              </w:rPr>
            </w:pPr>
          </w:p>
        </w:tc>
        <w:tc>
          <w:tcPr>
            <w:tcW w:w="1091" w:type="dxa"/>
            <w:vAlign w:val="center"/>
          </w:tcPr>
          <w:p w14:paraId="246D7B4B">
            <w:pPr>
              <w:spacing w:line="360" w:lineRule="auto"/>
              <w:rPr>
                <w:color w:val="auto"/>
                <w:highlight w:val="none"/>
              </w:rPr>
            </w:pPr>
          </w:p>
        </w:tc>
      </w:tr>
      <w:tr w14:paraId="1079C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14B7ECF1">
            <w:pPr>
              <w:spacing w:line="360" w:lineRule="auto"/>
              <w:rPr>
                <w:color w:val="auto"/>
                <w:highlight w:val="none"/>
              </w:rPr>
            </w:pPr>
            <w:r>
              <w:rPr>
                <w:rFonts w:hint="eastAsia"/>
                <w:color w:val="auto"/>
                <w:highlight w:val="none"/>
              </w:rPr>
              <w:t>2</w:t>
            </w:r>
          </w:p>
        </w:tc>
        <w:tc>
          <w:tcPr>
            <w:tcW w:w="1560" w:type="dxa"/>
            <w:vAlign w:val="center"/>
          </w:tcPr>
          <w:p w14:paraId="79446E86">
            <w:pPr>
              <w:spacing w:line="360" w:lineRule="auto"/>
              <w:rPr>
                <w:color w:val="auto"/>
                <w:highlight w:val="none"/>
              </w:rPr>
            </w:pPr>
          </w:p>
        </w:tc>
        <w:tc>
          <w:tcPr>
            <w:tcW w:w="1248" w:type="dxa"/>
            <w:vAlign w:val="center"/>
          </w:tcPr>
          <w:p w14:paraId="6FE48937">
            <w:pPr>
              <w:spacing w:line="360" w:lineRule="auto"/>
              <w:rPr>
                <w:color w:val="auto"/>
                <w:highlight w:val="none"/>
              </w:rPr>
            </w:pPr>
          </w:p>
        </w:tc>
        <w:tc>
          <w:tcPr>
            <w:tcW w:w="1560" w:type="dxa"/>
            <w:vAlign w:val="center"/>
          </w:tcPr>
          <w:p w14:paraId="019508B0">
            <w:pPr>
              <w:spacing w:line="360" w:lineRule="auto"/>
              <w:rPr>
                <w:color w:val="auto"/>
                <w:highlight w:val="none"/>
              </w:rPr>
            </w:pPr>
          </w:p>
        </w:tc>
        <w:tc>
          <w:tcPr>
            <w:tcW w:w="1344" w:type="dxa"/>
            <w:vAlign w:val="center"/>
          </w:tcPr>
          <w:p w14:paraId="56EF9A75">
            <w:pPr>
              <w:spacing w:line="360" w:lineRule="auto"/>
              <w:rPr>
                <w:color w:val="auto"/>
                <w:highlight w:val="none"/>
              </w:rPr>
            </w:pPr>
          </w:p>
        </w:tc>
        <w:tc>
          <w:tcPr>
            <w:tcW w:w="1525" w:type="dxa"/>
            <w:vAlign w:val="center"/>
          </w:tcPr>
          <w:p w14:paraId="4486AE42">
            <w:pPr>
              <w:spacing w:line="360" w:lineRule="auto"/>
              <w:rPr>
                <w:color w:val="auto"/>
                <w:highlight w:val="none"/>
              </w:rPr>
            </w:pPr>
          </w:p>
        </w:tc>
        <w:tc>
          <w:tcPr>
            <w:tcW w:w="1091" w:type="dxa"/>
            <w:vAlign w:val="center"/>
          </w:tcPr>
          <w:p w14:paraId="53F70DDC">
            <w:pPr>
              <w:spacing w:line="360" w:lineRule="auto"/>
              <w:rPr>
                <w:color w:val="auto"/>
                <w:highlight w:val="none"/>
              </w:rPr>
            </w:pPr>
          </w:p>
        </w:tc>
      </w:tr>
      <w:tr w14:paraId="254C0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7E0BA43F">
            <w:pPr>
              <w:spacing w:line="360" w:lineRule="auto"/>
              <w:rPr>
                <w:color w:val="auto"/>
                <w:highlight w:val="none"/>
              </w:rPr>
            </w:pPr>
            <w:r>
              <w:rPr>
                <w:rFonts w:hint="eastAsia"/>
                <w:color w:val="auto"/>
                <w:highlight w:val="none"/>
              </w:rPr>
              <w:t>3</w:t>
            </w:r>
          </w:p>
        </w:tc>
        <w:tc>
          <w:tcPr>
            <w:tcW w:w="1560" w:type="dxa"/>
            <w:vAlign w:val="center"/>
          </w:tcPr>
          <w:p w14:paraId="0207FC7D">
            <w:pPr>
              <w:spacing w:line="360" w:lineRule="auto"/>
              <w:rPr>
                <w:color w:val="auto"/>
                <w:highlight w:val="none"/>
              </w:rPr>
            </w:pPr>
          </w:p>
        </w:tc>
        <w:tc>
          <w:tcPr>
            <w:tcW w:w="1248" w:type="dxa"/>
            <w:vAlign w:val="center"/>
          </w:tcPr>
          <w:p w14:paraId="1B05FC96">
            <w:pPr>
              <w:spacing w:line="360" w:lineRule="auto"/>
              <w:rPr>
                <w:color w:val="auto"/>
                <w:highlight w:val="none"/>
              </w:rPr>
            </w:pPr>
          </w:p>
        </w:tc>
        <w:tc>
          <w:tcPr>
            <w:tcW w:w="1560" w:type="dxa"/>
            <w:vAlign w:val="center"/>
          </w:tcPr>
          <w:p w14:paraId="68D61E49">
            <w:pPr>
              <w:spacing w:line="360" w:lineRule="auto"/>
              <w:rPr>
                <w:color w:val="auto"/>
                <w:highlight w:val="none"/>
              </w:rPr>
            </w:pPr>
          </w:p>
        </w:tc>
        <w:tc>
          <w:tcPr>
            <w:tcW w:w="1344" w:type="dxa"/>
            <w:vAlign w:val="center"/>
          </w:tcPr>
          <w:p w14:paraId="34D76160">
            <w:pPr>
              <w:spacing w:line="360" w:lineRule="auto"/>
              <w:rPr>
                <w:color w:val="auto"/>
                <w:highlight w:val="none"/>
              </w:rPr>
            </w:pPr>
          </w:p>
        </w:tc>
        <w:tc>
          <w:tcPr>
            <w:tcW w:w="1525" w:type="dxa"/>
            <w:vAlign w:val="center"/>
          </w:tcPr>
          <w:p w14:paraId="1BF6C499">
            <w:pPr>
              <w:spacing w:line="360" w:lineRule="auto"/>
              <w:rPr>
                <w:color w:val="auto"/>
                <w:highlight w:val="none"/>
              </w:rPr>
            </w:pPr>
          </w:p>
        </w:tc>
        <w:tc>
          <w:tcPr>
            <w:tcW w:w="1091" w:type="dxa"/>
            <w:vAlign w:val="center"/>
          </w:tcPr>
          <w:p w14:paraId="090B9559">
            <w:pPr>
              <w:spacing w:line="360" w:lineRule="auto"/>
              <w:rPr>
                <w:color w:val="auto"/>
                <w:highlight w:val="none"/>
              </w:rPr>
            </w:pPr>
          </w:p>
        </w:tc>
      </w:tr>
      <w:tr w14:paraId="45B3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57B8E1F4">
            <w:pPr>
              <w:spacing w:line="360" w:lineRule="auto"/>
              <w:rPr>
                <w:color w:val="auto"/>
                <w:highlight w:val="none"/>
              </w:rPr>
            </w:pPr>
            <w:r>
              <w:rPr>
                <w:rFonts w:hint="eastAsia"/>
                <w:color w:val="auto"/>
                <w:highlight w:val="none"/>
              </w:rPr>
              <w:t>4</w:t>
            </w:r>
          </w:p>
        </w:tc>
        <w:tc>
          <w:tcPr>
            <w:tcW w:w="1560" w:type="dxa"/>
            <w:vAlign w:val="center"/>
          </w:tcPr>
          <w:p w14:paraId="6FCBCF13">
            <w:pPr>
              <w:spacing w:line="360" w:lineRule="auto"/>
              <w:rPr>
                <w:color w:val="auto"/>
                <w:highlight w:val="none"/>
              </w:rPr>
            </w:pPr>
          </w:p>
        </w:tc>
        <w:tc>
          <w:tcPr>
            <w:tcW w:w="1248" w:type="dxa"/>
            <w:vAlign w:val="center"/>
          </w:tcPr>
          <w:p w14:paraId="7368A7DA">
            <w:pPr>
              <w:spacing w:line="360" w:lineRule="auto"/>
              <w:rPr>
                <w:color w:val="auto"/>
                <w:highlight w:val="none"/>
              </w:rPr>
            </w:pPr>
          </w:p>
        </w:tc>
        <w:tc>
          <w:tcPr>
            <w:tcW w:w="1560" w:type="dxa"/>
            <w:vAlign w:val="center"/>
          </w:tcPr>
          <w:p w14:paraId="022BCE57">
            <w:pPr>
              <w:spacing w:line="360" w:lineRule="auto"/>
              <w:rPr>
                <w:color w:val="auto"/>
                <w:highlight w:val="none"/>
              </w:rPr>
            </w:pPr>
          </w:p>
        </w:tc>
        <w:tc>
          <w:tcPr>
            <w:tcW w:w="1344" w:type="dxa"/>
            <w:vAlign w:val="center"/>
          </w:tcPr>
          <w:p w14:paraId="2A65A2D4">
            <w:pPr>
              <w:spacing w:line="360" w:lineRule="auto"/>
              <w:rPr>
                <w:color w:val="auto"/>
                <w:highlight w:val="none"/>
              </w:rPr>
            </w:pPr>
          </w:p>
        </w:tc>
        <w:tc>
          <w:tcPr>
            <w:tcW w:w="1525" w:type="dxa"/>
            <w:vAlign w:val="center"/>
          </w:tcPr>
          <w:p w14:paraId="79F1BB9B">
            <w:pPr>
              <w:spacing w:line="360" w:lineRule="auto"/>
              <w:rPr>
                <w:color w:val="auto"/>
                <w:highlight w:val="none"/>
              </w:rPr>
            </w:pPr>
          </w:p>
        </w:tc>
        <w:tc>
          <w:tcPr>
            <w:tcW w:w="1091" w:type="dxa"/>
            <w:vAlign w:val="center"/>
          </w:tcPr>
          <w:p w14:paraId="49B8508E">
            <w:pPr>
              <w:spacing w:line="360" w:lineRule="auto"/>
              <w:rPr>
                <w:color w:val="auto"/>
                <w:highlight w:val="none"/>
              </w:rPr>
            </w:pPr>
          </w:p>
        </w:tc>
      </w:tr>
      <w:tr w14:paraId="5E4B8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C44CCB7">
            <w:pPr>
              <w:spacing w:line="360" w:lineRule="auto"/>
              <w:rPr>
                <w:color w:val="auto"/>
                <w:highlight w:val="none"/>
              </w:rPr>
            </w:pPr>
            <w:r>
              <w:rPr>
                <w:rFonts w:hint="eastAsia"/>
                <w:color w:val="auto"/>
                <w:highlight w:val="none"/>
              </w:rPr>
              <w:t>5</w:t>
            </w:r>
          </w:p>
        </w:tc>
        <w:tc>
          <w:tcPr>
            <w:tcW w:w="1560" w:type="dxa"/>
            <w:vAlign w:val="center"/>
          </w:tcPr>
          <w:p w14:paraId="0AD183B5">
            <w:pPr>
              <w:spacing w:line="360" w:lineRule="auto"/>
              <w:rPr>
                <w:color w:val="auto"/>
                <w:highlight w:val="none"/>
              </w:rPr>
            </w:pPr>
          </w:p>
        </w:tc>
        <w:tc>
          <w:tcPr>
            <w:tcW w:w="1248" w:type="dxa"/>
            <w:vAlign w:val="center"/>
          </w:tcPr>
          <w:p w14:paraId="440069EB">
            <w:pPr>
              <w:spacing w:line="360" w:lineRule="auto"/>
              <w:rPr>
                <w:color w:val="auto"/>
                <w:highlight w:val="none"/>
              </w:rPr>
            </w:pPr>
          </w:p>
        </w:tc>
        <w:tc>
          <w:tcPr>
            <w:tcW w:w="1560" w:type="dxa"/>
            <w:vAlign w:val="center"/>
          </w:tcPr>
          <w:p w14:paraId="1797E606">
            <w:pPr>
              <w:spacing w:line="360" w:lineRule="auto"/>
              <w:rPr>
                <w:color w:val="auto"/>
                <w:highlight w:val="none"/>
              </w:rPr>
            </w:pPr>
          </w:p>
        </w:tc>
        <w:tc>
          <w:tcPr>
            <w:tcW w:w="1344" w:type="dxa"/>
            <w:vAlign w:val="center"/>
          </w:tcPr>
          <w:p w14:paraId="5E52ADCF">
            <w:pPr>
              <w:spacing w:line="360" w:lineRule="auto"/>
              <w:rPr>
                <w:color w:val="auto"/>
                <w:highlight w:val="none"/>
              </w:rPr>
            </w:pPr>
          </w:p>
        </w:tc>
        <w:tc>
          <w:tcPr>
            <w:tcW w:w="1525" w:type="dxa"/>
            <w:vAlign w:val="center"/>
          </w:tcPr>
          <w:p w14:paraId="34D51CD7">
            <w:pPr>
              <w:spacing w:line="360" w:lineRule="auto"/>
              <w:rPr>
                <w:color w:val="auto"/>
                <w:highlight w:val="none"/>
              </w:rPr>
            </w:pPr>
          </w:p>
        </w:tc>
        <w:tc>
          <w:tcPr>
            <w:tcW w:w="1091" w:type="dxa"/>
            <w:vAlign w:val="center"/>
          </w:tcPr>
          <w:p w14:paraId="771EBCE5">
            <w:pPr>
              <w:spacing w:line="360" w:lineRule="auto"/>
              <w:rPr>
                <w:color w:val="auto"/>
                <w:highlight w:val="none"/>
              </w:rPr>
            </w:pPr>
          </w:p>
        </w:tc>
      </w:tr>
      <w:tr w14:paraId="7747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1AB256F5">
            <w:pPr>
              <w:spacing w:line="360" w:lineRule="auto"/>
              <w:rPr>
                <w:color w:val="auto"/>
                <w:highlight w:val="none"/>
              </w:rPr>
            </w:pPr>
            <w:r>
              <w:rPr>
                <w:rFonts w:hint="eastAsia"/>
                <w:color w:val="auto"/>
                <w:highlight w:val="none"/>
              </w:rPr>
              <w:t>…</w:t>
            </w:r>
          </w:p>
        </w:tc>
        <w:tc>
          <w:tcPr>
            <w:tcW w:w="1560" w:type="dxa"/>
            <w:vAlign w:val="center"/>
          </w:tcPr>
          <w:p w14:paraId="74F40002">
            <w:pPr>
              <w:spacing w:line="360" w:lineRule="auto"/>
              <w:rPr>
                <w:color w:val="auto"/>
                <w:highlight w:val="none"/>
              </w:rPr>
            </w:pPr>
          </w:p>
        </w:tc>
        <w:tc>
          <w:tcPr>
            <w:tcW w:w="1248" w:type="dxa"/>
            <w:vAlign w:val="center"/>
          </w:tcPr>
          <w:p w14:paraId="719035FC">
            <w:pPr>
              <w:spacing w:line="360" w:lineRule="auto"/>
              <w:rPr>
                <w:color w:val="auto"/>
                <w:highlight w:val="none"/>
              </w:rPr>
            </w:pPr>
          </w:p>
        </w:tc>
        <w:tc>
          <w:tcPr>
            <w:tcW w:w="1560" w:type="dxa"/>
            <w:vAlign w:val="center"/>
          </w:tcPr>
          <w:p w14:paraId="0712F7C4">
            <w:pPr>
              <w:spacing w:line="360" w:lineRule="auto"/>
              <w:rPr>
                <w:color w:val="auto"/>
                <w:highlight w:val="none"/>
              </w:rPr>
            </w:pPr>
          </w:p>
        </w:tc>
        <w:tc>
          <w:tcPr>
            <w:tcW w:w="1344" w:type="dxa"/>
            <w:vAlign w:val="center"/>
          </w:tcPr>
          <w:p w14:paraId="3C2E8C62">
            <w:pPr>
              <w:spacing w:line="360" w:lineRule="auto"/>
              <w:rPr>
                <w:color w:val="auto"/>
                <w:highlight w:val="none"/>
              </w:rPr>
            </w:pPr>
          </w:p>
        </w:tc>
        <w:tc>
          <w:tcPr>
            <w:tcW w:w="1525" w:type="dxa"/>
            <w:vAlign w:val="center"/>
          </w:tcPr>
          <w:p w14:paraId="27D5FA8A">
            <w:pPr>
              <w:spacing w:line="360" w:lineRule="auto"/>
              <w:rPr>
                <w:color w:val="auto"/>
                <w:highlight w:val="none"/>
              </w:rPr>
            </w:pPr>
          </w:p>
        </w:tc>
        <w:tc>
          <w:tcPr>
            <w:tcW w:w="1091" w:type="dxa"/>
            <w:vAlign w:val="center"/>
          </w:tcPr>
          <w:p w14:paraId="3053AA87">
            <w:pPr>
              <w:spacing w:line="360" w:lineRule="auto"/>
              <w:rPr>
                <w:color w:val="auto"/>
                <w:highlight w:val="none"/>
              </w:rPr>
            </w:pPr>
          </w:p>
        </w:tc>
      </w:tr>
      <w:bookmarkEnd w:id="421"/>
    </w:tbl>
    <w:p w14:paraId="75925037">
      <w:pPr>
        <w:spacing w:line="360" w:lineRule="auto"/>
        <w:rPr>
          <w:color w:val="auto"/>
          <w:highlight w:val="none"/>
        </w:rPr>
      </w:pPr>
    </w:p>
    <w:p w14:paraId="266FE198">
      <w:pPr>
        <w:spacing w:line="360" w:lineRule="auto"/>
        <w:rPr>
          <w:color w:val="auto"/>
          <w:highlight w:val="none"/>
        </w:rPr>
      </w:pPr>
      <w:r>
        <w:rPr>
          <w:rFonts w:hint="eastAsia"/>
          <w:color w:val="auto"/>
          <w:highlight w:val="none"/>
        </w:rPr>
        <w:t>注：投标人须按相关要求提供相应的采购合同、至少一张与采购合同对应的发票等业绩证明资料。</w:t>
      </w:r>
    </w:p>
    <w:p w14:paraId="30479895">
      <w:pPr>
        <w:spacing w:line="360" w:lineRule="auto"/>
        <w:rPr>
          <w:color w:val="auto"/>
          <w:highlight w:val="none"/>
        </w:rPr>
      </w:pPr>
    </w:p>
    <w:p w14:paraId="3978C2B8">
      <w:pPr>
        <w:spacing w:line="360" w:lineRule="auto"/>
        <w:rPr>
          <w:color w:val="auto"/>
          <w:highlight w:val="none"/>
        </w:rPr>
      </w:pPr>
      <w:r>
        <w:rPr>
          <w:rFonts w:hint="eastAsia"/>
          <w:color w:val="auto"/>
          <w:highlight w:val="none"/>
        </w:rPr>
        <w:t>投标人名称（</w:t>
      </w:r>
      <w:r>
        <w:rPr>
          <w:rFonts w:hint="eastAsia" w:cs="宋体"/>
          <w:color w:val="auto"/>
          <w:kern w:val="0"/>
          <w:highlight w:val="none"/>
        </w:rPr>
        <w:t>公章）</w:t>
      </w:r>
      <w:r>
        <w:rPr>
          <w:rFonts w:hint="eastAsia"/>
          <w:color w:val="auto"/>
          <w:highlight w:val="none"/>
        </w:rPr>
        <w:t>：</w:t>
      </w:r>
      <w:r>
        <w:rPr>
          <w:color w:val="auto"/>
          <w:highlight w:val="none"/>
        </w:rPr>
        <w:t xml:space="preserve"> </w:t>
      </w:r>
    </w:p>
    <w:p w14:paraId="1419DC5D">
      <w:pPr>
        <w:spacing w:line="360" w:lineRule="auto"/>
        <w:rPr>
          <w:color w:val="auto"/>
          <w:highlight w:val="none"/>
        </w:rPr>
      </w:pPr>
      <w:r>
        <w:rPr>
          <w:rFonts w:hint="eastAsia"/>
          <w:color w:val="auto"/>
          <w:highlight w:val="none"/>
        </w:rPr>
        <w:t>日      期：</w:t>
      </w:r>
    </w:p>
    <w:p w14:paraId="2E2FF47F">
      <w:pPr>
        <w:rPr>
          <w:color w:val="auto"/>
          <w:highlight w:val="none"/>
        </w:rPr>
      </w:pPr>
      <w:r>
        <w:rPr>
          <w:color w:val="auto"/>
          <w:highlight w:val="none"/>
        </w:rPr>
        <w:br w:type="page"/>
      </w:r>
    </w:p>
    <w:p w14:paraId="37DE0E7F">
      <w:pPr>
        <w:pStyle w:val="3"/>
        <w:rPr>
          <w:color w:val="auto"/>
          <w:highlight w:val="none"/>
        </w:rPr>
      </w:pPr>
      <w:bookmarkStart w:id="422" w:name="_Toc10743"/>
      <w:bookmarkStart w:id="423" w:name="_Toc163492931"/>
      <w:r>
        <w:rPr>
          <w:rFonts w:hint="eastAsia"/>
          <w:color w:val="auto"/>
          <w:highlight w:val="none"/>
        </w:rPr>
        <w:t>八、拟派项目团队</w:t>
      </w:r>
      <w:bookmarkEnd w:id="422"/>
      <w:bookmarkEnd w:id="423"/>
    </w:p>
    <w:tbl>
      <w:tblPr>
        <w:tblStyle w:val="32"/>
        <w:tblW w:w="94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0"/>
        <w:gridCol w:w="1508"/>
        <w:gridCol w:w="1286"/>
        <w:gridCol w:w="957"/>
        <w:gridCol w:w="2214"/>
        <w:gridCol w:w="1614"/>
        <w:gridCol w:w="971"/>
      </w:tblGrid>
      <w:tr w14:paraId="4BC65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920" w:type="dxa"/>
            <w:vAlign w:val="center"/>
          </w:tcPr>
          <w:p w14:paraId="041BAE8D">
            <w:pPr>
              <w:pStyle w:val="52"/>
              <w:jc w:val="center"/>
              <w:rPr>
                <w:rFonts w:cs="宋体"/>
                <w:color w:val="auto"/>
                <w:sz w:val="21"/>
                <w:szCs w:val="21"/>
                <w:highlight w:val="none"/>
              </w:rPr>
            </w:pPr>
            <w:r>
              <w:rPr>
                <w:rFonts w:hint="eastAsia" w:cs="宋体"/>
                <w:color w:val="auto"/>
                <w:sz w:val="21"/>
                <w:szCs w:val="21"/>
                <w:highlight w:val="none"/>
              </w:rPr>
              <w:t>序号</w:t>
            </w:r>
          </w:p>
        </w:tc>
        <w:tc>
          <w:tcPr>
            <w:tcW w:w="1508" w:type="dxa"/>
            <w:vAlign w:val="center"/>
          </w:tcPr>
          <w:p w14:paraId="5642E5FD">
            <w:pPr>
              <w:pStyle w:val="52"/>
              <w:jc w:val="center"/>
              <w:rPr>
                <w:rFonts w:cs="宋体"/>
                <w:color w:val="auto"/>
                <w:sz w:val="21"/>
                <w:szCs w:val="21"/>
                <w:highlight w:val="none"/>
              </w:rPr>
            </w:pPr>
            <w:r>
              <w:rPr>
                <w:rFonts w:hint="eastAsia" w:cs="宋体"/>
                <w:color w:val="auto"/>
                <w:sz w:val="21"/>
                <w:szCs w:val="21"/>
                <w:highlight w:val="none"/>
              </w:rPr>
              <w:t>团队成员</w:t>
            </w:r>
          </w:p>
          <w:p w14:paraId="67BEEA37">
            <w:pPr>
              <w:pStyle w:val="52"/>
              <w:jc w:val="center"/>
              <w:rPr>
                <w:rFonts w:cs="宋体"/>
                <w:color w:val="auto"/>
                <w:sz w:val="21"/>
                <w:szCs w:val="21"/>
                <w:highlight w:val="none"/>
              </w:rPr>
            </w:pPr>
            <w:r>
              <w:rPr>
                <w:rFonts w:hint="eastAsia" w:cs="宋体"/>
                <w:color w:val="auto"/>
                <w:sz w:val="21"/>
                <w:szCs w:val="21"/>
                <w:highlight w:val="none"/>
              </w:rPr>
              <w:t>姓名</w:t>
            </w:r>
          </w:p>
        </w:tc>
        <w:tc>
          <w:tcPr>
            <w:tcW w:w="1286" w:type="dxa"/>
            <w:tcBorders>
              <w:left w:val="single" w:color="auto" w:sz="4" w:space="0"/>
            </w:tcBorders>
            <w:vAlign w:val="center"/>
          </w:tcPr>
          <w:p w14:paraId="588BB0B3">
            <w:pPr>
              <w:pStyle w:val="52"/>
              <w:jc w:val="center"/>
              <w:rPr>
                <w:rFonts w:cs="宋体"/>
                <w:color w:val="auto"/>
                <w:sz w:val="21"/>
                <w:szCs w:val="21"/>
                <w:highlight w:val="none"/>
              </w:rPr>
            </w:pPr>
            <w:r>
              <w:rPr>
                <w:rFonts w:hint="eastAsia" w:cs="宋体"/>
                <w:color w:val="auto"/>
                <w:sz w:val="21"/>
                <w:szCs w:val="21"/>
                <w:highlight w:val="none"/>
              </w:rPr>
              <w:t>身份证号</w:t>
            </w:r>
          </w:p>
        </w:tc>
        <w:tc>
          <w:tcPr>
            <w:tcW w:w="957" w:type="dxa"/>
            <w:tcBorders>
              <w:left w:val="single" w:color="auto" w:sz="4" w:space="0"/>
            </w:tcBorders>
            <w:vAlign w:val="center"/>
          </w:tcPr>
          <w:p w14:paraId="179015F7">
            <w:pPr>
              <w:pStyle w:val="52"/>
              <w:jc w:val="center"/>
              <w:rPr>
                <w:rFonts w:cs="宋体"/>
                <w:color w:val="auto"/>
                <w:sz w:val="21"/>
                <w:szCs w:val="21"/>
                <w:highlight w:val="none"/>
              </w:rPr>
            </w:pPr>
            <w:r>
              <w:rPr>
                <w:rFonts w:hint="eastAsia" w:cs="宋体"/>
                <w:color w:val="auto"/>
                <w:sz w:val="21"/>
                <w:szCs w:val="21"/>
                <w:highlight w:val="none"/>
              </w:rPr>
              <w:t>职称</w:t>
            </w:r>
          </w:p>
        </w:tc>
        <w:tc>
          <w:tcPr>
            <w:tcW w:w="2214" w:type="dxa"/>
            <w:vAlign w:val="center"/>
          </w:tcPr>
          <w:p w14:paraId="07A514A2">
            <w:pPr>
              <w:pStyle w:val="52"/>
              <w:jc w:val="center"/>
              <w:rPr>
                <w:rFonts w:cs="宋体"/>
                <w:color w:val="auto"/>
                <w:sz w:val="21"/>
                <w:szCs w:val="21"/>
                <w:highlight w:val="none"/>
              </w:rPr>
            </w:pPr>
            <w:r>
              <w:rPr>
                <w:rFonts w:hint="eastAsia" w:cs="宋体"/>
                <w:color w:val="auto"/>
                <w:sz w:val="21"/>
                <w:szCs w:val="21"/>
                <w:highlight w:val="none"/>
              </w:rPr>
              <w:t>注册证书（岗位证书）名称及编号</w:t>
            </w:r>
          </w:p>
        </w:tc>
        <w:tc>
          <w:tcPr>
            <w:tcW w:w="1614" w:type="dxa"/>
            <w:vAlign w:val="center"/>
          </w:tcPr>
          <w:p w14:paraId="2C21CCB6">
            <w:pPr>
              <w:pStyle w:val="52"/>
              <w:jc w:val="center"/>
              <w:rPr>
                <w:rFonts w:cs="宋体"/>
                <w:color w:val="auto"/>
                <w:sz w:val="21"/>
                <w:szCs w:val="21"/>
                <w:highlight w:val="none"/>
              </w:rPr>
            </w:pPr>
            <w:r>
              <w:rPr>
                <w:rFonts w:hint="eastAsia" w:cs="宋体"/>
                <w:color w:val="auto"/>
                <w:sz w:val="21"/>
                <w:szCs w:val="21"/>
                <w:highlight w:val="none"/>
              </w:rPr>
              <w:t>在团队中职务（岗位）</w:t>
            </w:r>
          </w:p>
        </w:tc>
        <w:tc>
          <w:tcPr>
            <w:tcW w:w="971" w:type="dxa"/>
            <w:vAlign w:val="center"/>
          </w:tcPr>
          <w:p w14:paraId="462E1964">
            <w:pPr>
              <w:pStyle w:val="52"/>
              <w:jc w:val="center"/>
              <w:rPr>
                <w:rFonts w:cs="宋体"/>
                <w:color w:val="auto"/>
                <w:sz w:val="21"/>
                <w:szCs w:val="21"/>
                <w:highlight w:val="none"/>
              </w:rPr>
            </w:pPr>
            <w:r>
              <w:rPr>
                <w:rFonts w:hint="eastAsia" w:cs="宋体"/>
                <w:color w:val="auto"/>
                <w:sz w:val="21"/>
                <w:szCs w:val="21"/>
                <w:highlight w:val="none"/>
              </w:rPr>
              <w:t>备注</w:t>
            </w:r>
          </w:p>
        </w:tc>
      </w:tr>
      <w:tr w14:paraId="7FAA1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13EF30AB">
            <w:pPr>
              <w:pStyle w:val="52"/>
              <w:jc w:val="center"/>
              <w:rPr>
                <w:rFonts w:cs="宋体"/>
                <w:color w:val="auto"/>
                <w:sz w:val="21"/>
                <w:szCs w:val="21"/>
                <w:highlight w:val="none"/>
              </w:rPr>
            </w:pPr>
            <w:bookmarkStart w:id="424" w:name="_Toc99533292"/>
            <w:bookmarkStart w:id="425" w:name="_Toc100090784"/>
            <w:r>
              <w:rPr>
                <w:rFonts w:hint="eastAsia" w:cs="宋体"/>
                <w:color w:val="auto"/>
                <w:sz w:val="21"/>
                <w:szCs w:val="21"/>
                <w:highlight w:val="none"/>
              </w:rPr>
              <w:t>1</w:t>
            </w:r>
            <w:bookmarkEnd w:id="424"/>
            <w:bookmarkEnd w:id="425"/>
          </w:p>
        </w:tc>
        <w:tc>
          <w:tcPr>
            <w:tcW w:w="1508" w:type="dxa"/>
            <w:vAlign w:val="center"/>
          </w:tcPr>
          <w:p w14:paraId="58999843">
            <w:pPr>
              <w:pStyle w:val="52"/>
              <w:jc w:val="center"/>
              <w:rPr>
                <w:rFonts w:cs="宋体"/>
                <w:color w:val="auto"/>
                <w:sz w:val="21"/>
                <w:szCs w:val="21"/>
                <w:highlight w:val="none"/>
              </w:rPr>
            </w:pPr>
          </w:p>
        </w:tc>
        <w:tc>
          <w:tcPr>
            <w:tcW w:w="1286" w:type="dxa"/>
            <w:tcBorders>
              <w:left w:val="single" w:color="auto" w:sz="4" w:space="0"/>
            </w:tcBorders>
            <w:vAlign w:val="center"/>
          </w:tcPr>
          <w:p w14:paraId="57C229E4">
            <w:pPr>
              <w:pStyle w:val="52"/>
              <w:jc w:val="center"/>
              <w:rPr>
                <w:rFonts w:cs="宋体"/>
                <w:color w:val="auto"/>
                <w:sz w:val="21"/>
                <w:szCs w:val="21"/>
                <w:highlight w:val="none"/>
              </w:rPr>
            </w:pPr>
          </w:p>
        </w:tc>
        <w:tc>
          <w:tcPr>
            <w:tcW w:w="957" w:type="dxa"/>
            <w:tcBorders>
              <w:left w:val="single" w:color="auto" w:sz="4" w:space="0"/>
            </w:tcBorders>
            <w:vAlign w:val="center"/>
          </w:tcPr>
          <w:p w14:paraId="4F9859A3">
            <w:pPr>
              <w:pStyle w:val="52"/>
              <w:jc w:val="center"/>
              <w:rPr>
                <w:rFonts w:cs="宋体"/>
                <w:color w:val="auto"/>
                <w:sz w:val="21"/>
                <w:szCs w:val="21"/>
                <w:highlight w:val="none"/>
              </w:rPr>
            </w:pPr>
          </w:p>
        </w:tc>
        <w:tc>
          <w:tcPr>
            <w:tcW w:w="2214" w:type="dxa"/>
            <w:vAlign w:val="center"/>
          </w:tcPr>
          <w:p w14:paraId="77E7A5F2">
            <w:pPr>
              <w:pStyle w:val="52"/>
              <w:jc w:val="center"/>
              <w:rPr>
                <w:rFonts w:cs="宋体"/>
                <w:color w:val="auto"/>
                <w:sz w:val="21"/>
                <w:szCs w:val="21"/>
                <w:highlight w:val="none"/>
              </w:rPr>
            </w:pPr>
          </w:p>
        </w:tc>
        <w:tc>
          <w:tcPr>
            <w:tcW w:w="1614" w:type="dxa"/>
            <w:vAlign w:val="center"/>
          </w:tcPr>
          <w:p w14:paraId="7CDB7CB3">
            <w:pPr>
              <w:pStyle w:val="52"/>
              <w:jc w:val="center"/>
              <w:rPr>
                <w:rFonts w:cs="宋体"/>
                <w:color w:val="auto"/>
                <w:sz w:val="21"/>
                <w:szCs w:val="21"/>
                <w:highlight w:val="none"/>
              </w:rPr>
            </w:pPr>
          </w:p>
        </w:tc>
        <w:tc>
          <w:tcPr>
            <w:tcW w:w="971" w:type="dxa"/>
            <w:vAlign w:val="center"/>
          </w:tcPr>
          <w:p w14:paraId="5BED834A">
            <w:pPr>
              <w:pStyle w:val="52"/>
              <w:jc w:val="center"/>
              <w:rPr>
                <w:rFonts w:cs="宋体"/>
                <w:color w:val="auto"/>
                <w:sz w:val="21"/>
                <w:szCs w:val="21"/>
                <w:highlight w:val="none"/>
              </w:rPr>
            </w:pPr>
          </w:p>
        </w:tc>
      </w:tr>
      <w:tr w14:paraId="4DCD0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126800B5">
            <w:pPr>
              <w:pStyle w:val="52"/>
              <w:jc w:val="center"/>
              <w:rPr>
                <w:rFonts w:cs="宋体"/>
                <w:color w:val="auto"/>
                <w:sz w:val="21"/>
                <w:szCs w:val="21"/>
                <w:highlight w:val="none"/>
              </w:rPr>
            </w:pPr>
            <w:bookmarkStart w:id="426" w:name="_Toc99533293"/>
            <w:bookmarkStart w:id="427" w:name="_Toc100090785"/>
            <w:r>
              <w:rPr>
                <w:rFonts w:hint="eastAsia" w:cs="宋体"/>
                <w:color w:val="auto"/>
                <w:sz w:val="21"/>
                <w:szCs w:val="21"/>
                <w:highlight w:val="none"/>
              </w:rPr>
              <w:t>2</w:t>
            </w:r>
            <w:bookmarkEnd w:id="426"/>
            <w:bookmarkEnd w:id="427"/>
          </w:p>
        </w:tc>
        <w:tc>
          <w:tcPr>
            <w:tcW w:w="1508" w:type="dxa"/>
            <w:vAlign w:val="center"/>
          </w:tcPr>
          <w:p w14:paraId="7F5204F0">
            <w:pPr>
              <w:pStyle w:val="52"/>
              <w:jc w:val="center"/>
              <w:rPr>
                <w:rFonts w:cs="宋体"/>
                <w:color w:val="auto"/>
                <w:sz w:val="21"/>
                <w:szCs w:val="21"/>
                <w:highlight w:val="none"/>
              </w:rPr>
            </w:pPr>
          </w:p>
        </w:tc>
        <w:tc>
          <w:tcPr>
            <w:tcW w:w="1286" w:type="dxa"/>
            <w:tcBorders>
              <w:left w:val="single" w:color="auto" w:sz="4" w:space="0"/>
            </w:tcBorders>
            <w:vAlign w:val="center"/>
          </w:tcPr>
          <w:p w14:paraId="08F9BA93">
            <w:pPr>
              <w:pStyle w:val="52"/>
              <w:jc w:val="center"/>
              <w:rPr>
                <w:rFonts w:cs="宋体"/>
                <w:color w:val="auto"/>
                <w:sz w:val="21"/>
                <w:szCs w:val="21"/>
                <w:highlight w:val="none"/>
              </w:rPr>
            </w:pPr>
          </w:p>
        </w:tc>
        <w:tc>
          <w:tcPr>
            <w:tcW w:w="957" w:type="dxa"/>
            <w:tcBorders>
              <w:left w:val="single" w:color="auto" w:sz="4" w:space="0"/>
            </w:tcBorders>
            <w:vAlign w:val="center"/>
          </w:tcPr>
          <w:p w14:paraId="17FE6B12">
            <w:pPr>
              <w:pStyle w:val="52"/>
              <w:jc w:val="center"/>
              <w:rPr>
                <w:rFonts w:cs="宋体"/>
                <w:color w:val="auto"/>
                <w:sz w:val="21"/>
                <w:szCs w:val="21"/>
                <w:highlight w:val="none"/>
              </w:rPr>
            </w:pPr>
          </w:p>
        </w:tc>
        <w:tc>
          <w:tcPr>
            <w:tcW w:w="2214" w:type="dxa"/>
            <w:vAlign w:val="center"/>
          </w:tcPr>
          <w:p w14:paraId="2C2F6CC8">
            <w:pPr>
              <w:pStyle w:val="52"/>
              <w:jc w:val="center"/>
              <w:rPr>
                <w:rFonts w:cs="宋体"/>
                <w:color w:val="auto"/>
                <w:sz w:val="21"/>
                <w:szCs w:val="21"/>
                <w:highlight w:val="none"/>
              </w:rPr>
            </w:pPr>
          </w:p>
        </w:tc>
        <w:tc>
          <w:tcPr>
            <w:tcW w:w="1614" w:type="dxa"/>
            <w:vAlign w:val="center"/>
          </w:tcPr>
          <w:p w14:paraId="7F5850B8">
            <w:pPr>
              <w:pStyle w:val="52"/>
              <w:jc w:val="center"/>
              <w:rPr>
                <w:rFonts w:cs="宋体"/>
                <w:color w:val="auto"/>
                <w:sz w:val="21"/>
                <w:szCs w:val="21"/>
                <w:highlight w:val="none"/>
              </w:rPr>
            </w:pPr>
          </w:p>
        </w:tc>
        <w:tc>
          <w:tcPr>
            <w:tcW w:w="971" w:type="dxa"/>
            <w:vAlign w:val="center"/>
          </w:tcPr>
          <w:p w14:paraId="4E58F10A">
            <w:pPr>
              <w:pStyle w:val="52"/>
              <w:jc w:val="center"/>
              <w:rPr>
                <w:rFonts w:cs="宋体"/>
                <w:color w:val="auto"/>
                <w:sz w:val="21"/>
                <w:szCs w:val="21"/>
                <w:highlight w:val="none"/>
              </w:rPr>
            </w:pPr>
          </w:p>
        </w:tc>
      </w:tr>
      <w:tr w14:paraId="3092D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65848091">
            <w:pPr>
              <w:pStyle w:val="52"/>
              <w:jc w:val="center"/>
              <w:rPr>
                <w:rFonts w:cs="宋体"/>
                <w:color w:val="auto"/>
                <w:sz w:val="21"/>
                <w:szCs w:val="21"/>
                <w:highlight w:val="none"/>
              </w:rPr>
            </w:pPr>
            <w:bookmarkStart w:id="428" w:name="_Toc100090786"/>
            <w:bookmarkStart w:id="429" w:name="_Toc99533294"/>
            <w:r>
              <w:rPr>
                <w:rFonts w:hint="eastAsia" w:cs="宋体"/>
                <w:color w:val="auto"/>
                <w:sz w:val="21"/>
                <w:szCs w:val="21"/>
                <w:highlight w:val="none"/>
              </w:rPr>
              <w:t>3</w:t>
            </w:r>
            <w:bookmarkEnd w:id="428"/>
            <w:bookmarkEnd w:id="429"/>
          </w:p>
        </w:tc>
        <w:tc>
          <w:tcPr>
            <w:tcW w:w="1508" w:type="dxa"/>
            <w:vAlign w:val="center"/>
          </w:tcPr>
          <w:p w14:paraId="751803E7">
            <w:pPr>
              <w:pStyle w:val="52"/>
              <w:jc w:val="center"/>
              <w:rPr>
                <w:rFonts w:cs="宋体"/>
                <w:color w:val="auto"/>
                <w:sz w:val="21"/>
                <w:szCs w:val="21"/>
                <w:highlight w:val="none"/>
              </w:rPr>
            </w:pPr>
          </w:p>
        </w:tc>
        <w:tc>
          <w:tcPr>
            <w:tcW w:w="1286" w:type="dxa"/>
            <w:tcBorders>
              <w:left w:val="single" w:color="auto" w:sz="4" w:space="0"/>
            </w:tcBorders>
            <w:vAlign w:val="center"/>
          </w:tcPr>
          <w:p w14:paraId="65A8B766">
            <w:pPr>
              <w:pStyle w:val="52"/>
              <w:jc w:val="center"/>
              <w:rPr>
                <w:rFonts w:cs="宋体"/>
                <w:color w:val="auto"/>
                <w:sz w:val="21"/>
                <w:szCs w:val="21"/>
                <w:highlight w:val="none"/>
              </w:rPr>
            </w:pPr>
          </w:p>
        </w:tc>
        <w:tc>
          <w:tcPr>
            <w:tcW w:w="957" w:type="dxa"/>
            <w:tcBorders>
              <w:left w:val="single" w:color="auto" w:sz="4" w:space="0"/>
            </w:tcBorders>
            <w:vAlign w:val="center"/>
          </w:tcPr>
          <w:p w14:paraId="72A88820">
            <w:pPr>
              <w:pStyle w:val="52"/>
              <w:jc w:val="center"/>
              <w:rPr>
                <w:rFonts w:cs="宋体"/>
                <w:color w:val="auto"/>
                <w:sz w:val="21"/>
                <w:szCs w:val="21"/>
                <w:highlight w:val="none"/>
              </w:rPr>
            </w:pPr>
          </w:p>
        </w:tc>
        <w:tc>
          <w:tcPr>
            <w:tcW w:w="2214" w:type="dxa"/>
            <w:vAlign w:val="center"/>
          </w:tcPr>
          <w:p w14:paraId="567EE8BC">
            <w:pPr>
              <w:pStyle w:val="52"/>
              <w:jc w:val="center"/>
              <w:rPr>
                <w:rFonts w:cs="宋体"/>
                <w:color w:val="auto"/>
                <w:sz w:val="21"/>
                <w:szCs w:val="21"/>
                <w:highlight w:val="none"/>
              </w:rPr>
            </w:pPr>
          </w:p>
        </w:tc>
        <w:tc>
          <w:tcPr>
            <w:tcW w:w="1614" w:type="dxa"/>
            <w:vAlign w:val="center"/>
          </w:tcPr>
          <w:p w14:paraId="21A11F59">
            <w:pPr>
              <w:pStyle w:val="52"/>
              <w:jc w:val="center"/>
              <w:rPr>
                <w:rFonts w:cs="宋体"/>
                <w:color w:val="auto"/>
                <w:sz w:val="21"/>
                <w:szCs w:val="21"/>
                <w:highlight w:val="none"/>
              </w:rPr>
            </w:pPr>
          </w:p>
        </w:tc>
        <w:tc>
          <w:tcPr>
            <w:tcW w:w="971" w:type="dxa"/>
            <w:vAlign w:val="center"/>
          </w:tcPr>
          <w:p w14:paraId="11B37511">
            <w:pPr>
              <w:pStyle w:val="52"/>
              <w:jc w:val="center"/>
              <w:rPr>
                <w:rFonts w:cs="宋体"/>
                <w:color w:val="auto"/>
                <w:sz w:val="21"/>
                <w:szCs w:val="21"/>
                <w:highlight w:val="none"/>
              </w:rPr>
            </w:pPr>
          </w:p>
        </w:tc>
      </w:tr>
      <w:tr w14:paraId="5C3C5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013AAF6D">
            <w:pPr>
              <w:pStyle w:val="52"/>
              <w:jc w:val="center"/>
              <w:rPr>
                <w:rFonts w:cs="宋体"/>
                <w:color w:val="auto"/>
                <w:sz w:val="21"/>
                <w:szCs w:val="21"/>
                <w:highlight w:val="none"/>
              </w:rPr>
            </w:pPr>
            <w:bookmarkStart w:id="430" w:name="_Toc99533295"/>
            <w:bookmarkStart w:id="431" w:name="_Toc100090787"/>
            <w:r>
              <w:rPr>
                <w:rFonts w:hint="eastAsia" w:cs="宋体"/>
                <w:color w:val="auto"/>
                <w:sz w:val="21"/>
                <w:szCs w:val="21"/>
                <w:highlight w:val="none"/>
              </w:rPr>
              <w:t>4</w:t>
            </w:r>
            <w:bookmarkEnd w:id="430"/>
            <w:bookmarkEnd w:id="431"/>
          </w:p>
        </w:tc>
        <w:tc>
          <w:tcPr>
            <w:tcW w:w="1508" w:type="dxa"/>
            <w:vAlign w:val="center"/>
          </w:tcPr>
          <w:p w14:paraId="198D3998">
            <w:pPr>
              <w:pStyle w:val="52"/>
              <w:jc w:val="center"/>
              <w:rPr>
                <w:rFonts w:cs="宋体"/>
                <w:color w:val="auto"/>
                <w:sz w:val="21"/>
                <w:szCs w:val="21"/>
                <w:highlight w:val="none"/>
              </w:rPr>
            </w:pPr>
          </w:p>
        </w:tc>
        <w:tc>
          <w:tcPr>
            <w:tcW w:w="1286" w:type="dxa"/>
            <w:tcBorders>
              <w:left w:val="single" w:color="auto" w:sz="4" w:space="0"/>
            </w:tcBorders>
            <w:vAlign w:val="center"/>
          </w:tcPr>
          <w:p w14:paraId="7A5AFC39">
            <w:pPr>
              <w:pStyle w:val="52"/>
              <w:jc w:val="center"/>
              <w:rPr>
                <w:rFonts w:cs="宋体"/>
                <w:color w:val="auto"/>
                <w:sz w:val="21"/>
                <w:szCs w:val="21"/>
                <w:highlight w:val="none"/>
              </w:rPr>
            </w:pPr>
          </w:p>
        </w:tc>
        <w:tc>
          <w:tcPr>
            <w:tcW w:w="957" w:type="dxa"/>
            <w:tcBorders>
              <w:left w:val="single" w:color="auto" w:sz="4" w:space="0"/>
            </w:tcBorders>
            <w:vAlign w:val="center"/>
          </w:tcPr>
          <w:p w14:paraId="07571461">
            <w:pPr>
              <w:pStyle w:val="52"/>
              <w:jc w:val="center"/>
              <w:rPr>
                <w:rFonts w:cs="宋体"/>
                <w:color w:val="auto"/>
                <w:sz w:val="21"/>
                <w:szCs w:val="21"/>
                <w:highlight w:val="none"/>
              </w:rPr>
            </w:pPr>
          </w:p>
        </w:tc>
        <w:tc>
          <w:tcPr>
            <w:tcW w:w="2214" w:type="dxa"/>
            <w:vAlign w:val="center"/>
          </w:tcPr>
          <w:p w14:paraId="21ABF912">
            <w:pPr>
              <w:pStyle w:val="52"/>
              <w:jc w:val="center"/>
              <w:rPr>
                <w:rFonts w:cs="宋体"/>
                <w:color w:val="auto"/>
                <w:sz w:val="21"/>
                <w:szCs w:val="21"/>
                <w:highlight w:val="none"/>
              </w:rPr>
            </w:pPr>
          </w:p>
        </w:tc>
        <w:tc>
          <w:tcPr>
            <w:tcW w:w="1614" w:type="dxa"/>
            <w:vAlign w:val="center"/>
          </w:tcPr>
          <w:p w14:paraId="4BAABE5D">
            <w:pPr>
              <w:pStyle w:val="52"/>
              <w:jc w:val="center"/>
              <w:rPr>
                <w:rFonts w:cs="宋体"/>
                <w:color w:val="auto"/>
                <w:sz w:val="21"/>
                <w:szCs w:val="21"/>
                <w:highlight w:val="none"/>
              </w:rPr>
            </w:pPr>
          </w:p>
        </w:tc>
        <w:tc>
          <w:tcPr>
            <w:tcW w:w="971" w:type="dxa"/>
            <w:vAlign w:val="center"/>
          </w:tcPr>
          <w:p w14:paraId="62A735FD">
            <w:pPr>
              <w:pStyle w:val="52"/>
              <w:jc w:val="center"/>
              <w:rPr>
                <w:rFonts w:cs="宋体"/>
                <w:color w:val="auto"/>
                <w:sz w:val="21"/>
                <w:szCs w:val="21"/>
                <w:highlight w:val="none"/>
              </w:rPr>
            </w:pPr>
          </w:p>
        </w:tc>
      </w:tr>
      <w:tr w14:paraId="29320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794AA518">
            <w:pPr>
              <w:pStyle w:val="52"/>
              <w:jc w:val="center"/>
              <w:rPr>
                <w:rFonts w:cs="宋体"/>
                <w:color w:val="auto"/>
                <w:sz w:val="21"/>
                <w:szCs w:val="21"/>
                <w:highlight w:val="none"/>
              </w:rPr>
            </w:pPr>
            <w:bookmarkStart w:id="432" w:name="_Toc100090788"/>
            <w:bookmarkStart w:id="433" w:name="_Toc99533296"/>
            <w:r>
              <w:rPr>
                <w:rFonts w:hint="eastAsia" w:cs="宋体"/>
                <w:color w:val="auto"/>
                <w:sz w:val="21"/>
                <w:szCs w:val="21"/>
                <w:highlight w:val="none"/>
              </w:rPr>
              <w:t>5</w:t>
            </w:r>
            <w:bookmarkEnd w:id="432"/>
            <w:bookmarkEnd w:id="433"/>
          </w:p>
        </w:tc>
        <w:tc>
          <w:tcPr>
            <w:tcW w:w="1508" w:type="dxa"/>
            <w:vAlign w:val="center"/>
          </w:tcPr>
          <w:p w14:paraId="713B5C43">
            <w:pPr>
              <w:pStyle w:val="52"/>
              <w:jc w:val="center"/>
              <w:rPr>
                <w:rFonts w:cs="宋体"/>
                <w:color w:val="auto"/>
                <w:sz w:val="21"/>
                <w:szCs w:val="21"/>
                <w:highlight w:val="none"/>
              </w:rPr>
            </w:pPr>
          </w:p>
        </w:tc>
        <w:tc>
          <w:tcPr>
            <w:tcW w:w="1286" w:type="dxa"/>
            <w:tcBorders>
              <w:left w:val="single" w:color="auto" w:sz="4" w:space="0"/>
            </w:tcBorders>
            <w:vAlign w:val="center"/>
          </w:tcPr>
          <w:p w14:paraId="0182449F">
            <w:pPr>
              <w:pStyle w:val="52"/>
              <w:jc w:val="center"/>
              <w:rPr>
                <w:rFonts w:cs="宋体"/>
                <w:color w:val="auto"/>
                <w:sz w:val="21"/>
                <w:szCs w:val="21"/>
                <w:highlight w:val="none"/>
              </w:rPr>
            </w:pPr>
          </w:p>
        </w:tc>
        <w:tc>
          <w:tcPr>
            <w:tcW w:w="957" w:type="dxa"/>
            <w:tcBorders>
              <w:left w:val="single" w:color="auto" w:sz="4" w:space="0"/>
            </w:tcBorders>
            <w:vAlign w:val="center"/>
          </w:tcPr>
          <w:p w14:paraId="7BE7BB19">
            <w:pPr>
              <w:pStyle w:val="52"/>
              <w:jc w:val="center"/>
              <w:rPr>
                <w:rFonts w:cs="宋体"/>
                <w:color w:val="auto"/>
                <w:sz w:val="21"/>
                <w:szCs w:val="21"/>
                <w:highlight w:val="none"/>
              </w:rPr>
            </w:pPr>
          </w:p>
        </w:tc>
        <w:tc>
          <w:tcPr>
            <w:tcW w:w="2214" w:type="dxa"/>
            <w:vAlign w:val="center"/>
          </w:tcPr>
          <w:p w14:paraId="3E0807BD">
            <w:pPr>
              <w:pStyle w:val="52"/>
              <w:jc w:val="center"/>
              <w:rPr>
                <w:rFonts w:cs="宋体"/>
                <w:color w:val="auto"/>
                <w:sz w:val="21"/>
                <w:szCs w:val="21"/>
                <w:highlight w:val="none"/>
              </w:rPr>
            </w:pPr>
          </w:p>
        </w:tc>
        <w:tc>
          <w:tcPr>
            <w:tcW w:w="1614" w:type="dxa"/>
            <w:vAlign w:val="center"/>
          </w:tcPr>
          <w:p w14:paraId="2D4D64AD">
            <w:pPr>
              <w:pStyle w:val="52"/>
              <w:jc w:val="center"/>
              <w:rPr>
                <w:rFonts w:cs="宋体"/>
                <w:color w:val="auto"/>
                <w:sz w:val="21"/>
                <w:szCs w:val="21"/>
                <w:highlight w:val="none"/>
              </w:rPr>
            </w:pPr>
          </w:p>
        </w:tc>
        <w:tc>
          <w:tcPr>
            <w:tcW w:w="971" w:type="dxa"/>
            <w:vAlign w:val="center"/>
          </w:tcPr>
          <w:p w14:paraId="5B18ED4B">
            <w:pPr>
              <w:pStyle w:val="52"/>
              <w:jc w:val="center"/>
              <w:rPr>
                <w:rFonts w:cs="宋体"/>
                <w:color w:val="auto"/>
                <w:sz w:val="21"/>
                <w:szCs w:val="21"/>
                <w:highlight w:val="none"/>
              </w:rPr>
            </w:pPr>
          </w:p>
        </w:tc>
      </w:tr>
      <w:tr w14:paraId="710BF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7DF57649">
            <w:pPr>
              <w:pStyle w:val="52"/>
              <w:jc w:val="center"/>
              <w:rPr>
                <w:rFonts w:cs="宋体"/>
                <w:color w:val="auto"/>
                <w:sz w:val="21"/>
                <w:szCs w:val="21"/>
                <w:highlight w:val="none"/>
              </w:rPr>
            </w:pPr>
            <w:bookmarkStart w:id="434" w:name="_Toc100090789"/>
            <w:bookmarkStart w:id="435" w:name="_Toc99533297"/>
            <w:r>
              <w:rPr>
                <w:rFonts w:hint="eastAsia" w:cs="宋体"/>
                <w:color w:val="auto"/>
                <w:sz w:val="21"/>
                <w:szCs w:val="21"/>
                <w:highlight w:val="none"/>
              </w:rPr>
              <w:t>6</w:t>
            </w:r>
            <w:bookmarkEnd w:id="434"/>
            <w:bookmarkEnd w:id="435"/>
          </w:p>
        </w:tc>
        <w:tc>
          <w:tcPr>
            <w:tcW w:w="1508" w:type="dxa"/>
            <w:vAlign w:val="center"/>
          </w:tcPr>
          <w:p w14:paraId="3A3DBC16">
            <w:pPr>
              <w:pStyle w:val="52"/>
              <w:jc w:val="center"/>
              <w:rPr>
                <w:rFonts w:cs="宋体"/>
                <w:color w:val="auto"/>
                <w:sz w:val="21"/>
                <w:szCs w:val="21"/>
                <w:highlight w:val="none"/>
              </w:rPr>
            </w:pPr>
          </w:p>
        </w:tc>
        <w:tc>
          <w:tcPr>
            <w:tcW w:w="1286" w:type="dxa"/>
            <w:tcBorders>
              <w:left w:val="single" w:color="auto" w:sz="4" w:space="0"/>
            </w:tcBorders>
            <w:vAlign w:val="center"/>
          </w:tcPr>
          <w:p w14:paraId="2B0E1139">
            <w:pPr>
              <w:pStyle w:val="52"/>
              <w:jc w:val="center"/>
              <w:rPr>
                <w:rFonts w:cs="宋体"/>
                <w:color w:val="auto"/>
                <w:sz w:val="21"/>
                <w:szCs w:val="21"/>
                <w:highlight w:val="none"/>
              </w:rPr>
            </w:pPr>
          </w:p>
        </w:tc>
        <w:tc>
          <w:tcPr>
            <w:tcW w:w="957" w:type="dxa"/>
            <w:tcBorders>
              <w:left w:val="single" w:color="auto" w:sz="4" w:space="0"/>
            </w:tcBorders>
            <w:vAlign w:val="center"/>
          </w:tcPr>
          <w:p w14:paraId="0C9A58A8">
            <w:pPr>
              <w:pStyle w:val="52"/>
              <w:jc w:val="center"/>
              <w:rPr>
                <w:rFonts w:cs="宋体"/>
                <w:color w:val="auto"/>
                <w:sz w:val="21"/>
                <w:szCs w:val="21"/>
                <w:highlight w:val="none"/>
              </w:rPr>
            </w:pPr>
          </w:p>
        </w:tc>
        <w:tc>
          <w:tcPr>
            <w:tcW w:w="2214" w:type="dxa"/>
            <w:vAlign w:val="center"/>
          </w:tcPr>
          <w:p w14:paraId="4FB2F4FB">
            <w:pPr>
              <w:pStyle w:val="52"/>
              <w:jc w:val="center"/>
              <w:rPr>
                <w:rFonts w:cs="宋体"/>
                <w:color w:val="auto"/>
                <w:sz w:val="21"/>
                <w:szCs w:val="21"/>
                <w:highlight w:val="none"/>
              </w:rPr>
            </w:pPr>
          </w:p>
        </w:tc>
        <w:tc>
          <w:tcPr>
            <w:tcW w:w="1614" w:type="dxa"/>
            <w:vAlign w:val="center"/>
          </w:tcPr>
          <w:p w14:paraId="6E218BD5">
            <w:pPr>
              <w:pStyle w:val="52"/>
              <w:jc w:val="center"/>
              <w:rPr>
                <w:rFonts w:cs="宋体"/>
                <w:color w:val="auto"/>
                <w:sz w:val="21"/>
                <w:szCs w:val="21"/>
                <w:highlight w:val="none"/>
              </w:rPr>
            </w:pPr>
          </w:p>
        </w:tc>
        <w:tc>
          <w:tcPr>
            <w:tcW w:w="971" w:type="dxa"/>
            <w:vAlign w:val="center"/>
          </w:tcPr>
          <w:p w14:paraId="73BEE78F">
            <w:pPr>
              <w:pStyle w:val="52"/>
              <w:jc w:val="center"/>
              <w:rPr>
                <w:rFonts w:cs="宋体"/>
                <w:color w:val="auto"/>
                <w:sz w:val="21"/>
                <w:szCs w:val="21"/>
                <w:highlight w:val="none"/>
              </w:rPr>
            </w:pPr>
          </w:p>
        </w:tc>
      </w:tr>
      <w:tr w14:paraId="6758C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2D46EA42">
            <w:pPr>
              <w:pStyle w:val="52"/>
              <w:jc w:val="center"/>
              <w:rPr>
                <w:rFonts w:cs="宋体"/>
                <w:color w:val="auto"/>
                <w:sz w:val="21"/>
                <w:szCs w:val="21"/>
                <w:highlight w:val="none"/>
              </w:rPr>
            </w:pPr>
            <w:bookmarkStart w:id="436" w:name="_Toc99533298"/>
            <w:bookmarkStart w:id="437" w:name="_Toc100090790"/>
            <w:r>
              <w:rPr>
                <w:rFonts w:hint="eastAsia" w:cs="宋体"/>
                <w:color w:val="auto"/>
                <w:sz w:val="21"/>
                <w:szCs w:val="21"/>
                <w:highlight w:val="none"/>
              </w:rPr>
              <w:t>7</w:t>
            </w:r>
            <w:bookmarkEnd w:id="436"/>
            <w:bookmarkEnd w:id="437"/>
          </w:p>
        </w:tc>
        <w:tc>
          <w:tcPr>
            <w:tcW w:w="1508" w:type="dxa"/>
            <w:vAlign w:val="center"/>
          </w:tcPr>
          <w:p w14:paraId="40680D46">
            <w:pPr>
              <w:pStyle w:val="52"/>
              <w:jc w:val="center"/>
              <w:rPr>
                <w:rFonts w:cs="宋体"/>
                <w:color w:val="auto"/>
                <w:sz w:val="21"/>
                <w:szCs w:val="21"/>
                <w:highlight w:val="none"/>
              </w:rPr>
            </w:pPr>
          </w:p>
        </w:tc>
        <w:tc>
          <w:tcPr>
            <w:tcW w:w="1286" w:type="dxa"/>
            <w:tcBorders>
              <w:left w:val="single" w:color="auto" w:sz="4" w:space="0"/>
            </w:tcBorders>
            <w:vAlign w:val="center"/>
          </w:tcPr>
          <w:p w14:paraId="41FE15C8">
            <w:pPr>
              <w:pStyle w:val="52"/>
              <w:jc w:val="center"/>
              <w:rPr>
                <w:rFonts w:cs="宋体"/>
                <w:color w:val="auto"/>
                <w:sz w:val="21"/>
                <w:szCs w:val="21"/>
                <w:highlight w:val="none"/>
              </w:rPr>
            </w:pPr>
          </w:p>
        </w:tc>
        <w:tc>
          <w:tcPr>
            <w:tcW w:w="957" w:type="dxa"/>
            <w:tcBorders>
              <w:left w:val="single" w:color="auto" w:sz="4" w:space="0"/>
            </w:tcBorders>
            <w:vAlign w:val="center"/>
          </w:tcPr>
          <w:p w14:paraId="5B21FEAA">
            <w:pPr>
              <w:pStyle w:val="52"/>
              <w:jc w:val="center"/>
              <w:rPr>
                <w:rFonts w:cs="宋体"/>
                <w:color w:val="auto"/>
                <w:sz w:val="21"/>
                <w:szCs w:val="21"/>
                <w:highlight w:val="none"/>
              </w:rPr>
            </w:pPr>
          </w:p>
        </w:tc>
        <w:tc>
          <w:tcPr>
            <w:tcW w:w="2214" w:type="dxa"/>
            <w:vAlign w:val="center"/>
          </w:tcPr>
          <w:p w14:paraId="463B626F">
            <w:pPr>
              <w:pStyle w:val="52"/>
              <w:jc w:val="center"/>
              <w:rPr>
                <w:rFonts w:cs="宋体"/>
                <w:color w:val="auto"/>
                <w:sz w:val="21"/>
                <w:szCs w:val="21"/>
                <w:highlight w:val="none"/>
              </w:rPr>
            </w:pPr>
          </w:p>
        </w:tc>
        <w:tc>
          <w:tcPr>
            <w:tcW w:w="1614" w:type="dxa"/>
            <w:vAlign w:val="center"/>
          </w:tcPr>
          <w:p w14:paraId="71E7428D">
            <w:pPr>
              <w:pStyle w:val="52"/>
              <w:jc w:val="center"/>
              <w:rPr>
                <w:rFonts w:cs="宋体"/>
                <w:color w:val="auto"/>
                <w:sz w:val="21"/>
                <w:szCs w:val="21"/>
                <w:highlight w:val="none"/>
              </w:rPr>
            </w:pPr>
          </w:p>
        </w:tc>
        <w:tc>
          <w:tcPr>
            <w:tcW w:w="971" w:type="dxa"/>
            <w:vAlign w:val="center"/>
          </w:tcPr>
          <w:p w14:paraId="22188143">
            <w:pPr>
              <w:pStyle w:val="52"/>
              <w:jc w:val="center"/>
              <w:rPr>
                <w:rFonts w:cs="宋体"/>
                <w:color w:val="auto"/>
                <w:sz w:val="21"/>
                <w:szCs w:val="21"/>
                <w:highlight w:val="none"/>
              </w:rPr>
            </w:pPr>
          </w:p>
        </w:tc>
      </w:tr>
      <w:tr w14:paraId="42E1C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61EBD66A">
            <w:pPr>
              <w:pStyle w:val="52"/>
              <w:jc w:val="center"/>
              <w:rPr>
                <w:rFonts w:cs="宋体"/>
                <w:color w:val="auto"/>
                <w:sz w:val="21"/>
                <w:szCs w:val="21"/>
                <w:highlight w:val="none"/>
              </w:rPr>
            </w:pPr>
            <w:bookmarkStart w:id="438" w:name="_Toc99533299"/>
            <w:bookmarkStart w:id="439" w:name="_Toc100090791"/>
            <w:r>
              <w:rPr>
                <w:rFonts w:hint="eastAsia" w:cs="宋体"/>
                <w:color w:val="auto"/>
                <w:sz w:val="21"/>
                <w:szCs w:val="21"/>
                <w:highlight w:val="none"/>
              </w:rPr>
              <w:t>8</w:t>
            </w:r>
            <w:bookmarkEnd w:id="438"/>
            <w:bookmarkEnd w:id="439"/>
          </w:p>
        </w:tc>
        <w:tc>
          <w:tcPr>
            <w:tcW w:w="1508" w:type="dxa"/>
            <w:vAlign w:val="center"/>
          </w:tcPr>
          <w:p w14:paraId="0EA262AD">
            <w:pPr>
              <w:pStyle w:val="52"/>
              <w:jc w:val="center"/>
              <w:rPr>
                <w:rFonts w:cs="宋体"/>
                <w:color w:val="auto"/>
                <w:sz w:val="21"/>
                <w:szCs w:val="21"/>
                <w:highlight w:val="none"/>
              </w:rPr>
            </w:pPr>
          </w:p>
        </w:tc>
        <w:tc>
          <w:tcPr>
            <w:tcW w:w="1286" w:type="dxa"/>
            <w:tcBorders>
              <w:left w:val="single" w:color="auto" w:sz="4" w:space="0"/>
            </w:tcBorders>
            <w:vAlign w:val="center"/>
          </w:tcPr>
          <w:p w14:paraId="41D37CB2">
            <w:pPr>
              <w:pStyle w:val="52"/>
              <w:jc w:val="center"/>
              <w:rPr>
                <w:rFonts w:cs="宋体"/>
                <w:color w:val="auto"/>
                <w:sz w:val="21"/>
                <w:szCs w:val="21"/>
                <w:highlight w:val="none"/>
              </w:rPr>
            </w:pPr>
          </w:p>
        </w:tc>
        <w:tc>
          <w:tcPr>
            <w:tcW w:w="957" w:type="dxa"/>
            <w:tcBorders>
              <w:left w:val="single" w:color="auto" w:sz="4" w:space="0"/>
            </w:tcBorders>
            <w:vAlign w:val="center"/>
          </w:tcPr>
          <w:p w14:paraId="39594A91">
            <w:pPr>
              <w:pStyle w:val="52"/>
              <w:jc w:val="center"/>
              <w:rPr>
                <w:rFonts w:cs="宋体"/>
                <w:color w:val="auto"/>
                <w:sz w:val="21"/>
                <w:szCs w:val="21"/>
                <w:highlight w:val="none"/>
              </w:rPr>
            </w:pPr>
          </w:p>
        </w:tc>
        <w:tc>
          <w:tcPr>
            <w:tcW w:w="2214" w:type="dxa"/>
            <w:vAlign w:val="center"/>
          </w:tcPr>
          <w:p w14:paraId="530A18FF">
            <w:pPr>
              <w:pStyle w:val="52"/>
              <w:jc w:val="center"/>
              <w:rPr>
                <w:rFonts w:cs="宋体"/>
                <w:color w:val="auto"/>
                <w:sz w:val="21"/>
                <w:szCs w:val="21"/>
                <w:highlight w:val="none"/>
              </w:rPr>
            </w:pPr>
          </w:p>
        </w:tc>
        <w:tc>
          <w:tcPr>
            <w:tcW w:w="1614" w:type="dxa"/>
            <w:vAlign w:val="center"/>
          </w:tcPr>
          <w:p w14:paraId="518F3AE2">
            <w:pPr>
              <w:pStyle w:val="52"/>
              <w:jc w:val="center"/>
              <w:rPr>
                <w:rFonts w:cs="宋体"/>
                <w:color w:val="auto"/>
                <w:sz w:val="21"/>
                <w:szCs w:val="21"/>
                <w:highlight w:val="none"/>
              </w:rPr>
            </w:pPr>
          </w:p>
        </w:tc>
        <w:tc>
          <w:tcPr>
            <w:tcW w:w="971" w:type="dxa"/>
            <w:vAlign w:val="center"/>
          </w:tcPr>
          <w:p w14:paraId="7E1C15ED">
            <w:pPr>
              <w:pStyle w:val="52"/>
              <w:jc w:val="center"/>
              <w:rPr>
                <w:rFonts w:cs="宋体"/>
                <w:color w:val="auto"/>
                <w:sz w:val="21"/>
                <w:szCs w:val="21"/>
                <w:highlight w:val="none"/>
              </w:rPr>
            </w:pPr>
          </w:p>
        </w:tc>
      </w:tr>
      <w:tr w14:paraId="1F0A3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65962EAA">
            <w:pPr>
              <w:pStyle w:val="52"/>
              <w:jc w:val="center"/>
              <w:rPr>
                <w:rFonts w:cs="宋体"/>
                <w:color w:val="auto"/>
                <w:sz w:val="21"/>
                <w:szCs w:val="21"/>
                <w:highlight w:val="none"/>
              </w:rPr>
            </w:pPr>
            <w:bookmarkStart w:id="440" w:name="_Toc100090792"/>
            <w:bookmarkStart w:id="441" w:name="_Toc99533300"/>
            <w:r>
              <w:rPr>
                <w:rFonts w:hint="eastAsia" w:cs="宋体"/>
                <w:color w:val="auto"/>
                <w:sz w:val="21"/>
                <w:szCs w:val="21"/>
                <w:highlight w:val="none"/>
              </w:rPr>
              <w:t>9</w:t>
            </w:r>
            <w:bookmarkEnd w:id="440"/>
            <w:bookmarkEnd w:id="441"/>
          </w:p>
        </w:tc>
        <w:tc>
          <w:tcPr>
            <w:tcW w:w="1508" w:type="dxa"/>
            <w:vAlign w:val="center"/>
          </w:tcPr>
          <w:p w14:paraId="2CB604DF">
            <w:pPr>
              <w:pStyle w:val="52"/>
              <w:jc w:val="center"/>
              <w:rPr>
                <w:rFonts w:cs="宋体"/>
                <w:color w:val="auto"/>
                <w:sz w:val="21"/>
                <w:szCs w:val="21"/>
                <w:highlight w:val="none"/>
              </w:rPr>
            </w:pPr>
          </w:p>
        </w:tc>
        <w:tc>
          <w:tcPr>
            <w:tcW w:w="1286" w:type="dxa"/>
            <w:tcBorders>
              <w:left w:val="single" w:color="auto" w:sz="4" w:space="0"/>
            </w:tcBorders>
            <w:vAlign w:val="center"/>
          </w:tcPr>
          <w:p w14:paraId="4EFDFCDF">
            <w:pPr>
              <w:pStyle w:val="52"/>
              <w:jc w:val="center"/>
              <w:rPr>
                <w:rFonts w:cs="宋体"/>
                <w:color w:val="auto"/>
                <w:sz w:val="21"/>
                <w:szCs w:val="21"/>
                <w:highlight w:val="none"/>
              </w:rPr>
            </w:pPr>
          </w:p>
        </w:tc>
        <w:tc>
          <w:tcPr>
            <w:tcW w:w="957" w:type="dxa"/>
            <w:tcBorders>
              <w:left w:val="single" w:color="auto" w:sz="4" w:space="0"/>
            </w:tcBorders>
            <w:vAlign w:val="center"/>
          </w:tcPr>
          <w:p w14:paraId="4123F59B">
            <w:pPr>
              <w:pStyle w:val="52"/>
              <w:jc w:val="center"/>
              <w:rPr>
                <w:rFonts w:cs="宋体"/>
                <w:color w:val="auto"/>
                <w:sz w:val="21"/>
                <w:szCs w:val="21"/>
                <w:highlight w:val="none"/>
              </w:rPr>
            </w:pPr>
          </w:p>
        </w:tc>
        <w:tc>
          <w:tcPr>
            <w:tcW w:w="2214" w:type="dxa"/>
            <w:vAlign w:val="center"/>
          </w:tcPr>
          <w:p w14:paraId="29A94824">
            <w:pPr>
              <w:pStyle w:val="52"/>
              <w:jc w:val="center"/>
              <w:rPr>
                <w:rFonts w:cs="宋体"/>
                <w:color w:val="auto"/>
                <w:sz w:val="21"/>
                <w:szCs w:val="21"/>
                <w:highlight w:val="none"/>
              </w:rPr>
            </w:pPr>
          </w:p>
        </w:tc>
        <w:tc>
          <w:tcPr>
            <w:tcW w:w="1614" w:type="dxa"/>
            <w:vAlign w:val="center"/>
          </w:tcPr>
          <w:p w14:paraId="7B6B1936">
            <w:pPr>
              <w:pStyle w:val="52"/>
              <w:jc w:val="center"/>
              <w:rPr>
                <w:rFonts w:cs="宋体"/>
                <w:color w:val="auto"/>
                <w:sz w:val="21"/>
                <w:szCs w:val="21"/>
                <w:highlight w:val="none"/>
              </w:rPr>
            </w:pPr>
          </w:p>
        </w:tc>
        <w:tc>
          <w:tcPr>
            <w:tcW w:w="971" w:type="dxa"/>
            <w:vAlign w:val="center"/>
          </w:tcPr>
          <w:p w14:paraId="3C68987D">
            <w:pPr>
              <w:pStyle w:val="52"/>
              <w:jc w:val="center"/>
              <w:rPr>
                <w:rFonts w:cs="宋体"/>
                <w:color w:val="auto"/>
                <w:sz w:val="21"/>
                <w:szCs w:val="21"/>
                <w:highlight w:val="none"/>
              </w:rPr>
            </w:pPr>
          </w:p>
        </w:tc>
      </w:tr>
      <w:tr w14:paraId="1781F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2" w:hRule="atLeast"/>
          <w:jc w:val="center"/>
        </w:trPr>
        <w:tc>
          <w:tcPr>
            <w:tcW w:w="920" w:type="dxa"/>
            <w:vAlign w:val="center"/>
          </w:tcPr>
          <w:p w14:paraId="45C997F6">
            <w:pPr>
              <w:pStyle w:val="52"/>
              <w:jc w:val="center"/>
              <w:rPr>
                <w:rFonts w:cs="宋体"/>
                <w:color w:val="auto"/>
                <w:sz w:val="21"/>
                <w:szCs w:val="21"/>
                <w:highlight w:val="none"/>
              </w:rPr>
            </w:pPr>
            <w:bookmarkStart w:id="442" w:name="_Toc100090793"/>
            <w:bookmarkStart w:id="443" w:name="_Toc99533301"/>
            <w:r>
              <w:rPr>
                <w:rFonts w:hint="eastAsia" w:cs="宋体"/>
                <w:color w:val="auto"/>
                <w:sz w:val="21"/>
                <w:szCs w:val="21"/>
                <w:highlight w:val="none"/>
              </w:rPr>
              <w:t>10</w:t>
            </w:r>
            <w:bookmarkEnd w:id="442"/>
            <w:bookmarkEnd w:id="443"/>
          </w:p>
        </w:tc>
        <w:tc>
          <w:tcPr>
            <w:tcW w:w="1508" w:type="dxa"/>
            <w:vAlign w:val="center"/>
          </w:tcPr>
          <w:p w14:paraId="6C8DD45D">
            <w:pPr>
              <w:pStyle w:val="52"/>
              <w:jc w:val="center"/>
              <w:rPr>
                <w:rFonts w:cs="宋体"/>
                <w:color w:val="auto"/>
                <w:sz w:val="21"/>
                <w:szCs w:val="21"/>
                <w:highlight w:val="none"/>
              </w:rPr>
            </w:pPr>
          </w:p>
        </w:tc>
        <w:tc>
          <w:tcPr>
            <w:tcW w:w="1286" w:type="dxa"/>
            <w:tcBorders>
              <w:left w:val="single" w:color="auto" w:sz="4" w:space="0"/>
            </w:tcBorders>
            <w:vAlign w:val="center"/>
          </w:tcPr>
          <w:p w14:paraId="1274F64B">
            <w:pPr>
              <w:pStyle w:val="52"/>
              <w:jc w:val="center"/>
              <w:rPr>
                <w:rFonts w:cs="宋体"/>
                <w:color w:val="auto"/>
                <w:sz w:val="21"/>
                <w:szCs w:val="21"/>
                <w:highlight w:val="none"/>
              </w:rPr>
            </w:pPr>
          </w:p>
        </w:tc>
        <w:tc>
          <w:tcPr>
            <w:tcW w:w="957" w:type="dxa"/>
            <w:tcBorders>
              <w:left w:val="single" w:color="auto" w:sz="4" w:space="0"/>
            </w:tcBorders>
            <w:vAlign w:val="center"/>
          </w:tcPr>
          <w:p w14:paraId="0DF97E29">
            <w:pPr>
              <w:pStyle w:val="52"/>
              <w:jc w:val="center"/>
              <w:rPr>
                <w:rFonts w:cs="宋体"/>
                <w:color w:val="auto"/>
                <w:sz w:val="21"/>
                <w:szCs w:val="21"/>
                <w:highlight w:val="none"/>
              </w:rPr>
            </w:pPr>
          </w:p>
        </w:tc>
        <w:tc>
          <w:tcPr>
            <w:tcW w:w="2214" w:type="dxa"/>
            <w:vAlign w:val="center"/>
          </w:tcPr>
          <w:p w14:paraId="6F49796A">
            <w:pPr>
              <w:pStyle w:val="52"/>
              <w:jc w:val="center"/>
              <w:rPr>
                <w:rFonts w:cs="宋体"/>
                <w:color w:val="auto"/>
                <w:sz w:val="21"/>
                <w:szCs w:val="21"/>
                <w:highlight w:val="none"/>
              </w:rPr>
            </w:pPr>
          </w:p>
        </w:tc>
        <w:tc>
          <w:tcPr>
            <w:tcW w:w="1614" w:type="dxa"/>
            <w:vAlign w:val="center"/>
          </w:tcPr>
          <w:p w14:paraId="0C2A2652">
            <w:pPr>
              <w:pStyle w:val="52"/>
              <w:jc w:val="center"/>
              <w:rPr>
                <w:rFonts w:cs="宋体"/>
                <w:color w:val="auto"/>
                <w:sz w:val="21"/>
                <w:szCs w:val="21"/>
                <w:highlight w:val="none"/>
              </w:rPr>
            </w:pPr>
          </w:p>
        </w:tc>
        <w:tc>
          <w:tcPr>
            <w:tcW w:w="971" w:type="dxa"/>
            <w:vAlign w:val="center"/>
          </w:tcPr>
          <w:p w14:paraId="5FCD4474">
            <w:pPr>
              <w:pStyle w:val="52"/>
              <w:jc w:val="center"/>
              <w:rPr>
                <w:rFonts w:cs="宋体"/>
                <w:color w:val="auto"/>
                <w:sz w:val="21"/>
                <w:szCs w:val="21"/>
                <w:highlight w:val="none"/>
              </w:rPr>
            </w:pPr>
          </w:p>
        </w:tc>
      </w:tr>
    </w:tbl>
    <w:p w14:paraId="6A466E75">
      <w:pPr>
        <w:rPr>
          <w:color w:val="auto"/>
          <w:highlight w:val="none"/>
        </w:rPr>
      </w:pPr>
    </w:p>
    <w:p w14:paraId="7AC2DADC">
      <w:pPr>
        <w:spacing w:line="360" w:lineRule="auto"/>
        <w:rPr>
          <w:color w:val="auto"/>
          <w:highlight w:val="none"/>
        </w:rPr>
      </w:pPr>
      <w:r>
        <w:rPr>
          <w:rFonts w:hint="eastAsia"/>
          <w:color w:val="auto"/>
          <w:highlight w:val="none"/>
        </w:rPr>
        <w:t>注：按招标文件要求在本表后附相关人员证书。</w:t>
      </w:r>
    </w:p>
    <w:p w14:paraId="0D3808CD">
      <w:pPr>
        <w:spacing w:line="360" w:lineRule="auto"/>
        <w:rPr>
          <w:color w:val="auto"/>
          <w:highlight w:val="none"/>
        </w:rPr>
      </w:pPr>
    </w:p>
    <w:p w14:paraId="698D8075">
      <w:pPr>
        <w:spacing w:line="360" w:lineRule="auto"/>
        <w:rPr>
          <w:color w:val="auto"/>
          <w:highlight w:val="none"/>
        </w:rPr>
      </w:pPr>
      <w:r>
        <w:rPr>
          <w:rFonts w:hint="eastAsia"/>
          <w:color w:val="auto"/>
          <w:highlight w:val="none"/>
        </w:rPr>
        <w:t xml:space="preserve">说明： </w:t>
      </w:r>
    </w:p>
    <w:p w14:paraId="4C956CBF">
      <w:pPr>
        <w:spacing w:line="360" w:lineRule="auto"/>
        <w:rPr>
          <w:color w:val="auto"/>
          <w:highlight w:val="none"/>
        </w:rPr>
      </w:pPr>
      <w:r>
        <w:rPr>
          <w:rFonts w:hint="eastAsia"/>
          <w:color w:val="auto"/>
          <w:highlight w:val="none"/>
        </w:rPr>
        <w:t xml:space="preserve">1.“在团队中职务（岗位）”栏应包括但不限于：项目负责人、项目联系人、项目服务人员或技术人员或售后服务人员等。 </w:t>
      </w:r>
    </w:p>
    <w:p w14:paraId="68B705DA">
      <w:pPr>
        <w:spacing w:line="360" w:lineRule="auto"/>
        <w:rPr>
          <w:color w:val="auto"/>
          <w:highlight w:val="none"/>
        </w:rPr>
      </w:pPr>
      <w:r>
        <w:rPr>
          <w:rFonts w:hint="eastAsia"/>
          <w:color w:val="auto"/>
          <w:highlight w:val="none"/>
        </w:rPr>
        <w:t>2.如投标人中标，须按本表项目组成人员操作，不得随意更换。</w:t>
      </w:r>
    </w:p>
    <w:p w14:paraId="7099EBC7">
      <w:pPr>
        <w:spacing w:line="360" w:lineRule="auto"/>
        <w:rPr>
          <w:color w:val="auto"/>
          <w:highlight w:val="none"/>
        </w:rPr>
      </w:pPr>
    </w:p>
    <w:p w14:paraId="7ED72116">
      <w:pPr>
        <w:spacing w:line="360" w:lineRule="auto"/>
        <w:rPr>
          <w:color w:val="auto"/>
          <w:highlight w:val="none"/>
        </w:rPr>
      </w:pPr>
      <w:r>
        <w:rPr>
          <w:color w:val="auto"/>
          <w:highlight w:val="none"/>
        </w:rPr>
        <w:br w:type="page"/>
      </w:r>
    </w:p>
    <w:p w14:paraId="5060AC5C">
      <w:pPr>
        <w:pStyle w:val="3"/>
        <w:rPr>
          <w:color w:val="auto"/>
          <w:highlight w:val="none"/>
        </w:rPr>
      </w:pPr>
      <w:bookmarkStart w:id="444" w:name="_Toc919"/>
      <w:bookmarkStart w:id="445" w:name="_Toc163492934"/>
      <w:r>
        <w:rPr>
          <w:rFonts w:hint="eastAsia"/>
          <w:color w:val="auto"/>
          <w:highlight w:val="none"/>
        </w:rPr>
        <w:t>九、技术响应偏离表</w:t>
      </w:r>
      <w:bookmarkEnd w:id="444"/>
      <w:bookmarkEnd w:id="445"/>
    </w:p>
    <w:p w14:paraId="67D78106">
      <w:pPr>
        <w:spacing w:line="360" w:lineRule="auto"/>
        <w:rPr>
          <w:color w:val="auto"/>
          <w:highlight w:val="none"/>
        </w:rPr>
      </w:pPr>
      <w:r>
        <w:rPr>
          <w:rFonts w:hint="eastAsia"/>
          <w:color w:val="auto"/>
          <w:highlight w:val="none"/>
        </w:rPr>
        <w:t xml:space="preserve">项目名称：                                         </w:t>
      </w:r>
    </w:p>
    <w:p w14:paraId="39CCF1AB">
      <w:pPr>
        <w:spacing w:line="360" w:lineRule="auto"/>
        <w:rPr>
          <w:color w:val="auto"/>
          <w:highlight w:val="none"/>
        </w:rPr>
      </w:pPr>
      <w:r>
        <w:rPr>
          <w:rFonts w:hint="eastAsia"/>
          <w:color w:val="auto"/>
          <w:highlight w:val="none"/>
        </w:rPr>
        <w:t>项目编号</w:t>
      </w:r>
      <w:r>
        <w:rPr>
          <w:rFonts w:hint="eastAsia"/>
          <w:bCs/>
          <w:color w:val="auto"/>
          <w:szCs w:val="21"/>
          <w:highlight w:val="none"/>
        </w:rPr>
        <w:t>/</w:t>
      </w:r>
      <w:r>
        <w:rPr>
          <w:rFonts w:hint="eastAsia"/>
          <w:bCs/>
          <w:color w:val="auto"/>
          <w:szCs w:val="21"/>
          <w:highlight w:val="none"/>
          <w:lang w:val="zh-CN"/>
        </w:rPr>
        <w:t>包号</w:t>
      </w:r>
      <w:r>
        <w:rPr>
          <w:rFonts w:hint="eastAsia"/>
          <w:color w:val="auto"/>
          <w:highlight w:val="none"/>
        </w:rPr>
        <w:t xml:space="preserve">：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976"/>
        <w:gridCol w:w="1758"/>
        <w:gridCol w:w="2157"/>
        <w:gridCol w:w="1937"/>
      </w:tblGrid>
      <w:tr w14:paraId="4823E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42F6F349">
            <w:pPr>
              <w:pStyle w:val="52"/>
              <w:jc w:val="center"/>
              <w:rPr>
                <w:rFonts w:cs="宋体"/>
                <w:color w:val="auto"/>
                <w:sz w:val="21"/>
                <w:szCs w:val="21"/>
                <w:highlight w:val="none"/>
              </w:rPr>
            </w:pPr>
            <w:r>
              <w:rPr>
                <w:rFonts w:hint="eastAsia" w:cs="宋体"/>
                <w:color w:val="auto"/>
                <w:sz w:val="21"/>
                <w:szCs w:val="21"/>
                <w:highlight w:val="none"/>
              </w:rPr>
              <w:t>序号</w:t>
            </w:r>
          </w:p>
        </w:tc>
        <w:tc>
          <w:tcPr>
            <w:tcW w:w="1159" w:type="pct"/>
            <w:vAlign w:val="center"/>
          </w:tcPr>
          <w:p w14:paraId="11334274">
            <w:pPr>
              <w:pStyle w:val="52"/>
              <w:jc w:val="center"/>
              <w:rPr>
                <w:rFonts w:cs="宋体"/>
                <w:color w:val="auto"/>
                <w:sz w:val="21"/>
                <w:szCs w:val="21"/>
                <w:highlight w:val="none"/>
              </w:rPr>
            </w:pPr>
            <w:r>
              <w:rPr>
                <w:rFonts w:hint="eastAsia" w:cs="宋体"/>
                <w:color w:val="auto"/>
                <w:sz w:val="21"/>
                <w:szCs w:val="21"/>
                <w:highlight w:val="none"/>
              </w:rPr>
              <w:t>招标文件技术</w:t>
            </w:r>
          </w:p>
          <w:p w14:paraId="5E026340">
            <w:pPr>
              <w:pStyle w:val="52"/>
              <w:jc w:val="center"/>
              <w:rPr>
                <w:rFonts w:cs="宋体"/>
                <w:color w:val="auto"/>
                <w:sz w:val="21"/>
                <w:szCs w:val="21"/>
                <w:highlight w:val="none"/>
              </w:rPr>
            </w:pPr>
            <w:r>
              <w:rPr>
                <w:rFonts w:hint="eastAsia" w:cs="宋体"/>
                <w:color w:val="auto"/>
                <w:sz w:val="21"/>
                <w:szCs w:val="21"/>
                <w:highlight w:val="none"/>
              </w:rPr>
              <w:t>要求条款</w:t>
            </w:r>
          </w:p>
        </w:tc>
        <w:tc>
          <w:tcPr>
            <w:tcW w:w="1031" w:type="pct"/>
            <w:vAlign w:val="center"/>
          </w:tcPr>
          <w:p w14:paraId="0780703E">
            <w:pPr>
              <w:pStyle w:val="52"/>
              <w:jc w:val="center"/>
              <w:rPr>
                <w:rFonts w:cs="宋体"/>
                <w:color w:val="auto"/>
                <w:sz w:val="21"/>
                <w:szCs w:val="21"/>
                <w:highlight w:val="none"/>
              </w:rPr>
            </w:pPr>
            <w:r>
              <w:rPr>
                <w:rFonts w:hint="eastAsia" w:cs="宋体"/>
                <w:color w:val="auto"/>
                <w:sz w:val="21"/>
                <w:szCs w:val="21"/>
                <w:highlight w:val="none"/>
              </w:rPr>
              <w:t>投标文件内容</w:t>
            </w:r>
          </w:p>
          <w:p w14:paraId="0BB98A56">
            <w:pPr>
              <w:pStyle w:val="52"/>
              <w:jc w:val="center"/>
              <w:rPr>
                <w:rFonts w:cs="宋体"/>
                <w:color w:val="auto"/>
                <w:sz w:val="21"/>
                <w:szCs w:val="21"/>
                <w:highlight w:val="none"/>
              </w:rPr>
            </w:pPr>
            <w:r>
              <w:rPr>
                <w:rFonts w:hint="eastAsia" w:cs="宋体"/>
                <w:color w:val="auto"/>
                <w:sz w:val="21"/>
                <w:szCs w:val="21"/>
                <w:highlight w:val="none"/>
              </w:rPr>
              <w:t>对应简述</w:t>
            </w:r>
          </w:p>
        </w:tc>
        <w:tc>
          <w:tcPr>
            <w:tcW w:w="1265" w:type="pct"/>
            <w:vAlign w:val="center"/>
          </w:tcPr>
          <w:p w14:paraId="684C244D">
            <w:pPr>
              <w:pStyle w:val="52"/>
              <w:jc w:val="center"/>
              <w:rPr>
                <w:rFonts w:cs="宋体"/>
                <w:color w:val="auto"/>
                <w:sz w:val="21"/>
                <w:szCs w:val="21"/>
                <w:highlight w:val="none"/>
              </w:rPr>
            </w:pPr>
            <w:r>
              <w:rPr>
                <w:rFonts w:hint="eastAsia" w:cs="宋体"/>
                <w:color w:val="auto"/>
                <w:sz w:val="21"/>
                <w:szCs w:val="21"/>
                <w:highlight w:val="none"/>
              </w:rPr>
              <w:t>响应情况</w:t>
            </w:r>
          </w:p>
        </w:tc>
        <w:tc>
          <w:tcPr>
            <w:tcW w:w="1136" w:type="pct"/>
            <w:vAlign w:val="center"/>
          </w:tcPr>
          <w:p w14:paraId="12C4B346">
            <w:pPr>
              <w:pStyle w:val="52"/>
              <w:jc w:val="center"/>
              <w:rPr>
                <w:rFonts w:cs="宋体"/>
                <w:color w:val="auto"/>
                <w:sz w:val="21"/>
                <w:szCs w:val="21"/>
                <w:highlight w:val="none"/>
              </w:rPr>
            </w:pPr>
            <w:r>
              <w:rPr>
                <w:rFonts w:hint="eastAsia" w:cs="宋体"/>
                <w:color w:val="auto"/>
                <w:sz w:val="21"/>
                <w:szCs w:val="21"/>
                <w:highlight w:val="none"/>
              </w:rPr>
              <w:t>证明资料及索引</w:t>
            </w:r>
          </w:p>
        </w:tc>
      </w:tr>
      <w:tr w14:paraId="1BDC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6927CB42">
            <w:pPr>
              <w:pStyle w:val="52"/>
              <w:jc w:val="center"/>
              <w:rPr>
                <w:rFonts w:cs="宋体"/>
                <w:color w:val="auto"/>
                <w:sz w:val="21"/>
                <w:szCs w:val="21"/>
                <w:highlight w:val="none"/>
              </w:rPr>
            </w:pPr>
            <w:r>
              <w:rPr>
                <w:rFonts w:hint="eastAsia" w:cs="宋体"/>
                <w:color w:val="auto"/>
                <w:sz w:val="21"/>
                <w:szCs w:val="21"/>
                <w:highlight w:val="none"/>
              </w:rPr>
              <w:t>1</w:t>
            </w:r>
          </w:p>
        </w:tc>
        <w:tc>
          <w:tcPr>
            <w:tcW w:w="1159" w:type="pct"/>
            <w:vAlign w:val="center"/>
          </w:tcPr>
          <w:p w14:paraId="1F82532B">
            <w:pPr>
              <w:pStyle w:val="52"/>
              <w:jc w:val="center"/>
              <w:rPr>
                <w:rFonts w:cs="宋体"/>
                <w:color w:val="auto"/>
                <w:sz w:val="21"/>
                <w:szCs w:val="21"/>
                <w:highlight w:val="none"/>
              </w:rPr>
            </w:pPr>
            <w:r>
              <w:rPr>
                <w:rFonts w:hint="eastAsia" w:cs="宋体"/>
                <w:color w:val="auto"/>
                <w:sz w:val="21"/>
                <w:szCs w:val="21"/>
                <w:highlight w:val="none"/>
              </w:rPr>
              <w:t>********</w:t>
            </w:r>
          </w:p>
        </w:tc>
        <w:tc>
          <w:tcPr>
            <w:tcW w:w="1031" w:type="pct"/>
            <w:vAlign w:val="center"/>
          </w:tcPr>
          <w:p w14:paraId="2E6BE34F">
            <w:pPr>
              <w:pStyle w:val="52"/>
              <w:jc w:val="center"/>
              <w:rPr>
                <w:rFonts w:cs="宋体"/>
                <w:color w:val="auto"/>
                <w:sz w:val="21"/>
                <w:szCs w:val="21"/>
                <w:highlight w:val="none"/>
              </w:rPr>
            </w:pPr>
            <w:r>
              <w:rPr>
                <w:rFonts w:hint="eastAsia" w:cs="宋体"/>
                <w:color w:val="auto"/>
                <w:sz w:val="21"/>
                <w:szCs w:val="21"/>
                <w:highlight w:val="none"/>
              </w:rPr>
              <w:t>******</w:t>
            </w:r>
          </w:p>
        </w:tc>
        <w:tc>
          <w:tcPr>
            <w:tcW w:w="1265" w:type="pct"/>
            <w:vAlign w:val="center"/>
          </w:tcPr>
          <w:p w14:paraId="7379A028">
            <w:pPr>
              <w:pStyle w:val="52"/>
              <w:jc w:val="center"/>
              <w:rPr>
                <w:rFonts w:cs="宋体"/>
                <w:color w:val="auto"/>
                <w:sz w:val="21"/>
                <w:szCs w:val="21"/>
                <w:highlight w:val="none"/>
              </w:rPr>
            </w:pPr>
            <w:r>
              <w:rPr>
                <w:rFonts w:hint="eastAsia" w:cs="宋体"/>
                <w:color w:val="auto"/>
                <w:sz w:val="21"/>
                <w:szCs w:val="21"/>
                <w:highlight w:val="none"/>
              </w:rPr>
              <w:t>响应/正偏离/负偏离</w:t>
            </w:r>
          </w:p>
        </w:tc>
        <w:tc>
          <w:tcPr>
            <w:tcW w:w="1136" w:type="pct"/>
            <w:vAlign w:val="center"/>
          </w:tcPr>
          <w:p w14:paraId="20F52D59">
            <w:pPr>
              <w:pStyle w:val="52"/>
              <w:jc w:val="center"/>
              <w:rPr>
                <w:rFonts w:cs="宋体"/>
                <w:color w:val="auto"/>
                <w:sz w:val="21"/>
                <w:szCs w:val="21"/>
                <w:highlight w:val="none"/>
              </w:rPr>
            </w:pPr>
          </w:p>
        </w:tc>
      </w:tr>
      <w:tr w14:paraId="77824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45C7B9B9">
            <w:pPr>
              <w:pStyle w:val="52"/>
              <w:jc w:val="center"/>
              <w:rPr>
                <w:rFonts w:cs="宋体"/>
                <w:color w:val="auto"/>
                <w:sz w:val="21"/>
                <w:szCs w:val="21"/>
                <w:highlight w:val="none"/>
              </w:rPr>
            </w:pPr>
            <w:r>
              <w:rPr>
                <w:rFonts w:hint="eastAsia" w:cs="宋体"/>
                <w:color w:val="auto"/>
                <w:sz w:val="21"/>
                <w:szCs w:val="21"/>
                <w:highlight w:val="none"/>
              </w:rPr>
              <w:t>2</w:t>
            </w:r>
          </w:p>
        </w:tc>
        <w:tc>
          <w:tcPr>
            <w:tcW w:w="1159" w:type="pct"/>
            <w:vAlign w:val="center"/>
          </w:tcPr>
          <w:p w14:paraId="6072CC7D">
            <w:pPr>
              <w:pStyle w:val="52"/>
              <w:jc w:val="center"/>
              <w:rPr>
                <w:rFonts w:cs="宋体"/>
                <w:color w:val="auto"/>
                <w:sz w:val="21"/>
                <w:szCs w:val="21"/>
                <w:highlight w:val="none"/>
              </w:rPr>
            </w:pPr>
            <w:r>
              <w:rPr>
                <w:rFonts w:hint="eastAsia" w:cs="宋体"/>
                <w:color w:val="auto"/>
                <w:sz w:val="21"/>
                <w:szCs w:val="21"/>
                <w:highlight w:val="none"/>
              </w:rPr>
              <w:t>********</w:t>
            </w:r>
          </w:p>
        </w:tc>
        <w:tc>
          <w:tcPr>
            <w:tcW w:w="1031" w:type="pct"/>
            <w:vAlign w:val="center"/>
          </w:tcPr>
          <w:p w14:paraId="62F2982C">
            <w:pPr>
              <w:pStyle w:val="52"/>
              <w:jc w:val="center"/>
              <w:rPr>
                <w:rFonts w:cs="宋体"/>
                <w:color w:val="auto"/>
                <w:sz w:val="21"/>
                <w:szCs w:val="21"/>
                <w:highlight w:val="none"/>
              </w:rPr>
            </w:pPr>
            <w:r>
              <w:rPr>
                <w:rFonts w:hint="eastAsia" w:cs="宋体"/>
                <w:color w:val="auto"/>
                <w:sz w:val="21"/>
                <w:szCs w:val="21"/>
                <w:highlight w:val="none"/>
              </w:rPr>
              <w:t>******</w:t>
            </w:r>
          </w:p>
        </w:tc>
        <w:tc>
          <w:tcPr>
            <w:tcW w:w="1265" w:type="pct"/>
            <w:vAlign w:val="center"/>
          </w:tcPr>
          <w:p w14:paraId="06B90DD8">
            <w:pPr>
              <w:pStyle w:val="52"/>
              <w:jc w:val="center"/>
              <w:rPr>
                <w:rFonts w:cs="宋体"/>
                <w:color w:val="auto"/>
                <w:sz w:val="21"/>
                <w:szCs w:val="21"/>
                <w:highlight w:val="none"/>
              </w:rPr>
            </w:pPr>
            <w:r>
              <w:rPr>
                <w:rFonts w:hint="eastAsia" w:cs="宋体"/>
                <w:color w:val="auto"/>
                <w:sz w:val="21"/>
                <w:szCs w:val="21"/>
                <w:highlight w:val="none"/>
              </w:rPr>
              <w:t>响应/正偏离/负偏离</w:t>
            </w:r>
          </w:p>
        </w:tc>
        <w:tc>
          <w:tcPr>
            <w:tcW w:w="1136" w:type="pct"/>
            <w:vAlign w:val="center"/>
          </w:tcPr>
          <w:p w14:paraId="4E554E8C">
            <w:pPr>
              <w:pStyle w:val="52"/>
              <w:jc w:val="center"/>
              <w:rPr>
                <w:rFonts w:cs="宋体"/>
                <w:color w:val="auto"/>
                <w:sz w:val="21"/>
                <w:szCs w:val="21"/>
                <w:highlight w:val="none"/>
              </w:rPr>
            </w:pPr>
          </w:p>
        </w:tc>
      </w:tr>
      <w:tr w14:paraId="5E962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shd w:val="clear" w:color="auto" w:fill="auto"/>
            <w:vAlign w:val="center"/>
          </w:tcPr>
          <w:p w14:paraId="1EEF10CE">
            <w:pPr>
              <w:pStyle w:val="52"/>
              <w:jc w:val="center"/>
              <w:rPr>
                <w:rFonts w:cs="宋体"/>
                <w:color w:val="auto"/>
                <w:sz w:val="21"/>
                <w:szCs w:val="21"/>
                <w:highlight w:val="none"/>
              </w:rPr>
            </w:pPr>
            <w:r>
              <w:rPr>
                <w:rFonts w:hint="eastAsia" w:cs="宋体"/>
                <w:color w:val="auto"/>
                <w:sz w:val="21"/>
                <w:szCs w:val="21"/>
                <w:highlight w:val="none"/>
              </w:rPr>
              <w:t>3</w:t>
            </w:r>
          </w:p>
        </w:tc>
        <w:tc>
          <w:tcPr>
            <w:tcW w:w="1159" w:type="pct"/>
            <w:shd w:val="clear" w:color="auto" w:fill="auto"/>
            <w:vAlign w:val="center"/>
          </w:tcPr>
          <w:p w14:paraId="31288EB7">
            <w:pPr>
              <w:pStyle w:val="52"/>
              <w:jc w:val="center"/>
              <w:rPr>
                <w:rFonts w:cs="宋体"/>
                <w:color w:val="auto"/>
                <w:sz w:val="21"/>
                <w:szCs w:val="21"/>
                <w:highlight w:val="none"/>
              </w:rPr>
            </w:pPr>
            <w:r>
              <w:rPr>
                <w:rFonts w:hint="eastAsia" w:cs="宋体"/>
                <w:color w:val="auto"/>
                <w:sz w:val="21"/>
                <w:szCs w:val="21"/>
                <w:highlight w:val="none"/>
              </w:rPr>
              <w:t>********</w:t>
            </w:r>
          </w:p>
        </w:tc>
        <w:tc>
          <w:tcPr>
            <w:tcW w:w="1031" w:type="pct"/>
            <w:shd w:val="clear" w:color="auto" w:fill="auto"/>
            <w:vAlign w:val="center"/>
          </w:tcPr>
          <w:p w14:paraId="091CDC14">
            <w:pPr>
              <w:pStyle w:val="52"/>
              <w:jc w:val="center"/>
              <w:rPr>
                <w:rFonts w:cs="宋体"/>
                <w:color w:val="auto"/>
                <w:sz w:val="21"/>
                <w:szCs w:val="21"/>
                <w:highlight w:val="none"/>
              </w:rPr>
            </w:pPr>
            <w:r>
              <w:rPr>
                <w:rFonts w:hint="eastAsia" w:cs="宋体"/>
                <w:color w:val="auto"/>
                <w:sz w:val="21"/>
                <w:szCs w:val="21"/>
                <w:highlight w:val="none"/>
              </w:rPr>
              <w:t>******</w:t>
            </w:r>
          </w:p>
        </w:tc>
        <w:tc>
          <w:tcPr>
            <w:tcW w:w="1265" w:type="pct"/>
            <w:shd w:val="clear" w:color="auto" w:fill="auto"/>
            <w:vAlign w:val="center"/>
          </w:tcPr>
          <w:p w14:paraId="60DDD206">
            <w:pPr>
              <w:pStyle w:val="52"/>
              <w:jc w:val="center"/>
              <w:rPr>
                <w:rFonts w:cs="宋体"/>
                <w:color w:val="auto"/>
                <w:sz w:val="21"/>
                <w:szCs w:val="21"/>
                <w:highlight w:val="none"/>
              </w:rPr>
            </w:pPr>
            <w:r>
              <w:rPr>
                <w:rFonts w:hint="eastAsia" w:cs="宋体"/>
                <w:color w:val="auto"/>
                <w:sz w:val="21"/>
                <w:szCs w:val="21"/>
                <w:highlight w:val="none"/>
              </w:rPr>
              <w:t>响应/正偏离/负偏离</w:t>
            </w:r>
          </w:p>
        </w:tc>
        <w:tc>
          <w:tcPr>
            <w:tcW w:w="1136" w:type="pct"/>
            <w:vAlign w:val="center"/>
          </w:tcPr>
          <w:p w14:paraId="1FCC7924">
            <w:pPr>
              <w:pStyle w:val="52"/>
              <w:jc w:val="center"/>
              <w:rPr>
                <w:rFonts w:cs="宋体"/>
                <w:color w:val="auto"/>
                <w:sz w:val="21"/>
                <w:szCs w:val="21"/>
                <w:highlight w:val="none"/>
              </w:rPr>
            </w:pPr>
          </w:p>
        </w:tc>
      </w:tr>
      <w:tr w14:paraId="4FD60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5D86C522">
            <w:pPr>
              <w:pStyle w:val="52"/>
              <w:jc w:val="center"/>
              <w:rPr>
                <w:rFonts w:cs="宋体"/>
                <w:color w:val="auto"/>
                <w:sz w:val="21"/>
                <w:szCs w:val="21"/>
                <w:highlight w:val="none"/>
              </w:rPr>
            </w:pPr>
          </w:p>
        </w:tc>
        <w:tc>
          <w:tcPr>
            <w:tcW w:w="1159" w:type="pct"/>
            <w:vAlign w:val="center"/>
          </w:tcPr>
          <w:p w14:paraId="7C774F6E">
            <w:pPr>
              <w:pStyle w:val="52"/>
              <w:jc w:val="center"/>
              <w:rPr>
                <w:rFonts w:cs="宋体"/>
                <w:color w:val="auto"/>
                <w:sz w:val="21"/>
                <w:szCs w:val="21"/>
                <w:highlight w:val="none"/>
              </w:rPr>
            </w:pPr>
          </w:p>
        </w:tc>
        <w:tc>
          <w:tcPr>
            <w:tcW w:w="1031" w:type="pct"/>
            <w:vAlign w:val="center"/>
          </w:tcPr>
          <w:p w14:paraId="3A90A272">
            <w:pPr>
              <w:pStyle w:val="52"/>
              <w:jc w:val="center"/>
              <w:rPr>
                <w:rFonts w:cs="宋体"/>
                <w:color w:val="auto"/>
                <w:sz w:val="21"/>
                <w:szCs w:val="21"/>
                <w:highlight w:val="none"/>
              </w:rPr>
            </w:pPr>
          </w:p>
        </w:tc>
        <w:tc>
          <w:tcPr>
            <w:tcW w:w="1265" w:type="pct"/>
            <w:vAlign w:val="center"/>
          </w:tcPr>
          <w:p w14:paraId="0E319215">
            <w:pPr>
              <w:pStyle w:val="52"/>
              <w:jc w:val="center"/>
              <w:rPr>
                <w:rFonts w:cs="宋体"/>
                <w:color w:val="auto"/>
                <w:sz w:val="21"/>
                <w:szCs w:val="21"/>
                <w:highlight w:val="none"/>
              </w:rPr>
            </w:pPr>
          </w:p>
        </w:tc>
        <w:tc>
          <w:tcPr>
            <w:tcW w:w="1136" w:type="pct"/>
            <w:vAlign w:val="center"/>
          </w:tcPr>
          <w:p w14:paraId="0D9AAA5A">
            <w:pPr>
              <w:pStyle w:val="52"/>
              <w:jc w:val="center"/>
              <w:rPr>
                <w:rFonts w:cs="宋体"/>
                <w:color w:val="auto"/>
                <w:sz w:val="21"/>
                <w:szCs w:val="21"/>
                <w:highlight w:val="none"/>
              </w:rPr>
            </w:pPr>
          </w:p>
        </w:tc>
      </w:tr>
      <w:tr w14:paraId="5ABB6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6E87E8EA">
            <w:pPr>
              <w:pStyle w:val="52"/>
              <w:jc w:val="center"/>
              <w:rPr>
                <w:rFonts w:cs="宋体"/>
                <w:color w:val="auto"/>
                <w:sz w:val="21"/>
                <w:szCs w:val="21"/>
                <w:highlight w:val="none"/>
              </w:rPr>
            </w:pPr>
          </w:p>
        </w:tc>
        <w:tc>
          <w:tcPr>
            <w:tcW w:w="1159" w:type="pct"/>
            <w:vAlign w:val="center"/>
          </w:tcPr>
          <w:p w14:paraId="2BA9E957">
            <w:pPr>
              <w:pStyle w:val="52"/>
              <w:jc w:val="center"/>
              <w:rPr>
                <w:rFonts w:cs="宋体"/>
                <w:color w:val="auto"/>
                <w:sz w:val="21"/>
                <w:szCs w:val="21"/>
                <w:highlight w:val="none"/>
              </w:rPr>
            </w:pPr>
          </w:p>
        </w:tc>
        <w:tc>
          <w:tcPr>
            <w:tcW w:w="1031" w:type="pct"/>
            <w:vAlign w:val="center"/>
          </w:tcPr>
          <w:p w14:paraId="3B4E6533">
            <w:pPr>
              <w:pStyle w:val="52"/>
              <w:jc w:val="center"/>
              <w:rPr>
                <w:rFonts w:cs="宋体"/>
                <w:color w:val="auto"/>
                <w:sz w:val="21"/>
                <w:szCs w:val="21"/>
                <w:highlight w:val="none"/>
              </w:rPr>
            </w:pPr>
          </w:p>
        </w:tc>
        <w:tc>
          <w:tcPr>
            <w:tcW w:w="1265" w:type="pct"/>
            <w:vAlign w:val="center"/>
          </w:tcPr>
          <w:p w14:paraId="022079C8">
            <w:pPr>
              <w:pStyle w:val="52"/>
              <w:jc w:val="center"/>
              <w:rPr>
                <w:rFonts w:cs="宋体"/>
                <w:color w:val="auto"/>
                <w:sz w:val="21"/>
                <w:szCs w:val="21"/>
                <w:highlight w:val="none"/>
              </w:rPr>
            </w:pPr>
          </w:p>
        </w:tc>
        <w:tc>
          <w:tcPr>
            <w:tcW w:w="1136" w:type="pct"/>
            <w:vAlign w:val="center"/>
          </w:tcPr>
          <w:p w14:paraId="00836C8C">
            <w:pPr>
              <w:pStyle w:val="52"/>
              <w:jc w:val="center"/>
              <w:rPr>
                <w:rFonts w:cs="宋体"/>
                <w:color w:val="auto"/>
                <w:sz w:val="21"/>
                <w:szCs w:val="21"/>
                <w:highlight w:val="none"/>
              </w:rPr>
            </w:pPr>
          </w:p>
        </w:tc>
      </w:tr>
      <w:tr w14:paraId="12DA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23A35C9A">
            <w:pPr>
              <w:pStyle w:val="52"/>
              <w:jc w:val="center"/>
              <w:rPr>
                <w:rFonts w:cs="宋体"/>
                <w:color w:val="auto"/>
                <w:sz w:val="21"/>
                <w:szCs w:val="21"/>
                <w:highlight w:val="none"/>
              </w:rPr>
            </w:pPr>
          </w:p>
        </w:tc>
        <w:tc>
          <w:tcPr>
            <w:tcW w:w="1159" w:type="pct"/>
            <w:vAlign w:val="center"/>
          </w:tcPr>
          <w:p w14:paraId="072BC5F5">
            <w:pPr>
              <w:pStyle w:val="52"/>
              <w:jc w:val="center"/>
              <w:rPr>
                <w:rFonts w:cs="宋体"/>
                <w:color w:val="auto"/>
                <w:sz w:val="21"/>
                <w:szCs w:val="21"/>
                <w:highlight w:val="none"/>
              </w:rPr>
            </w:pPr>
          </w:p>
        </w:tc>
        <w:tc>
          <w:tcPr>
            <w:tcW w:w="1031" w:type="pct"/>
            <w:vAlign w:val="center"/>
          </w:tcPr>
          <w:p w14:paraId="62F9253F">
            <w:pPr>
              <w:pStyle w:val="52"/>
              <w:jc w:val="center"/>
              <w:rPr>
                <w:rFonts w:cs="宋体"/>
                <w:color w:val="auto"/>
                <w:sz w:val="21"/>
                <w:szCs w:val="21"/>
                <w:highlight w:val="none"/>
              </w:rPr>
            </w:pPr>
          </w:p>
        </w:tc>
        <w:tc>
          <w:tcPr>
            <w:tcW w:w="1265" w:type="pct"/>
            <w:vAlign w:val="center"/>
          </w:tcPr>
          <w:p w14:paraId="0FF9796F">
            <w:pPr>
              <w:pStyle w:val="52"/>
              <w:jc w:val="center"/>
              <w:rPr>
                <w:rFonts w:cs="宋体"/>
                <w:color w:val="auto"/>
                <w:sz w:val="21"/>
                <w:szCs w:val="21"/>
                <w:highlight w:val="none"/>
              </w:rPr>
            </w:pPr>
          </w:p>
        </w:tc>
        <w:tc>
          <w:tcPr>
            <w:tcW w:w="1136" w:type="pct"/>
            <w:vAlign w:val="center"/>
          </w:tcPr>
          <w:p w14:paraId="46DA0D1D">
            <w:pPr>
              <w:pStyle w:val="52"/>
              <w:jc w:val="center"/>
              <w:rPr>
                <w:rFonts w:cs="宋体"/>
                <w:color w:val="auto"/>
                <w:sz w:val="21"/>
                <w:szCs w:val="21"/>
                <w:highlight w:val="none"/>
              </w:rPr>
            </w:pPr>
          </w:p>
        </w:tc>
      </w:tr>
      <w:tr w14:paraId="6BB7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2834CA04">
            <w:pPr>
              <w:pStyle w:val="52"/>
              <w:jc w:val="center"/>
              <w:rPr>
                <w:rFonts w:cs="宋体"/>
                <w:color w:val="auto"/>
                <w:sz w:val="21"/>
                <w:szCs w:val="21"/>
                <w:highlight w:val="none"/>
              </w:rPr>
            </w:pPr>
          </w:p>
        </w:tc>
        <w:tc>
          <w:tcPr>
            <w:tcW w:w="1159" w:type="pct"/>
            <w:vAlign w:val="center"/>
          </w:tcPr>
          <w:p w14:paraId="51ECA291">
            <w:pPr>
              <w:pStyle w:val="52"/>
              <w:jc w:val="center"/>
              <w:rPr>
                <w:rFonts w:cs="宋体"/>
                <w:color w:val="auto"/>
                <w:sz w:val="21"/>
                <w:szCs w:val="21"/>
                <w:highlight w:val="none"/>
              </w:rPr>
            </w:pPr>
          </w:p>
        </w:tc>
        <w:tc>
          <w:tcPr>
            <w:tcW w:w="1031" w:type="pct"/>
            <w:vAlign w:val="center"/>
          </w:tcPr>
          <w:p w14:paraId="0C2839EB">
            <w:pPr>
              <w:pStyle w:val="52"/>
              <w:jc w:val="center"/>
              <w:rPr>
                <w:rFonts w:cs="宋体"/>
                <w:color w:val="auto"/>
                <w:sz w:val="21"/>
                <w:szCs w:val="21"/>
                <w:highlight w:val="none"/>
              </w:rPr>
            </w:pPr>
          </w:p>
        </w:tc>
        <w:tc>
          <w:tcPr>
            <w:tcW w:w="1265" w:type="pct"/>
            <w:vAlign w:val="center"/>
          </w:tcPr>
          <w:p w14:paraId="720FB48D">
            <w:pPr>
              <w:pStyle w:val="52"/>
              <w:jc w:val="center"/>
              <w:rPr>
                <w:rFonts w:cs="宋体"/>
                <w:color w:val="auto"/>
                <w:sz w:val="21"/>
                <w:szCs w:val="21"/>
                <w:highlight w:val="none"/>
              </w:rPr>
            </w:pPr>
          </w:p>
        </w:tc>
        <w:tc>
          <w:tcPr>
            <w:tcW w:w="1136" w:type="pct"/>
            <w:vAlign w:val="center"/>
          </w:tcPr>
          <w:p w14:paraId="3763B71E">
            <w:pPr>
              <w:pStyle w:val="52"/>
              <w:jc w:val="center"/>
              <w:rPr>
                <w:rFonts w:cs="宋体"/>
                <w:color w:val="auto"/>
                <w:sz w:val="21"/>
                <w:szCs w:val="21"/>
                <w:highlight w:val="none"/>
              </w:rPr>
            </w:pPr>
          </w:p>
        </w:tc>
      </w:tr>
      <w:tr w14:paraId="56DF6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5" w:type="pct"/>
            <w:vAlign w:val="center"/>
          </w:tcPr>
          <w:p w14:paraId="411E2AF9">
            <w:pPr>
              <w:pStyle w:val="52"/>
              <w:jc w:val="center"/>
              <w:rPr>
                <w:rFonts w:cs="宋体"/>
                <w:color w:val="auto"/>
                <w:sz w:val="21"/>
                <w:szCs w:val="21"/>
                <w:highlight w:val="none"/>
              </w:rPr>
            </w:pPr>
            <w:r>
              <w:rPr>
                <w:rFonts w:hint="eastAsia" w:cs="宋体"/>
                <w:color w:val="auto"/>
                <w:sz w:val="21"/>
                <w:szCs w:val="21"/>
                <w:highlight w:val="none"/>
              </w:rPr>
              <w:t>……</w:t>
            </w:r>
          </w:p>
        </w:tc>
        <w:tc>
          <w:tcPr>
            <w:tcW w:w="1159" w:type="pct"/>
            <w:vAlign w:val="center"/>
          </w:tcPr>
          <w:p w14:paraId="2B6A307D">
            <w:pPr>
              <w:pStyle w:val="52"/>
              <w:jc w:val="center"/>
              <w:rPr>
                <w:rFonts w:cs="宋体"/>
                <w:color w:val="auto"/>
                <w:sz w:val="21"/>
                <w:szCs w:val="21"/>
                <w:highlight w:val="none"/>
              </w:rPr>
            </w:pPr>
            <w:r>
              <w:rPr>
                <w:rFonts w:hint="eastAsia" w:cs="宋体"/>
                <w:color w:val="auto"/>
                <w:sz w:val="21"/>
                <w:szCs w:val="21"/>
                <w:highlight w:val="none"/>
              </w:rPr>
              <w:t>…………</w:t>
            </w:r>
          </w:p>
        </w:tc>
        <w:tc>
          <w:tcPr>
            <w:tcW w:w="1031" w:type="pct"/>
            <w:vAlign w:val="center"/>
          </w:tcPr>
          <w:p w14:paraId="58B25C74">
            <w:pPr>
              <w:pStyle w:val="52"/>
              <w:jc w:val="center"/>
              <w:rPr>
                <w:rFonts w:cs="宋体"/>
                <w:color w:val="auto"/>
                <w:sz w:val="21"/>
                <w:szCs w:val="21"/>
                <w:highlight w:val="none"/>
              </w:rPr>
            </w:pPr>
            <w:r>
              <w:rPr>
                <w:rFonts w:hint="eastAsia" w:cs="宋体"/>
                <w:color w:val="auto"/>
                <w:sz w:val="21"/>
                <w:szCs w:val="21"/>
                <w:highlight w:val="none"/>
              </w:rPr>
              <w:t>………………</w:t>
            </w:r>
          </w:p>
        </w:tc>
        <w:tc>
          <w:tcPr>
            <w:tcW w:w="1265" w:type="pct"/>
            <w:vAlign w:val="center"/>
          </w:tcPr>
          <w:p w14:paraId="21DFAF1E">
            <w:pPr>
              <w:pStyle w:val="52"/>
              <w:jc w:val="center"/>
              <w:rPr>
                <w:rFonts w:cs="宋体"/>
                <w:color w:val="auto"/>
                <w:sz w:val="21"/>
                <w:szCs w:val="21"/>
                <w:highlight w:val="none"/>
              </w:rPr>
            </w:pPr>
            <w:r>
              <w:rPr>
                <w:rFonts w:hint="eastAsia" w:cs="宋体"/>
                <w:color w:val="auto"/>
                <w:sz w:val="21"/>
                <w:szCs w:val="21"/>
                <w:highlight w:val="none"/>
              </w:rPr>
              <w:t>…………</w:t>
            </w:r>
          </w:p>
        </w:tc>
        <w:tc>
          <w:tcPr>
            <w:tcW w:w="1136" w:type="pct"/>
            <w:vAlign w:val="center"/>
          </w:tcPr>
          <w:p w14:paraId="1411BBFD">
            <w:pPr>
              <w:pStyle w:val="52"/>
              <w:jc w:val="center"/>
              <w:rPr>
                <w:rFonts w:cs="宋体"/>
                <w:color w:val="auto"/>
                <w:sz w:val="21"/>
                <w:szCs w:val="21"/>
                <w:highlight w:val="none"/>
              </w:rPr>
            </w:pPr>
          </w:p>
        </w:tc>
      </w:tr>
    </w:tbl>
    <w:p w14:paraId="02F0DCDB">
      <w:pPr>
        <w:rPr>
          <w:color w:val="auto"/>
          <w:highlight w:val="none"/>
        </w:rPr>
      </w:pPr>
    </w:p>
    <w:p w14:paraId="2973F9BC">
      <w:pPr>
        <w:spacing w:line="360" w:lineRule="auto"/>
        <w:rPr>
          <w:color w:val="auto"/>
          <w:highlight w:val="none"/>
        </w:rPr>
      </w:pPr>
      <w:r>
        <w:rPr>
          <w:rFonts w:hint="eastAsia"/>
          <w:color w:val="auto"/>
          <w:highlight w:val="none"/>
        </w:rPr>
        <w:t>投标人名称（</w:t>
      </w:r>
      <w:r>
        <w:rPr>
          <w:rFonts w:hint="eastAsia" w:cs="宋体"/>
          <w:color w:val="auto"/>
          <w:kern w:val="0"/>
          <w:highlight w:val="none"/>
        </w:rPr>
        <w:t>公章）</w:t>
      </w:r>
      <w:r>
        <w:rPr>
          <w:rFonts w:hint="eastAsia"/>
          <w:color w:val="auto"/>
          <w:highlight w:val="none"/>
        </w:rPr>
        <w:t>：</w:t>
      </w:r>
    </w:p>
    <w:p w14:paraId="45EDBA1D">
      <w:pPr>
        <w:spacing w:line="360" w:lineRule="auto"/>
        <w:rPr>
          <w:color w:val="auto"/>
          <w:highlight w:val="none"/>
        </w:rPr>
      </w:pPr>
      <w:r>
        <w:rPr>
          <w:rFonts w:hint="eastAsia"/>
          <w:color w:val="auto"/>
          <w:highlight w:val="none"/>
        </w:rPr>
        <w:t>日      期：</w:t>
      </w:r>
    </w:p>
    <w:p w14:paraId="11914294">
      <w:pPr>
        <w:spacing w:line="360" w:lineRule="auto"/>
        <w:rPr>
          <w:color w:val="auto"/>
          <w:highlight w:val="none"/>
        </w:rPr>
      </w:pPr>
    </w:p>
    <w:p w14:paraId="68EB4978">
      <w:pPr>
        <w:spacing w:line="360" w:lineRule="auto"/>
        <w:rPr>
          <w:color w:val="auto"/>
          <w:szCs w:val="24"/>
          <w:highlight w:val="none"/>
        </w:rPr>
      </w:pPr>
      <w:r>
        <w:rPr>
          <w:rFonts w:hint="eastAsia"/>
          <w:color w:val="auto"/>
          <w:highlight w:val="none"/>
        </w:rPr>
        <w:t>注：投标人应按照招标文件“第三章 采购需求”中的技术要求填写：</w:t>
      </w:r>
    </w:p>
    <w:p w14:paraId="3E7D6868">
      <w:pPr>
        <w:spacing w:line="360" w:lineRule="auto"/>
        <w:rPr>
          <w:color w:val="auto"/>
          <w:highlight w:val="none"/>
        </w:rPr>
      </w:pPr>
      <w:r>
        <w:rPr>
          <w:rFonts w:hint="eastAsia"/>
          <w:color w:val="auto"/>
          <w:highlight w:val="none"/>
        </w:rPr>
        <w:t xml:space="preserve">1.“招标文件技术要求条款”栏应详细列明招标文件中的要求。 </w:t>
      </w:r>
    </w:p>
    <w:p w14:paraId="7746065F">
      <w:pPr>
        <w:spacing w:line="360" w:lineRule="auto"/>
        <w:rPr>
          <w:color w:val="auto"/>
          <w:highlight w:val="none"/>
        </w:rPr>
      </w:pPr>
      <w:r>
        <w:rPr>
          <w:rFonts w:hint="eastAsia"/>
          <w:color w:val="auto"/>
          <w:highlight w:val="none"/>
        </w:rPr>
        <w:t>2.“投标文件内容对应简述”栏填写投标人对招标文件提出的技术要求作出的明确响应，并列明具体响应数值或内容，只注明符合、满足等无具体内容表述的，将视为未实质性满足招标文件要求</w:t>
      </w:r>
      <w:r>
        <w:rPr>
          <w:color w:val="auto"/>
          <w:highlight w:val="none"/>
        </w:rPr>
        <w:t>，</w:t>
      </w:r>
      <w:r>
        <w:rPr>
          <w:rFonts w:hint="eastAsia"/>
          <w:b/>
          <w:bCs/>
          <w:color w:val="auto"/>
          <w:highlight w:val="none"/>
        </w:rPr>
        <w:t>投标</w:t>
      </w:r>
      <w:r>
        <w:rPr>
          <w:b/>
          <w:bCs/>
          <w:color w:val="auto"/>
          <w:highlight w:val="none"/>
        </w:rPr>
        <w:t>无效</w:t>
      </w:r>
      <w:r>
        <w:rPr>
          <w:rFonts w:hint="eastAsia"/>
          <w:color w:val="auto"/>
          <w:highlight w:val="none"/>
        </w:rPr>
        <w:t xml:space="preserve">。 </w:t>
      </w:r>
    </w:p>
    <w:p w14:paraId="3014B4CE">
      <w:pPr>
        <w:spacing w:line="360" w:lineRule="auto"/>
        <w:rPr>
          <w:color w:val="auto"/>
          <w:highlight w:val="none"/>
        </w:rPr>
      </w:pPr>
      <w:r>
        <w:rPr>
          <w:rFonts w:hint="eastAsia"/>
          <w:color w:val="auto"/>
          <w:highlight w:val="none"/>
        </w:rPr>
        <w:t xml:space="preserve">3.“响应情况”栏应据实填写“响应”、“正偏离”或“负偏离”。 </w:t>
      </w:r>
    </w:p>
    <w:p w14:paraId="3B901548">
      <w:pPr>
        <w:spacing w:line="360" w:lineRule="auto"/>
        <w:rPr>
          <w:color w:val="auto"/>
          <w:highlight w:val="none"/>
        </w:rPr>
      </w:pPr>
      <w:r>
        <w:rPr>
          <w:rFonts w:hint="eastAsia"/>
          <w:color w:val="auto"/>
          <w:highlight w:val="none"/>
        </w:rPr>
        <w:t>4.“证明资料及索引”栏可填写证明资料的具体内容及索引。</w:t>
      </w:r>
    </w:p>
    <w:p w14:paraId="025140D9">
      <w:pPr>
        <w:spacing w:line="360" w:lineRule="auto"/>
        <w:rPr>
          <w:color w:val="auto"/>
          <w:highlight w:val="none"/>
        </w:rPr>
      </w:pPr>
      <w:r>
        <w:rPr>
          <w:rFonts w:hint="eastAsia"/>
          <w:color w:val="auto"/>
          <w:highlight w:val="none"/>
        </w:rPr>
        <w:t>5.对招标文件中的所有技术要求，除本表所列明的所有偏离外，均视作供应商</w:t>
      </w:r>
      <w:r>
        <w:rPr>
          <w:color w:val="auto"/>
          <w:highlight w:val="none"/>
        </w:rPr>
        <w:t>已对之理解和响应。此表中若无任何文字说明，内容为空白的，</w:t>
      </w:r>
      <w:r>
        <w:rPr>
          <w:b/>
          <w:bCs/>
          <w:color w:val="auto"/>
          <w:highlight w:val="none"/>
        </w:rPr>
        <w:t>投标无效</w:t>
      </w:r>
      <w:r>
        <w:rPr>
          <w:color w:val="auto"/>
          <w:highlight w:val="none"/>
        </w:rPr>
        <w:t>。</w:t>
      </w:r>
    </w:p>
    <w:p w14:paraId="38551D01">
      <w:pPr>
        <w:spacing w:line="360" w:lineRule="auto"/>
        <w:rPr>
          <w:rFonts w:hint="eastAsia"/>
          <w:color w:val="auto"/>
          <w:highlight w:val="none"/>
        </w:rPr>
      </w:pPr>
      <w:r>
        <w:rPr>
          <w:rFonts w:hint="eastAsia"/>
          <w:color w:val="auto"/>
          <w:highlight w:val="none"/>
        </w:rPr>
        <w:t>6</w:t>
      </w:r>
      <w:r>
        <w:rPr>
          <w:color w:val="auto"/>
          <w:highlight w:val="none"/>
        </w:rPr>
        <w:t>.技术要求中明确提供相关材料的，必须按要求提供，否则视为负偏离。证明材料在本表后附。</w:t>
      </w:r>
    </w:p>
    <w:p w14:paraId="0AED6DA4">
      <w:pPr>
        <w:rPr>
          <w:rFonts w:asciiTheme="majorHAnsi" w:hAnsiTheme="majorHAnsi" w:cstheme="majorBidi"/>
          <w:b/>
          <w:bCs/>
          <w:color w:val="auto"/>
          <w:sz w:val="32"/>
          <w:szCs w:val="32"/>
          <w:highlight w:val="none"/>
        </w:rPr>
      </w:pPr>
      <w:bookmarkStart w:id="446" w:name="_Toc163492935"/>
      <w:r>
        <w:rPr>
          <w:color w:val="auto"/>
          <w:highlight w:val="none"/>
        </w:rPr>
        <w:br w:type="page"/>
      </w:r>
    </w:p>
    <w:p w14:paraId="7602E0C6">
      <w:pPr>
        <w:pStyle w:val="3"/>
        <w:rPr>
          <w:color w:val="auto"/>
          <w:highlight w:val="none"/>
        </w:rPr>
      </w:pPr>
      <w:bookmarkStart w:id="447" w:name="_Toc28608"/>
      <w:r>
        <w:rPr>
          <w:rFonts w:hint="eastAsia"/>
          <w:color w:val="auto"/>
          <w:highlight w:val="none"/>
        </w:rPr>
        <w:t>十、技术方案</w:t>
      </w:r>
      <w:bookmarkEnd w:id="446"/>
      <w:bookmarkEnd w:id="447"/>
    </w:p>
    <w:p w14:paraId="45057CAC">
      <w:pPr>
        <w:pStyle w:val="40"/>
        <w:spacing w:line="360" w:lineRule="auto"/>
        <w:rPr>
          <w:color w:val="auto"/>
          <w:highlight w:val="none"/>
        </w:rPr>
      </w:pPr>
      <w:r>
        <w:rPr>
          <w:rFonts w:hint="eastAsia"/>
          <w:color w:val="auto"/>
          <w:highlight w:val="none"/>
        </w:rPr>
        <w:t>投标人应按照招标文件的评审要求，提供详细的</w:t>
      </w:r>
      <w:r>
        <w:rPr>
          <w:rFonts w:hint="eastAsia"/>
          <w:color w:val="auto"/>
          <w:highlight w:val="none"/>
          <w:lang w:val="en-US"/>
        </w:rPr>
        <w:t>供货及相关</w:t>
      </w:r>
      <w:r>
        <w:rPr>
          <w:rFonts w:hint="eastAsia"/>
          <w:color w:val="auto"/>
          <w:highlight w:val="none"/>
        </w:rPr>
        <w:t>服务方案，包括文字描述或图表显示，具体内容详见商务技术评审标准。格式自拟。</w:t>
      </w:r>
    </w:p>
    <w:p w14:paraId="371F6913">
      <w:pPr>
        <w:pStyle w:val="40"/>
        <w:spacing w:line="360" w:lineRule="auto"/>
        <w:rPr>
          <w:color w:val="auto"/>
          <w:highlight w:val="none"/>
        </w:rPr>
      </w:pPr>
      <w:r>
        <w:rPr>
          <w:color w:val="auto"/>
          <w:highlight w:val="none"/>
        </w:rPr>
        <w:br w:type="page"/>
      </w:r>
    </w:p>
    <w:p w14:paraId="55F4B9C3">
      <w:pPr>
        <w:rPr>
          <w:color w:val="auto"/>
          <w:highlight w:val="none"/>
        </w:rPr>
      </w:pPr>
      <w:bookmarkStart w:id="448" w:name="_Toc163492936"/>
    </w:p>
    <w:p w14:paraId="53B81253">
      <w:pPr>
        <w:pStyle w:val="3"/>
        <w:rPr>
          <w:color w:val="auto"/>
          <w:highlight w:val="none"/>
        </w:rPr>
      </w:pPr>
      <w:bookmarkStart w:id="449" w:name="_Toc27293"/>
      <w:r>
        <w:rPr>
          <w:rFonts w:hint="eastAsia"/>
          <w:color w:val="auto"/>
          <w:highlight w:val="none"/>
        </w:rPr>
        <w:t>十一、其他文件</w:t>
      </w:r>
      <w:bookmarkEnd w:id="448"/>
      <w:bookmarkEnd w:id="449"/>
    </w:p>
    <w:p w14:paraId="3A5EF76A">
      <w:pPr>
        <w:pStyle w:val="40"/>
        <w:spacing w:line="360" w:lineRule="auto"/>
        <w:rPr>
          <w:color w:val="auto"/>
          <w:highlight w:val="none"/>
        </w:rPr>
      </w:pPr>
      <w:r>
        <w:rPr>
          <w:rFonts w:hint="eastAsia"/>
          <w:color w:val="auto"/>
          <w:highlight w:val="none"/>
        </w:rPr>
        <w:t>（</w:t>
      </w:r>
      <w:r>
        <w:rPr>
          <w:rFonts w:hint="eastAsia"/>
          <w:color w:val="auto"/>
          <w:highlight w:val="none"/>
          <w:lang w:val="en-US"/>
        </w:rPr>
        <w:t>一）</w:t>
      </w:r>
      <w:r>
        <w:rPr>
          <w:rFonts w:hint="eastAsia"/>
          <w:color w:val="auto"/>
          <w:highlight w:val="none"/>
        </w:rPr>
        <w:t>招标文件要求提供的其它商务、技术资料和证明材料；</w:t>
      </w:r>
    </w:p>
    <w:p w14:paraId="0ED3FCD5">
      <w:pPr>
        <w:pStyle w:val="40"/>
        <w:spacing w:line="360" w:lineRule="auto"/>
        <w:rPr>
          <w:color w:val="auto"/>
          <w:highlight w:val="none"/>
        </w:rPr>
      </w:pPr>
      <w:r>
        <w:rPr>
          <w:rFonts w:hint="eastAsia"/>
          <w:color w:val="auto"/>
          <w:highlight w:val="none"/>
        </w:rPr>
        <w:t>1.1供应商信息采集表</w:t>
      </w:r>
    </w:p>
    <w:tbl>
      <w:tblPr>
        <w:tblStyle w:val="33"/>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6CD1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31F7B28E">
            <w:pPr>
              <w:spacing w:line="360" w:lineRule="auto"/>
              <w:rPr>
                <w:color w:val="auto"/>
                <w:highlight w:val="none"/>
              </w:rPr>
            </w:pPr>
            <w:r>
              <w:rPr>
                <w:rFonts w:hint="eastAsia"/>
                <w:color w:val="auto"/>
                <w:highlight w:val="none"/>
                <w:lang w:bidi="ar"/>
              </w:rPr>
              <w:t>供应商名称</w:t>
            </w:r>
          </w:p>
        </w:tc>
        <w:tc>
          <w:tcPr>
            <w:tcW w:w="2841" w:type="dxa"/>
            <w:vAlign w:val="center"/>
          </w:tcPr>
          <w:p w14:paraId="76094A15">
            <w:pPr>
              <w:spacing w:line="360" w:lineRule="auto"/>
              <w:rPr>
                <w:color w:val="auto"/>
                <w:highlight w:val="none"/>
              </w:rPr>
            </w:pPr>
            <w:r>
              <w:rPr>
                <w:rFonts w:hint="eastAsia"/>
                <w:color w:val="auto"/>
                <w:highlight w:val="none"/>
                <w:lang w:bidi="ar"/>
              </w:rPr>
              <w:t>供应商实际控制人性别</w:t>
            </w:r>
          </w:p>
        </w:tc>
        <w:tc>
          <w:tcPr>
            <w:tcW w:w="2743" w:type="dxa"/>
            <w:vAlign w:val="center"/>
          </w:tcPr>
          <w:p w14:paraId="6DA76A77">
            <w:pPr>
              <w:spacing w:line="360" w:lineRule="auto"/>
              <w:rPr>
                <w:color w:val="auto"/>
                <w:highlight w:val="none"/>
              </w:rPr>
            </w:pPr>
            <w:r>
              <w:rPr>
                <w:rFonts w:hint="eastAsia"/>
                <w:color w:val="auto"/>
                <w:highlight w:val="none"/>
                <w:lang w:bidi="ar"/>
              </w:rPr>
              <w:t>外商投资类型</w:t>
            </w:r>
          </w:p>
        </w:tc>
      </w:tr>
      <w:tr w14:paraId="61525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1132AC55">
            <w:pPr>
              <w:pStyle w:val="40"/>
              <w:spacing w:line="360" w:lineRule="auto"/>
              <w:rPr>
                <w:color w:val="auto"/>
                <w:highlight w:val="none"/>
              </w:rPr>
            </w:pPr>
          </w:p>
        </w:tc>
        <w:tc>
          <w:tcPr>
            <w:tcW w:w="2841" w:type="dxa"/>
          </w:tcPr>
          <w:p w14:paraId="2F7B6083">
            <w:pPr>
              <w:pStyle w:val="40"/>
              <w:spacing w:line="360" w:lineRule="auto"/>
              <w:rPr>
                <w:color w:val="auto"/>
                <w:highlight w:val="none"/>
              </w:rPr>
            </w:pPr>
          </w:p>
        </w:tc>
        <w:tc>
          <w:tcPr>
            <w:tcW w:w="2743" w:type="dxa"/>
          </w:tcPr>
          <w:p w14:paraId="7B4E6112">
            <w:pPr>
              <w:pStyle w:val="40"/>
              <w:spacing w:line="360" w:lineRule="auto"/>
              <w:rPr>
                <w:color w:val="auto"/>
                <w:highlight w:val="none"/>
              </w:rPr>
            </w:pPr>
          </w:p>
        </w:tc>
      </w:tr>
      <w:tr w14:paraId="3E89E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78853BCC">
            <w:pPr>
              <w:pStyle w:val="40"/>
              <w:spacing w:line="360" w:lineRule="auto"/>
              <w:rPr>
                <w:color w:val="auto"/>
                <w:highlight w:val="none"/>
              </w:rPr>
            </w:pPr>
          </w:p>
        </w:tc>
        <w:tc>
          <w:tcPr>
            <w:tcW w:w="2841" w:type="dxa"/>
          </w:tcPr>
          <w:p w14:paraId="325AC42C">
            <w:pPr>
              <w:pStyle w:val="40"/>
              <w:spacing w:line="360" w:lineRule="auto"/>
              <w:rPr>
                <w:color w:val="auto"/>
                <w:highlight w:val="none"/>
              </w:rPr>
            </w:pPr>
          </w:p>
        </w:tc>
        <w:tc>
          <w:tcPr>
            <w:tcW w:w="2743" w:type="dxa"/>
          </w:tcPr>
          <w:p w14:paraId="757BBE73">
            <w:pPr>
              <w:pStyle w:val="40"/>
              <w:spacing w:line="360" w:lineRule="auto"/>
              <w:rPr>
                <w:color w:val="auto"/>
                <w:highlight w:val="none"/>
              </w:rPr>
            </w:pPr>
          </w:p>
        </w:tc>
      </w:tr>
      <w:tr w14:paraId="05940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5254BCB2">
            <w:pPr>
              <w:pStyle w:val="40"/>
              <w:spacing w:line="360" w:lineRule="auto"/>
              <w:rPr>
                <w:color w:val="auto"/>
                <w:highlight w:val="none"/>
              </w:rPr>
            </w:pPr>
          </w:p>
        </w:tc>
        <w:tc>
          <w:tcPr>
            <w:tcW w:w="2841" w:type="dxa"/>
          </w:tcPr>
          <w:p w14:paraId="3B8A7026">
            <w:pPr>
              <w:pStyle w:val="40"/>
              <w:spacing w:line="360" w:lineRule="auto"/>
              <w:rPr>
                <w:color w:val="auto"/>
                <w:highlight w:val="none"/>
              </w:rPr>
            </w:pPr>
          </w:p>
        </w:tc>
        <w:tc>
          <w:tcPr>
            <w:tcW w:w="2743" w:type="dxa"/>
          </w:tcPr>
          <w:p w14:paraId="60078FB7">
            <w:pPr>
              <w:pStyle w:val="40"/>
              <w:spacing w:line="360" w:lineRule="auto"/>
              <w:rPr>
                <w:color w:val="auto"/>
                <w:highlight w:val="none"/>
              </w:rPr>
            </w:pPr>
          </w:p>
        </w:tc>
      </w:tr>
      <w:tr w14:paraId="335D2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79C954AD">
            <w:pPr>
              <w:pStyle w:val="40"/>
              <w:spacing w:line="360" w:lineRule="auto"/>
              <w:rPr>
                <w:color w:val="auto"/>
                <w:highlight w:val="none"/>
              </w:rPr>
            </w:pPr>
          </w:p>
        </w:tc>
        <w:tc>
          <w:tcPr>
            <w:tcW w:w="2841" w:type="dxa"/>
          </w:tcPr>
          <w:p w14:paraId="464098D0">
            <w:pPr>
              <w:pStyle w:val="40"/>
              <w:spacing w:line="360" w:lineRule="auto"/>
              <w:rPr>
                <w:color w:val="auto"/>
                <w:highlight w:val="none"/>
              </w:rPr>
            </w:pPr>
          </w:p>
        </w:tc>
        <w:tc>
          <w:tcPr>
            <w:tcW w:w="2743" w:type="dxa"/>
          </w:tcPr>
          <w:p w14:paraId="7A052D5E">
            <w:pPr>
              <w:pStyle w:val="40"/>
              <w:spacing w:line="360" w:lineRule="auto"/>
              <w:rPr>
                <w:color w:val="auto"/>
                <w:highlight w:val="none"/>
              </w:rPr>
            </w:pPr>
          </w:p>
        </w:tc>
      </w:tr>
    </w:tbl>
    <w:p w14:paraId="5947F352">
      <w:pPr>
        <w:spacing w:line="360" w:lineRule="auto"/>
        <w:rPr>
          <w:color w:val="auto"/>
          <w:highlight w:val="none"/>
        </w:rPr>
      </w:pPr>
      <w:r>
        <w:rPr>
          <w:rFonts w:hint="eastAsia"/>
          <w:color w:val="auto"/>
          <w:highlight w:val="none"/>
          <w:lang w:bidi="ar"/>
        </w:rPr>
        <w:t xml:space="preserve">注：1.供应商如为联合体，则应填写联合体各成员信息。 </w:t>
      </w:r>
    </w:p>
    <w:p w14:paraId="29706B25">
      <w:pPr>
        <w:spacing w:line="360" w:lineRule="auto"/>
        <w:rPr>
          <w:color w:val="auto"/>
          <w:highlight w:val="none"/>
          <w:lang w:bidi="ar"/>
        </w:rPr>
      </w:pPr>
      <w:r>
        <w:rPr>
          <w:rFonts w:hint="eastAsia"/>
          <w:color w:val="auto"/>
          <w:highlight w:val="none"/>
          <w:lang w:bidi="ar"/>
        </w:rPr>
        <w:t>2.“供应商实际控制人性别”按供应商实际控制人性别划分请填写“男”或“女”，指拥有供应商 51%以上绝对所有权的性别；绝对所有权拥有者可以是一个人，也可以是多人合计计算。</w:t>
      </w:r>
    </w:p>
    <w:p w14:paraId="6244DA08">
      <w:pPr>
        <w:pStyle w:val="40"/>
        <w:spacing w:line="360" w:lineRule="auto"/>
        <w:rPr>
          <w:color w:val="auto"/>
          <w:highlight w:val="none"/>
        </w:rPr>
      </w:pPr>
      <w:r>
        <w:rPr>
          <w:rFonts w:hint="eastAsia"/>
          <w:color w:val="auto"/>
          <w:highlight w:val="none"/>
          <w:lang w:bidi="ar"/>
        </w:rPr>
        <w:t>3.“外商投资类型”请填写“外商单独投资”、“外商部分投资”或“内资”。</w:t>
      </w:r>
    </w:p>
    <w:p w14:paraId="7FBFCDF4">
      <w:pPr>
        <w:pStyle w:val="40"/>
        <w:spacing w:line="360" w:lineRule="auto"/>
        <w:rPr>
          <w:color w:val="auto"/>
          <w:highlight w:val="none"/>
        </w:rPr>
      </w:pPr>
    </w:p>
    <w:p w14:paraId="2C5B7D0A">
      <w:pPr>
        <w:pStyle w:val="40"/>
        <w:spacing w:line="360" w:lineRule="auto"/>
        <w:rPr>
          <w:color w:val="auto"/>
          <w:highlight w:val="none"/>
        </w:rPr>
      </w:pPr>
      <w:r>
        <w:rPr>
          <w:rFonts w:hint="eastAsia"/>
          <w:color w:val="auto"/>
          <w:highlight w:val="none"/>
        </w:rPr>
        <w:t>1.2其它商务、技术资料和证明材料</w:t>
      </w:r>
    </w:p>
    <w:p w14:paraId="1D26BC2A">
      <w:pPr>
        <w:pStyle w:val="40"/>
        <w:spacing w:line="360" w:lineRule="auto"/>
        <w:rPr>
          <w:color w:val="auto"/>
          <w:highlight w:val="none"/>
        </w:rPr>
      </w:pPr>
    </w:p>
    <w:p w14:paraId="53896C59">
      <w:pPr>
        <w:pStyle w:val="40"/>
        <w:spacing w:line="360" w:lineRule="auto"/>
        <w:rPr>
          <w:color w:val="auto"/>
          <w:highlight w:val="none"/>
        </w:rPr>
      </w:pPr>
      <w:r>
        <w:rPr>
          <w:rFonts w:hint="eastAsia"/>
          <w:color w:val="auto"/>
          <w:highlight w:val="none"/>
        </w:rPr>
        <w:t>（</w:t>
      </w:r>
      <w:r>
        <w:rPr>
          <w:rFonts w:hint="eastAsia"/>
          <w:color w:val="auto"/>
          <w:highlight w:val="none"/>
          <w:lang w:val="en-US"/>
        </w:rPr>
        <w:t>二）</w:t>
      </w:r>
      <w:r>
        <w:rPr>
          <w:rFonts w:hint="eastAsia"/>
          <w:color w:val="auto"/>
          <w:highlight w:val="none"/>
        </w:rPr>
        <w:t>投标人认为需要提供的其它商务、技术资料和说明。</w:t>
      </w:r>
    </w:p>
    <w:p w14:paraId="49E9B6B2">
      <w:pPr>
        <w:spacing w:line="360" w:lineRule="auto"/>
        <w:rPr>
          <w:color w:val="auto"/>
          <w:highlight w:val="none"/>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2466883-F097-4033-95A2-3701EAEA62A3}"/>
  </w:font>
  <w:font w:name="Arial">
    <w:panose1 w:val="020B0604020202020204"/>
    <w:charset w:val="01"/>
    <w:family w:val="swiss"/>
    <w:pitch w:val="default"/>
    <w:sig w:usb0="E0002EFF" w:usb1="C000785B" w:usb2="00000009" w:usb3="00000000" w:csb0="400001FF" w:csb1="FFFF0000"/>
    <w:embedRegular r:id="rId2" w:fontKey="{9B7573AF-0C9C-435A-9E57-8EC6A3EE7572}"/>
  </w:font>
  <w:font w:name="黑体">
    <w:panose1 w:val="02010609060101010101"/>
    <w:charset w:val="86"/>
    <w:family w:val="auto"/>
    <w:pitch w:val="default"/>
    <w:sig w:usb0="800002BF" w:usb1="38CF7CFA" w:usb2="00000016" w:usb3="00000000" w:csb0="00040001" w:csb1="00000000"/>
    <w:embedRegular r:id="rId3" w:fontKey="{71B60496-31A8-41A2-9A47-6C8DA39FC1E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539F72A6-67E5-480F-B555-F966F353D8AD}"/>
  </w:font>
  <w:font w:name="等线 Light">
    <w:panose1 w:val="02010600030101010101"/>
    <w:charset w:val="86"/>
    <w:family w:val="auto"/>
    <w:pitch w:val="default"/>
    <w:sig w:usb0="A00002BF" w:usb1="38CF7CFA" w:usb2="00000016" w:usb3="00000000" w:csb0="0004000F" w:csb1="00000000"/>
    <w:embedRegular r:id="rId5" w:fontKey="{C98B75CB-B8F5-4CEB-A6A9-36E30AAB664A}"/>
  </w:font>
  <w:font w:name="仿宋">
    <w:panose1 w:val="02010609060101010101"/>
    <w:charset w:val="86"/>
    <w:family w:val="modern"/>
    <w:pitch w:val="default"/>
    <w:sig w:usb0="800002BF" w:usb1="38CF7CFA" w:usb2="00000016" w:usb3="00000000" w:csb0="00040001" w:csb1="00000000"/>
    <w:embedRegular r:id="rId6" w:fontKey="{F519A21E-DC27-420A-9A01-11B9A4817462}"/>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7" w:fontKey="{95B9E063-857A-47C1-A6F2-F6651FFA3083}"/>
  </w:font>
  <w:font w:name="华文楷体">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9" w:usb3="00000000" w:csb0="000001FF" w:csb1="00000000"/>
  </w:font>
  <w:font w:name="Calibri Light">
    <w:panose1 w:val="020F0302020204030204"/>
    <w:charset w:val="00"/>
    <w:family w:val="swiss"/>
    <w:pitch w:val="default"/>
    <w:sig w:usb0="E4002EFF" w:usb1="C200247B" w:usb2="00000009" w:usb3="00000000" w:csb0="200001FF" w:csb1="00000000"/>
    <w:embedRegular r:id="rId8" w:fontKey="{E0FD22EA-9C77-47B2-9DF8-F13E23BFE184}"/>
  </w:font>
  <w:font w:name="Segoe UI Symbol">
    <w:panose1 w:val="020B0502040204020203"/>
    <w:charset w:val="00"/>
    <w:family w:val="swiss"/>
    <w:pitch w:val="default"/>
    <w:sig w:usb0="800001E3" w:usb1="1200FFEF" w:usb2="00040000" w:usb3="04000000" w:csb0="00000001" w:csb1="40000000"/>
    <w:embedRegular r:id="rId9" w:fontKey="{936F1B0C-C031-4509-A195-762C8B7E549A}"/>
  </w:font>
  <w:font w:name="FZShuSong-Z01">
    <w:altName w:val="Segoe Print"/>
    <w:panose1 w:val="00000000000000000000"/>
    <w:charset w:val="00"/>
    <w:family w:val="auto"/>
    <w:pitch w:val="default"/>
    <w:sig w:usb0="00000000" w:usb1="00000000" w:usb2="00000000" w:usb3="00000000" w:csb0="00000000" w:csb1="00000000"/>
    <w:embedRegular r:id="rId10" w:fontKey="{5A7CE0CF-1D24-4BBA-A117-435804D5ECE6}"/>
  </w:font>
  <w:font w:name="Segoe Print">
    <w:panose1 w:val="02000600000000000000"/>
    <w:charset w:val="00"/>
    <w:family w:val="auto"/>
    <w:pitch w:val="default"/>
    <w:sig w:usb0="0000028F" w:usb1="00000000" w:usb2="00000000" w:usb3="00000000" w:csb0="2000009F" w:csb1="47010000"/>
  </w:font>
  <w:font w:name="Bookman Old Style">
    <w:panose1 w:val="02050604050505020204"/>
    <w:charset w:val="00"/>
    <w:family w:val="roman"/>
    <w:pitch w:val="default"/>
    <w:sig w:usb0="00000287" w:usb1="00000000" w:usb2="00000000" w:usb3="00000000" w:csb0="2000009F" w:csb1="DFD70000"/>
    <w:embedRegular r:id="rId11" w:fontKey="{E3A641C5-8CCF-4D67-8634-F8EDAF588E5B}"/>
  </w:font>
  <w:font w:name="方正仿宋_GB2312">
    <w:panose1 w:val="02000000000000000000"/>
    <w:charset w:val="7A"/>
    <w:family w:val="auto"/>
    <w:pitch w:val="default"/>
    <w:sig w:usb0="A00002BF" w:usb1="184F6CFA" w:usb2="00000012" w:usb3="00000000" w:csb0="00040001" w:csb1="00000000"/>
    <w:embedRegular r:id="rId12" w:fontKey="{D454DE68-44AA-4104-889D-B92810FEE12A}"/>
  </w:font>
  <w:font w:name="DejaVuSans">
    <w:altName w:val="Segoe Print"/>
    <w:panose1 w:val="00000000000000000000"/>
    <w:charset w:val="00"/>
    <w:family w:val="auto"/>
    <w:pitch w:val="default"/>
    <w:sig w:usb0="00000000" w:usb1="00000000" w:usb2="00000000" w:usb3="00000000" w:csb0="00000000" w:csb1="00000000"/>
    <w:embedRegular r:id="rId13" w:fontKey="{A9830357-6857-47DD-A81D-6BD6FF49F69E}"/>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072CA">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804"/>
                          </w:sdtPr>
                          <w:sdtContent>
                            <w:p w14:paraId="4763D2FA">
                              <w:pPr>
                                <w:pStyle w:val="21"/>
                              </w:pPr>
                              <w:r>
                                <w:fldChar w:fldCharType="begin"/>
                              </w:r>
                              <w:r>
                                <w:instrText xml:space="preserve">PAGE   \* MERGEFORMAT</w:instrText>
                              </w:r>
                              <w:r>
                                <w:fldChar w:fldCharType="separate"/>
                              </w:r>
                              <w:r>
                                <w:rPr>
                                  <w:lang w:val="zh-CN"/>
                                </w:rPr>
                                <w:t>-</w:t>
                              </w:r>
                              <w:r>
                                <w:t xml:space="preserve"> 3 -</w:t>
                              </w:r>
                              <w:r>
                                <w:fldChar w:fldCharType="end"/>
                              </w:r>
                            </w:p>
                          </w:sdtContent>
                        </w:sdt>
                        <w:p w14:paraId="7431A37C"/>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147454804"/>
                    </w:sdtPr>
                    <w:sdtContent>
                      <w:p w14:paraId="4763D2FA">
                        <w:pPr>
                          <w:pStyle w:val="21"/>
                        </w:pPr>
                        <w:r>
                          <w:fldChar w:fldCharType="begin"/>
                        </w:r>
                        <w:r>
                          <w:instrText xml:space="preserve">PAGE   \* MERGEFORMAT</w:instrText>
                        </w:r>
                        <w:r>
                          <w:fldChar w:fldCharType="separate"/>
                        </w:r>
                        <w:r>
                          <w:rPr>
                            <w:lang w:val="zh-CN"/>
                          </w:rPr>
                          <w:t>-</w:t>
                        </w:r>
                        <w:r>
                          <w:t xml:space="preserve"> 3 -</w:t>
                        </w:r>
                        <w:r>
                          <w:fldChar w:fldCharType="end"/>
                        </w:r>
                      </w:p>
                    </w:sdtContent>
                  </w:sdt>
                  <w:p w14:paraId="7431A37C"/>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7425C">
    <w:pPr>
      <w:rPr>
        <w:rFonts w:ascii="Arial" w:hAnsi="Arial" w:eastAsia="Arial" w:cs="Arial"/>
        <w:szCs w:val="18"/>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63985D">
                          <w:pPr>
                            <w:pStyle w:val="21"/>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Hsk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IaHsktAgAAWQQAAA4AAAAAAAAAAQAgAAAAHwEAAGRycy9lMm9Eb2MueG1sUEsFBgAAAAAG&#10;AAYAWQEAAL4FAAAAAA==&#10;">
              <v:fill on="f" focussize="0,0"/>
              <v:stroke on="f" weight="0.5pt"/>
              <v:imagedata o:title=""/>
              <o:lock v:ext="edit" aspectratio="f"/>
              <v:textbox inset="0mm,0mm,0mm,0mm" style="mso-fit-shape-to-text:t;">
                <w:txbxContent>
                  <w:p w14:paraId="4963985D">
                    <w:pPr>
                      <w:pStyle w:val="21"/>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2C2A6">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8428888"/>
                          </w:sdtPr>
                          <w:sdtContent>
                            <w:p w14:paraId="0124697C">
                              <w:pPr>
                                <w:pStyle w:val="21"/>
                              </w:pPr>
                              <w:r>
                                <w:fldChar w:fldCharType="begin"/>
                              </w:r>
                              <w:r>
                                <w:instrText xml:space="preserve">PAGE   \* MERGEFORMAT</w:instrText>
                              </w:r>
                              <w:r>
                                <w:fldChar w:fldCharType="separate"/>
                              </w:r>
                              <w:r>
                                <w:rPr>
                                  <w:lang w:val="zh-CN"/>
                                </w:rPr>
                                <w:t>-</w:t>
                              </w:r>
                              <w:r>
                                <w:t xml:space="preserve"> 113 -</w:t>
                              </w:r>
                              <w:r>
                                <w:fldChar w:fldCharType="end"/>
                              </w:r>
                            </w:p>
                          </w:sdtContent>
                        </w:sdt>
                        <w:p w14:paraId="4EF6E747"/>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178428888"/>
                    </w:sdtPr>
                    <w:sdtContent>
                      <w:p w14:paraId="0124697C">
                        <w:pPr>
                          <w:pStyle w:val="21"/>
                        </w:pPr>
                        <w:r>
                          <w:fldChar w:fldCharType="begin"/>
                        </w:r>
                        <w:r>
                          <w:instrText xml:space="preserve">PAGE   \* MERGEFORMAT</w:instrText>
                        </w:r>
                        <w:r>
                          <w:fldChar w:fldCharType="separate"/>
                        </w:r>
                        <w:r>
                          <w:rPr>
                            <w:lang w:val="zh-CN"/>
                          </w:rPr>
                          <w:t>-</w:t>
                        </w:r>
                        <w:r>
                          <w:t xml:space="preserve"> 113 -</w:t>
                        </w:r>
                        <w:r>
                          <w:fldChar w:fldCharType="end"/>
                        </w:r>
                      </w:p>
                    </w:sdtContent>
                  </w:sdt>
                  <w:p w14:paraId="4EF6E747"/>
                </w:txbxContent>
              </v:textbox>
            </v:shape>
          </w:pict>
        </mc:Fallback>
      </mc:AlternateContent>
    </w:r>
  </w:p>
  <w:p w14:paraId="4FA3B6A3">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3DE36">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75BFE">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070575"/>
    <w:multiLevelType w:val="singleLevel"/>
    <w:tmpl w:val="9C070575"/>
    <w:lvl w:ilvl="0" w:tentative="0">
      <w:start w:val="1"/>
      <w:numFmt w:val="decimal"/>
      <w:pStyle w:val="7"/>
      <w:lvlText w:val="%1."/>
      <w:lvlJc w:val="left"/>
      <w:pPr>
        <w:tabs>
          <w:tab w:val="left" w:pos="780"/>
        </w:tabs>
        <w:ind w:left="780" w:hanging="360"/>
      </w:pPr>
    </w:lvl>
  </w:abstractNum>
  <w:abstractNum w:abstractNumId="1">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47B6378"/>
    <w:multiLevelType w:val="multilevel"/>
    <w:tmpl w:val="447B6378"/>
    <w:lvl w:ilvl="0" w:tentative="0">
      <w:start w:val="1"/>
      <w:numFmt w:val="decimal"/>
      <w:pStyle w:val="42"/>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9"/>
  <w:embedTrueTypeFonts/>
  <w:saveSubsetFonts/>
  <w:bordersDoNotSurroundHeader w:val="1"/>
  <w:bordersDoNotSurroundFooter w:val="1"/>
  <w:documentProtection w:enforcement="0"/>
  <w:defaultTabStop w:val="420"/>
  <w:drawingGridVerticalSpacing w:val="16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YzNWJkYThkODU4NDE4MzU3YWIxODViNjMzYWIyZmUifQ=="/>
  </w:docVars>
  <w:rsids>
    <w:rsidRoot w:val="00172A27"/>
    <w:rsid w:val="0000366A"/>
    <w:rsid w:val="00006F7F"/>
    <w:rsid w:val="00007003"/>
    <w:rsid w:val="000075B7"/>
    <w:rsid w:val="000237EA"/>
    <w:rsid w:val="00027CD2"/>
    <w:rsid w:val="00031E0C"/>
    <w:rsid w:val="00040832"/>
    <w:rsid w:val="00040D23"/>
    <w:rsid w:val="000439DA"/>
    <w:rsid w:val="00050E96"/>
    <w:rsid w:val="00063604"/>
    <w:rsid w:val="0006370A"/>
    <w:rsid w:val="00066832"/>
    <w:rsid w:val="00067934"/>
    <w:rsid w:val="000720BF"/>
    <w:rsid w:val="00080B92"/>
    <w:rsid w:val="0008641D"/>
    <w:rsid w:val="000A139B"/>
    <w:rsid w:val="000B39A0"/>
    <w:rsid w:val="000B7553"/>
    <w:rsid w:val="000C3E03"/>
    <w:rsid w:val="000C488D"/>
    <w:rsid w:val="000C5162"/>
    <w:rsid w:val="000C52EC"/>
    <w:rsid w:val="000D0230"/>
    <w:rsid w:val="000D0AD3"/>
    <w:rsid w:val="000E45BD"/>
    <w:rsid w:val="000E4E33"/>
    <w:rsid w:val="000E67CF"/>
    <w:rsid w:val="000F20FD"/>
    <w:rsid w:val="000F39B0"/>
    <w:rsid w:val="001008D8"/>
    <w:rsid w:val="001022A4"/>
    <w:rsid w:val="00115EF7"/>
    <w:rsid w:val="00130CD4"/>
    <w:rsid w:val="0013642D"/>
    <w:rsid w:val="00146410"/>
    <w:rsid w:val="00150D67"/>
    <w:rsid w:val="00150EAD"/>
    <w:rsid w:val="00156600"/>
    <w:rsid w:val="00160E9C"/>
    <w:rsid w:val="00171DA0"/>
    <w:rsid w:val="00172190"/>
    <w:rsid w:val="00172A27"/>
    <w:rsid w:val="00173480"/>
    <w:rsid w:val="00181988"/>
    <w:rsid w:val="00182557"/>
    <w:rsid w:val="0018304A"/>
    <w:rsid w:val="001904E9"/>
    <w:rsid w:val="001A77DE"/>
    <w:rsid w:val="001B36EC"/>
    <w:rsid w:val="001D7B23"/>
    <w:rsid w:val="001E2F56"/>
    <w:rsid w:val="001F41C3"/>
    <w:rsid w:val="001F5E77"/>
    <w:rsid w:val="00204A2D"/>
    <w:rsid w:val="002062E6"/>
    <w:rsid w:val="00207131"/>
    <w:rsid w:val="0022214D"/>
    <w:rsid w:val="00223585"/>
    <w:rsid w:val="002257E4"/>
    <w:rsid w:val="002317DB"/>
    <w:rsid w:val="00232245"/>
    <w:rsid w:val="0023265E"/>
    <w:rsid w:val="00235B5A"/>
    <w:rsid w:val="00251060"/>
    <w:rsid w:val="002514A3"/>
    <w:rsid w:val="00256B32"/>
    <w:rsid w:val="00256D01"/>
    <w:rsid w:val="002706F2"/>
    <w:rsid w:val="00271135"/>
    <w:rsid w:val="00285E30"/>
    <w:rsid w:val="00292BAB"/>
    <w:rsid w:val="002A1AEC"/>
    <w:rsid w:val="002A1BC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037A"/>
    <w:rsid w:val="0032200D"/>
    <w:rsid w:val="00333B37"/>
    <w:rsid w:val="0034487B"/>
    <w:rsid w:val="00347CC6"/>
    <w:rsid w:val="00347D88"/>
    <w:rsid w:val="00350BCD"/>
    <w:rsid w:val="0035643C"/>
    <w:rsid w:val="00366226"/>
    <w:rsid w:val="003746B0"/>
    <w:rsid w:val="00374A6B"/>
    <w:rsid w:val="00383E1C"/>
    <w:rsid w:val="00390D4A"/>
    <w:rsid w:val="0039222E"/>
    <w:rsid w:val="0039288A"/>
    <w:rsid w:val="00393395"/>
    <w:rsid w:val="0039372E"/>
    <w:rsid w:val="00394AF5"/>
    <w:rsid w:val="003A19A4"/>
    <w:rsid w:val="003A1A1B"/>
    <w:rsid w:val="003A4485"/>
    <w:rsid w:val="003A4878"/>
    <w:rsid w:val="003B4310"/>
    <w:rsid w:val="003B60A6"/>
    <w:rsid w:val="003C5883"/>
    <w:rsid w:val="003C7C49"/>
    <w:rsid w:val="003D3327"/>
    <w:rsid w:val="003D6656"/>
    <w:rsid w:val="003E057C"/>
    <w:rsid w:val="003E2B14"/>
    <w:rsid w:val="003E314B"/>
    <w:rsid w:val="003F5655"/>
    <w:rsid w:val="003F5BC6"/>
    <w:rsid w:val="004021C6"/>
    <w:rsid w:val="004054FD"/>
    <w:rsid w:val="00406BEF"/>
    <w:rsid w:val="004071D7"/>
    <w:rsid w:val="00410595"/>
    <w:rsid w:val="00420F7C"/>
    <w:rsid w:val="0043307A"/>
    <w:rsid w:val="00433514"/>
    <w:rsid w:val="00446BB3"/>
    <w:rsid w:val="00450503"/>
    <w:rsid w:val="0045353D"/>
    <w:rsid w:val="004771C7"/>
    <w:rsid w:val="00481283"/>
    <w:rsid w:val="00481C3A"/>
    <w:rsid w:val="004851CA"/>
    <w:rsid w:val="0048656E"/>
    <w:rsid w:val="00493221"/>
    <w:rsid w:val="004A302C"/>
    <w:rsid w:val="004B539D"/>
    <w:rsid w:val="004C1FA1"/>
    <w:rsid w:val="004C3DCC"/>
    <w:rsid w:val="004D1658"/>
    <w:rsid w:val="004E0BF9"/>
    <w:rsid w:val="004E0CF9"/>
    <w:rsid w:val="004F3FDD"/>
    <w:rsid w:val="004F46AB"/>
    <w:rsid w:val="00501A4A"/>
    <w:rsid w:val="005032B9"/>
    <w:rsid w:val="005100F2"/>
    <w:rsid w:val="00510300"/>
    <w:rsid w:val="00511D7B"/>
    <w:rsid w:val="00513AD5"/>
    <w:rsid w:val="00523D37"/>
    <w:rsid w:val="00524831"/>
    <w:rsid w:val="0052616B"/>
    <w:rsid w:val="00532F25"/>
    <w:rsid w:val="00541D90"/>
    <w:rsid w:val="00542258"/>
    <w:rsid w:val="0054547C"/>
    <w:rsid w:val="0054602F"/>
    <w:rsid w:val="0054632A"/>
    <w:rsid w:val="00551EDC"/>
    <w:rsid w:val="005544D1"/>
    <w:rsid w:val="00554509"/>
    <w:rsid w:val="00561523"/>
    <w:rsid w:val="00561527"/>
    <w:rsid w:val="005714C6"/>
    <w:rsid w:val="00594E7A"/>
    <w:rsid w:val="005A146E"/>
    <w:rsid w:val="005A7208"/>
    <w:rsid w:val="005A7987"/>
    <w:rsid w:val="005B5936"/>
    <w:rsid w:val="005C0D20"/>
    <w:rsid w:val="005D050C"/>
    <w:rsid w:val="005F7A46"/>
    <w:rsid w:val="00611383"/>
    <w:rsid w:val="00620B1C"/>
    <w:rsid w:val="00626E33"/>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7DD5"/>
    <w:rsid w:val="006923C3"/>
    <w:rsid w:val="006937E9"/>
    <w:rsid w:val="00693EF9"/>
    <w:rsid w:val="006947A5"/>
    <w:rsid w:val="006A161A"/>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6F7368"/>
    <w:rsid w:val="00707B1D"/>
    <w:rsid w:val="00710909"/>
    <w:rsid w:val="00716369"/>
    <w:rsid w:val="00723649"/>
    <w:rsid w:val="007265C3"/>
    <w:rsid w:val="00735F23"/>
    <w:rsid w:val="00740CEF"/>
    <w:rsid w:val="00742261"/>
    <w:rsid w:val="00752C5E"/>
    <w:rsid w:val="007531F9"/>
    <w:rsid w:val="00754832"/>
    <w:rsid w:val="00764378"/>
    <w:rsid w:val="0076591F"/>
    <w:rsid w:val="00766F0F"/>
    <w:rsid w:val="00773B9A"/>
    <w:rsid w:val="0077582F"/>
    <w:rsid w:val="007862C9"/>
    <w:rsid w:val="0079007B"/>
    <w:rsid w:val="007A0F22"/>
    <w:rsid w:val="007B5C1A"/>
    <w:rsid w:val="007C03A0"/>
    <w:rsid w:val="007C2BEF"/>
    <w:rsid w:val="007D3D77"/>
    <w:rsid w:val="007E157B"/>
    <w:rsid w:val="007E2EF7"/>
    <w:rsid w:val="007E4818"/>
    <w:rsid w:val="007E6A7E"/>
    <w:rsid w:val="007F33F3"/>
    <w:rsid w:val="007F6124"/>
    <w:rsid w:val="00801BDF"/>
    <w:rsid w:val="00802B86"/>
    <w:rsid w:val="0082514B"/>
    <w:rsid w:val="00830599"/>
    <w:rsid w:val="008334B0"/>
    <w:rsid w:val="0083496F"/>
    <w:rsid w:val="0083530F"/>
    <w:rsid w:val="00836468"/>
    <w:rsid w:val="00843492"/>
    <w:rsid w:val="00845F16"/>
    <w:rsid w:val="00852AF3"/>
    <w:rsid w:val="00856D2D"/>
    <w:rsid w:val="00856F2E"/>
    <w:rsid w:val="00871560"/>
    <w:rsid w:val="00872D54"/>
    <w:rsid w:val="00872F2D"/>
    <w:rsid w:val="0087585D"/>
    <w:rsid w:val="00880E22"/>
    <w:rsid w:val="00882B6F"/>
    <w:rsid w:val="008834AE"/>
    <w:rsid w:val="00885F4D"/>
    <w:rsid w:val="008962E2"/>
    <w:rsid w:val="008A74EF"/>
    <w:rsid w:val="008B0539"/>
    <w:rsid w:val="008B1C98"/>
    <w:rsid w:val="008B5ADF"/>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0750"/>
    <w:rsid w:val="0092398C"/>
    <w:rsid w:val="00923C36"/>
    <w:rsid w:val="00924B8E"/>
    <w:rsid w:val="00930024"/>
    <w:rsid w:val="009344DE"/>
    <w:rsid w:val="009357E5"/>
    <w:rsid w:val="00936087"/>
    <w:rsid w:val="00942816"/>
    <w:rsid w:val="00945D17"/>
    <w:rsid w:val="00951FEE"/>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C3E4C"/>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295D"/>
    <w:rsid w:val="00A33652"/>
    <w:rsid w:val="00A3798C"/>
    <w:rsid w:val="00A42866"/>
    <w:rsid w:val="00A461C1"/>
    <w:rsid w:val="00A46B5C"/>
    <w:rsid w:val="00A50D6E"/>
    <w:rsid w:val="00A51DD8"/>
    <w:rsid w:val="00A647EA"/>
    <w:rsid w:val="00A736C6"/>
    <w:rsid w:val="00A82472"/>
    <w:rsid w:val="00A83F1F"/>
    <w:rsid w:val="00A8416F"/>
    <w:rsid w:val="00A84F1A"/>
    <w:rsid w:val="00AA0223"/>
    <w:rsid w:val="00AB28B8"/>
    <w:rsid w:val="00AB3B77"/>
    <w:rsid w:val="00AC57B7"/>
    <w:rsid w:val="00AC73C5"/>
    <w:rsid w:val="00AC755C"/>
    <w:rsid w:val="00AD0E13"/>
    <w:rsid w:val="00AD5ABF"/>
    <w:rsid w:val="00AF45C5"/>
    <w:rsid w:val="00AF5667"/>
    <w:rsid w:val="00B05DD5"/>
    <w:rsid w:val="00B12477"/>
    <w:rsid w:val="00B13343"/>
    <w:rsid w:val="00B1354B"/>
    <w:rsid w:val="00B220B2"/>
    <w:rsid w:val="00B23942"/>
    <w:rsid w:val="00B32474"/>
    <w:rsid w:val="00B4327E"/>
    <w:rsid w:val="00B467A4"/>
    <w:rsid w:val="00B5286D"/>
    <w:rsid w:val="00B545BC"/>
    <w:rsid w:val="00B61032"/>
    <w:rsid w:val="00B61D2E"/>
    <w:rsid w:val="00B71854"/>
    <w:rsid w:val="00B71DA4"/>
    <w:rsid w:val="00B7235B"/>
    <w:rsid w:val="00B76348"/>
    <w:rsid w:val="00B81261"/>
    <w:rsid w:val="00B82556"/>
    <w:rsid w:val="00B87655"/>
    <w:rsid w:val="00B87801"/>
    <w:rsid w:val="00B92871"/>
    <w:rsid w:val="00B928DA"/>
    <w:rsid w:val="00BA5AC3"/>
    <w:rsid w:val="00BA630D"/>
    <w:rsid w:val="00BB06B4"/>
    <w:rsid w:val="00BB2551"/>
    <w:rsid w:val="00BB4892"/>
    <w:rsid w:val="00BB5E9B"/>
    <w:rsid w:val="00BB7BC2"/>
    <w:rsid w:val="00BC1A44"/>
    <w:rsid w:val="00BC5C37"/>
    <w:rsid w:val="00BC757B"/>
    <w:rsid w:val="00BC7ED2"/>
    <w:rsid w:val="00BD0190"/>
    <w:rsid w:val="00BE212E"/>
    <w:rsid w:val="00BE4AAB"/>
    <w:rsid w:val="00BE5086"/>
    <w:rsid w:val="00BF4971"/>
    <w:rsid w:val="00C07F40"/>
    <w:rsid w:val="00C12E85"/>
    <w:rsid w:val="00C16A79"/>
    <w:rsid w:val="00C20278"/>
    <w:rsid w:val="00C22791"/>
    <w:rsid w:val="00C236DC"/>
    <w:rsid w:val="00C31B7F"/>
    <w:rsid w:val="00C32F79"/>
    <w:rsid w:val="00C33FD2"/>
    <w:rsid w:val="00C35271"/>
    <w:rsid w:val="00C4036A"/>
    <w:rsid w:val="00C50E28"/>
    <w:rsid w:val="00C62934"/>
    <w:rsid w:val="00C64428"/>
    <w:rsid w:val="00C74D6F"/>
    <w:rsid w:val="00C842DE"/>
    <w:rsid w:val="00C902FB"/>
    <w:rsid w:val="00C965AE"/>
    <w:rsid w:val="00CA0AED"/>
    <w:rsid w:val="00CA1EC2"/>
    <w:rsid w:val="00CA66E6"/>
    <w:rsid w:val="00CC29DE"/>
    <w:rsid w:val="00CC3B64"/>
    <w:rsid w:val="00CD37C6"/>
    <w:rsid w:val="00CD3BA4"/>
    <w:rsid w:val="00CD41AA"/>
    <w:rsid w:val="00CD4C32"/>
    <w:rsid w:val="00CD6943"/>
    <w:rsid w:val="00CE4846"/>
    <w:rsid w:val="00CE6C2F"/>
    <w:rsid w:val="00CE73CC"/>
    <w:rsid w:val="00CE7E9C"/>
    <w:rsid w:val="00CF2EF3"/>
    <w:rsid w:val="00CF3298"/>
    <w:rsid w:val="00D02F3B"/>
    <w:rsid w:val="00D0657B"/>
    <w:rsid w:val="00D10DBE"/>
    <w:rsid w:val="00D129CB"/>
    <w:rsid w:val="00D16A04"/>
    <w:rsid w:val="00D27C17"/>
    <w:rsid w:val="00D41B89"/>
    <w:rsid w:val="00D47F27"/>
    <w:rsid w:val="00D5541F"/>
    <w:rsid w:val="00D557C2"/>
    <w:rsid w:val="00D57923"/>
    <w:rsid w:val="00D66387"/>
    <w:rsid w:val="00D741B6"/>
    <w:rsid w:val="00D74BD0"/>
    <w:rsid w:val="00D74FED"/>
    <w:rsid w:val="00D75A81"/>
    <w:rsid w:val="00D7761F"/>
    <w:rsid w:val="00D86806"/>
    <w:rsid w:val="00D86C35"/>
    <w:rsid w:val="00D91C2E"/>
    <w:rsid w:val="00DB04FB"/>
    <w:rsid w:val="00DB6DFF"/>
    <w:rsid w:val="00DC003F"/>
    <w:rsid w:val="00DE72B3"/>
    <w:rsid w:val="00DF4668"/>
    <w:rsid w:val="00E00172"/>
    <w:rsid w:val="00E0533A"/>
    <w:rsid w:val="00E0701A"/>
    <w:rsid w:val="00E131D1"/>
    <w:rsid w:val="00E17AA0"/>
    <w:rsid w:val="00E2655B"/>
    <w:rsid w:val="00E311AB"/>
    <w:rsid w:val="00E358BF"/>
    <w:rsid w:val="00E36EC8"/>
    <w:rsid w:val="00E51146"/>
    <w:rsid w:val="00E512A9"/>
    <w:rsid w:val="00E54AF9"/>
    <w:rsid w:val="00E5624E"/>
    <w:rsid w:val="00E601D4"/>
    <w:rsid w:val="00E6307C"/>
    <w:rsid w:val="00E64C88"/>
    <w:rsid w:val="00E7179D"/>
    <w:rsid w:val="00E74832"/>
    <w:rsid w:val="00E81B04"/>
    <w:rsid w:val="00E820C5"/>
    <w:rsid w:val="00E87550"/>
    <w:rsid w:val="00E9288B"/>
    <w:rsid w:val="00E9413F"/>
    <w:rsid w:val="00E973D2"/>
    <w:rsid w:val="00EA0745"/>
    <w:rsid w:val="00EC7C64"/>
    <w:rsid w:val="00ED00D6"/>
    <w:rsid w:val="00EE26DC"/>
    <w:rsid w:val="00EE3FF1"/>
    <w:rsid w:val="00EE5816"/>
    <w:rsid w:val="00F03292"/>
    <w:rsid w:val="00F0565C"/>
    <w:rsid w:val="00F1201F"/>
    <w:rsid w:val="00F121AE"/>
    <w:rsid w:val="00F15852"/>
    <w:rsid w:val="00F23F4B"/>
    <w:rsid w:val="00F462F0"/>
    <w:rsid w:val="00F46C50"/>
    <w:rsid w:val="00F56CD7"/>
    <w:rsid w:val="00F60B61"/>
    <w:rsid w:val="00F66E89"/>
    <w:rsid w:val="00F67822"/>
    <w:rsid w:val="00F70621"/>
    <w:rsid w:val="00F74182"/>
    <w:rsid w:val="00F7607A"/>
    <w:rsid w:val="00F8517B"/>
    <w:rsid w:val="00F90250"/>
    <w:rsid w:val="00F91395"/>
    <w:rsid w:val="00F961D7"/>
    <w:rsid w:val="00F977A6"/>
    <w:rsid w:val="00F97A2B"/>
    <w:rsid w:val="00FA0CA3"/>
    <w:rsid w:val="00FA3BC5"/>
    <w:rsid w:val="00FA40FE"/>
    <w:rsid w:val="00FB08DC"/>
    <w:rsid w:val="00FB0D30"/>
    <w:rsid w:val="00FB1AE0"/>
    <w:rsid w:val="00FB34C2"/>
    <w:rsid w:val="00FB42F5"/>
    <w:rsid w:val="00FD76E1"/>
    <w:rsid w:val="00FE0970"/>
    <w:rsid w:val="00FF3F3A"/>
    <w:rsid w:val="00FF400F"/>
    <w:rsid w:val="01002534"/>
    <w:rsid w:val="01064C9A"/>
    <w:rsid w:val="01303AC5"/>
    <w:rsid w:val="013E61E2"/>
    <w:rsid w:val="014F4893"/>
    <w:rsid w:val="01554610"/>
    <w:rsid w:val="01781929"/>
    <w:rsid w:val="017C564F"/>
    <w:rsid w:val="01877B89"/>
    <w:rsid w:val="019E3125"/>
    <w:rsid w:val="01BA39DE"/>
    <w:rsid w:val="01CA216C"/>
    <w:rsid w:val="01D0068D"/>
    <w:rsid w:val="01D775B9"/>
    <w:rsid w:val="01DD3C4D"/>
    <w:rsid w:val="02026E30"/>
    <w:rsid w:val="02132174"/>
    <w:rsid w:val="02186A33"/>
    <w:rsid w:val="022278B2"/>
    <w:rsid w:val="02255DF1"/>
    <w:rsid w:val="023130F5"/>
    <w:rsid w:val="024737BC"/>
    <w:rsid w:val="024C2B81"/>
    <w:rsid w:val="026D3223"/>
    <w:rsid w:val="028604AE"/>
    <w:rsid w:val="028B75EF"/>
    <w:rsid w:val="028D5673"/>
    <w:rsid w:val="02922C89"/>
    <w:rsid w:val="029D33DC"/>
    <w:rsid w:val="02AD1871"/>
    <w:rsid w:val="02AD3196"/>
    <w:rsid w:val="02C44E0D"/>
    <w:rsid w:val="02C47896"/>
    <w:rsid w:val="02C9326F"/>
    <w:rsid w:val="02DA63DE"/>
    <w:rsid w:val="02DF39F5"/>
    <w:rsid w:val="02EF5EA2"/>
    <w:rsid w:val="03200295"/>
    <w:rsid w:val="03551524"/>
    <w:rsid w:val="0361440A"/>
    <w:rsid w:val="036D7252"/>
    <w:rsid w:val="03747EC0"/>
    <w:rsid w:val="03922815"/>
    <w:rsid w:val="03990047"/>
    <w:rsid w:val="03AF1619"/>
    <w:rsid w:val="03B7227C"/>
    <w:rsid w:val="03C07382"/>
    <w:rsid w:val="03C350C4"/>
    <w:rsid w:val="03E07A24"/>
    <w:rsid w:val="03E2554B"/>
    <w:rsid w:val="03E30F7F"/>
    <w:rsid w:val="03EA08A3"/>
    <w:rsid w:val="03F62DA4"/>
    <w:rsid w:val="04001E75"/>
    <w:rsid w:val="040E4592"/>
    <w:rsid w:val="04264391"/>
    <w:rsid w:val="04293179"/>
    <w:rsid w:val="042E7DB2"/>
    <w:rsid w:val="043833BC"/>
    <w:rsid w:val="04446205"/>
    <w:rsid w:val="044E2BE0"/>
    <w:rsid w:val="04506958"/>
    <w:rsid w:val="045126D0"/>
    <w:rsid w:val="045D72C7"/>
    <w:rsid w:val="045F303F"/>
    <w:rsid w:val="04820ADC"/>
    <w:rsid w:val="04893C18"/>
    <w:rsid w:val="04951C17"/>
    <w:rsid w:val="049F343C"/>
    <w:rsid w:val="04B14F1D"/>
    <w:rsid w:val="04CD6009"/>
    <w:rsid w:val="04F01EE9"/>
    <w:rsid w:val="04F574FF"/>
    <w:rsid w:val="05025778"/>
    <w:rsid w:val="050C3DD7"/>
    <w:rsid w:val="052851DF"/>
    <w:rsid w:val="052E656D"/>
    <w:rsid w:val="053A4F12"/>
    <w:rsid w:val="053F247C"/>
    <w:rsid w:val="05595CE0"/>
    <w:rsid w:val="057C377D"/>
    <w:rsid w:val="057E74F5"/>
    <w:rsid w:val="05810D93"/>
    <w:rsid w:val="05812B41"/>
    <w:rsid w:val="05B362B9"/>
    <w:rsid w:val="05C2565F"/>
    <w:rsid w:val="05C72C4A"/>
    <w:rsid w:val="05CB2336"/>
    <w:rsid w:val="05D15877"/>
    <w:rsid w:val="05D215EF"/>
    <w:rsid w:val="05D2339D"/>
    <w:rsid w:val="05D37841"/>
    <w:rsid w:val="05D943F6"/>
    <w:rsid w:val="05E530D0"/>
    <w:rsid w:val="05EA4B8A"/>
    <w:rsid w:val="05F9301F"/>
    <w:rsid w:val="05FD48BE"/>
    <w:rsid w:val="05FF2AF4"/>
    <w:rsid w:val="06093262"/>
    <w:rsid w:val="060C1B32"/>
    <w:rsid w:val="06231E4A"/>
    <w:rsid w:val="06253E14"/>
    <w:rsid w:val="0633208D"/>
    <w:rsid w:val="063A16EC"/>
    <w:rsid w:val="063B53E6"/>
    <w:rsid w:val="065B7836"/>
    <w:rsid w:val="06616EC2"/>
    <w:rsid w:val="06856661"/>
    <w:rsid w:val="068576CE"/>
    <w:rsid w:val="069114AA"/>
    <w:rsid w:val="0698763E"/>
    <w:rsid w:val="06A66D03"/>
    <w:rsid w:val="06AB5329"/>
    <w:rsid w:val="06AE7966"/>
    <w:rsid w:val="06AF6DD1"/>
    <w:rsid w:val="06B07B82"/>
    <w:rsid w:val="06B64A6C"/>
    <w:rsid w:val="06DD649D"/>
    <w:rsid w:val="06E8731C"/>
    <w:rsid w:val="06F04422"/>
    <w:rsid w:val="07047ECE"/>
    <w:rsid w:val="071C5217"/>
    <w:rsid w:val="071D4AEC"/>
    <w:rsid w:val="07210A39"/>
    <w:rsid w:val="072242D3"/>
    <w:rsid w:val="072440CC"/>
    <w:rsid w:val="0737795B"/>
    <w:rsid w:val="073F4A62"/>
    <w:rsid w:val="07442078"/>
    <w:rsid w:val="07585B24"/>
    <w:rsid w:val="078A2181"/>
    <w:rsid w:val="07941252"/>
    <w:rsid w:val="07B54D24"/>
    <w:rsid w:val="07EA70C4"/>
    <w:rsid w:val="081E0B1B"/>
    <w:rsid w:val="08534C69"/>
    <w:rsid w:val="085C6BC2"/>
    <w:rsid w:val="085D7896"/>
    <w:rsid w:val="08687FE8"/>
    <w:rsid w:val="08935065"/>
    <w:rsid w:val="08997D8A"/>
    <w:rsid w:val="089A2898"/>
    <w:rsid w:val="08AD2074"/>
    <w:rsid w:val="08AE02E0"/>
    <w:rsid w:val="08D306C7"/>
    <w:rsid w:val="08D538D0"/>
    <w:rsid w:val="08D77648"/>
    <w:rsid w:val="08E04023"/>
    <w:rsid w:val="08E9737B"/>
    <w:rsid w:val="08F2265D"/>
    <w:rsid w:val="09077801"/>
    <w:rsid w:val="091C32AD"/>
    <w:rsid w:val="09212671"/>
    <w:rsid w:val="0926010A"/>
    <w:rsid w:val="093D1475"/>
    <w:rsid w:val="093F343F"/>
    <w:rsid w:val="09412D13"/>
    <w:rsid w:val="095604D5"/>
    <w:rsid w:val="095B3C9B"/>
    <w:rsid w:val="095E1B17"/>
    <w:rsid w:val="09664528"/>
    <w:rsid w:val="09684744"/>
    <w:rsid w:val="09704318"/>
    <w:rsid w:val="09AC1C5B"/>
    <w:rsid w:val="09B039F5"/>
    <w:rsid w:val="09B06BE6"/>
    <w:rsid w:val="09BD105E"/>
    <w:rsid w:val="09CE174C"/>
    <w:rsid w:val="09EA6F07"/>
    <w:rsid w:val="09EA700B"/>
    <w:rsid w:val="09EB2C7F"/>
    <w:rsid w:val="09FE29B2"/>
    <w:rsid w:val="0A140428"/>
    <w:rsid w:val="0A1C108A"/>
    <w:rsid w:val="0A2148F3"/>
    <w:rsid w:val="0A2C5771"/>
    <w:rsid w:val="0A391C3C"/>
    <w:rsid w:val="0A3D172D"/>
    <w:rsid w:val="0A3E680D"/>
    <w:rsid w:val="0A5860CD"/>
    <w:rsid w:val="0A6749FB"/>
    <w:rsid w:val="0A740EC6"/>
    <w:rsid w:val="0A7964DD"/>
    <w:rsid w:val="0A825391"/>
    <w:rsid w:val="0A9D29C6"/>
    <w:rsid w:val="0A9F4195"/>
    <w:rsid w:val="0AA55BE7"/>
    <w:rsid w:val="0AAB338B"/>
    <w:rsid w:val="0ACC485F"/>
    <w:rsid w:val="0AD6392F"/>
    <w:rsid w:val="0AD83203"/>
    <w:rsid w:val="0ADC33A6"/>
    <w:rsid w:val="0AEF054D"/>
    <w:rsid w:val="0AF049F1"/>
    <w:rsid w:val="0AF45D7D"/>
    <w:rsid w:val="0B05734A"/>
    <w:rsid w:val="0B08583F"/>
    <w:rsid w:val="0B095AB3"/>
    <w:rsid w:val="0B0E131B"/>
    <w:rsid w:val="0B115FB9"/>
    <w:rsid w:val="0B1A381C"/>
    <w:rsid w:val="0B265A74"/>
    <w:rsid w:val="0B352404"/>
    <w:rsid w:val="0B376893"/>
    <w:rsid w:val="0B381EF4"/>
    <w:rsid w:val="0B386398"/>
    <w:rsid w:val="0B3A0D5F"/>
    <w:rsid w:val="0B3A3EBE"/>
    <w:rsid w:val="0B460AB5"/>
    <w:rsid w:val="0B536D2E"/>
    <w:rsid w:val="0B5C2086"/>
    <w:rsid w:val="0B674587"/>
    <w:rsid w:val="0B6A776A"/>
    <w:rsid w:val="0B6E5916"/>
    <w:rsid w:val="0B8B64C8"/>
    <w:rsid w:val="0BB24C22"/>
    <w:rsid w:val="0BD87233"/>
    <w:rsid w:val="0BF0642E"/>
    <w:rsid w:val="0BF202F5"/>
    <w:rsid w:val="0BFE313E"/>
    <w:rsid w:val="0BFF4765"/>
    <w:rsid w:val="0C02649C"/>
    <w:rsid w:val="0C0B25B3"/>
    <w:rsid w:val="0C104C1F"/>
    <w:rsid w:val="0C1E6205"/>
    <w:rsid w:val="0C1F5CE6"/>
    <w:rsid w:val="0C236700"/>
    <w:rsid w:val="0C28640C"/>
    <w:rsid w:val="0C3C5A14"/>
    <w:rsid w:val="0C5A4DAC"/>
    <w:rsid w:val="0C5E47B4"/>
    <w:rsid w:val="0C891FF1"/>
    <w:rsid w:val="0C8A677F"/>
    <w:rsid w:val="0CBF4A67"/>
    <w:rsid w:val="0CC04897"/>
    <w:rsid w:val="0CD12600"/>
    <w:rsid w:val="0CD520F0"/>
    <w:rsid w:val="0CD67C16"/>
    <w:rsid w:val="0CD81BE1"/>
    <w:rsid w:val="0CE445F2"/>
    <w:rsid w:val="0CEB1914"/>
    <w:rsid w:val="0CFB142B"/>
    <w:rsid w:val="0D026644"/>
    <w:rsid w:val="0D0C53E6"/>
    <w:rsid w:val="0D2210AE"/>
    <w:rsid w:val="0D3E58A5"/>
    <w:rsid w:val="0D466B4A"/>
    <w:rsid w:val="0D5154EF"/>
    <w:rsid w:val="0D611BD6"/>
    <w:rsid w:val="0D710C5A"/>
    <w:rsid w:val="0D865A79"/>
    <w:rsid w:val="0D8D4865"/>
    <w:rsid w:val="0D95205B"/>
    <w:rsid w:val="0D957AD2"/>
    <w:rsid w:val="0D9D0734"/>
    <w:rsid w:val="0DA90E87"/>
    <w:rsid w:val="0DB74AC1"/>
    <w:rsid w:val="0DEB7570"/>
    <w:rsid w:val="0DEF71E2"/>
    <w:rsid w:val="0E0D58BA"/>
    <w:rsid w:val="0E0F1632"/>
    <w:rsid w:val="0E1506B0"/>
    <w:rsid w:val="0E19425F"/>
    <w:rsid w:val="0E1F739B"/>
    <w:rsid w:val="0E237412"/>
    <w:rsid w:val="0E2449B2"/>
    <w:rsid w:val="0E342E47"/>
    <w:rsid w:val="0E460DCC"/>
    <w:rsid w:val="0E653000"/>
    <w:rsid w:val="0E677081"/>
    <w:rsid w:val="0E6D45AA"/>
    <w:rsid w:val="0E72396F"/>
    <w:rsid w:val="0E796AAB"/>
    <w:rsid w:val="0E7B2A67"/>
    <w:rsid w:val="0E7C0027"/>
    <w:rsid w:val="0E7E0566"/>
    <w:rsid w:val="0E7F6315"/>
    <w:rsid w:val="0E8D07A9"/>
    <w:rsid w:val="0EB36461"/>
    <w:rsid w:val="0EB45D35"/>
    <w:rsid w:val="0EBD108E"/>
    <w:rsid w:val="0EBD75FE"/>
    <w:rsid w:val="0ECA5559"/>
    <w:rsid w:val="0ED87C76"/>
    <w:rsid w:val="0EE7091E"/>
    <w:rsid w:val="0EF600FC"/>
    <w:rsid w:val="0F1B5913"/>
    <w:rsid w:val="0F4C0664"/>
    <w:rsid w:val="0F5337A0"/>
    <w:rsid w:val="0F711E78"/>
    <w:rsid w:val="0F7E3A23"/>
    <w:rsid w:val="0F917E25"/>
    <w:rsid w:val="0F96368D"/>
    <w:rsid w:val="0F9D4A1B"/>
    <w:rsid w:val="0FA062BA"/>
    <w:rsid w:val="0FA638D0"/>
    <w:rsid w:val="0FB35FED"/>
    <w:rsid w:val="0FD33C3D"/>
    <w:rsid w:val="0FE02AC1"/>
    <w:rsid w:val="0FE8213B"/>
    <w:rsid w:val="0FF52AA9"/>
    <w:rsid w:val="0FF860F6"/>
    <w:rsid w:val="0FF94348"/>
    <w:rsid w:val="0FFF1232"/>
    <w:rsid w:val="10047D52"/>
    <w:rsid w:val="10086339"/>
    <w:rsid w:val="10150A56"/>
    <w:rsid w:val="10240C99"/>
    <w:rsid w:val="102723E9"/>
    <w:rsid w:val="102B566C"/>
    <w:rsid w:val="1033679C"/>
    <w:rsid w:val="104841C5"/>
    <w:rsid w:val="107439CE"/>
    <w:rsid w:val="107B1180"/>
    <w:rsid w:val="10861954"/>
    <w:rsid w:val="1090632E"/>
    <w:rsid w:val="10A92DD3"/>
    <w:rsid w:val="10AE228C"/>
    <w:rsid w:val="10BD54A5"/>
    <w:rsid w:val="10C55FD8"/>
    <w:rsid w:val="10EA2914"/>
    <w:rsid w:val="10F31F4B"/>
    <w:rsid w:val="10F845FF"/>
    <w:rsid w:val="1103023A"/>
    <w:rsid w:val="11036B00"/>
    <w:rsid w:val="11082369"/>
    <w:rsid w:val="11357D2A"/>
    <w:rsid w:val="113849FC"/>
    <w:rsid w:val="113A4C18"/>
    <w:rsid w:val="113C31C6"/>
    <w:rsid w:val="11421E5E"/>
    <w:rsid w:val="11422FE1"/>
    <w:rsid w:val="116E48C1"/>
    <w:rsid w:val="11845E93"/>
    <w:rsid w:val="11867E5D"/>
    <w:rsid w:val="11877731"/>
    <w:rsid w:val="11967974"/>
    <w:rsid w:val="11A2456B"/>
    <w:rsid w:val="11AE09E6"/>
    <w:rsid w:val="11AE5258"/>
    <w:rsid w:val="11DF30C9"/>
    <w:rsid w:val="11FA6155"/>
    <w:rsid w:val="1206084C"/>
    <w:rsid w:val="12130FC5"/>
    <w:rsid w:val="121C60CC"/>
    <w:rsid w:val="1222745A"/>
    <w:rsid w:val="12341A6A"/>
    <w:rsid w:val="12371157"/>
    <w:rsid w:val="12424EB0"/>
    <w:rsid w:val="124F46F3"/>
    <w:rsid w:val="127001C5"/>
    <w:rsid w:val="1276132D"/>
    <w:rsid w:val="127759F8"/>
    <w:rsid w:val="127A0C92"/>
    <w:rsid w:val="127F48AC"/>
    <w:rsid w:val="128819B3"/>
    <w:rsid w:val="128F2D41"/>
    <w:rsid w:val="12942106"/>
    <w:rsid w:val="129E4D32"/>
    <w:rsid w:val="12A548F1"/>
    <w:rsid w:val="12B91B6C"/>
    <w:rsid w:val="12BA7692"/>
    <w:rsid w:val="12EF558E"/>
    <w:rsid w:val="12F9640D"/>
    <w:rsid w:val="13021765"/>
    <w:rsid w:val="13037AFF"/>
    <w:rsid w:val="132A4818"/>
    <w:rsid w:val="13456351"/>
    <w:rsid w:val="134C0C32"/>
    <w:rsid w:val="13541895"/>
    <w:rsid w:val="135D4BEE"/>
    <w:rsid w:val="1378324E"/>
    <w:rsid w:val="137B79E1"/>
    <w:rsid w:val="13833F28"/>
    <w:rsid w:val="13D64F42"/>
    <w:rsid w:val="13DB5B12"/>
    <w:rsid w:val="13E7095B"/>
    <w:rsid w:val="13E83E5F"/>
    <w:rsid w:val="14065285"/>
    <w:rsid w:val="144731A8"/>
    <w:rsid w:val="14717C9A"/>
    <w:rsid w:val="147F2942"/>
    <w:rsid w:val="14991C55"/>
    <w:rsid w:val="14AF7789"/>
    <w:rsid w:val="14D50D33"/>
    <w:rsid w:val="14DA401C"/>
    <w:rsid w:val="14EA0703"/>
    <w:rsid w:val="14EF1875"/>
    <w:rsid w:val="151E65FF"/>
    <w:rsid w:val="1537321C"/>
    <w:rsid w:val="154020D1"/>
    <w:rsid w:val="157B7F4A"/>
    <w:rsid w:val="1585042C"/>
    <w:rsid w:val="15A840F3"/>
    <w:rsid w:val="15AE1730"/>
    <w:rsid w:val="15B11221"/>
    <w:rsid w:val="15E37F2A"/>
    <w:rsid w:val="15FB249C"/>
    <w:rsid w:val="15FF3D3A"/>
    <w:rsid w:val="161A0B74"/>
    <w:rsid w:val="16383AE2"/>
    <w:rsid w:val="16565924"/>
    <w:rsid w:val="16571DC8"/>
    <w:rsid w:val="16646293"/>
    <w:rsid w:val="16685D83"/>
    <w:rsid w:val="167C182F"/>
    <w:rsid w:val="167C538B"/>
    <w:rsid w:val="167D1103"/>
    <w:rsid w:val="167D2FDD"/>
    <w:rsid w:val="16A13FCD"/>
    <w:rsid w:val="16AE5760"/>
    <w:rsid w:val="16AE750E"/>
    <w:rsid w:val="16AF2A39"/>
    <w:rsid w:val="16B40FC8"/>
    <w:rsid w:val="16BC1C2B"/>
    <w:rsid w:val="16BD0A63"/>
    <w:rsid w:val="16C46D32"/>
    <w:rsid w:val="16E3540A"/>
    <w:rsid w:val="16E442B3"/>
    <w:rsid w:val="1711641B"/>
    <w:rsid w:val="1719707D"/>
    <w:rsid w:val="171B6978"/>
    <w:rsid w:val="17215F32"/>
    <w:rsid w:val="172872C1"/>
    <w:rsid w:val="17457E73"/>
    <w:rsid w:val="174F6F43"/>
    <w:rsid w:val="175814CF"/>
    <w:rsid w:val="176821F4"/>
    <w:rsid w:val="177C5D3F"/>
    <w:rsid w:val="177E1C86"/>
    <w:rsid w:val="17944956"/>
    <w:rsid w:val="179B7A92"/>
    <w:rsid w:val="17AC68A6"/>
    <w:rsid w:val="17AD77C6"/>
    <w:rsid w:val="17B62B1E"/>
    <w:rsid w:val="17CB7119"/>
    <w:rsid w:val="17DB67AF"/>
    <w:rsid w:val="18041ADC"/>
    <w:rsid w:val="18495740"/>
    <w:rsid w:val="185A794E"/>
    <w:rsid w:val="18891474"/>
    <w:rsid w:val="188E6B63"/>
    <w:rsid w:val="188F0B1E"/>
    <w:rsid w:val="18975ADC"/>
    <w:rsid w:val="18C272A1"/>
    <w:rsid w:val="18D314AE"/>
    <w:rsid w:val="18DA283C"/>
    <w:rsid w:val="18F90F15"/>
    <w:rsid w:val="192D6E10"/>
    <w:rsid w:val="19373862"/>
    <w:rsid w:val="193D1CBA"/>
    <w:rsid w:val="19520625"/>
    <w:rsid w:val="19526877"/>
    <w:rsid w:val="196547FC"/>
    <w:rsid w:val="19856C4C"/>
    <w:rsid w:val="199665EC"/>
    <w:rsid w:val="199C7AF2"/>
    <w:rsid w:val="19CC03D7"/>
    <w:rsid w:val="19D2300F"/>
    <w:rsid w:val="19E80F89"/>
    <w:rsid w:val="19EC5173"/>
    <w:rsid w:val="19F872A0"/>
    <w:rsid w:val="1A352420"/>
    <w:rsid w:val="1A377809"/>
    <w:rsid w:val="1A452ACF"/>
    <w:rsid w:val="1A512FD2"/>
    <w:rsid w:val="1A5D54D3"/>
    <w:rsid w:val="1ABD41C4"/>
    <w:rsid w:val="1ADA2FC8"/>
    <w:rsid w:val="1AE259D8"/>
    <w:rsid w:val="1AE35507"/>
    <w:rsid w:val="1AEB2ADF"/>
    <w:rsid w:val="1AF04599"/>
    <w:rsid w:val="1AFC1190"/>
    <w:rsid w:val="1B2129A5"/>
    <w:rsid w:val="1B3B1964"/>
    <w:rsid w:val="1B3E3557"/>
    <w:rsid w:val="1B5E7755"/>
    <w:rsid w:val="1B636B19"/>
    <w:rsid w:val="1B6805D3"/>
    <w:rsid w:val="1B7E1468"/>
    <w:rsid w:val="1B825739"/>
    <w:rsid w:val="1B83540D"/>
    <w:rsid w:val="1BA62EAA"/>
    <w:rsid w:val="1BC17CE4"/>
    <w:rsid w:val="1BCC0B62"/>
    <w:rsid w:val="1BDC6FB8"/>
    <w:rsid w:val="1BDD4B1E"/>
    <w:rsid w:val="1BE35EAC"/>
    <w:rsid w:val="1BE718C7"/>
    <w:rsid w:val="1BF43C15"/>
    <w:rsid w:val="1C146065"/>
    <w:rsid w:val="1C1B73F4"/>
    <w:rsid w:val="1C2F10F1"/>
    <w:rsid w:val="1C3B1844"/>
    <w:rsid w:val="1C406E5A"/>
    <w:rsid w:val="1C495921"/>
    <w:rsid w:val="1C542906"/>
    <w:rsid w:val="1C744D56"/>
    <w:rsid w:val="1C761991"/>
    <w:rsid w:val="1C7A6810"/>
    <w:rsid w:val="1C7B7E93"/>
    <w:rsid w:val="1C7D1E5D"/>
    <w:rsid w:val="1C8036FB"/>
    <w:rsid w:val="1C91765D"/>
    <w:rsid w:val="1C9C6787"/>
    <w:rsid w:val="1C9D289F"/>
    <w:rsid w:val="1CB963B0"/>
    <w:rsid w:val="1CCF408F"/>
    <w:rsid w:val="1CD770EC"/>
    <w:rsid w:val="1CE43C8A"/>
    <w:rsid w:val="1CFC09BB"/>
    <w:rsid w:val="1D183933"/>
    <w:rsid w:val="1D1A08E3"/>
    <w:rsid w:val="1D210A3A"/>
    <w:rsid w:val="1D3764AF"/>
    <w:rsid w:val="1D4F5570"/>
    <w:rsid w:val="1D5E1C8E"/>
    <w:rsid w:val="1D5F7EFF"/>
    <w:rsid w:val="1D61177E"/>
    <w:rsid w:val="1D7E7C3A"/>
    <w:rsid w:val="1D8B208F"/>
    <w:rsid w:val="1D8D4321"/>
    <w:rsid w:val="1D963E2E"/>
    <w:rsid w:val="1D9B6CF3"/>
    <w:rsid w:val="1D9C27B6"/>
    <w:rsid w:val="1DA35CDF"/>
    <w:rsid w:val="1DAA4ED3"/>
    <w:rsid w:val="1DC615E1"/>
    <w:rsid w:val="1DC835AB"/>
    <w:rsid w:val="1DFD14A7"/>
    <w:rsid w:val="1E025A66"/>
    <w:rsid w:val="1E037E3E"/>
    <w:rsid w:val="1E242D4E"/>
    <w:rsid w:val="1E2F7187"/>
    <w:rsid w:val="1E340C41"/>
    <w:rsid w:val="1E401394"/>
    <w:rsid w:val="1E403BB4"/>
    <w:rsid w:val="1E435EE1"/>
    <w:rsid w:val="1E4A2212"/>
    <w:rsid w:val="1E6908EA"/>
    <w:rsid w:val="1E6934D0"/>
    <w:rsid w:val="1E766B63"/>
    <w:rsid w:val="1E786D7F"/>
    <w:rsid w:val="1E8A6AB3"/>
    <w:rsid w:val="1E8F7C25"/>
    <w:rsid w:val="1E9B2A6E"/>
    <w:rsid w:val="1EAF02C7"/>
    <w:rsid w:val="1EBA1146"/>
    <w:rsid w:val="1EC73863"/>
    <w:rsid w:val="1ED46823"/>
    <w:rsid w:val="1EDB24C3"/>
    <w:rsid w:val="1EDF295B"/>
    <w:rsid w:val="1EF94D63"/>
    <w:rsid w:val="1F046865"/>
    <w:rsid w:val="1F1D16D5"/>
    <w:rsid w:val="1F204D21"/>
    <w:rsid w:val="1F2760B0"/>
    <w:rsid w:val="1F460C2C"/>
    <w:rsid w:val="1F525822"/>
    <w:rsid w:val="1F58270D"/>
    <w:rsid w:val="1F5F1CED"/>
    <w:rsid w:val="1F692180"/>
    <w:rsid w:val="1F707A57"/>
    <w:rsid w:val="1F7237CF"/>
    <w:rsid w:val="1F770DE5"/>
    <w:rsid w:val="1F833C2E"/>
    <w:rsid w:val="1F890B18"/>
    <w:rsid w:val="1F8D0609"/>
    <w:rsid w:val="1FB82BC8"/>
    <w:rsid w:val="1FCA53B9"/>
    <w:rsid w:val="1FD47FE6"/>
    <w:rsid w:val="1FE31481"/>
    <w:rsid w:val="1FE917AE"/>
    <w:rsid w:val="1FF16DE9"/>
    <w:rsid w:val="1FF468DA"/>
    <w:rsid w:val="200F54C2"/>
    <w:rsid w:val="201B5C14"/>
    <w:rsid w:val="20254CE5"/>
    <w:rsid w:val="2039253E"/>
    <w:rsid w:val="203B0BFB"/>
    <w:rsid w:val="204A02A8"/>
    <w:rsid w:val="2059498F"/>
    <w:rsid w:val="20690166"/>
    <w:rsid w:val="20803CC9"/>
    <w:rsid w:val="209239FD"/>
    <w:rsid w:val="20CC482F"/>
    <w:rsid w:val="20E45483"/>
    <w:rsid w:val="20E97AC1"/>
    <w:rsid w:val="20EA2A65"/>
    <w:rsid w:val="20EF2BFD"/>
    <w:rsid w:val="20FD7526"/>
    <w:rsid w:val="20FF1319"/>
    <w:rsid w:val="210112AE"/>
    <w:rsid w:val="21354AB4"/>
    <w:rsid w:val="214E2A84"/>
    <w:rsid w:val="21556257"/>
    <w:rsid w:val="215F4227"/>
    <w:rsid w:val="217F6677"/>
    <w:rsid w:val="21817CF9"/>
    <w:rsid w:val="21884BA0"/>
    <w:rsid w:val="219519F6"/>
    <w:rsid w:val="2197576F"/>
    <w:rsid w:val="219B1B95"/>
    <w:rsid w:val="21BA145D"/>
    <w:rsid w:val="21BF6A73"/>
    <w:rsid w:val="21C30312"/>
    <w:rsid w:val="21DE15EF"/>
    <w:rsid w:val="21ED1832"/>
    <w:rsid w:val="21ED5205"/>
    <w:rsid w:val="21F26E49"/>
    <w:rsid w:val="21F7445F"/>
    <w:rsid w:val="220151E4"/>
    <w:rsid w:val="22032E04"/>
    <w:rsid w:val="2217240B"/>
    <w:rsid w:val="22196184"/>
    <w:rsid w:val="222039B6"/>
    <w:rsid w:val="222B5EB7"/>
    <w:rsid w:val="2237485C"/>
    <w:rsid w:val="223E3E3C"/>
    <w:rsid w:val="224B716E"/>
    <w:rsid w:val="227635D6"/>
    <w:rsid w:val="22794E74"/>
    <w:rsid w:val="22816667"/>
    <w:rsid w:val="22853819"/>
    <w:rsid w:val="228D26CE"/>
    <w:rsid w:val="22BB723B"/>
    <w:rsid w:val="22C87E24"/>
    <w:rsid w:val="22C95DFC"/>
    <w:rsid w:val="22E709E9"/>
    <w:rsid w:val="22EC5F17"/>
    <w:rsid w:val="22EE06E2"/>
    <w:rsid w:val="22F015DA"/>
    <w:rsid w:val="22F8223D"/>
    <w:rsid w:val="22F82BC2"/>
    <w:rsid w:val="22F84FC6"/>
    <w:rsid w:val="22FD3CF7"/>
    <w:rsid w:val="230230BC"/>
    <w:rsid w:val="230A01C2"/>
    <w:rsid w:val="23243032"/>
    <w:rsid w:val="23506E61"/>
    <w:rsid w:val="235A0EEE"/>
    <w:rsid w:val="235C6C70"/>
    <w:rsid w:val="23614286"/>
    <w:rsid w:val="23712585"/>
    <w:rsid w:val="2389558B"/>
    <w:rsid w:val="23C93BD9"/>
    <w:rsid w:val="242B03F0"/>
    <w:rsid w:val="243472A5"/>
    <w:rsid w:val="2440076D"/>
    <w:rsid w:val="249E6E14"/>
    <w:rsid w:val="24A563F4"/>
    <w:rsid w:val="24B228BF"/>
    <w:rsid w:val="24C22B02"/>
    <w:rsid w:val="24D171E9"/>
    <w:rsid w:val="24EF141E"/>
    <w:rsid w:val="25034EC9"/>
    <w:rsid w:val="250C0222"/>
    <w:rsid w:val="25461985"/>
    <w:rsid w:val="25586D6C"/>
    <w:rsid w:val="256516E0"/>
    <w:rsid w:val="256B319A"/>
    <w:rsid w:val="25781413"/>
    <w:rsid w:val="257858B7"/>
    <w:rsid w:val="258B383C"/>
    <w:rsid w:val="259455FA"/>
    <w:rsid w:val="259F4BF2"/>
    <w:rsid w:val="25A246E2"/>
    <w:rsid w:val="25AA57FC"/>
    <w:rsid w:val="25AD5EB4"/>
    <w:rsid w:val="25B662E5"/>
    <w:rsid w:val="25BF5294"/>
    <w:rsid w:val="25C2759F"/>
    <w:rsid w:val="25C63DCF"/>
    <w:rsid w:val="25C74149"/>
    <w:rsid w:val="25DE267C"/>
    <w:rsid w:val="25E46AA9"/>
    <w:rsid w:val="25E66CC5"/>
    <w:rsid w:val="25FA62CC"/>
    <w:rsid w:val="26143832"/>
    <w:rsid w:val="26207C3D"/>
    <w:rsid w:val="262275D1"/>
    <w:rsid w:val="26325A66"/>
    <w:rsid w:val="263712CE"/>
    <w:rsid w:val="26456C5F"/>
    <w:rsid w:val="264D6D44"/>
    <w:rsid w:val="26635DE5"/>
    <w:rsid w:val="26977FBF"/>
    <w:rsid w:val="26AF355A"/>
    <w:rsid w:val="26B50445"/>
    <w:rsid w:val="26B54405"/>
    <w:rsid w:val="26B835BD"/>
    <w:rsid w:val="26BC17D3"/>
    <w:rsid w:val="26DC11F6"/>
    <w:rsid w:val="26E256DE"/>
    <w:rsid w:val="26EC191F"/>
    <w:rsid w:val="26F251F5"/>
    <w:rsid w:val="270C62B7"/>
    <w:rsid w:val="270F0F22"/>
    <w:rsid w:val="274730B4"/>
    <w:rsid w:val="27473793"/>
    <w:rsid w:val="27677991"/>
    <w:rsid w:val="27802801"/>
    <w:rsid w:val="27802D01"/>
    <w:rsid w:val="27867CA0"/>
    <w:rsid w:val="278A123C"/>
    <w:rsid w:val="27963D10"/>
    <w:rsid w:val="279F537D"/>
    <w:rsid w:val="27DF5779"/>
    <w:rsid w:val="280451E0"/>
    <w:rsid w:val="280E7BD2"/>
    <w:rsid w:val="28177609"/>
    <w:rsid w:val="28186EDD"/>
    <w:rsid w:val="281C077C"/>
    <w:rsid w:val="28247630"/>
    <w:rsid w:val="282615FA"/>
    <w:rsid w:val="282910EA"/>
    <w:rsid w:val="28396E4B"/>
    <w:rsid w:val="283E4B96"/>
    <w:rsid w:val="28414686"/>
    <w:rsid w:val="28447CD2"/>
    <w:rsid w:val="284B2E0F"/>
    <w:rsid w:val="284D6B87"/>
    <w:rsid w:val="2850076C"/>
    <w:rsid w:val="28550131"/>
    <w:rsid w:val="285A5748"/>
    <w:rsid w:val="28642123"/>
    <w:rsid w:val="28757E8C"/>
    <w:rsid w:val="287E4F92"/>
    <w:rsid w:val="28B07116"/>
    <w:rsid w:val="28B9421C"/>
    <w:rsid w:val="28CB21A2"/>
    <w:rsid w:val="28CC2935"/>
    <w:rsid w:val="28E62B38"/>
    <w:rsid w:val="28E868B0"/>
    <w:rsid w:val="28F25980"/>
    <w:rsid w:val="28F96D0F"/>
    <w:rsid w:val="290673F2"/>
    <w:rsid w:val="290B7A2E"/>
    <w:rsid w:val="291A1AA7"/>
    <w:rsid w:val="2944442E"/>
    <w:rsid w:val="29493E9D"/>
    <w:rsid w:val="29606D8E"/>
    <w:rsid w:val="29622B06"/>
    <w:rsid w:val="2964062C"/>
    <w:rsid w:val="29787C34"/>
    <w:rsid w:val="298131E9"/>
    <w:rsid w:val="298760C9"/>
    <w:rsid w:val="29927525"/>
    <w:rsid w:val="29927747"/>
    <w:rsid w:val="29AE7AF9"/>
    <w:rsid w:val="29C54E43"/>
    <w:rsid w:val="29C9048F"/>
    <w:rsid w:val="29CB06AB"/>
    <w:rsid w:val="29CB07EB"/>
    <w:rsid w:val="29DE4538"/>
    <w:rsid w:val="29EB75B7"/>
    <w:rsid w:val="29FA689B"/>
    <w:rsid w:val="2A007C29"/>
    <w:rsid w:val="2A0108B7"/>
    <w:rsid w:val="2A04596B"/>
    <w:rsid w:val="2A133E00"/>
    <w:rsid w:val="2A1536D4"/>
    <w:rsid w:val="2A1A0CEB"/>
    <w:rsid w:val="2A202079"/>
    <w:rsid w:val="2A2E4796"/>
    <w:rsid w:val="2A3E6D57"/>
    <w:rsid w:val="2A500BB0"/>
    <w:rsid w:val="2A506E02"/>
    <w:rsid w:val="2A5C57A7"/>
    <w:rsid w:val="2A6B3832"/>
    <w:rsid w:val="2A88659C"/>
    <w:rsid w:val="2A906CB5"/>
    <w:rsid w:val="2A954815"/>
    <w:rsid w:val="2A987073"/>
    <w:rsid w:val="2ABE1FBE"/>
    <w:rsid w:val="2AD0584D"/>
    <w:rsid w:val="2AEE4B12"/>
    <w:rsid w:val="2AFE685E"/>
    <w:rsid w:val="2B057BED"/>
    <w:rsid w:val="2B060A50"/>
    <w:rsid w:val="2B0A5203"/>
    <w:rsid w:val="2B116592"/>
    <w:rsid w:val="2B1841B1"/>
    <w:rsid w:val="2B193698"/>
    <w:rsid w:val="2B1C4F36"/>
    <w:rsid w:val="2B2160A9"/>
    <w:rsid w:val="2B322B5E"/>
    <w:rsid w:val="2B400C25"/>
    <w:rsid w:val="2B4214EA"/>
    <w:rsid w:val="2B4714A0"/>
    <w:rsid w:val="2B471FB3"/>
    <w:rsid w:val="2B606BD1"/>
    <w:rsid w:val="2B612949"/>
    <w:rsid w:val="2B6C5576"/>
    <w:rsid w:val="2B717030"/>
    <w:rsid w:val="2B74267D"/>
    <w:rsid w:val="2B762899"/>
    <w:rsid w:val="2B7663F5"/>
    <w:rsid w:val="2B7E52A9"/>
    <w:rsid w:val="2B9A434A"/>
    <w:rsid w:val="2BA50A88"/>
    <w:rsid w:val="2BAA2542"/>
    <w:rsid w:val="2BB60EE7"/>
    <w:rsid w:val="2BCA4992"/>
    <w:rsid w:val="2BE035C8"/>
    <w:rsid w:val="2BF24188"/>
    <w:rsid w:val="2BF65788"/>
    <w:rsid w:val="2BFD08C4"/>
    <w:rsid w:val="2C0269F8"/>
    <w:rsid w:val="2C235EB7"/>
    <w:rsid w:val="2C2B5431"/>
    <w:rsid w:val="2C610E53"/>
    <w:rsid w:val="2C6646BB"/>
    <w:rsid w:val="2C876684"/>
    <w:rsid w:val="2C9C1E8B"/>
    <w:rsid w:val="2C9F3729"/>
    <w:rsid w:val="2CAF267A"/>
    <w:rsid w:val="2CB02E2C"/>
    <w:rsid w:val="2CBE197F"/>
    <w:rsid w:val="2CCB6C14"/>
    <w:rsid w:val="2CE51A84"/>
    <w:rsid w:val="2CE90E48"/>
    <w:rsid w:val="2CEC505D"/>
    <w:rsid w:val="2CED0939"/>
    <w:rsid w:val="2CF27CFD"/>
    <w:rsid w:val="2CF577ED"/>
    <w:rsid w:val="2CFA3055"/>
    <w:rsid w:val="2D012636"/>
    <w:rsid w:val="2D016C6B"/>
    <w:rsid w:val="2D0D2D89"/>
    <w:rsid w:val="2D150BA1"/>
    <w:rsid w:val="2D296C6F"/>
    <w:rsid w:val="2D2B1461"/>
    <w:rsid w:val="2D2D1B91"/>
    <w:rsid w:val="2D5B7F98"/>
    <w:rsid w:val="2D6A6CF3"/>
    <w:rsid w:val="2D746964"/>
    <w:rsid w:val="2D8D7A26"/>
    <w:rsid w:val="2D9278AD"/>
    <w:rsid w:val="2DB9081B"/>
    <w:rsid w:val="2DCE2518"/>
    <w:rsid w:val="2DD218DC"/>
    <w:rsid w:val="2DD75759"/>
    <w:rsid w:val="2DDB69E3"/>
    <w:rsid w:val="2DE61229"/>
    <w:rsid w:val="2DE735DA"/>
    <w:rsid w:val="2DEF7457"/>
    <w:rsid w:val="2DF55893"/>
    <w:rsid w:val="2DFD104F"/>
    <w:rsid w:val="2E093AD9"/>
    <w:rsid w:val="2E0A0E72"/>
    <w:rsid w:val="2E112405"/>
    <w:rsid w:val="2E426A62"/>
    <w:rsid w:val="2E4637EF"/>
    <w:rsid w:val="2E4E18AB"/>
    <w:rsid w:val="2E6B420B"/>
    <w:rsid w:val="2E6C48D9"/>
    <w:rsid w:val="2E7035CF"/>
    <w:rsid w:val="2E7D3F3E"/>
    <w:rsid w:val="2E861327"/>
    <w:rsid w:val="2E864BA1"/>
    <w:rsid w:val="2E89643F"/>
    <w:rsid w:val="2E8F4F19"/>
    <w:rsid w:val="2E9279E9"/>
    <w:rsid w:val="2EA63495"/>
    <w:rsid w:val="2EB57234"/>
    <w:rsid w:val="2EC8340B"/>
    <w:rsid w:val="2ED303B5"/>
    <w:rsid w:val="2EF35FAE"/>
    <w:rsid w:val="2EF91817"/>
    <w:rsid w:val="2EFA6A37"/>
    <w:rsid w:val="2F167CA6"/>
    <w:rsid w:val="2F25260C"/>
    <w:rsid w:val="2F452CAE"/>
    <w:rsid w:val="2F4A3E20"/>
    <w:rsid w:val="2F5D70AC"/>
    <w:rsid w:val="2F6824F8"/>
    <w:rsid w:val="2F8A246F"/>
    <w:rsid w:val="2F8B61E7"/>
    <w:rsid w:val="2F904855"/>
    <w:rsid w:val="2F947791"/>
    <w:rsid w:val="2FA33530"/>
    <w:rsid w:val="2FA36C75"/>
    <w:rsid w:val="2FB83480"/>
    <w:rsid w:val="2FBE036A"/>
    <w:rsid w:val="2FFA41B9"/>
    <w:rsid w:val="301D6DE7"/>
    <w:rsid w:val="302428C3"/>
    <w:rsid w:val="30297EDA"/>
    <w:rsid w:val="303074BA"/>
    <w:rsid w:val="304E08DD"/>
    <w:rsid w:val="30601421"/>
    <w:rsid w:val="3062519A"/>
    <w:rsid w:val="306929CC"/>
    <w:rsid w:val="30696528"/>
    <w:rsid w:val="306B405E"/>
    <w:rsid w:val="30832D34"/>
    <w:rsid w:val="308C4B30"/>
    <w:rsid w:val="309612E7"/>
    <w:rsid w:val="30C714A1"/>
    <w:rsid w:val="30D53BBD"/>
    <w:rsid w:val="30EB33E1"/>
    <w:rsid w:val="30EE230F"/>
    <w:rsid w:val="30F5600E"/>
    <w:rsid w:val="30FC114A"/>
    <w:rsid w:val="31012C04"/>
    <w:rsid w:val="310E0E7D"/>
    <w:rsid w:val="31104BF6"/>
    <w:rsid w:val="314A68DF"/>
    <w:rsid w:val="317A6D88"/>
    <w:rsid w:val="317F1D7B"/>
    <w:rsid w:val="318B0720"/>
    <w:rsid w:val="319E66A5"/>
    <w:rsid w:val="31A737AC"/>
    <w:rsid w:val="31A87524"/>
    <w:rsid w:val="31B00187"/>
    <w:rsid w:val="31D200FD"/>
    <w:rsid w:val="31DB3455"/>
    <w:rsid w:val="31DE4CF4"/>
    <w:rsid w:val="31E55E87"/>
    <w:rsid w:val="31E56082"/>
    <w:rsid w:val="31E64732"/>
    <w:rsid w:val="31F84559"/>
    <w:rsid w:val="3207249C"/>
    <w:rsid w:val="320F4D4B"/>
    <w:rsid w:val="32140715"/>
    <w:rsid w:val="3223427F"/>
    <w:rsid w:val="3236068C"/>
    <w:rsid w:val="324059AE"/>
    <w:rsid w:val="326351F9"/>
    <w:rsid w:val="32766A06"/>
    <w:rsid w:val="327D078A"/>
    <w:rsid w:val="32933D30"/>
    <w:rsid w:val="32A7158A"/>
    <w:rsid w:val="32B31CDC"/>
    <w:rsid w:val="32C75788"/>
    <w:rsid w:val="32E165BD"/>
    <w:rsid w:val="32FA3DAF"/>
    <w:rsid w:val="330469DC"/>
    <w:rsid w:val="33244988"/>
    <w:rsid w:val="33274478"/>
    <w:rsid w:val="332B3F69"/>
    <w:rsid w:val="33320309"/>
    <w:rsid w:val="333C43C8"/>
    <w:rsid w:val="334A3443"/>
    <w:rsid w:val="334F40FB"/>
    <w:rsid w:val="3353526D"/>
    <w:rsid w:val="33566304"/>
    <w:rsid w:val="33641229"/>
    <w:rsid w:val="338673F1"/>
    <w:rsid w:val="338B4ADF"/>
    <w:rsid w:val="339964E5"/>
    <w:rsid w:val="339D48A3"/>
    <w:rsid w:val="33AC3A1C"/>
    <w:rsid w:val="33C74846"/>
    <w:rsid w:val="33CF6FEA"/>
    <w:rsid w:val="33F64577"/>
    <w:rsid w:val="34056568"/>
    <w:rsid w:val="34296B28"/>
    <w:rsid w:val="343E7CCC"/>
    <w:rsid w:val="34525525"/>
    <w:rsid w:val="346040E6"/>
    <w:rsid w:val="34715CB6"/>
    <w:rsid w:val="34A0589E"/>
    <w:rsid w:val="34A67F96"/>
    <w:rsid w:val="34A9783B"/>
    <w:rsid w:val="34B0508B"/>
    <w:rsid w:val="34CE1050"/>
    <w:rsid w:val="34DF440A"/>
    <w:rsid w:val="350A581B"/>
    <w:rsid w:val="352E7D40"/>
    <w:rsid w:val="35426A60"/>
    <w:rsid w:val="35586B6B"/>
    <w:rsid w:val="355E7319"/>
    <w:rsid w:val="356557DB"/>
    <w:rsid w:val="35690D78"/>
    <w:rsid w:val="358D36CE"/>
    <w:rsid w:val="3598340C"/>
    <w:rsid w:val="35A10512"/>
    <w:rsid w:val="35BF7704"/>
    <w:rsid w:val="35CE6E2D"/>
    <w:rsid w:val="35DB7EC8"/>
    <w:rsid w:val="35EE2046"/>
    <w:rsid w:val="35F41640"/>
    <w:rsid w:val="361A6E50"/>
    <w:rsid w:val="362A0508"/>
    <w:rsid w:val="36314E64"/>
    <w:rsid w:val="363967AA"/>
    <w:rsid w:val="36415851"/>
    <w:rsid w:val="36460158"/>
    <w:rsid w:val="36603F29"/>
    <w:rsid w:val="36745C27"/>
    <w:rsid w:val="36851BE2"/>
    <w:rsid w:val="368A0116"/>
    <w:rsid w:val="368E4F3A"/>
    <w:rsid w:val="369116D0"/>
    <w:rsid w:val="36941E25"/>
    <w:rsid w:val="36965B9D"/>
    <w:rsid w:val="369F7E9A"/>
    <w:rsid w:val="36A4650C"/>
    <w:rsid w:val="36C648FF"/>
    <w:rsid w:val="36CC15BF"/>
    <w:rsid w:val="36EF34FF"/>
    <w:rsid w:val="370C4F32"/>
    <w:rsid w:val="370E607B"/>
    <w:rsid w:val="372907BF"/>
    <w:rsid w:val="37294C63"/>
    <w:rsid w:val="37353608"/>
    <w:rsid w:val="37392C59"/>
    <w:rsid w:val="374D6BA3"/>
    <w:rsid w:val="37500442"/>
    <w:rsid w:val="375515B4"/>
    <w:rsid w:val="375A6BCB"/>
    <w:rsid w:val="377A726D"/>
    <w:rsid w:val="377E4FAF"/>
    <w:rsid w:val="37971BCD"/>
    <w:rsid w:val="37A75B88"/>
    <w:rsid w:val="37BA3B0D"/>
    <w:rsid w:val="37D921E5"/>
    <w:rsid w:val="37DF5322"/>
    <w:rsid w:val="37F51788"/>
    <w:rsid w:val="37F92887"/>
    <w:rsid w:val="37FC2378"/>
    <w:rsid w:val="380C2A2C"/>
    <w:rsid w:val="384B3FA8"/>
    <w:rsid w:val="3854528C"/>
    <w:rsid w:val="38547ABE"/>
    <w:rsid w:val="38565141"/>
    <w:rsid w:val="388D6641"/>
    <w:rsid w:val="38B41380"/>
    <w:rsid w:val="38B95B73"/>
    <w:rsid w:val="38C22C79"/>
    <w:rsid w:val="38C77A8E"/>
    <w:rsid w:val="38CF183A"/>
    <w:rsid w:val="38E30E42"/>
    <w:rsid w:val="38E57239"/>
    <w:rsid w:val="38EF5A38"/>
    <w:rsid w:val="38F31085"/>
    <w:rsid w:val="39036257"/>
    <w:rsid w:val="390F1199"/>
    <w:rsid w:val="39367F12"/>
    <w:rsid w:val="393D0552"/>
    <w:rsid w:val="394538AA"/>
    <w:rsid w:val="394834E6"/>
    <w:rsid w:val="394D5E49"/>
    <w:rsid w:val="39553AED"/>
    <w:rsid w:val="397B285E"/>
    <w:rsid w:val="397C0F7B"/>
    <w:rsid w:val="398F2E12"/>
    <w:rsid w:val="399531A9"/>
    <w:rsid w:val="39993E51"/>
    <w:rsid w:val="39A10631"/>
    <w:rsid w:val="39AD02F7"/>
    <w:rsid w:val="39B5458C"/>
    <w:rsid w:val="39B60304"/>
    <w:rsid w:val="39DA2245"/>
    <w:rsid w:val="39DA3FF3"/>
    <w:rsid w:val="39DF3CFF"/>
    <w:rsid w:val="39E81075"/>
    <w:rsid w:val="39EB5714"/>
    <w:rsid w:val="39F71049"/>
    <w:rsid w:val="39F7415E"/>
    <w:rsid w:val="39F96B6F"/>
    <w:rsid w:val="39FE77BF"/>
    <w:rsid w:val="3A013C75"/>
    <w:rsid w:val="3A0472C2"/>
    <w:rsid w:val="3A073743"/>
    <w:rsid w:val="3A12378C"/>
    <w:rsid w:val="3A2B6F44"/>
    <w:rsid w:val="3A361B71"/>
    <w:rsid w:val="3A456E52"/>
    <w:rsid w:val="3A5A5133"/>
    <w:rsid w:val="3A631110"/>
    <w:rsid w:val="3A830B2E"/>
    <w:rsid w:val="3ABA2F86"/>
    <w:rsid w:val="3AC70A1B"/>
    <w:rsid w:val="3AEA64B7"/>
    <w:rsid w:val="3AF92B9E"/>
    <w:rsid w:val="3AFA0DF0"/>
    <w:rsid w:val="3B097226"/>
    <w:rsid w:val="3B111C96"/>
    <w:rsid w:val="3B194FEF"/>
    <w:rsid w:val="3B236ECD"/>
    <w:rsid w:val="3B497682"/>
    <w:rsid w:val="3B5F6EA5"/>
    <w:rsid w:val="3B6E70E8"/>
    <w:rsid w:val="3B765F9D"/>
    <w:rsid w:val="3B7F30A4"/>
    <w:rsid w:val="3B8561E0"/>
    <w:rsid w:val="3B8B1A48"/>
    <w:rsid w:val="3BB07701"/>
    <w:rsid w:val="3BB2349B"/>
    <w:rsid w:val="3BB54D17"/>
    <w:rsid w:val="3BBF7944"/>
    <w:rsid w:val="3BC61B14"/>
    <w:rsid w:val="3BC82C9D"/>
    <w:rsid w:val="3BC9431F"/>
    <w:rsid w:val="3BE92C13"/>
    <w:rsid w:val="3BF375EE"/>
    <w:rsid w:val="3C0D4B53"/>
    <w:rsid w:val="3C0E2679"/>
    <w:rsid w:val="3C2105FF"/>
    <w:rsid w:val="3C2D2B00"/>
    <w:rsid w:val="3C327091"/>
    <w:rsid w:val="3C37211C"/>
    <w:rsid w:val="3C372D23"/>
    <w:rsid w:val="3C447E49"/>
    <w:rsid w:val="3C494757"/>
    <w:rsid w:val="3C4B11D8"/>
    <w:rsid w:val="3C4B380F"/>
    <w:rsid w:val="3C4F6F1A"/>
    <w:rsid w:val="3C5A766D"/>
    <w:rsid w:val="3C720E5A"/>
    <w:rsid w:val="3C897325"/>
    <w:rsid w:val="3C8B3CCA"/>
    <w:rsid w:val="3CA408E8"/>
    <w:rsid w:val="3CA52FDE"/>
    <w:rsid w:val="3CB94393"/>
    <w:rsid w:val="3CC14C1F"/>
    <w:rsid w:val="3CD0758C"/>
    <w:rsid w:val="3CE358B4"/>
    <w:rsid w:val="3CE55188"/>
    <w:rsid w:val="3CF56BC9"/>
    <w:rsid w:val="3CFE26EE"/>
    <w:rsid w:val="3D0A4BEF"/>
    <w:rsid w:val="3D0E2E48"/>
    <w:rsid w:val="3D1D0DC6"/>
    <w:rsid w:val="3D1F37E4"/>
    <w:rsid w:val="3D211F38"/>
    <w:rsid w:val="3D235CB1"/>
    <w:rsid w:val="3D346110"/>
    <w:rsid w:val="3D37175C"/>
    <w:rsid w:val="3D491BBB"/>
    <w:rsid w:val="3D4F2F4A"/>
    <w:rsid w:val="3D762284"/>
    <w:rsid w:val="3D826E7B"/>
    <w:rsid w:val="3D864BBD"/>
    <w:rsid w:val="3DC05416"/>
    <w:rsid w:val="3DDB0CD9"/>
    <w:rsid w:val="3DDD67A7"/>
    <w:rsid w:val="3DE23DBE"/>
    <w:rsid w:val="3DE90CA8"/>
    <w:rsid w:val="3E157CEF"/>
    <w:rsid w:val="3E5750C4"/>
    <w:rsid w:val="3E667746"/>
    <w:rsid w:val="3E815385"/>
    <w:rsid w:val="3E885B96"/>
    <w:rsid w:val="3E952BDE"/>
    <w:rsid w:val="3EB43064"/>
    <w:rsid w:val="3EB92D70"/>
    <w:rsid w:val="3EBC22FE"/>
    <w:rsid w:val="3ECD4126"/>
    <w:rsid w:val="3EF1250A"/>
    <w:rsid w:val="3EF773F5"/>
    <w:rsid w:val="3F033FEC"/>
    <w:rsid w:val="3F163D1F"/>
    <w:rsid w:val="3F334B39"/>
    <w:rsid w:val="3F406FEE"/>
    <w:rsid w:val="3F450160"/>
    <w:rsid w:val="3F473ED8"/>
    <w:rsid w:val="3F4C14EF"/>
    <w:rsid w:val="3F4D019D"/>
    <w:rsid w:val="3F5860E5"/>
    <w:rsid w:val="3F591E5E"/>
    <w:rsid w:val="3F760C61"/>
    <w:rsid w:val="3F8213B4"/>
    <w:rsid w:val="3F827606"/>
    <w:rsid w:val="3F870779"/>
    <w:rsid w:val="3F890995"/>
    <w:rsid w:val="3F8A2017"/>
    <w:rsid w:val="3F917849"/>
    <w:rsid w:val="3F9B0612"/>
    <w:rsid w:val="3F9D1D4A"/>
    <w:rsid w:val="3FA241A2"/>
    <w:rsid w:val="3FAA4467"/>
    <w:rsid w:val="3FAC01DF"/>
    <w:rsid w:val="3FD85478"/>
    <w:rsid w:val="3FE536F1"/>
    <w:rsid w:val="3FE77469"/>
    <w:rsid w:val="40215D3E"/>
    <w:rsid w:val="403A57EB"/>
    <w:rsid w:val="404843AC"/>
    <w:rsid w:val="404B3E9C"/>
    <w:rsid w:val="4061546E"/>
    <w:rsid w:val="40664832"/>
    <w:rsid w:val="4079067E"/>
    <w:rsid w:val="40843290"/>
    <w:rsid w:val="4093139F"/>
    <w:rsid w:val="409343AF"/>
    <w:rsid w:val="409E3FCC"/>
    <w:rsid w:val="40C73F2B"/>
    <w:rsid w:val="40D75730"/>
    <w:rsid w:val="40E63BC5"/>
    <w:rsid w:val="40EB4D37"/>
    <w:rsid w:val="40EC14AB"/>
    <w:rsid w:val="40F71D36"/>
    <w:rsid w:val="40FA4F7A"/>
    <w:rsid w:val="410D2F00"/>
    <w:rsid w:val="410D73A4"/>
    <w:rsid w:val="413C37E5"/>
    <w:rsid w:val="415648A7"/>
    <w:rsid w:val="415A71E1"/>
    <w:rsid w:val="41630D72"/>
    <w:rsid w:val="41720259"/>
    <w:rsid w:val="418807D8"/>
    <w:rsid w:val="418F600A"/>
    <w:rsid w:val="419B675D"/>
    <w:rsid w:val="41AA69A0"/>
    <w:rsid w:val="41B15F81"/>
    <w:rsid w:val="41C2051C"/>
    <w:rsid w:val="41C31810"/>
    <w:rsid w:val="41C55588"/>
    <w:rsid w:val="41DC7318"/>
    <w:rsid w:val="41DD7C7C"/>
    <w:rsid w:val="41E225DE"/>
    <w:rsid w:val="41F8595E"/>
    <w:rsid w:val="42100EF9"/>
    <w:rsid w:val="4214206C"/>
    <w:rsid w:val="42454372"/>
    <w:rsid w:val="426179A2"/>
    <w:rsid w:val="427174BE"/>
    <w:rsid w:val="42786A9F"/>
    <w:rsid w:val="428B67D2"/>
    <w:rsid w:val="428E0070"/>
    <w:rsid w:val="4294310E"/>
    <w:rsid w:val="42943344"/>
    <w:rsid w:val="42975177"/>
    <w:rsid w:val="429A07C3"/>
    <w:rsid w:val="42C615B8"/>
    <w:rsid w:val="42D77C69"/>
    <w:rsid w:val="42DC0DDB"/>
    <w:rsid w:val="42DE0FF8"/>
    <w:rsid w:val="42E56A55"/>
    <w:rsid w:val="42FC322C"/>
    <w:rsid w:val="43193DDE"/>
    <w:rsid w:val="431C38CE"/>
    <w:rsid w:val="43372938"/>
    <w:rsid w:val="43484F88"/>
    <w:rsid w:val="434A1275"/>
    <w:rsid w:val="435C1F1C"/>
    <w:rsid w:val="437D1278"/>
    <w:rsid w:val="4387343D"/>
    <w:rsid w:val="43972F54"/>
    <w:rsid w:val="439E42E3"/>
    <w:rsid w:val="43A124B3"/>
    <w:rsid w:val="43B65AD0"/>
    <w:rsid w:val="43BB4E95"/>
    <w:rsid w:val="43C55D14"/>
    <w:rsid w:val="43D85A47"/>
    <w:rsid w:val="43E837B0"/>
    <w:rsid w:val="43E97C54"/>
    <w:rsid w:val="43F11473"/>
    <w:rsid w:val="43F839F3"/>
    <w:rsid w:val="44022AC4"/>
    <w:rsid w:val="44024872"/>
    <w:rsid w:val="44044A8E"/>
    <w:rsid w:val="44184095"/>
    <w:rsid w:val="44236B1E"/>
    <w:rsid w:val="444158E6"/>
    <w:rsid w:val="44564BBE"/>
    <w:rsid w:val="44592422"/>
    <w:rsid w:val="44641089"/>
    <w:rsid w:val="446948F1"/>
    <w:rsid w:val="446F3961"/>
    <w:rsid w:val="448939E9"/>
    <w:rsid w:val="44AE6D29"/>
    <w:rsid w:val="44B95F17"/>
    <w:rsid w:val="44C11AA6"/>
    <w:rsid w:val="44C75831"/>
    <w:rsid w:val="44CD7477"/>
    <w:rsid w:val="44D04970"/>
    <w:rsid w:val="44D426B2"/>
    <w:rsid w:val="44DF4BB3"/>
    <w:rsid w:val="44E346A3"/>
    <w:rsid w:val="44F3240C"/>
    <w:rsid w:val="450048CC"/>
    <w:rsid w:val="451343DD"/>
    <w:rsid w:val="451A208F"/>
    <w:rsid w:val="452457E1"/>
    <w:rsid w:val="45350C77"/>
    <w:rsid w:val="453A628D"/>
    <w:rsid w:val="45415D40"/>
    <w:rsid w:val="45435142"/>
    <w:rsid w:val="45451DF1"/>
    <w:rsid w:val="454A4722"/>
    <w:rsid w:val="454B2248"/>
    <w:rsid w:val="45513D03"/>
    <w:rsid w:val="4554734F"/>
    <w:rsid w:val="45570447"/>
    <w:rsid w:val="45723C79"/>
    <w:rsid w:val="45866729"/>
    <w:rsid w:val="45967968"/>
    <w:rsid w:val="459B31D0"/>
    <w:rsid w:val="45B46417"/>
    <w:rsid w:val="45B86522"/>
    <w:rsid w:val="45DB537A"/>
    <w:rsid w:val="45DE4E6B"/>
    <w:rsid w:val="45F43872"/>
    <w:rsid w:val="46104015"/>
    <w:rsid w:val="46113492"/>
    <w:rsid w:val="461B3AA5"/>
    <w:rsid w:val="462C5BD6"/>
    <w:rsid w:val="462E5DF2"/>
    <w:rsid w:val="464C0026"/>
    <w:rsid w:val="46655038"/>
    <w:rsid w:val="466C06C8"/>
    <w:rsid w:val="46843C64"/>
    <w:rsid w:val="46850285"/>
    <w:rsid w:val="468B6B36"/>
    <w:rsid w:val="46955E71"/>
    <w:rsid w:val="469F45FA"/>
    <w:rsid w:val="46A240EA"/>
    <w:rsid w:val="46A460B4"/>
    <w:rsid w:val="46AF05B5"/>
    <w:rsid w:val="46C94CDE"/>
    <w:rsid w:val="46D30747"/>
    <w:rsid w:val="46E14C12"/>
    <w:rsid w:val="4706474A"/>
    <w:rsid w:val="470703F1"/>
    <w:rsid w:val="470D3C59"/>
    <w:rsid w:val="471B28B4"/>
    <w:rsid w:val="473B0E1B"/>
    <w:rsid w:val="473F27FF"/>
    <w:rsid w:val="47437FBA"/>
    <w:rsid w:val="475E1C43"/>
    <w:rsid w:val="476017C6"/>
    <w:rsid w:val="47745A86"/>
    <w:rsid w:val="47811F51"/>
    <w:rsid w:val="47841A42"/>
    <w:rsid w:val="47863A0C"/>
    <w:rsid w:val="478E2D76"/>
    <w:rsid w:val="47916CB1"/>
    <w:rsid w:val="47A65E5C"/>
    <w:rsid w:val="47CA1B4A"/>
    <w:rsid w:val="47E67FE2"/>
    <w:rsid w:val="47F0014A"/>
    <w:rsid w:val="47F60B91"/>
    <w:rsid w:val="481903DC"/>
    <w:rsid w:val="486F26F2"/>
    <w:rsid w:val="48740AF8"/>
    <w:rsid w:val="487B247F"/>
    <w:rsid w:val="488E0DCA"/>
    <w:rsid w:val="4893008C"/>
    <w:rsid w:val="48934632"/>
    <w:rsid w:val="48B56357"/>
    <w:rsid w:val="48B955C2"/>
    <w:rsid w:val="48B9571B"/>
    <w:rsid w:val="48BA396D"/>
    <w:rsid w:val="48BB76E5"/>
    <w:rsid w:val="48C657AA"/>
    <w:rsid w:val="48F30C2D"/>
    <w:rsid w:val="490177EE"/>
    <w:rsid w:val="490D6193"/>
    <w:rsid w:val="491F7C74"/>
    <w:rsid w:val="492B090F"/>
    <w:rsid w:val="492D6240"/>
    <w:rsid w:val="49382AE4"/>
    <w:rsid w:val="49417BEA"/>
    <w:rsid w:val="49477995"/>
    <w:rsid w:val="494852C1"/>
    <w:rsid w:val="494E0559"/>
    <w:rsid w:val="4968786D"/>
    <w:rsid w:val="496A7A12"/>
    <w:rsid w:val="496F0BFB"/>
    <w:rsid w:val="49721D1E"/>
    <w:rsid w:val="49843F7B"/>
    <w:rsid w:val="498E0956"/>
    <w:rsid w:val="49911DC2"/>
    <w:rsid w:val="499659CF"/>
    <w:rsid w:val="499A718B"/>
    <w:rsid w:val="49B52386"/>
    <w:rsid w:val="49C202E7"/>
    <w:rsid w:val="49EC3FFA"/>
    <w:rsid w:val="49F72751"/>
    <w:rsid w:val="4A1E3C56"/>
    <w:rsid w:val="4A1E617D"/>
    <w:rsid w:val="4A2D016F"/>
    <w:rsid w:val="4A4200BE"/>
    <w:rsid w:val="4A421E6C"/>
    <w:rsid w:val="4A704B0B"/>
    <w:rsid w:val="4A730023"/>
    <w:rsid w:val="4A744C91"/>
    <w:rsid w:val="4A8064B1"/>
    <w:rsid w:val="4A876DA6"/>
    <w:rsid w:val="4A8833F8"/>
    <w:rsid w:val="4A8A619F"/>
    <w:rsid w:val="4AA2290B"/>
    <w:rsid w:val="4AC05487"/>
    <w:rsid w:val="4AD46AF0"/>
    <w:rsid w:val="4ADF61DE"/>
    <w:rsid w:val="4ADF76BB"/>
    <w:rsid w:val="4B0071C8"/>
    <w:rsid w:val="4B125FF6"/>
    <w:rsid w:val="4B1B110F"/>
    <w:rsid w:val="4B3F45FD"/>
    <w:rsid w:val="4B4614E8"/>
    <w:rsid w:val="4B6C4CC7"/>
    <w:rsid w:val="4B7D0C82"/>
    <w:rsid w:val="4B8244EA"/>
    <w:rsid w:val="4B8B339F"/>
    <w:rsid w:val="4B8F7333"/>
    <w:rsid w:val="4B92472D"/>
    <w:rsid w:val="4B955613"/>
    <w:rsid w:val="4BA17066"/>
    <w:rsid w:val="4BA34B0F"/>
    <w:rsid w:val="4BDA7172"/>
    <w:rsid w:val="4BE10F00"/>
    <w:rsid w:val="4C0575F5"/>
    <w:rsid w:val="4C2B503E"/>
    <w:rsid w:val="4C312198"/>
    <w:rsid w:val="4C3253A4"/>
    <w:rsid w:val="4C3677AE"/>
    <w:rsid w:val="4C40062D"/>
    <w:rsid w:val="4C481290"/>
    <w:rsid w:val="4C651E42"/>
    <w:rsid w:val="4C735D9E"/>
    <w:rsid w:val="4C765DFD"/>
    <w:rsid w:val="4C787DC7"/>
    <w:rsid w:val="4C8229F4"/>
    <w:rsid w:val="4C8C3872"/>
    <w:rsid w:val="4C987D10"/>
    <w:rsid w:val="4CA94424"/>
    <w:rsid w:val="4CAA3CF8"/>
    <w:rsid w:val="4CD62D3F"/>
    <w:rsid w:val="4CE0771A"/>
    <w:rsid w:val="4D057181"/>
    <w:rsid w:val="4D331F40"/>
    <w:rsid w:val="4D3B0DF4"/>
    <w:rsid w:val="4D534390"/>
    <w:rsid w:val="4D64659D"/>
    <w:rsid w:val="4D7F6F33"/>
    <w:rsid w:val="4D9549A9"/>
    <w:rsid w:val="4D9D16E6"/>
    <w:rsid w:val="4DA76875"/>
    <w:rsid w:val="4DB017E2"/>
    <w:rsid w:val="4DB82445"/>
    <w:rsid w:val="4DB8479A"/>
    <w:rsid w:val="4DC25072"/>
    <w:rsid w:val="4DC96400"/>
    <w:rsid w:val="4DD76D6F"/>
    <w:rsid w:val="4DDC4D2C"/>
    <w:rsid w:val="4DEB281B"/>
    <w:rsid w:val="4E0D453F"/>
    <w:rsid w:val="4E10402F"/>
    <w:rsid w:val="4E121B55"/>
    <w:rsid w:val="4E1E176D"/>
    <w:rsid w:val="4E2B2C17"/>
    <w:rsid w:val="4E2D698F"/>
    <w:rsid w:val="4E505C68"/>
    <w:rsid w:val="4E573A0C"/>
    <w:rsid w:val="4E5C1022"/>
    <w:rsid w:val="4E613302"/>
    <w:rsid w:val="4E760336"/>
    <w:rsid w:val="4EAC01FC"/>
    <w:rsid w:val="4EB250E6"/>
    <w:rsid w:val="4EB33338"/>
    <w:rsid w:val="4EB946C7"/>
    <w:rsid w:val="4EBE1CDD"/>
    <w:rsid w:val="4EC05A55"/>
    <w:rsid w:val="4EC1342D"/>
    <w:rsid w:val="4ECA0682"/>
    <w:rsid w:val="4ECD0674"/>
    <w:rsid w:val="4ED60DD5"/>
    <w:rsid w:val="4EE74D90"/>
    <w:rsid w:val="4EEF633A"/>
    <w:rsid w:val="4F134939"/>
    <w:rsid w:val="4F1D6A04"/>
    <w:rsid w:val="4F2935FA"/>
    <w:rsid w:val="4F2953A8"/>
    <w:rsid w:val="4F2A7373"/>
    <w:rsid w:val="4F437111"/>
    <w:rsid w:val="4F495A4B"/>
    <w:rsid w:val="4F587A3C"/>
    <w:rsid w:val="4F7A3E56"/>
    <w:rsid w:val="4F8C3B89"/>
    <w:rsid w:val="4F9547EC"/>
    <w:rsid w:val="4F9B75F5"/>
    <w:rsid w:val="4FCC21D8"/>
    <w:rsid w:val="4FE6773D"/>
    <w:rsid w:val="4FEB6B02"/>
    <w:rsid w:val="4FEE65F2"/>
    <w:rsid w:val="4FF27E90"/>
    <w:rsid w:val="50106568"/>
    <w:rsid w:val="501222E0"/>
    <w:rsid w:val="501F0559"/>
    <w:rsid w:val="5023629C"/>
    <w:rsid w:val="503A5393"/>
    <w:rsid w:val="5043249A"/>
    <w:rsid w:val="504D50C7"/>
    <w:rsid w:val="505521CD"/>
    <w:rsid w:val="5060304C"/>
    <w:rsid w:val="506A211C"/>
    <w:rsid w:val="507C3BFE"/>
    <w:rsid w:val="50827466"/>
    <w:rsid w:val="50A75606"/>
    <w:rsid w:val="50AC49D2"/>
    <w:rsid w:val="50BF25BD"/>
    <w:rsid w:val="50CC248F"/>
    <w:rsid w:val="50D21A70"/>
    <w:rsid w:val="50D457E8"/>
    <w:rsid w:val="50F6750C"/>
    <w:rsid w:val="50FB4B23"/>
    <w:rsid w:val="51160A34"/>
    <w:rsid w:val="51163F32"/>
    <w:rsid w:val="51183927"/>
    <w:rsid w:val="51226553"/>
    <w:rsid w:val="51453FF0"/>
    <w:rsid w:val="516C77CE"/>
    <w:rsid w:val="5170282E"/>
    <w:rsid w:val="519A433C"/>
    <w:rsid w:val="519B0C10"/>
    <w:rsid w:val="51AE366B"/>
    <w:rsid w:val="51D71830"/>
    <w:rsid w:val="51DF0427"/>
    <w:rsid w:val="51E23F34"/>
    <w:rsid w:val="51F83758"/>
    <w:rsid w:val="520B3E30"/>
    <w:rsid w:val="520E5B76"/>
    <w:rsid w:val="5246001F"/>
    <w:rsid w:val="528C10A0"/>
    <w:rsid w:val="52972F71"/>
    <w:rsid w:val="52B0193D"/>
    <w:rsid w:val="52BC29D7"/>
    <w:rsid w:val="52C8312A"/>
    <w:rsid w:val="52DD4E28"/>
    <w:rsid w:val="52FB52AE"/>
    <w:rsid w:val="52FB705C"/>
    <w:rsid w:val="52FC4B82"/>
    <w:rsid w:val="532E2213"/>
    <w:rsid w:val="533026AA"/>
    <w:rsid w:val="533E2F7F"/>
    <w:rsid w:val="534D3630"/>
    <w:rsid w:val="535C60FE"/>
    <w:rsid w:val="53807561"/>
    <w:rsid w:val="538708F0"/>
    <w:rsid w:val="538E7D0E"/>
    <w:rsid w:val="53A56FC8"/>
    <w:rsid w:val="53B4545D"/>
    <w:rsid w:val="53B8319F"/>
    <w:rsid w:val="53C03E02"/>
    <w:rsid w:val="53C658BC"/>
    <w:rsid w:val="53DF24DA"/>
    <w:rsid w:val="53F65A75"/>
    <w:rsid w:val="53FB308C"/>
    <w:rsid w:val="5402441A"/>
    <w:rsid w:val="542F214A"/>
    <w:rsid w:val="54302D35"/>
    <w:rsid w:val="54316AAD"/>
    <w:rsid w:val="543A3BB4"/>
    <w:rsid w:val="54640C31"/>
    <w:rsid w:val="547F3CBD"/>
    <w:rsid w:val="54994D7E"/>
    <w:rsid w:val="549E786E"/>
    <w:rsid w:val="54AB6860"/>
    <w:rsid w:val="54BB2F47"/>
    <w:rsid w:val="54BE216E"/>
    <w:rsid w:val="54BF40B9"/>
    <w:rsid w:val="54D15BFA"/>
    <w:rsid w:val="550F3292"/>
    <w:rsid w:val="5512615B"/>
    <w:rsid w:val="551B6940"/>
    <w:rsid w:val="552A3C28"/>
    <w:rsid w:val="55563AD1"/>
    <w:rsid w:val="555F460E"/>
    <w:rsid w:val="556B5B8F"/>
    <w:rsid w:val="558722C8"/>
    <w:rsid w:val="558F536E"/>
    <w:rsid w:val="55950837"/>
    <w:rsid w:val="55A366CC"/>
    <w:rsid w:val="55C027DF"/>
    <w:rsid w:val="55C2628A"/>
    <w:rsid w:val="55CE2806"/>
    <w:rsid w:val="55D10DCB"/>
    <w:rsid w:val="55D50038"/>
    <w:rsid w:val="55D63DB0"/>
    <w:rsid w:val="55DB3175"/>
    <w:rsid w:val="55E52BD4"/>
    <w:rsid w:val="55E55DA1"/>
    <w:rsid w:val="55EE4C56"/>
    <w:rsid w:val="55F61D5C"/>
    <w:rsid w:val="56002BDB"/>
    <w:rsid w:val="560426CB"/>
    <w:rsid w:val="561C5C67"/>
    <w:rsid w:val="56222B52"/>
    <w:rsid w:val="562A1B91"/>
    <w:rsid w:val="562B5B9A"/>
    <w:rsid w:val="56331D5B"/>
    <w:rsid w:val="56356D29"/>
    <w:rsid w:val="5637484F"/>
    <w:rsid w:val="5640122A"/>
    <w:rsid w:val="56570A4D"/>
    <w:rsid w:val="5661367A"/>
    <w:rsid w:val="56813D1C"/>
    <w:rsid w:val="56902358"/>
    <w:rsid w:val="56904BDD"/>
    <w:rsid w:val="56AB6FEB"/>
    <w:rsid w:val="56AB7BA5"/>
    <w:rsid w:val="56AF3861"/>
    <w:rsid w:val="56B85264"/>
    <w:rsid w:val="56C46C9A"/>
    <w:rsid w:val="56CA56C3"/>
    <w:rsid w:val="56CF0F2B"/>
    <w:rsid w:val="56DC53F6"/>
    <w:rsid w:val="56F40992"/>
    <w:rsid w:val="5714693E"/>
    <w:rsid w:val="57462870"/>
    <w:rsid w:val="575C2093"/>
    <w:rsid w:val="57664784"/>
    <w:rsid w:val="5781726E"/>
    <w:rsid w:val="578D049F"/>
    <w:rsid w:val="57BE4AFC"/>
    <w:rsid w:val="57C06AC6"/>
    <w:rsid w:val="57CE11E3"/>
    <w:rsid w:val="57CF2865"/>
    <w:rsid w:val="57E07028"/>
    <w:rsid w:val="57EC78BB"/>
    <w:rsid w:val="57F549C2"/>
    <w:rsid w:val="58010F61"/>
    <w:rsid w:val="58033583"/>
    <w:rsid w:val="58163A93"/>
    <w:rsid w:val="581A7F84"/>
    <w:rsid w:val="58403763"/>
    <w:rsid w:val="58434227"/>
    <w:rsid w:val="584C2108"/>
    <w:rsid w:val="58550FBC"/>
    <w:rsid w:val="585D2567"/>
    <w:rsid w:val="586C6306"/>
    <w:rsid w:val="58737694"/>
    <w:rsid w:val="587924FF"/>
    <w:rsid w:val="587F072F"/>
    <w:rsid w:val="58946569"/>
    <w:rsid w:val="58BA1767"/>
    <w:rsid w:val="58DC49CD"/>
    <w:rsid w:val="58DD31FA"/>
    <w:rsid w:val="58F24A5D"/>
    <w:rsid w:val="59030A18"/>
    <w:rsid w:val="591A469F"/>
    <w:rsid w:val="59215342"/>
    <w:rsid w:val="59264A99"/>
    <w:rsid w:val="592941F7"/>
    <w:rsid w:val="592A3C50"/>
    <w:rsid w:val="593B46DD"/>
    <w:rsid w:val="594026BD"/>
    <w:rsid w:val="594159E5"/>
    <w:rsid w:val="59460076"/>
    <w:rsid w:val="595042A3"/>
    <w:rsid w:val="59515D8A"/>
    <w:rsid w:val="595C637A"/>
    <w:rsid w:val="5960477C"/>
    <w:rsid w:val="59682F71"/>
    <w:rsid w:val="596B66F6"/>
    <w:rsid w:val="596D2336"/>
    <w:rsid w:val="596F6178"/>
    <w:rsid w:val="59A5674B"/>
    <w:rsid w:val="59BD150F"/>
    <w:rsid w:val="59C53F20"/>
    <w:rsid w:val="59ED3476"/>
    <w:rsid w:val="5A151F73"/>
    <w:rsid w:val="5A492DA3"/>
    <w:rsid w:val="5A53777D"/>
    <w:rsid w:val="5A582FE6"/>
    <w:rsid w:val="5A601E9A"/>
    <w:rsid w:val="5A842D91"/>
    <w:rsid w:val="5AA77AC9"/>
    <w:rsid w:val="5AA91A93"/>
    <w:rsid w:val="5AAA425F"/>
    <w:rsid w:val="5ABD109B"/>
    <w:rsid w:val="5ABE4B07"/>
    <w:rsid w:val="5AC266B1"/>
    <w:rsid w:val="5ACB37B8"/>
    <w:rsid w:val="5ACB7C5C"/>
    <w:rsid w:val="5AD77DB4"/>
    <w:rsid w:val="5AE44879"/>
    <w:rsid w:val="5AFA409D"/>
    <w:rsid w:val="5AFA5E4B"/>
    <w:rsid w:val="5B1769FD"/>
    <w:rsid w:val="5B2D6220"/>
    <w:rsid w:val="5B321A89"/>
    <w:rsid w:val="5B386973"/>
    <w:rsid w:val="5B4A6DD2"/>
    <w:rsid w:val="5B4E6197"/>
    <w:rsid w:val="5B535DF4"/>
    <w:rsid w:val="5B657EA9"/>
    <w:rsid w:val="5B751975"/>
    <w:rsid w:val="5B8147BE"/>
    <w:rsid w:val="5B920779"/>
    <w:rsid w:val="5B9401EF"/>
    <w:rsid w:val="5BA555B3"/>
    <w:rsid w:val="5BA9396F"/>
    <w:rsid w:val="5BB47AC3"/>
    <w:rsid w:val="5BB74B2C"/>
    <w:rsid w:val="5BD41E6E"/>
    <w:rsid w:val="5BEA2363"/>
    <w:rsid w:val="5BEA5EBF"/>
    <w:rsid w:val="5BEF1728"/>
    <w:rsid w:val="5BF64864"/>
    <w:rsid w:val="5BFD3E45"/>
    <w:rsid w:val="5C2869E8"/>
    <w:rsid w:val="5C2C64D8"/>
    <w:rsid w:val="5C381321"/>
    <w:rsid w:val="5C3A6E47"/>
    <w:rsid w:val="5C3B1922"/>
    <w:rsid w:val="5C5069F0"/>
    <w:rsid w:val="5C537F09"/>
    <w:rsid w:val="5C5477DD"/>
    <w:rsid w:val="5C5879DE"/>
    <w:rsid w:val="5C5E2B95"/>
    <w:rsid w:val="5C7A1E91"/>
    <w:rsid w:val="5C8C6F77"/>
    <w:rsid w:val="5C8E59B3"/>
    <w:rsid w:val="5CA40764"/>
    <w:rsid w:val="5CAB5170"/>
    <w:rsid w:val="5CBD5382"/>
    <w:rsid w:val="5CC142AF"/>
    <w:rsid w:val="5CCA5724"/>
    <w:rsid w:val="5CE62B2B"/>
    <w:rsid w:val="5CE70651"/>
    <w:rsid w:val="5CEE5E83"/>
    <w:rsid w:val="5D290C69"/>
    <w:rsid w:val="5D292A17"/>
    <w:rsid w:val="5D6972B8"/>
    <w:rsid w:val="5D706822"/>
    <w:rsid w:val="5D7F6ADB"/>
    <w:rsid w:val="5D8B3C74"/>
    <w:rsid w:val="5DAD53F7"/>
    <w:rsid w:val="5DB42C29"/>
    <w:rsid w:val="5DB669A1"/>
    <w:rsid w:val="5DBD1FCA"/>
    <w:rsid w:val="5DC0337C"/>
    <w:rsid w:val="5DE201AE"/>
    <w:rsid w:val="5DF66510"/>
    <w:rsid w:val="5E084D23"/>
    <w:rsid w:val="5E092890"/>
    <w:rsid w:val="5E172FC3"/>
    <w:rsid w:val="5E192A8C"/>
    <w:rsid w:val="5E1C432A"/>
    <w:rsid w:val="5E257683"/>
    <w:rsid w:val="5E282CCF"/>
    <w:rsid w:val="5E3A2E3F"/>
    <w:rsid w:val="5E454779"/>
    <w:rsid w:val="5E510478"/>
    <w:rsid w:val="5E524438"/>
    <w:rsid w:val="5E714676"/>
    <w:rsid w:val="5E816085"/>
    <w:rsid w:val="5E8425FB"/>
    <w:rsid w:val="5E8C6F99"/>
    <w:rsid w:val="5EA470EA"/>
    <w:rsid w:val="5EAA0273"/>
    <w:rsid w:val="5ECF75EF"/>
    <w:rsid w:val="5ED54C05"/>
    <w:rsid w:val="5EF2352E"/>
    <w:rsid w:val="5EF57055"/>
    <w:rsid w:val="5EF763C6"/>
    <w:rsid w:val="5EFD0600"/>
    <w:rsid w:val="5F08322C"/>
    <w:rsid w:val="5F4E6765"/>
    <w:rsid w:val="5F5D7160"/>
    <w:rsid w:val="5F714A4F"/>
    <w:rsid w:val="5F7408C2"/>
    <w:rsid w:val="5F887EC9"/>
    <w:rsid w:val="5F893C41"/>
    <w:rsid w:val="5F8B79B9"/>
    <w:rsid w:val="5F97010C"/>
    <w:rsid w:val="5FB23198"/>
    <w:rsid w:val="5FB46F10"/>
    <w:rsid w:val="5FB90FB7"/>
    <w:rsid w:val="5FC30058"/>
    <w:rsid w:val="5FDE21DF"/>
    <w:rsid w:val="5FEA5F2B"/>
    <w:rsid w:val="5FF27A39"/>
    <w:rsid w:val="5FFB0081"/>
    <w:rsid w:val="5FFE1F39"/>
    <w:rsid w:val="60060FEE"/>
    <w:rsid w:val="600A2554"/>
    <w:rsid w:val="600F42A0"/>
    <w:rsid w:val="60462E90"/>
    <w:rsid w:val="604F2688"/>
    <w:rsid w:val="60571E01"/>
    <w:rsid w:val="606F72DB"/>
    <w:rsid w:val="60786190"/>
    <w:rsid w:val="608368E3"/>
    <w:rsid w:val="60A07495"/>
    <w:rsid w:val="60A30D33"/>
    <w:rsid w:val="60A96349"/>
    <w:rsid w:val="60AE00AB"/>
    <w:rsid w:val="60B31391"/>
    <w:rsid w:val="60C2740B"/>
    <w:rsid w:val="60C82547"/>
    <w:rsid w:val="60D60EA4"/>
    <w:rsid w:val="60EB4BB4"/>
    <w:rsid w:val="60F34B93"/>
    <w:rsid w:val="612945BF"/>
    <w:rsid w:val="61530A39"/>
    <w:rsid w:val="61660DF9"/>
    <w:rsid w:val="6183303E"/>
    <w:rsid w:val="61923281"/>
    <w:rsid w:val="619F1863"/>
    <w:rsid w:val="61AC3CD1"/>
    <w:rsid w:val="61CB00D7"/>
    <w:rsid w:val="61CB22EF"/>
    <w:rsid w:val="61D00691"/>
    <w:rsid w:val="61DF3FED"/>
    <w:rsid w:val="61F47A98"/>
    <w:rsid w:val="61FE695C"/>
    <w:rsid w:val="621912AD"/>
    <w:rsid w:val="62326812"/>
    <w:rsid w:val="62571DD5"/>
    <w:rsid w:val="625B7377"/>
    <w:rsid w:val="626562A0"/>
    <w:rsid w:val="6278019C"/>
    <w:rsid w:val="6283706E"/>
    <w:rsid w:val="628C1A7E"/>
    <w:rsid w:val="629B7F14"/>
    <w:rsid w:val="62A96AD4"/>
    <w:rsid w:val="62AE40EB"/>
    <w:rsid w:val="62B2525D"/>
    <w:rsid w:val="62C0797A"/>
    <w:rsid w:val="62E95123"/>
    <w:rsid w:val="62FB09B2"/>
    <w:rsid w:val="62FE04A2"/>
    <w:rsid w:val="63001694"/>
    <w:rsid w:val="630D184F"/>
    <w:rsid w:val="63185A08"/>
    <w:rsid w:val="631D29EB"/>
    <w:rsid w:val="633C6169"/>
    <w:rsid w:val="635322D4"/>
    <w:rsid w:val="637A3FCD"/>
    <w:rsid w:val="63822EAD"/>
    <w:rsid w:val="638C7755"/>
    <w:rsid w:val="639B1A12"/>
    <w:rsid w:val="63B70D7D"/>
    <w:rsid w:val="63BC45E5"/>
    <w:rsid w:val="63D23E09"/>
    <w:rsid w:val="63F773CC"/>
    <w:rsid w:val="64055F8C"/>
    <w:rsid w:val="64300F47"/>
    <w:rsid w:val="643B6EB4"/>
    <w:rsid w:val="64483336"/>
    <w:rsid w:val="644F0FB6"/>
    <w:rsid w:val="64562D15"/>
    <w:rsid w:val="646C600B"/>
    <w:rsid w:val="646F3406"/>
    <w:rsid w:val="647C2CAA"/>
    <w:rsid w:val="64942E6C"/>
    <w:rsid w:val="64AE53F9"/>
    <w:rsid w:val="64D63485"/>
    <w:rsid w:val="64E35BA2"/>
    <w:rsid w:val="64EC2CA8"/>
    <w:rsid w:val="65085608"/>
    <w:rsid w:val="65091AAC"/>
    <w:rsid w:val="650F7082"/>
    <w:rsid w:val="65110961"/>
    <w:rsid w:val="65177AA1"/>
    <w:rsid w:val="6518767F"/>
    <w:rsid w:val="65362175"/>
    <w:rsid w:val="65385EEE"/>
    <w:rsid w:val="656767D3"/>
    <w:rsid w:val="65712B94"/>
    <w:rsid w:val="657A02B4"/>
    <w:rsid w:val="65801643"/>
    <w:rsid w:val="65956E9C"/>
    <w:rsid w:val="659858FD"/>
    <w:rsid w:val="6598698C"/>
    <w:rsid w:val="65A13CC9"/>
    <w:rsid w:val="65AA25C1"/>
    <w:rsid w:val="65C0250E"/>
    <w:rsid w:val="65E120E1"/>
    <w:rsid w:val="65F91B21"/>
    <w:rsid w:val="660364FC"/>
    <w:rsid w:val="660D737A"/>
    <w:rsid w:val="661C580F"/>
    <w:rsid w:val="661E2CB4"/>
    <w:rsid w:val="661E3335"/>
    <w:rsid w:val="662621EA"/>
    <w:rsid w:val="662C6800"/>
    <w:rsid w:val="6632293D"/>
    <w:rsid w:val="664E603D"/>
    <w:rsid w:val="666F1DE3"/>
    <w:rsid w:val="667B2536"/>
    <w:rsid w:val="667D1E28"/>
    <w:rsid w:val="66A870A3"/>
    <w:rsid w:val="66AD327E"/>
    <w:rsid w:val="66AD46B9"/>
    <w:rsid w:val="66B141AA"/>
    <w:rsid w:val="66CD4D5B"/>
    <w:rsid w:val="66D32372"/>
    <w:rsid w:val="66DD6797"/>
    <w:rsid w:val="66ED4AB6"/>
    <w:rsid w:val="66F66060"/>
    <w:rsid w:val="66F67E0E"/>
    <w:rsid w:val="670818F0"/>
    <w:rsid w:val="671D183F"/>
    <w:rsid w:val="671F55B7"/>
    <w:rsid w:val="67293782"/>
    <w:rsid w:val="673516B2"/>
    <w:rsid w:val="675114E9"/>
    <w:rsid w:val="675863D3"/>
    <w:rsid w:val="6759039D"/>
    <w:rsid w:val="679703E1"/>
    <w:rsid w:val="67984F00"/>
    <w:rsid w:val="67A965FC"/>
    <w:rsid w:val="68220B45"/>
    <w:rsid w:val="68336E40"/>
    <w:rsid w:val="683926A8"/>
    <w:rsid w:val="68537CAF"/>
    <w:rsid w:val="685E210F"/>
    <w:rsid w:val="685F3791"/>
    <w:rsid w:val="68725BBA"/>
    <w:rsid w:val="68776D2D"/>
    <w:rsid w:val="687A4A6F"/>
    <w:rsid w:val="688B1088"/>
    <w:rsid w:val="68B079A5"/>
    <w:rsid w:val="68BB30BE"/>
    <w:rsid w:val="68D45F2D"/>
    <w:rsid w:val="68DF62EE"/>
    <w:rsid w:val="68EA5751"/>
    <w:rsid w:val="68F570FB"/>
    <w:rsid w:val="69456E2B"/>
    <w:rsid w:val="69531548"/>
    <w:rsid w:val="696F3EA8"/>
    <w:rsid w:val="69731BEA"/>
    <w:rsid w:val="69790883"/>
    <w:rsid w:val="697A2F79"/>
    <w:rsid w:val="698B7CF9"/>
    <w:rsid w:val="698C6808"/>
    <w:rsid w:val="699266B6"/>
    <w:rsid w:val="69A47FF6"/>
    <w:rsid w:val="6A102F95"/>
    <w:rsid w:val="6A242EE4"/>
    <w:rsid w:val="6A2922A9"/>
    <w:rsid w:val="6A4415E9"/>
    <w:rsid w:val="6A5D1F52"/>
    <w:rsid w:val="6A7C062B"/>
    <w:rsid w:val="6A8D0A8A"/>
    <w:rsid w:val="6A9736B6"/>
    <w:rsid w:val="6AAB0F10"/>
    <w:rsid w:val="6AC02C0D"/>
    <w:rsid w:val="6ACC55B0"/>
    <w:rsid w:val="6ACD70D8"/>
    <w:rsid w:val="6AE12B83"/>
    <w:rsid w:val="6AEA7C8A"/>
    <w:rsid w:val="6AF12F2B"/>
    <w:rsid w:val="6B054AC4"/>
    <w:rsid w:val="6B1E7934"/>
    <w:rsid w:val="6B225676"/>
    <w:rsid w:val="6B364A70"/>
    <w:rsid w:val="6B422808"/>
    <w:rsid w:val="6B476E8A"/>
    <w:rsid w:val="6B4B5217"/>
    <w:rsid w:val="6B5D05CE"/>
    <w:rsid w:val="6B680BAF"/>
    <w:rsid w:val="6B6A0DCB"/>
    <w:rsid w:val="6B6F1F3D"/>
    <w:rsid w:val="6B8A1717"/>
    <w:rsid w:val="6B8C6F93"/>
    <w:rsid w:val="6B99345E"/>
    <w:rsid w:val="6BAD273F"/>
    <w:rsid w:val="6BBB1626"/>
    <w:rsid w:val="6BC56001"/>
    <w:rsid w:val="6BC97C07"/>
    <w:rsid w:val="6BCA186A"/>
    <w:rsid w:val="6BCC7390"/>
    <w:rsid w:val="6BCE3108"/>
    <w:rsid w:val="6BD36970"/>
    <w:rsid w:val="6BD526E8"/>
    <w:rsid w:val="6C0B435C"/>
    <w:rsid w:val="6C17069E"/>
    <w:rsid w:val="6C2225DD"/>
    <w:rsid w:val="6C301153"/>
    <w:rsid w:val="6C5D6FB1"/>
    <w:rsid w:val="6C6B0957"/>
    <w:rsid w:val="6C832144"/>
    <w:rsid w:val="6C845EBC"/>
    <w:rsid w:val="6C8500F6"/>
    <w:rsid w:val="6C89702F"/>
    <w:rsid w:val="6C9C4FB4"/>
    <w:rsid w:val="6C9D0D2C"/>
    <w:rsid w:val="6CC265FC"/>
    <w:rsid w:val="6CD504C6"/>
    <w:rsid w:val="6CD52274"/>
    <w:rsid w:val="6CF92406"/>
    <w:rsid w:val="6CFC3CA5"/>
    <w:rsid w:val="6CFC5A53"/>
    <w:rsid w:val="6CFE5C6F"/>
    <w:rsid w:val="6D050DAB"/>
    <w:rsid w:val="6D147240"/>
    <w:rsid w:val="6D196605"/>
    <w:rsid w:val="6D21370B"/>
    <w:rsid w:val="6D3B18E0"/>
    <w:rsid w:val="6D413DAD"/>
    <w:rsid w:val="6D57537F"/>
    <w:rsid w:val="6D5B6C1D"/>
    <w:rsid w:val="6D6D4BA2"/>
    <w:rsid w:val="6D77332B"/>
    <w:rsid w:val="6D870514"/>
    <w:rsid w:val="6D8B5ABC"/>
    <w:rsid w:val="6D940381"/>
    <w:rsid w:val="6D9C3AFC"/>
    <w:rsid w:val="6DA22A9E"/>
    <w:rsid w:val="6DA277C8"/>
    <w:rsid w:val="6DAC1227"/>
    <w:rsid w:val="6DBB76BC"/>
    <w:rsid w:val="6DC23F1C"/>
    <w:rsid w:val="6DD15131"/>
    <w:rsid w:val="6DD469CF"/>
    <w:rsid w:val="6DF66946"/>
    <w:rsid w:val="6E0C281C"/>
    <w:rsid w:val="6E14209A"/>
    <w:rsid w:val="6E22773B"/>
    <w:rsid w:val="6E443B55"/>
    <w:rsid w:val="6E4E6782"/>
    <w:rsid w:val="6E5B2C4D"/>
    <w:rsid w:val="6E6164B5"/>
    <w:rsid w:val="6E9F4B86"/>
    <w:rsid w:val="6EA168B2"/>
    <w:rsid w:val="6EB02F99"/>
    <w:rsid w:val="6EB72460"/>
    <w:rsid w:val="6EB74327"/>
    <w:rsid w:val="6EB8556A"/>
    <w:rsid w:val="6EBC36EB"/>
    <w:rsid w:val="6ED547AD"/>
    <w:rsid w:val="6EEE586F"/>
    <w:rsid w:val="6EF72976"/>
    <w:rsid w:val="6F064E06"/>
    <w:rsid w:val="6F094457"/>
    <w:rsid w:val="6F176B74"/>
    <w:rsid w:val="6F35349E"/>
    <w:rsid w:val="6F360C58"/>
    <w:rsid w:val="6F370FC4"/>
    <w:rsid w:val="6F614293"/>
    <w:rsid w:val="6F636421"/>
    <w:rsid w:val="6F6B5112"/>
    <w:rsid w:val="6F6E6EC3"/>
    <w:rsid w:val="6F7264A0"/>
    <w:rsid w:val="6F765F90"/>
    <w:rsid w:val="6F9401C4"/>
    <w:rsid w:val="6FB915A7"/>
    <w:rsid w:val="6FC14D32"/>
    <w:rsid w:val="6FCD1928"/>
    <w:rsid w:val="6FD902CD"/>
    <w:rsid w:val="6FDD39BA"/>
    <w:rsid w:val="6FDE58E3"/>
    <w:rsid w:val="6FE61F3E"/>
    <w:rsid w:val="70161521"/>
    <w:rsid w:val="701914D7"/>
    <w:rsid w:val="701C6FC8"/>
    <w:rsid w:val="702F613F"/>
    <w:rsid w:val="703244E4"/>
    <w:rsid w:val="703A623C"/>
    <w:rsid w:val="705636CC"/>
    <w:rsid w:val="70720586"/>
    <w:rsid w:val="70875F7B"/>
    <w:rsid w:val="70897150"/>
    <w:rsid w:val="70A64653"/>
    <w:rsid w:val="70C8281B"/>
    <w:rsid w:val="70FE4044"/>
    <w:rsid w:val="71094BE2"/>
    <w:rsid w:val="71401537"/>
    <w:rsid w:val="71656047"/>
    <w:rsid w:val="718F158B"/>
    <w:rsid w:val="71A242CB"/>
    <w:rsid w:val="71C8684B"/>
    <w:rsid w:val="71CF732E"/>
    <w:rsid w:val="71DC40A5"/>
    <w:rsid w:val="71DD22F7"/>
    <w:rsid w:val="71E116BB"/>
    <w:rsid w:val="71E67E33"/>
    <w:rsid w:val="71F4319C"/>
    <w:rsid w:val="71FC75D1"/>
    <w:rsid w:val="71FE04BF"/>
    <w:rsid w:val="720D49AF"/>
    <w:rsid w:val="720F7FD6"/>
    <w:rsid w:val="72121874"/>
    <w:rsid w:val="72181F15"/>
    <w:rsid w:val="721F290F"/>
    <w:rsid w:val="722021E3"/>
    <w:rsid w:val="7229553C"/>
    <w:rsid w:val="72323CC5"/>
    <w:rsid w:val="726F7FB0"/>
    <w:rsid w:val="72A46970"/>
    <w:rsid w:val="72AD3E9C"/>
    <w:rsid w:val="72B50B7E"/>
    <w:rsid w:val="72BB0EC2"/>
    <w:rsid w:val="72C62D8B"/>
    <w:rsid w:val="72EE22E1"/>
    <w:rsid w:val="72FD2525"/>
    <w:rsid w:val="732D2E0A"/>
    <w:rsid w:val="732E0930"/>
    <w:rsid w:val="73335F46"/>
    <w:rsid w:val="73373C88"/>
    <w:rsid w:val="735C7C30"/>
    <w:rsid w:val="73661E78"/>
    <w:rsid w:val="73697BBA"/>
    <w:rsid w:val="736C6E5A"/>
    <w:rsid w:val="73775E2C"/>
    <w:rsid w:val="73A155A6"/>
    <w:rsid w:val="73A86934"/>
    <w:rsid w:val="73B250BD"/>
    <w:rsid w:val="73B40E35"/>
    <w:rsid w:val="73B61051"/>
    <w:rsid w:val="73B70925"/>
    <w:rsid w:val="73BB6668"/>
    <w:rsid w:val="73C365CB"/>
    <w:rsid w:val="73D414D7"/>
    <w:rsid w:val="73EA4857"/>
    <w:rsid w:val="73F6144E"/>
    <w:rsid w:val="742023C5"/>
    <w:rsid w:val="743D52CE"/>
    <w:rsid w:val="7443670B"/>
    <w:rsid w:val="74534AF2"/>
    <w:rsid w:val="745B7503"/>
    <w:rsid w:val="748D1686"/>
    <w:rsid w:val="74933140"/>
    <w:rsid w:val="74A511F3"/>
    <w:rsid w:val="74AE3AD6"/>
    <w:rsid w:val="74B80A8E"/>
    <w:rsid w:val="74C334BC"/>
    <w:rsid w:val="74DF00D5"/>
    <w:rsid w:val="751122B7"/>
    <w:rsid w:val="75157FF9"/>
    <w:rsid w:val="751759A6"/>
    <w:rsid w:val="75387844"/>
    <w:rsid w:val="75422471"/>
    <w:rsid w:val="75431C52"/>
    <w:rsid w:val="75601BF7"/>
    <w:rsid w:val="75644ADD"/>
    <w:rsid w:val="75674604"/>
    <w:rsid w:val="756920F3"/>
    <w:rsid w:val="756B5E6B"/>
    <w:rsid w:val="756C4E37"/>
    <w:rsid w:val="756D0E75"/>
    <w:rsid w:val="75755831"/>
    <w:rsid w:val="75761E4B"/>
    <w:rsid w:val="75866801"/>
    <w:rsid w:val="758807CB"/>
    <w:rsid w:val="75937E8D"/>
    <w:rsid w:val="75B21430"/>
    <w:rsid w:val="75CB06B8"/>
    <w:rsid w:val="75D51537"/>
    <w:rsid w:val="75DF5F11"/>
    <w:rsid w:val="75E35A02"/>
    <w:rsid w:val="75E654F2"/>
    <w:rsid w:val="762027B2"/>
    <w:rsid w:val="762108D3"/>
    <w:rsid w:val="76312C11"/>
    <w:rsid w:val="763224E5"/>
    <w:rsid w:val="76361FD5"/>
    <w:rsid w:val="764364A0"/>
    <w:rsid w:val="76461C54"/>
    <w:rsid w:val="76505878"/>
    <w:rsid w:val="765406AD"/>
    <w:rsid w:val="765C4824"/>
    <w:rsid w:val="766B0856"/>
    <w:rsid w:val="76790114"/>
    <w:rsid w:val="76794AF8"/>
    <w:rsid w:val="76850C08"/>
    <w:rsid w:val="76967E32"/>
    <w:rsid w:val="76BB24DB"/>
    <w:rsid w:val="76C84BF7"/>
    <w:rsid w:val="76D67314"/>
    <w:rsid w:val="76DF266D"/>
    <w:rsid w:val="76E02B10"/>
    <w:rsid w:val="770B3462"/>
    <w:rsid w:val="7711659E"/>
    <w:rsid w:val="771B11CB"/>
    <w:rsid w:val="7722255A"/>
    <w:rsid w:val="77274014"/>
    <w:rsid w:val="772E2227"/>
    <w:rsid w:val="77302EC9"/>
    <w:rsid w:val="7731279D"/>
    <w:rsid w:val="77533CC6"/>
    <w:rsid w:val="775748F9"/>
    <w:rsid w:val="775D4510"/>
    <w:rsid w:val="7760252B"/>
    <w:rsid w:val="776058DA"/>
    <w:rsid w:val="77626DFA"/>
    <w:rsid w:val="777032C5"/>
    <w:rsid w:val="777803CC"/>
    <w:rsid w:val="777D1E86"/>
    <w:rsid w:val="77905715"/>
    <w:rsid w:val="779276DF"/>
    <w:rsid w:val="77B606F8"/>
    <w:rsid w:val="77F40160"/>
    <w:rsid w:val="7808174F"/>
    <w:rsid w:val="781D568D"/>
    <w:rsid w:val="78342545"/>
    <w:rsid w:val="78362F6D"/>
    <w:rsid w:val="78412EB3"/>
    <w:rsid w:val="78627545"/>
    <w:rsid w:val="78632E2A"/>
    <w:rsid w:val="78654665"/>
    <w:rsid w:val="78654DF4"/>
    <w:rsid w:val="787B0173"/>
    <w:rsid w:val="787C0B87"/>
    <w:rsid w:val="789C661D"/>
    <w:rsid w:val="78BB0EB8"/>
    <w:rsid w:val="78E0447A"/>
    <w:rsid w:val="78EF46BD"/>
    <w:rsid w:val="78F63C9E"/>
    <w:rsid w:val="790740FD"/>
    <w:rsid w:val="791660EE"/>
    <w:rsid w:val="791D122B"/>
    <w:rsid w:val="791F31F5"/>
    <w:rsid w:val="793F5645"/>
    <w:rsid w:val="794E7636"/>
    <w:rsid w:val="797F1EE5"/>
    <w:rsid w:val="79892D64"/>
    <w:rsid w:val="798B2638"/>
    <w:rsid w:val="798E037A"/>
    <w:rsid w:val="79960FDD"/>
    <w:rsid w:val="79997202"/>
    <w:rsid w:val="799E680F"/>
    <w:rsid w:val="79B0209F"/>
    <w:rsid w:val="79C1605A"/>
    <w:rsid w:val="79C45B4A"/>
    <w:rsid w:val="79DB2D38"/>
    <w:rsid w:val="79E7658E"/>
    <w:rsid w:val="7A1B3962"/>
    <w:rsid w:val="7A2111EE"/>
    <w:rsid w:val="7A2A00A3"/>
    <w:rsid w:val="7A2F56B9"/>
    <w:rsid w:val="7A623463"/>
    <w:rsid w:val="7A6D48C0"/>
    <w:rsid w:val="7A6D7F90"/>
    <w:rsid w:val="7A765096"/>
    <w:rsid w:val="7A861051"/>
    <w:rsid w:val="7A974046"/>
    <w:rsid w:val="7A9A4854"/>
    <w:rsid w:val="7AB931D5"/>
    <w:rsid w:val="7ABA14EE"/>
    <w:rsid w:val="7AC53928"/>
    <w:rsid w:val="7AC878BC"/>
    <w:rsid w:val="7ACA7190"/>
    <w:rsid w:val="7B007056"/>
    <w:rsid w:val="7B02692A"/>
    <w:rsid w:val="7B096552"/>
    <w:rsid w:val="7B0F72C3"/>
    <w:rsid w:val="7B114DBF"/>
    <w:rsid w:val="7B2368A0"/>
    <w:rsid w:val="7B274CA7"/>
    <w:rsid w:val="7B4E7DC1"/>
    <w:rsid w:val="7B5B428C"/>
    <w:rsid w:val="7B887EC5"/>
    <w:rsid w:val="7B913F55"/>
    <w:rsid w:val="7B914152"/>
    <w:rsid w:val="7B930C24"/>
    <w:rsid w:val="7BB17EFC"/>
    <w:rsid w:val="7BB5399C"/>
    <w:rsid w:val="7BC60184"/>
    <w:rsid w:val="7BD5403F"/>
    <w:rsid w:val="7BDD2EF3"/>
    <w:rsid w:val="7BE73A8B"/>
    <w:rsid w:val="7BEA2ACF"/>
    <w:rsid w:val="7BF471EA"/>
    <w:rsid w:val="7C011556"/>
    <w:rsid w:val="7C18217D"/>
    <w:rsid w:val="7C346F6A"/>
    <w:rsid w:val="7C3C40BE"/>
    <w:rsid w:val="7C444D20"/>
    <w:rsid w:val="7C4C3220"/>
    <w:rsid w:val="7C4F37CE"/>
    <w:rsid w:val="7C507B69"/>
    <w:rsid w:val="7C596A1E"/>
    <w:rsid w:val="7C5E2286"/>
    <w:rsid w:val="7C701FB9"/>
    <w:rsid w:val="7C817D22"/>
    <w:rsid w:val="7C857813"/>
    <w:rsid w:val="7C964B73"/>
    <w:rsid w:val="7C99506C"/>
    <w:rsid w:val="7CD24A22"/>
    <w:rsid w:val="7CEA1D6C"/>
    <w:rsid w:val="7CF61768"/>
    <w:rsid w:val="7CF84488"/>
    <w:rsid w:val="7D0C7F34"/>
    <w:rsid w:val="7D0E5A5A"/>
    <w:rsid w:val="7D264462"/>
    <w:rsid w:val="7D291E8F"/>
    <w:rsid w:val="7D2C5EE0"/>
    <w:rsid w:val="7D360B0D"/>
    <w:rsid w:val="7D3A5278"/>
    <w:rsid w:val="7D406A1E"/>
    <w:rsid w:val="7D5A0C9F"/>
    <w:rsid w:val="7D637428"/>
    <w:rsid w:val="7D6F2271"/>
    <w:rsid w:val="7D741635"/>
    <w:rsid w:val="7D823D52"/>
    <w:rsid w:val="7D851A94"/>
    <w:rsid w:val="7D965A4F"/>
    <w:rsid w:val="7DA95783"/>
    <w:rsid w:val="7DB3326F"/>
    <w:rsid w:val="7DCB56F9"/>
    <w:rsid w:val="7DF34C50"/>
    <w:rsid w:val="7E0D00F2"/>
    <w:rsid w:val="7E1846B6"/>
    <w:rsid w:val="7E1A21DD"/>
    <w:rsid w:val="7E3037AE"/>
    <w:rsid w:val="7E3A287F"/>
    <w:rsid w:val="7E413A9D"/>
    <w:rsid w:val="7E486D4A"/>
    <w:rsid w:val="7E5F22E5"/>
    <w:rsid w:val="7E6B4A0B"/>
    <w:rsid w:val="7E714CEC"/>
    <w:rsid w:val="7E786F03"/>
    <w:rsid w:val="7E7C7B82"/>
    <w:rsid w:val="7E8B4E88"/>
    <w:rsid w:val="7E960CC1"/>
    <w:rsid w:val="7EA36676"/>
    <w:rsid w:val="7EB702F4"/>
    <w:rsid w:val="7ECD724F"/>
    <w:rsid w:val="7ED405DD"/>
    <w:rsid w:val="7ED625A7"/>
    <w:rsid w:val="7EED715E"/>
    <w:rsid w:val="7EFD7F37"/>
    <w:rsid w:val="7F0A2251"/>
    <w:rsid w:val="7F0D3AEF"/>
    <w:rsid w:val="7F17671C"/>
    <w:rsid w:val="7F2271E4"/>
    <w:rsid w:val="7F2D7CEE"/>
    <w:rsid w:val="7F313C82"/>
    <w:rsid w:val="7F4A61E1"/>
    <w:rsid w:val="7F544D8E"/>
    <w:rsid w:val="7F596D35"/>
    <w:rsid w:val="7F5C68C8"/>
    <w:rsid w:val="7F645E05"/>
    <w:rsid w:val="7F743B6E"/>
    <w:rsid w:val="7F8C710A"/>
    <w:rsid w:val="7F962F62"/>
    <w:rsid w:val="7F967F89"/>
    <w:rsid w:val="7F9935D5"/>
    <w:rsid w:val="7FA51F7A"/>
    <w:rsid w:val="7FB328E9"/>
    <w:rsid w:val="7FC468A4"/>
    <w:rsid w:val="7FC84C49"/>
    <w:rsid w:val="7FD30895"/>
    <w:rsid w:val="7FDD1714"/>
    <w:rsid w:val="7FDD5BB8"/>
    <w:rsid w:val="7FE2776D"/>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theme="minorBidi"/>
      <w:kern w:val="2"/>
      <w:sz w:val="24"/>
      <w:szCs w:val="22"/>
      <w:lang w:val="en-US" w:eastAsia="zh-CN" w:bidi="ar-SA"/>
    </w:rPr>
  </w:style>
  <w:style w:type="paragraph" w:styleId="2">
    <w:name w:val="heading 1"/>
    <w:basedOn w:val="1"/>
    <w:next w:val="1"/>
    <w:link w:val="41"/>
    <w:qFormat/>
    <w:uiPriority w:val="9"/>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1"/>
    <w:link w:val="45"/>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48"/>
    <w:unhideWhenUsed/>
    <w:qFormat/>
    <w:uiPriority w:val="9"/>
    <w:pPr>
      <w:keepNext/>
      <w:keepLines/>
      <w:spacing w:before="260" w:after="260" w:line="416" w:lineRule="auto"/>
      <w:outlineLvl w:val="2"/>
    </w:pPr>
    <w:rPr>
      <w:b/>
      <w:bCs/>
      <w:sz w:val="30"/>
      <w:szCs w:val="32"/>
    </w:rPr>
  </w:style>
  <w:style w:type="paragraph" w:styleId="5">
    <w:name w:val="heading 4"/>
    <w:basedOn w:val="1"/>
    <w:next w:val="1"/>
    <w:link w:val="49"/>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6">
    <w:name w:val="heading 5"/>
    <w:basedOn w:val="7"/>
    <w:next w:val="8"/>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List Number 2"/>
    <w:basedOn w:val="1"/>
    <w:semiHidden/>
    <w:unhideWhenUsed/>
    <w:qFormat/>
    <w:uiPriority w:val="99"/>
    <w:pPr>
      <w:numPr>
        <w:ilvl w:val="0"/>
        <w:numId w:val="1"/>
      </w:numPr>
    </w:pPr>
  </w:style>
  <w:style w:type="paragraph" w:styleId="8">
    <w:name w:val="Normal (Web)"/>
    <w:basedOn w:val="1"/>
    <w:qFormat/>
    <w:uiPriority w:val="99"/>
    <w:pPr>
      <w:spacing w:before="100" w:beforeAutospacing="1" w:after="100" w:afterAutospacing="1"/>
    </w:pPr>
    <w:rPr>
      <w:rFonts w:cs="宋体"/>
      <w:color w:val="000000"/>
      <w:kern w:val="0"/>
      <w:szCs w:val="24"/>
    </w:rPr>
  </w:style>
  <w:style w:type="paragraph" w:styleId="9">
    <w:name w:val="toc 7"/>
    <w:basedOn w:val="1"/>
    <w:next w:val="1"/>
    <w:unhideWhenUsed/>
    <w:qFormat/>
    <w:uiPriority w:val="39"/>
    <w:pPr>
      <w:ind w:left="1440"/>
    </w:pPr>
    <w:rPr>
      <w:rFonts w:asciiTheme="minorHAnsi" w:eastAsiaTheme="minorHAnsi"/>
      <w:sz w:val="18"/>
      <w:szCs w:val="18"/>
    </w:rPr>
  </w:style>
  <w:style w:type="paragraph" w:styleId="10">
    <w:name w:val="Normal Indent"/>
    <w:basedOn w:val="1"/>
    <w:next w:val="1"/>
    <w:unhideWhenUsed/>
    <w:qFormat/>
    <w:uiPriority w:val="0"/>
    <w:pPr>
      <w:ind w:firstLine="420" w:firstLineChars="200"/>
    </w:pPr>
    <w:rPr>
      <w:rFonts w:ascii="Calibri" w:hAnsi="Calibri"/>
    </w:rPr>
  </w:style>
  <w:style w:type="paragraph" w:styleId="11">
    <w:name w:val="List Bullet"/>
    <w:basedOn w:val="1"/>
    <w:unhideWhenUsed/>
    <w:qFormat/>
    <w:uiPriority w:val="99"/>
    <w:pPr>
      <w:tabs>
        <w:tab w:val="left" w:pos="360"/>
        <w:tab w:val="left" w:pos="1134"/>
      </w:tabs>
      <w:ind w:left="1134" w:hanging="1134"/>
      <w:contextualSpacing/>
      <w:jc w:val="both"/>
    </w:pPr>
    <w:rPr>
      <w:rFonts w:ascii="Times New Roman" w:hAnsi="Times New Roman" w:cs="Times New Roman"/>
      <w:kern w:val="0"/>
      <w:sz w:val="20"/>
      <w:szCs w:val="20"/>
    </w:rPr>
  </w:style>
  <w:style w:type="paragraph" w:styleId="12">
    <w:name w:val="annotation text"/>
    <w:basedOn w:val="1"/>
    <w:link w:val="46"/>
    <w:qFormat/>
    <w:uiPriority w:val="0"/>
    <w:rPr>
      <w:rFonts w:eastAsiaTheme="minorEastAsia"/>
      <w:sz w:val="21"/>
      <w:szCs w:val="24"/>
    </w:rPr>
  </w:style>
  <w:style w:type="paragraph" w:styleId="13">
    <w:name w:val="Body Text"/>
    <w:basedOn w:val="1"/>
    <w:next w:val="14"/>
    <w:link w:val="50"/>
    <w:qFormat/>
    <w:uiPriority w:val="99"/>
    <w:pPr>
      <w:spacing w:after="120"/>
      <w:jc w:val="both"/>
    </w:pPr>
    <w:rPr>
      <w:rFonts w:eastAsiaTheme="minorEastAsia"/>
      <w:sz w:val="21"/>
      <w:szCs w:val="24"/>
    </w:rPr>
  </w:style>
  <w:style w:type="paragraph" w:styleId="14">
    <w:name w:val="Body Text First Indent"/>
    <w:basedOn w:val="13"/>
    <w:next w:val="1"/>
    <w:qFormat/>
    <w:uiPriority w:val="99"/>
    <w:pPr>
      <w:spacing w:after="120"/>
      <w:ind w:firstLine="420" w:firstLineChars="100"/>
    </w:pPr>
  </w:style>
  <w:style w:type="paragraph" w:styleId="15">
    <w:name w:val="Body Text Indent"/>
    <w:basedOn w:val="1"/>
    <w:unhideWhenUsed/>
    <w:qFormat/>
    <w:uiPriority w:val="0"/>
    <w:pPr>
      <w:ind w:firstLine="630"/>
    </w:pPr>
    <w:rPr>
      <w:rFonts w:eastAsia="仿宋_GB2312"/>
      <w:kern w:val="0"/>
      <w:sz w:val="32"/>
      <w:szCs w:val="20"/>
    </w:rPr>
  </w:style>
  <w:style w:type="paragraph" w:styleId="16">
    <w:name w:val="toc 5"/>
    <w:basedOn w:val="1"/>
    <w:next w:val="1"/>
    <w:unhideWhenUsed/>
    <w:qFormat/>
    <w:uiPriority w:val="39"/>
    <w:pPr>
      <w:ind w:left="960"/>
    </w:pPr>
    <w:rPr>
      <w:rFonts w:asciiTheme="minorHAnsi" w:eastAsiaTheme="minorHAnsi"/>
      <w:sz w:val="18"/>
      <w:szCs w:val="18"/>
    </w:rPr>
  </w:style>
  <w:style w:type="paragraph" w:styleId="17">
    <w:name w:val="toc 3"/>
    <w:basedOn w:val="1"/>
    <w:next w:val="1"/>
    <w:unhideWhenUsed/>
    <w:qFormat/>
    <w:uiPriority w:val="39"/>
    <w:pPr>
      <w:ind w:left="480"/>
    </w:pPr>
    <w:rPr>
      <w:rFonts w:asciiTheme="minorHAnsi" w:eastAsiaTheme="minorHAnsi"/>
      <w:i/>
      <w:iCs/>
      <w:sz w:val="20"/>
      <w:szCs w:val="20"/>
    </w:rPr>
  </w:style>
  <w:style w:type="paragraph" w:styleId="18">
    <w:name w:val="Plain Text"/>
    <w:basedOn w:val="1"/>
    <w:unhideWhenUsed/>
    <w:qFormat/>
    <w:uiPriority w:val="0"/>
    <w:rPr>
      <w:rFonts w:hAnsi="Courier New"/>
      <w:kern w:val="0"/>
      <w:sz w:val="20"/>
      <w:szCs w:val="20"/>
    </w:rPr>
  </w:style>
  <w:style w:type="paragraph" w:styleId="19">
    <w:name w:val="toc 8"/>
    <w:basedOn w:val="1"/>
    <w:next w:val="1"/>
    <w:unhideWhenUsed/>
    <w:qFormat/>
    <w:uiPriority w:val="39"/>
    <w:pPr>
      <w:ind w:left="1680"/>
    </w:pPr>
    <w:rPr>
      <w:rFonts w:asciiTheme="minorHAnsi" w:eastAsiaTheme="minorHAnsi"/>
      <w:sz w:val="18"/>
      <w:szCs w:val="18"/>
    </w:rPr>
  </w:style>
  <w:style w:type="paragraph" w:styleId="20">
    <w:name w:val="Balloon Text"/>
    <w:basedOn w:val="1"/>
    <w:link w:val="83"/>
    <w:semiHidden/>
    <w:unhideWhenUsed/>
    <w:qFormat/>
    <w:uiPriority w:val="99"/>
    <w:rPr>
      <w:sz w:val="18"/>
      <w:szCs w:val="18"/>
    </w:rPr>
  </w:style>
  <w:style w:type="paragraph" w:styleId="21">
    <w:name w:val="footer"/>
    <w:basedOn w:val="1"/>
    <w:link w:val="44"/>
    <w:unhideWhenUsed/>
    <w:qFormat/>
    <w:uiPriority w:val="99"/>
    <w:pPr>
      <w:tabs>
        <w:tab w:val="center" w:pos="4153"/>
        <w:tab w:val="right" w:pos="8306"/>
      </w:tabs>
      <w:snapToGrid w:val="0"/>
    </w:pPr>
    <w:rPr>
      <w:sz w:val="18"/>
      <w:szCs w:val="18"/>
    </w:rPr>
  </w:style>
  <w:style w:type="paragraph" w:styleId="22">
    <w:name w:val="header"/>
    <w:basedOn w:val="1"/>
    <w:link w:val="43"/>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spacing w:before="120" w:after="120"/>
    </w:pPr>
    <w:rPr>
      <w:rFonts w:asciiTheme="minorHAnsi" w:eastAsiaTheme="minorHAnsi"/>
      <w:b/>
      <w:bCs/>
      <w:caps/>
      <w:sz w:val="20"/>
      <w:szCs w:val="20"/>
    </w:rPr>
  </w:style>
  <w:style w:type="paragraph" w:styleId="24">
    <w:name w:val="toc 4"/>
    <w:basedOn w:val="1"/>
    <w:next w:val="1"/>
    <w:unhideWhenUsed/>
    <w:qFormat/>
    <w:uiPriority w:val="39"/>
    <w:pPr>
      <w:ind w:left="720"/>
    </w:pPr>
    <w:rPr>
      <w:rFonts w:asciiTheme="minorHAnsi" w:eastAsiaTheme="minorHAnsi"/>
      <w:sz w:val="18"/>
      <w:szCs w:val="18"/>
    </w:rPr>
  </w:style>
  <w:style w:type="paragraph" w:styleId="25">
    <w:name w:val="footnote text"/>
    <w:basedOn w:val="1"/>
    <w:qFormat/>
    <w:uiPriority w:val="0"/>
    <w:rPr>
      <w:kern w:val="0"/>
      <w:sz w:val="20"/>
      <w:szCs w:val="20"/>
      <w:lang w:val="de-DE"/>
    </w:rPr>
  </w:style>
  <w:style w:type="paragraph" w:styleId="26">
    <w:name w:val="toc 6"/>
    <w:basedOn w:val="1"/>
    <w:next w:val="1"/>
    <w:unhideWhenUsed/>
    <w:qFormat/>
    <w:uiPriority w:val="39"/>
    <w:pPr>
      <w:ind w:left="1200"/>
    </w:pPr>
    <w:rPr>
      <w:rFonts w:asciiTheme="minorHAnsi" w:eastAsiaTheme="minorHAnsi"/>
      <w:sz w:val="18"/>
      <w:szCs w:val="18"/>
    </w:rPr>
  </w:style>
  <w:style w:type="paragraph" w:styleId="27">
    <w:name w:val="toc 2"/>
    <w:basedOn w:val="1"/>
    <w:next w:val="1"/>
    <w:unhideWhenUsed/>
    <w:qFormat/>
    <w:uiPriority w:val="39"/>
    <w:pPr>
      <w:ind w:left="240"/>
    </w:pPr>
    <w:rPr>
      <w:rFonts w:asciiTheme="minorHAnsi" w:eastAsiaTheme="minorHAnsi"/>
      <w:smallCaps/>
      <w:sz w:val="20"/>
      <w:szCs w:val="20"/>
    </w:rPr>
  </w:style>
  <w:style w:type="paragraph" w:styleId="28">
    <w:name w:val="toc 9"/>
    <w:basedOn w:val="1"/>
    <w:next w:val="1"/>
    <w:unhideWhenUsed/>
    <w:qFormat/>
    <w:uiPriority w:val="39"/>
    <w:pPr>
      <w:ind w:left="1920"/>
    </w:pPr>
    <w:rPr>
      <w:rFonts w:asciiTheme="minorHAnsi" w:eastAsiaTheme="minorHAnsi"/>
      <w:sz w:val="18"/>
      <w:szCs w:val="18"/>
    </w:rPr>
  </w:style>
  <w:style w:type="paragraph" w:styleId="29">
    <w:name w:val="HTML Preformatted"/>
    <w:basedOn w:val="1"/>
    <w:qFormat/>
    <w:uiPriority w:val="0"/>
    <w:rPr>
      <w:rFonts w:ascii="Courier New" w:hAnsi="Courier New" w:eastAsia="宋体" w:cs="Courier New"/>
      <w:sz w:val="20"/>
      <w:szCs w:val="20"/>
    </w:rPr>
  </w:style>
  <w:style w:type="paragraph" w:styleId="30">
    <w:name w:val="annotation subject"/>
    <w:basedOn w:val="12"/>
    <w:next w:val="12"/>
    <w:link w:val="54"/>
    <w:semiHidden/>
    <w:unhideWhenUsed/>
    <w:qFormat/>
    <w:uiPriority w:val="99"/>
    <w:pPr>
      <w:spacing w:line="360" w:lineRule="auto"/>
    </w:pPr>
    <w:rPr>
      <w:rFonts w:eastAsia="宋体"/>
      <w:b/>
      <w:bCs/>
      <w:sz w:val="24"/>
      <w:szCs w:val="22"/>
    </w:rPr>
  </w:style>
  <w:style w:type="paragraph" w:styleId="31">
    <w:name w:val="Body Text First Indent 2"/>
    <w:basedOn w:val="15"/>
    <w:next w:val="1"/>
    <w:qFormat/>
    <w:uiPriority w:val="0"/>
    <w:pPr>
      <w:spacing w:after="120"/>
      <w:ind w:left="420" w:leftChars="200" w:firstLine="420" w:firstLineChars="200"/>
    </w:pPr>
    <w:rPr>
      <w:rFonts w:ascii="Times New Roman" w:eastAsia="宋体"/>
      <w:sz w:val="21"/>
      <w:szCs w:val="24"/>
    </w:rPr>
  </w:style>
  <w:style w:type="table" w:styleId="33">
    <w:name w:val="Table Grid"/>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bCs/>
    </w:rPr>
  </w:style>
  <w:style w:type="character" w:styleId="36">
    <w:name w:val="Emphasis"/>
    <w:basedOn w:val="34"/>
    <w:qFormat/>
    <w:uiPriority w:val="20"/>
    <w:rPr>
      <w:i/>
    </w:rPr>
  </w:style>
  <w:style w:type="character" w:styleId="37">
    <w:name w:val="Hyperlink"/>
    <w:basedOn w:val="34"/>
    <w:unhideWhenUsed/>
    <w:qFormat/>
    <w:uiPriority w:val="99"/>
    <w:rPr>
      <w:color w:val="0563C1" w:themeColor="hyperlink"/>
      <w:u w:val="single"/>
      <w14:textFill>
        <w14:solidFill>
          <w14:schemeClr w14:val="hlink"/>
        </w14:solidFill>
      </w14:textFill>
    </w:rPr>
  </w:style>
  <w:style w:type="character" w:styleId="38">
    <w:name w:val="annotation reference"/>
    <w:basedOn w:val="34"/>
    <w:qFormat/>
    <w:uiPriority w:val="0"/>
    <w:rPr>
      <w:sz w:val="21"/>
      <w:szCs w:val="21"/>
    </w:rPr>
  </w:style>
  <w:style w:type="paragraph" w:customStyle="1" w:styleId="3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40">
    <w:name w:val="正文缩进2"/>
    <w:basedOn w:val="1"/>
    <w:qFormat/>
    <w:uiPriority w:val="0"/>
    <w:pPr>
      <w:wordWrap w:val="0"/>
      <w:ind w:firstLine="480"/>
    </w:pPr>
    <w:rPr>
      <w:iCs/>
      <w:shd w:val="clear" w:color="auto" w:fill="FFFFFF" w:themeFill="background1"/>
      <w:lang w:val="zh-CN"/>
    </w:rPr>
  </w:style>
  <w:style w:type="character" w:customStyle="1" w:styleId="41">
    <w:name w:val="标题 1 Char"/>
    <w:basedOn w:val="34"/>
    <w:link w:val="2"/>
    <w:qFormat/>
    <w:uiPriority w:val="9"/>
    <w:rPr>
      <w:rFonts w:eastAsia="黑体"/>
      <w:b/>
      <w:bCs/>
      <w:kern w:val="44"/>
      <w:sz w:val="44"/>
      <w:szCs w:val="44"/>
    </w:rPr>
  </w:style>
  <w:style w:type="paragraph" w:styleId="42">
    <w:name w:val="List Paragraph"/>
    <w:basedOn w:val="1"/>
    <w:qFormat/>
    <w:uiPriority w:val="34"/>
    <w:pPr>
      <w:numPr>
        <w:ilvl w:val="0"/>
        <w:numId w:val="2"/>
      </w:numPr>
    </w:pPr>
  </w:style>
  <w:style w:type="character" w:customStyle="1" w:styleId="43">
    <w:name w:val="页眉 Char"/>
    <w:basedOn w:val="34"/>
    <w:link w:val="22"/>
    <w:qFormat/>
    <w:uiPriority w:val="99"/>
    <w:rPr>
      <w:rFonts w:eastAsia="宋体"/>
      <w:sz w:val="18"/>
      <w:szCs w:val="18"/>
    </w:rPr>
  </w:style>
  <w:style w:type="character" w:customStyle="1" w:styleId="44">
    <w:name w:val="页脚 Char"/>
    <w:basedOn w:val="34"/>
    <w:link w:val="21"/>
    <w:qFormat/>
    <w:uiPriority w:val="99"/>
    <w:rPr>
      <w:rFonts w:eastAsia="宋体"/>
      <w:sz w:val="18"/>
      <w:szCs w:val="18"/>
    </w:rPr>
  </w:style>
  <w:style w:type="character" w:customStyle="1" w:styleId="45">
    <w:name w:val="标题 2 Char"/>
    <w:basedOn w:val="34"/>
    <w:link w:val="3"/>
    <w:qFormat/>
    <w:uiPriority w:val="0"/>
    <w:rPr>
      <w:rFonts w:eastAsia="宋体" w:asciiTheme="majorHAnsi" w:hAnsiTheme="majorHAnsi" w:cstheme="majorBidi"/>
      <w:b/>
      <w:bCs/>
      <w:sz w:val="32"/>
      <w:szCs w:val="32"/>
    </w:rPr>
  </w:style>
  <w:style w:type="character" w:customStyle="1" w:styleId="46">
    <w:name w:val="批注文字 Char"/>
    <w:basedOn w:val="34"/>
    <w:link w:val="12"/>
    <w:qFormat/>
    <w:uiPriority w:val="0"/>
    <w:rPr>
      <w:szCs w:val="24"/>
    </w:rPr>
  </w:style>
  <w:style w:type="paragraph" w:customStyle="1" w:styleId="47">
    <w:name w:val="Char1 Char Char Char"/>
    <w:basedOn w:val="1"/>
    <w:qFormat/>
    <w:uiPriority w:val="0"/>
    <w:pPr>
      <w:adjustRightInd w:val="0"/>
      <w:jc w:val="both"/>
    </w:pPr>
    <w:rPr>
      <w:rFonts w:ascii="Times New Roman" w:hAnsi="Times New Roman" w:cs="Times New Roman"/>
      <w:kern w:val="0"/>
      <w:szCs w:val="20"/>
    </w:rPr>
  </w:style>
  <w:style w:type="character" w:customStyle="1" w:styleId="48">
    <w:name w:val="标题 3 Char"/>
    <w:basedOn w:val="34"/>
    <w:link w:val="4"/>
    <w:qFormat/>
    <w:uiPriority w:val="9"/>
    <w:rPr>
      <w:rFonts w:eastAsia="宋体"/>
      <w:b/>
      <w:bCs/>
      <w:sz w:val="30"/>
      <w:szCs w:val="32"/>
    </w:rPr>
  </w:style>
  <w:style w:type="character" w:customStyle="1" w:styleId="49">
    <w:name w:val="标题 4 Char"/>
    <w:basedOn w:val="34"/>
    <w:link w:val="5"/>
    <w:qFormat/>
    <w:uiPriority w:val="9"/>
    <w:rPr>
      <w:rFonts w:eastAsia="宋体" w:asciiTheme="majorHAnsi" w:hAnsiTheme="majorHAnsi" w:cstheme="majorBidi"/>
      <w:b/>
      <w:bCs/>
      <w:sz w:val="28"/>
      <w:szCs w:val="28"/>
    </w:rPr>
  </w:style>
  <w:style w:type="character" w:customStyle="1" w:styleId="50">
    <w:name w:val="正文文本 Char"/>
    <w:basedOn w:val="34"/>
    <w:link w:val="13"/>
    <w:qFormat/>
    <w:uiPriority w:val="99"/>
    <w:rPr>
      <w:szCs w:val="24"/>
    </w:rPr>
  </w:style>
  <w:style w:type="paragraph" w:customStyle="1" w:styleId="51">
    <w:name w:val="样式"/>
    <w:basedOn w:val="1"/>
    <w:qFormat/>
    <w:uiPriority w:val="0"/>
    <w:pPr>
      <w:autoSpaceDE w:val="0"/>
      <w:autoSpaceDN w:val="0"/>
      <w:snapToGrid w:val="0"/>
      <w:spacing w:before="120" w:after="120"/>
      <w:jc w:val="both"/>
    </w:pPr>
    <w:rPr>
      <w:rFonts w:hAnsi="Times New Roman" w:cs="Times New Roman"/>
      <w:kern w:val="0"/>
      <w:szCs w:val="20"/>
    </w:rPr>
  </w:style>
  <w:style w:type="paragraph" w:styleId="52">
    <w:name w:val="No Spacing"/>
    <w:qFormat/>
    <w:uiPriority w:val="1"/>
    <w:pPr>
      <w:widowControl w:val="0"/>
    </w:pPr>
    <w:rPr>
      <w:rFonts w:ascii="宋体" w:hAnsi="宋体" w:eastAsia="宋体" w:cstheme="minorBidi"/>
      <w:kern w:val="2"/>
      <w:sz w:val="24"/>
      <w:szCs w:val="22"/>
      <w:lang w:val="en-US" w:eastAsia="zh-CN" w:bidi="ar-SA"/>
    </w:rPr>
  </w:style>
  <w:style w:type="character" w:customStyle="1" w:styleId="53">
    <w:name w:val="未处理的提及1"/>
    <w:basedOn w:val="34"/>
    <w:semiHidden/>
    <w:unhideWhenUsed/>
    <w:qFormat/>
    <w:uiPriority w:val="99"/>
    <w:rPr>
      <w:color w:val="605E5C"/>
      <w:shd w:val="clear" w:color="auto" w:fill="E1DFDD"/>
    </w:rPr>
  </w:style>
  <w:style w:type="character" w:customStyle="1" w:styleId="54">
    <w:name w:val="批注主题 Char"/>
    <w:basedOn w:val="46"/>
    <w:link w:val="30"/>
    <w:semiHidden/>
    <w:qFormat/>
    <w:uiPriority w:val="99"/>
    <w:rPr>
      <w:rFonts w:ascii="宋体" w:hAnsi="宋体" w:cstheme="minorBidi"/>
      <w:b/>
      <w:bCs/>
      <w:kern w:val="2"/>
      <w:sz w:val="24"/>
      <w:szCs w:val="22"/>
    </w:rPr>
  </w:style>
  <w:style w:type="character" w:customStyle="1" w:styleId="55">
    <w:name w:val="未处理的提及2"/>
    <w:basedOn w:val="34"/>
    <w:semiHidden/>
    <w:unhideWhenUsed/>
    <w:qFormat/>
    <w:uiPriority w:val="99"/>
    <w:rPr>
      <w:color w:val="605E5C"/>
      <w:shd w:val="clear" w:color="auto" w:fill="E1DFDD"/>
    </w:rPr>
  </w:style>
  <w:style w:type="paragraph" w:customStyle="1" w:styleId="56">
    <w:name w:val="正文_2"/>
    <w:qFormat/>
    <w:uiPriority w:val="0"/>
    <w:pPr>
      <w:widowControl w:val="0"/>
      <w:jc w:val="both"/>
    </w:pPr>
    <w:rPr>
      <w:rFonts w:ascii="Calibri" w:hAnsi="Calibri" w:eastAsia="宋体" w:cs="Times New Roman"/>
      <w:lang w:val="en-US" w:eastAsia="zh-CN" w:bidi="ar-SA"/>
    </w:rPr>
  </w:style>
  <w:style w:type="paragraph" w:customStyle="1" w:styleId="57">
    <w:name w:val="正文1"/>
    <w:qFormat/>
    <w:uiPriority w:val="0"/>
    <w:pPr>
      <w:widowControl w:val="0"/>
      <w:jc w:val="both"/>
    </w:pPr>
    <w:rPr>
      <w:rFonts w:ascii="Times New Roman" w:hAnsi="Times New Roman" w:eastAsia="Times New Roman" w:cs="Times New Roman"/>
      <w:lang w:val="en-US" w:eastAsia="zh-CN" w:bidi="ar-SA"/>
    </w:rPr>
  </w:style>
  <w:style w:type="paragraph" w:customStyle="1" w:styleId="58">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9">
    <w:name w:val="正文_2_0_0"/>
    <w:qFormat/>
    <w:uiPriority w:val="99"/>
    <w:pPr>
      <w:widowControl w:val="0"/>
      <w:jc w:val="both"/>
    </w:pPr>
    <w:rPr>
      <w:rFonts w:ascii="Calibri" w:hAnsi="Calibri" w:eastAsia="宋体" w:cs="Times New Roman"/>
      <w:lang w:val="en-US" w:eastAsia="zh-CN" w:bidi="ar-SA"/>
    </w:rPr>
  </w:style>
  <w:style w:type="paragraph" w:customStyle="1" w:styleId="60">
    <w:name w:val="正文_1_1"/>
    <w:qFormat/>
    <w:uiPriority w:val="99"/>
    <w:pPr>
      <w:widowControl w:val="0"/>
      <w:jc w:val="both"/>
    </w:pPr>
    <w:rPr>
      <w:rFonts w:ascii="Calibri" w:hAnsi="Calibri" w:eastAsia="宋体" w:cs="Times New Roman"/>
      <w:kern w:val="2"/>
      <w:sz w:val="21"/>
      <w:szCs w:val="24"/>
      <w:lang w:val="en-US" w:eastAsia="zh-CN" w:bidi="ar-SA"/>
    </w:rPr>
  </w:style>
  <w:style w:type="paragraph" w:customStyle="1" w:styleId="61">
    <w:name w:val="Normal Indent1"/>
    <w:basedOn w:val="1"/>
    <w:qFormat/>
    <w:uiPriority w:val="0"/>
    <w:pPr>
      <w:ind w:firstLine="420" w:firstLineChars="200"/>
    </w:pPr>
  </w:style>
  <w:style w:type="paragraph" w:customStyle="1" w:styleId="62">
    <w:name w:val="LO-Normal"/>
    <w:qFormat/>
    <w:uiPriority w:val="0"/>
    <w:pPr>
      <w:suppressAutoHyphens/>
    </w:pPr>
    <w:rPr>
      <w:rFonts w:ascii="Times New Roman" w:hAnsi="Times New Roman" w:eastAsia="宋体" w:cs="Times New Roman"/>
      <w:sz w:val="24"/>
      <w:szCs w:val="24"/>
      <w:lang w:val="en-US" w:eastAsia="zh-CN" w:bidi="ar-SA"/>
    </w:rPr>
  </w:style>
  <w:style w:type="paragraph" w:customStyle="1" w:styleId="63">
    <w:name w:val="Normal_22"/>
    <w:qFormat/>
    <w:uiPriority w:val="0"/>
    <w:rPr>
      <w:rFonts w:ascii="Times New Roman" w:hAnsi="Times New Roman" w:eastAsia="Times New Roman" w:cs="Times New Roman"/>
      <w:sz w:val="24"/>
      <w:szCs w:val="24"/>
      <w:lang w:val="en-US" w:eastAsia="zh-CN" w:bidi="ar-SA"/>
    </w:rPr>
  </w:style>
  <w:style w:type="paragraph" w:customStyle="1" w:styleId="64">
    <w:name w:val="正文_6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65">
    <w:name w:val="正文_0_0_0 Char"/>
    <w:link w:val="66"/>
    <w:qFormat/>
    <w:locked/>
    <w:uiPriority w:val="0"/>
    <w:rPr>
      <w:rFonts w:ascii="Calibri" w:hAnsi="Calibri" w:cs="Calibri"/>
      <w:kern w:val="2"/>
      <w:sz w:val="28"/>
      <w:szCs w:val="22"/>
      <w:lang w:val="en-US" w:eastAsia="zh-CN" w:bidi="ar-SA"/>
    </w:rPr>
  </w:style>
  <w:style w:type="paragraph" w:customStyle="1" w:styleId="66">
    <w:name w:val="正文_0_0_0_0_0"/>
    <w:link w:val="65"/>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67">
    <w:name w:val="正文文本_0_1"/>
    <w:basedOn w:val="68"/>
    <w:qFormat/>
    <w:uiPriority w:val="99"/>
    <w:pPr>
      <w:spacing w:after="120"/>
    </w:pPr>
    <w:rPr>
      <w:kern w:val="0"/>
      <w:sz w:val="24"/>
      <w:szCs w:val="20"/>
    </w:rPr>
  </w:style>
  <w:style w:type="paragraph" w:customStyle="1" w:styleId="68">
    <w:name w:val="正文_6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9">
    <w:name w:val="Table Paragraph_1"/>
    <w:basedOn w:val="68"/>
    <w:qFormat/>
    <w:uiPriority w:val="0"/>
    <w:pPr>
      <w:jc w:val="left"/>
    </w:pPr>
    <w:rPr>
      <w:kern w:val="0"/>
      <w:sz w:val="22"/>
      <w:lang w:eastAsia="en-US"/>
    </w:rPr>
  </w:style>
  <w:style w:type="paragraph" w:customStyle="1" w:styleId="70">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71">
    <w:name w:val="正文11"/>
    <w:qFormat/>
    <w:uiPriority w:val="0"/>
    <w:pPr>
      <w:widowControl w:val="0"/>
      <w:jc w:val="both"/>
    </w:pPr>
    <w:rPr>
      <w:rFonts w:ascii="Calibri" w:hAnsi="Calibri" w:eastAsia="宋体" w:cs="Times New Roman"/>
      <w:lang w:val="en-US" w:eastAsia="zh-CN" w:bidi="ar-SA"/>
    </w:rPr>
  </w:style>
  <w:style w:type="paragraph" w:customStyle="1" w:styleId="72">
    <w:name w:val="列出段落1"/>
    <w:basedOn w:val="1"/>
    <w:qFormat/>
    <w:uiPriority w:val="0"/>
    <w:pPr>
      <w:ind w:firstLine="420" w:firstLineChars="200"/>
    </w:pPr>
    <w:rPr>
      <w:szCs w:val="21"/>
    </w:rPr>
  </w:style>
  <w:style w:type="paragraph" w:customStyle="1" w:styleId="73">
    <w:name w:val="xl31"/>
    <w:basedOn w:val="1"/>
    <w:qFormat/>
    <w:uiPriority w:val="0"/>
    <w:pPr>
      <w:spacing w:before="100" w:beforeAutospacing="1" w:after="100" w:afterAutospacing="1"/>
      <w:jc w:val="center"/>
    </w:pPr>
    <w:rPr>
      <w:b/>
      <w:bCs/>
      <w:kern w:val="0"/>
      <w:sz w:val="28"/>
      <w:szCs w:val="28"/>
    </w:rPr>
  </w:style>
  <w:style w:type="paragraph" w:customStyle="1" w:styleId="74">
    <w:name w:val="正文2"/>
    <w:basedOn w:val="1"/>
    <w:qFormat/>
    <w:uiPriority w:val="0"/>
    <w:pPr>
      <w:spacing w:before="156" w:line="360" w:lineRule="auto"/>
      <w:ind w:firstLine="510" w:firstLineChars="200"/>
    </w:pPr>
    <w:rPr>
      <w:szCs w:val="20"/>
    </w:rPr>
  </w:style>
  <w:style w:type="paragraph" w:customStyle="1" w:styleId="75">
    <w:name w:val="Char Char Char Char Char Char Char1 Char"/>
    <w:basedOn w:val="1"/>
    <w:qFormat/>
    <w:uiPriority w:val="0"/>
    <w:rPr>
      <w:rFonts w:ascii="Arial" w:hAnsi="Arial" w:cs="Arial"/>
    </w:rPr>
  </w:style>
  <w:style w:type="paragraph" w:customStyle="1" w:styleId="76">
    <w:name w:val="正文缩进2格"/>
    <w:basedOn w:val="1"/>
    <w:qFormat/>
    <w:uiPriority w:val="0"/>
    <w:pPr>
      <w:spacing w:line="600" w:lineRule="exact"/>
      <w:ind w:firstLine="639" w:firstLineChars="206"/>
    </w:pPr>
    <w:rPr>
      <w:rFonts w:ascii="仿宋_GB2312" w:eastAsia="仿宋_GB2312"/>
      <w:kern w:val="0"/>
      <w:sz w:val="31"/>
      <w:szCs w:val="20"/>
    </w:rPr>
  </w:style>
  <w:style w:type="paragraph" w:customStyle="1" w:styleId="77">
    <w:name w:val="Default Text"/>
    <w:basedOn w:val="1"/>
    <w:qFormat/>
    <w:uiPriority w:val="0"/>
    <w:pPr>
      <w:autoSpaceDE w:val="0"/>
      <w:autoSpaceDN w:val="0"/>
      <w:adjustRightInd w:val="0"/>
    </w:pPr>
    <w:rPr>
      <w:rFonts w:ascii="Helvetica" w:hAnsi="Helvetica"/>
      <w:kern w:val="0"/>
      <w:sz w:val="22"/>
    </w:rPr>
  </w:style>
  <w:style w:type="character" w:customStyle="1" w:styleId="78">
    <w:name w:val="font41"/>
    <w:qFormat/>
    <w:uiPriority w:val="0"/>
    <w:rPr>
      <w:rFonts w:ascii="宋体" w:hAnsi="宋体" w:eastAsia="宋体" w:cs="宋体"/>
      <w:color w:val="000000"/>
      <w:sz w:val="24"/>
      <w:szCs w:val="24"/>
      <w:u w:val="none"/>
    </w:rPr>
  </w:style>
  <w:style w:type="paragraph" w:customStyle="1" w:styleId="79">
    <w:name w:val="正文缩进1"/>
    <w:basedOn w:val="1"/>
    <w:qFormat/>
    <w:uiPriority w:val="0"/>
    <w:pPr>
      <w:ind w:firstLine="420"/>
    </w:pPr>
    <w:rPr>
      <w:rFonts w:ascii="Times New Roman" w:hAnsi="Times New Roman"/>
      <w:szCs w:val="20"/>
    </w:rPr>
  </w:style>
  <w:style w:type="paragraph" w:customStyle="1" w:styleId="80">
    <w:name w:val="表格文字"/>
    <w:basedOn w:val="1"/>
    <w:qFormat/>
    <w:uiPriority w:val="0"/>
    <w:pPr>
      <w:spacing w:before="25" w:after="25"/>
    </w:pPr>
    <w:rPr>
      <w:rFonts w:cs="宋体"/>
      <w:bCs/>
      <w:color w:val="EE0000"/>
      <w:spacing w:val="10"/>
      <w:szCs w:val="21"/>
      <w:shd w:val="clear" w:color="auto" w:fill="FFFFFF"/>
    </w:rPr>
  </w:style>
  <w:style w:type="paragraph" w:customStyle="1" w:styleId="81">
    <w:name w:val="正文_7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82">
    <w:name w:val="正文_0_0_0"/>
    <w:qFormat/>
    <w:uiPriority w:val="0"/>
    <w:pPr>
      <w:widowControl w:val="0"/>
      <w:jc w:val="both"/>
    </w:pPr>
    <w:rPr>
      <w:rFonts w:ascii="Calibri" w:hAnsi="Calibri" w:eastAsia="宋体" w:cs="Times New Roman"/>
      <w:kern w:val="2"/>
      <w:sz w:val="28"/>
      <w:szCs w:val="22"/>
      <w:lang w:val="en-US" w:eastAsia="zh-CN" w:bidi="ar-SA"/>
    </w:rPr>
  </w:style>
  <w:style w:type="character" w:customStyle="1" w:styleId="83">
    <w:name w:val="批注框文本 Char"/>
    <w:basedOn w:val="34"/>
    <w:link w:val="20"/>
    <w:semiHidden/>
    <w:qFormat/>
    <w:uiPriority w:val="99"/>
    <w:rPr>
      <w:rFonts w:ascii="宋体" w:hAnsi="宋体" w:cstheme="minorBidi"/>
      <w:kern w:val="2"/>
      <w:sz w:val="18"/>
      <w:szCs w:val="18"/>
    </w:rPr>
  </w:style>
  <w:style w:type="paragraph" w:customStyle="1" w:styleId="84">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character" w:customStyle="1" w:styleId="85">
    <w:name w:val="NormalCharacter"/>
    <w:qFormat/>
    <w:uiPriority w:val="0"/>
    <w:rPr>
      <w:rFonts w:ascii="Times New Roman" w:hAnsi="Times New Roman" w:eastAsia="Times New Roman" w:cs="Times New Roman"/>
      <w:sz w:val="24"/>
      <w:szCs w:val="24"/>
      <w:lang w:val="en-US" w:eastAsia="zh-CN" w:bidi="ar-SA"/>
    </w:rPr>
  </w:style>
  <w:style w:type="paragraph" w:customStyle="1" w:styleId="86">
    <w:name w:val="Table Text"/>
    <w:basedOn w:val="1"/>
    <w:semiHidden/>
    <w:qFormat/>
    <w:uiPriority w:val="0"/>
    <w:rPr>
      <w:rFonts w:ascii="仿宋" w:hAnsi="仿宋" w:eastAsia="仿宋" w:cs="仿宋"/>
      <w:sz w:val="24"/>
      <w:szCs w:val="24"/>
      <w:lang w:val="en-US" w:eastAsia="en-US" w:bidi="ar-SA"/>
    </w:rPr>
  </w:style>
  <w:style w:type="table" w:customStyle="1" w:styleId="8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b8903bc5-cf57-44f2-9e06-aef795a067cb</errorID>
      <errorWord>“/</errorWord>
      <group>L1_Punc</group>
      <groupName>标点问题</groupName>
      <ability>L2_Punc</ability>
      <abilityName>标点符号检查</abilityName>
      <candidateList>
        <item>“</item>
      </candidateList>
      <explain/>
      <paraID>7FBD95E1</paraID>
      <start>119</start>
      <end>121</end>
      <status>ignored</status>
      <modifiedWord/>
      <trackRevisions>false</trackRevisions>
    </reviewItem>
    <reviewItem>
      <errorID>0bb1d292-88bb-4c86-a587-191fdffe6483</errorID>
      <errorWord>(</errorWord>
      <group>L1_Format</group>
      <groupName>格式问题</groupName>
      <ability>L2_HalfPunc</ability>
      <abilityName>全半角检查</abilityName>
      <candidateList>
        <item>（</item>
      </candidateList>
      <explain>文本全半角错误。</explain>
      <paraID>2852FE91</paraID>
      <start>1</start>
      <end>2</end>
      <status>ignored</status>
      <modifiedWord/>
      <trackRevisions>false</trackRevisions>
    </reviewItem>
    <reviewItem>
      <errorID>470ae112-20e7-441a-aa3f-7a572c30eabf</errorID>
      <errorWord>)</errorWord>
      <group>L1_Format</group>
      <groupName>格式问题</groupName>
      <ability>L2_HalfPunc</ability>
      <abilityName>全半角检查</abilityName>
      <candidateList>
        <item>）</item>
      </candidateList>
      <explain>文本全半角错误。</explain>
      <paraID>2852FE91</paraID>
      <start>6</start>
      <end>7</end>
      <status>ignored</status>
      <modifiedWord/>
      <trackRevisions>false</trackRevisions>
    </reviewItem>
    <reviewItem>
      <errorID>86bb1e2c-353a-4d6f-a7b5-baa72b2d2084</errorID>
      <errorWord>,</errorWord>
      <group>L1_Format</group>
      <groupName>格式问题</groupName>
      <ability>L2_HalfPunc</ability>
      <abilityName>全半角检查</abilityName>
      <candidateList>
        <item>，</item>
      </candidateList>
      <explain>文本全半角错误。</explain>
      <paraID>1C35AF5F</paraID>
      <start>36</start>
      <end>37</end>
      <status>modified</status>
      <modifiedWord>，</modifiedWord>
      <trackRevisions>false</trackRevisions>
    </reviewItem>
    <reviewItem>
      <errorID>c4084648-8799-4f0e-bfa2-4a5e0192bfbb</errorID>
      <errorWord>,</errorWord>
      <group>L1_Format</group>
      <groupName>格式问题</groupName>
      <ability>L2_HalfPunc</ability>
      <abilityName>全半角检查</abilityName>
      <candidateList>
        <item>，</item>
      </candidateList>
      <explain>文本全半角错误。</explain>
      <paraID>55BA9FF5</paraID>
      <start>48</start>
      <end>49</end>
      <status>modified</status>
      <modifiedWord>，</modifiedWord>
      <trackRevisions>false</trackRevisions>
    </reviewItem>
    <reviewItem>
      <errorID>d685372b-7c99-467d-ae93-1e9655045d11</errorID>
      <errorWord>-</errorWord>
      <group>L1_Format</group>
      <groupName>格式问题</groupName>
      <ability>L2_HalfPunc</ability>
      <abilityName>全半角检查</abilityName>
      <candidateList>
        <item>－</item>
      </candidateList>
      <explain>文本全半角错误。</explain>
      <paraID>276D3E17</paraID>
      <start>46</start>
      <end>47</end>
      <status>modified</status>
      <modifiedWord>－</modifiedWord>
      <trackRevisions>false</trackRevisions>
    </reviewItem>
    <reviewItem>
      <errorID>f22107fd-471f-4172-80b2-b3ec701f0fd6</errorID>
      <errorWord>-</errorWord>
      <group>L1_Format</group>
      <groupName>格式问题</groupName>
      <ability>L2_HalfPunc</ability>
      <abilityName>全半角检查</abilityName>
      <candidateList>
        <item>－</item>
      </candidateList>
      <explain>文本全半角错误。</explain>
      <paraID>276D3E17</paraID>
      <start>51</start>
      <end>52</end>
      <status>modified</status>
      <modifiedWord>－</modifiedWord>
      <trackRevisions>false</trackRevisions>
    </reviewItem>
    <reviewItem>
      <errorID>8869cb43-26a1-433c-937a-de7e95326a6c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30FA302A</paraID>
      <start>0</start>
      <end>2</end>
      <status>modified</status>
      <modifiedWord>1.</modifiedWord>
      <trackRevisions>false</trackRevisions>
    </reviewItem>
    <reviewItem>
      <errorID>caa2d25d-f424-4873-93fe-0b848eefa9a7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40387C18</paraID>
      <start>0</start>
      <end>2</end>
      <status>modified</status>
      <modifiedWord>2.</modifiedWord>
      <trackRevisions>false</trackRevisions>
    </reviewItem>
    <reviewItem>
      <errorID>b5700499-367d-498d-87b5-63478aad2314</errorID>
      <errorWord>-</errorWord>
      <group>L1_Format</group>
      <groupName>格式问题</groupName>
      <ability>L2_HalfPunc</ability>
      <abilityName>全半角检查</abilityName>
      <candidateList>
        <item>－</item>
      </candidateList>
      <explain>文本全半角错误。</explain>
      <paraID>40387C18</paraID>
      <start>121</start>
      <end>122</end>
      <status>modified</status>
      <modifiedWord>－</modifiedWord>
      <trackRevisions>false</trackRevisions>
    </reviewItem>
    <reviewItem>
      <errorID>14acfcc6-e294-486a-8c44-77b8d8a835c6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34AAF104</paraID>
      <start>0</start>
      <end>2</end>
      <status>modified</status>
      <modifiedWord>3.</modifiedWord>
      <trackRevisions>false</trackRevisions>
    </reviewItem>
    <reviewItem>
      <errorID>e3fdd21d-16f0-402c-b69a-bac4ea9ffe53</errorID>
      <errorWord>、…</errorWord>
      <group>L1_Punc</group>
      <groupName>标点问题</groupName>
      <ability>L2_Punc</ability>
      <abilityName>标点符号检查</abilityName>
      <candidateList>
        <item>、</item>
      </candidateList>
      <explain/>
      <paraID>2658125B</paraID>
      <start>1</start>
      <end>2</end>
      <status>modified</status>
      <modifiedWord>、</modifiedWord>
      <trackRevisions>false</trackRevisions>
    </reviewItem>
    <reviewItem>
      <errorID>ebc9f4c6-13cc-4d07-904a-f046c073e203</errorID>
      <errorWord>:</errorWord>
      <group>L1_Format</group>
      <groupName>格式问题</groupName>
      <ability>L2_HalfPunc</ability>
      <abilityName>全半角检查</abilityName>
      <candidateList>
        <item>：</item>
      </candidateList>
      <explain>文本全半角错误。</explain>
      <paraID>16CF3F9F</paraID>
      <start>2</start>
      <end>3</end>
      <status>modified</status>
      <modifiedWord>：</modifiedWord>
      <trackRevisions>false</trackRevisions>
    </reviewItem>
    <reviewItem>
      <errorID>a5c57f97-0947-458b-8307-3daabbc01fc8</errorID>
      <errorWord>帐号</errorWord>
      <group>L1_Word</group>
      <groupName>字词问题</groupName>
      <ability>L2_Typo</ability>
      <abilityName>字词错误</abilityName>
      <candidateList>
        <item>账号</item>
      </candidateList>
      <explain>〈名〉单位或个人跟银行建立经济关系后，银行在账上给该单位或个人编的号码。</explain>
      <paraID>111A1565</paraID>
      <start>118</start>
      <end>120</end>
      <status>modified</status>
      <modifiedWord>账号</modifiedWord>
      <trackRevisions>false</trackRevisions>
    </reviewItem>
    <reviewItem>
      <errorID>86ea014d-28eb-49a1-8a10-1abe245e6397</errorID>
      <errorWord>将</errorWord>
      <group>L1_Word</group>
      <groupName>字词问题</groupName>
      <ability>L2_Typo</ability>
      <abilityName>字词错误</abilityName>
      <candidateList>
        <item>将在</item>
      </candidateList>
      <explain/>
      <paraID>18ECC266</paraID>
      <start>8</start>
      <end>9</end>
      <status>ignored</status>
      <modifiedWord/>
      <trackRevisions>false</trackRevisions>
    </reviewItem>
    <reviewItem>
      <errorID>5309f2f2-175f-4bb2-84aa-6669cc6e0ddb</errorID>
      <errorWord>,</errorWord>
      <group>L1_Format</group>
      <groupName>格式问题</groupName>
      <ability>L2_HalfPunc</ability>
      <abilityName>全半角检查</abilityName>
      <candidateList>
        <item>，</item>
      </candidateList>
      <explain>文本全半角错误。</explain>
      <paraID>78B9FFCD</paraID>
      <start>91</start>
      <end>92</end>
      <status>modified</status>
      <modifiedWord>，</modifiedWord>
      <trackRevisions>false</trackRevisions>
    </reviewItem>
    <reviewItem>
      <errorID>9ce4bfbc-0112-40dc-9a87-50a803d2ed4c</errorID>
      <errorWord>做</errorWord>
      <group>L1_Word</group>
      <groupName>字词问题</groupName>
      <ability>L2_Typo</ability>
      <abilityName>字词错误</abilityName>
      <candidateList>
        <item>作</item>
      </candidateList>
      <explain>存在发音相同字词的误用。</explain>
      <paraID>1182B9BB</paraID>
      <start>65</start>
      <end>66</end>
      <status>modified</status>
      <modifiedWord>作</modifiedWord>
      <trackRevisions>false</trackRevisions>
    </reviewItem>
    <reviewItem>
      <errorID>4f272d0b-22b2-4ede-8216-1dba4b77b49a</errorID>
      <errorWord>,</errorWord>
      <group>L1_Format</group>
      <groupName>格式问题</groupName>
      <ability>L2_HalfPunc</ability>
      <abilityName>全半角检查</abilityName>
      <candidateList>
        <item>，</item>
      </candidateList>
      <explain>文本全半角错误。</explain>
      <paraID> B6A028F</paraID>
      <start>35</start>
      <end>36</end>
      <status>modified</status>
      <modifiedWord>，</modifiedWord>
      <trackRevisions>false</trackRevisions>
    </reviewItem>
    <reviewItem>
      <errorID>78d46f5d-7f39-4f38-86b2-d61a85682369</errorID>
      <errorWord>”</errorWord>
      <group>L1_Punc</group>
      <groupName>标点问题</groupName>
      <ability>L2_Punc</ability>
      <abilityName>标点符号检查</abilityName>
      <candidateList>
        <item>“</item>
      </candidateList>
      <explain>注意检查双引号的方向是否正确。</explain>
      <paraID>4D80B003</paraID>
      <start>59</start>
      <end>60</end>
      <status>modified</status>
      <modifiedWord>“</modifiedWord>
      <trackRevisions>false</trackRevisions>
    </reviewItem>
    <reviewItem>
      <errorID>6112a56b-2188-42fe-b1ec-ec2ea41c0f61</errorID>
      <errorWord>.</errorWord>
      <group>L1_Format</group>
      <groupName>格式问题</groupName>
      <ability>L2_HalfPunc</ability>
      <abilityName>全半角检查</abilityName>
      <candidateList>
        <item>。</item>
      </candidateList>
      <explain>文本全半角错误。</explain>
      <paraID>4D80B003</paraID>
      <start>83</start>
      <end>84</end>
      <status>ignored</status>
      <modifiedWord/>
      <trackRevisions>false</trackRevisions>
    </reviewItem>
    <reviewItem>
      <errorID>67680d6f-2be4-47fd-b581-d8be155eaf30</errorID>
      <errorWord>,</errorWord>
      <group>L1_Format</group>
      <groupName>格式问题</groupName>
      <ability>L2_HalfPunc</ability>
      <abilityName>全半角检查</abilityName>
      <candidateList>
        <item>，</item>
      </candidateList>
      <explain>文本全半角错误。</explain>
      <paraID>348027D2</paraID>
      <start>10</start>
      <end>11</end>
      <status>modified</status>
      <modifiedWord>，</modifiedWord>
      <trackRevisions>false</trackRevisions>
    </reviewItem>
    <reviewItem>
      <errorID>9a232160-b801-4263-9900-132d24dca638</errorID>
      <errorWord>(</errorWord>
      <group>L1_Format</group>
      <groupName>格式问题</groupName>
      <ability>L2_HalfPunc</ability>
      <abilityName>全半角检查</abilityName>
      <candidateList>
        <item>（</item>
      </candidateList>
      <explain>文本全半角错误。</explain>
      <paraID>53C4680A</paraID>
      <start>40</start>
      <end>41</end>
      <status>modified</status>
      <modifiedWord>（</modifiedWord>
      <trackRevisions>false</trackRevisions>
    </reviewItem>
    <reviewItem>
      <errorID>963d6136-6549-4f12-b5bd-6d42daf20dd3</errorID>
      <errorWord>&lt;</errorWord>
      <group>L1_Format</group>
      <groupName>格式问题</groupName>
      <ability>L2_HalfPunc</ability>
      <abilityName>全半角检查</abilityName>
      <candidateList>
        <item>〈</item>
      </candidateList>
      <explain>文本全半角错误。</explain>
      <paraID>13C08773</paraID>
      <start>162</start>
      <end>163</end>
      <status>ignored</status>
      <modifiedWord/>
      <trackRevisions>false</trackRevisions>
    </reviewItem>
    <reviewItem>
      <errorID>29b874a3-26eb-46aa-b204-51179818988c</errorID>
      <errorWord>&gt;</errorWord>
      <group>L1_Format</group>
      <groupName>格式问题</groupName>
      <ability>L2_HalfPunc</ability>
      <abilityName>全半角检查</abilityName>
      <candidateList>
        <item>〉</item>
      </candidateList>
      <explain>文本全半角错误。</explain>
      <paraID>13C08773</paraID>
      <start>180</start>
      <end>181</end>
      <status>ignored</status>
      <modifiedWord/>
      <trackRevisions>false</trackRevisions>
    </reviewItem>
    <reviewItem>
      <errorID>5457b18b-1da2-4124-b2dd-50e165d8281c</errorID>
      <errorWord>(</errorWord>
      <group>L1_Format</group>
      <groupName>格式问题</groupName>
      <ability>L2_HalfPunc</ability>
      <abilityName>全半角检查</abilityName>
      <candidateList>
        <item>（</item>
      </candidateList>
      <explain>文本全半角错误。</explain>
      <paraID>13C08773</paraID>
      <start>282</start>
      <end>283</end>
      <status>ignored</status>
      <modifiedWord/>
      <trackRevisions>false</trackRevisions>
    </reviewItem>
    <reviewItem>
      <errorID>793b832d-a9f5-4cbf-9718-d165b1ebe0af</errorID>
      <errorWord>)</errorWord>
      <group>L1_Format</group>
      <groupName>格式问题</groupName>
      <ability>L2_HalfPunc</ability>
      <abilityName>全半角检查</abilityName>
      <candidateList>
        <item>）</item>
      </candidateList>
      <explain>文本全半角错误。</explain>
      <paraID>13C08773</paraID>
      <start>285</start>
      <end>286</end>
      <status>modified</status>
      <modifiedWord>）</modifiedWord>
      <trackRevisions>false</trackRevisions>
    </reviewItem>
    <reviewItem>
      <errorID>dc9603b6-fbd7-4509-9394-a526cea4292a</errorID>
      <errorWord>(</errorWord>
      <group>L1_Format</group>
      <groupName>格式问题</groupName>
      <ability>L2_HalfPunc</ability>
      <abilityName>全半角检查</abilityName>
      <candidateList>
        <item>（</item>
      </candidateList>
      <explain>文本全半角错误。</explain>
      <paraID>575DAF11</paraID>
      <start>86</start>
      <end>87</end>
      <status>modified</status>
      <modifiedWord>（</modifiedWord>
      <trackRevisions>false</trackRevisions>
    </reviewItem>
    <reviewItem>
      <errorID>73c7827c-a796-4786-88ee-8c62a7dfa4e4</errorID>
      <errorWord>)</errorWord>
      <group>L1_Format</group>
      <groupName>格式问题</groupName>
      <ability>L2_HalfPunc</ability>
      <abilityName>全半角检查</abilityName>
      <candidateList>
        <item>）</item>
      </candidateList>
      <explain>文本全半角错误。</explain>
      <paraID>575DAF11</paraID>
      <start>89</start>
      <end>90</end>
      <status>modified</status>
      <modifiedWord>）</modifiedWord>
      <trackRevisions>false</trackRevisions>
    </reviewItem>
    <reviewItem>
      <errorID>5a290310-ffbd-4321-97a7-f908311aeb65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3DA94789</paraID>
      <start>48</start>
      <end>50</end>
      <status>modified</status>
      <modifiedWord>》《</modifiedWord>
      <trackRevisions>false</trackRevisions>
    </reviewItem>
    <reviewItem>
      <errorID>b8f9b3af-5a05-45cc-ac77-5a3bde9417f0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41</start>
      <end>43</end>
      <status>modified</status>
      <modifiedWord>》《</modifiedWord>
      <trackRevisions>false</trackRevisions>
    </reviewItem>
    <reviewItem>
      <errorID>bc822e6a-a057-466e-b93a-de9609727345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59</start>
      <end>61</end>
      <status>modified</status>
      <modifiedWord>》《</modifiedWord>
      <trackRevisions>false</trackRevisions>
    </reviewItem>
    <reviewItem>
      <errorID>b69ed2d7-f04a-4413-bba3-babd596d80cf</errorID>
      <errorWord>（</errorWord>
      <group>L1_Punc</group>
      <groupName>标点问题</groupName>
      <ability>L2_Punc</ability>
      <abilityName>标点符号检查</abilityName>
      <candidateList/>
      <explain>同一形式括号套用。</explain>
      <paraID>4CD07220</paraID>
      <start>34</start>
      <end>35</end>
      <status>ignored</status>
      <modifiedWord/>
      <trackRevisions>false</trackRevisions>
    </reviewItem>
    <reviewItem>
      <errorID>2ee9cac1-86ee-4378-b59f-735935c3bcb1</errorID>
      <errorWord>）</errorWord>
      <group>L1_Punc</group>
      <groupName>标点问题</groupName>
      <ability>L2_Punc</ability>
      <abilityName>标点符号检查</abilityName>
      <candidateList/>
      <explain>同一形式括号套用。</explain>
      <paraID>4CD07220</paraID>
      <start>37</start>
      <end>38</end>
      <status>ignored</status>
      <modifiedWord/>
      <trackRevisions>false</trackRevisions>
    </reviewItem>
    <reviewItem>
      <errorID>0950dd76-cf2b-43dd-9726-b27c5909cebb</errorID>
      <errorWord>（</errorWord>
      <group>L1_Punc</group>
      <groupName>标点问题</groupName>
      <ability>L2_Punc</ability>
      <abilityName>标点符号检查</abilityName>
      <candidateList/>
      <explain>同一形式括号套用。</explain>
      <paraID>4CD07220</paraID>
      <start>53</start>
      <end>54</end>
      <status>ignored</status>
      <modifiedWord/>
      <trackRevisions>false</trackRevisions>
    </reviewItem>
    <reviewItem>
      <errorID>ed1d05fe-6376-4587-8544-66665876c60b</errorID>
      <errorWord>）</errorWord>
      <group>L1_Punc</group>
      <groupName>标点问题</groupName>
      <ability>L2_Punc</ability>
      <abilityName>标点符号检查</abilityName>
      <candidateList/>
      <explain>同一形式括号套用。</explain>
      <paraID>4CD07220</paraID>
      <start>56</start>
      <end>57</end>
      <status>ignored</status>
      <modifiedWord/>
      <trackRevisions>false</trackRevisions>
    </reviewItem>
    <reviewItem>
      <errorID>ffd10972-f00e-4e11-a65c-befb0a6fa5d9</errorID>
      <errorWord>（</errorWord>
      <group>L1_Punc</group>
      <groupName>标点问题</groupName>
      <ability>L2_Punc</ability>
      <abilityName>标点符号检查</abilityName>
      <candidateList/>
      <explain>同一形式括号套用。</explain>
      <paraID>4CD07220</paraID>
      <start>62</start>
      <end>63</end>
      <status>ignored</status>
      <modifiedWord/>
      <trackRevisions>false</trackRevisions>
    </reviewItem>
    <reviewItem>
      <errorID>3379b1d8-b7ee-4ac9-ab64-4c2b6a70edff</errorID>
      <errorWord>）</errorWord>
      <group>L1_Punc</group>
      <groupName>标点问题</groupName>
      <ability>L2_Punc</ability>
      <abilityName>标点符号检查</abilityName>
      <candidateList/>
      <explain>同一形式括号套用。</explain>
      <paraID>4CD07220</paraID>
      <start>77</start>
      <end>78</end>
      <status>ignored</status>
      <modifiedWord/>
      <trackRevisions>false</trackRevisions>
    </reviewItem>
    <reviewItem>
      <errorID>91f88d66-fdd6-443a-99cd-f910a203113a</errorID>
      <errorWord>）；</errorWord>
      <group>L1_Format</group>
      <groupName>格式问题</groupName>
      <ability>L2_HalfPunc</ability>
      <abilityName>全半角检查</abilityName>
      <candidateList>
        <item>);</item>
      </candidateList>
      <explain>文本全半角错误。</explain>
      <paraID>4D80C076</paraID>
      <start>39</start>
      <end>41</end>
      <status>modified</status>
      <modifiedWord>);</modifiedWord>
      <trackRevisions>false</trackRevisions>
    </reviewItem>
    <reviewItem>
      <errorID>6885661f-0646-4659-9ea4-2fe9785321ad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363BBCEC</paraID>
      <start>0</start>
      <end>2</end>
      <status>modified</status>
      <modifiedWord>1.</modifiedWord>
      <trackRevisions>false</trackRevisions>
    </reviewItem>
    <reviewItem>
      <errorID>5b24d709-62f1-4a19-a019-8c9e24234910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48EEE38E</paraID>
      <start>0</start>
      <end>2</end>
      <status>modified</status>
      <modifiedWord>2.</modifiedWord>
      <trackRevisions>false</trackRevisions>
    </reviewItem>
    <reviewItem>
      <errorID>eb7c0d4b-3b8a-4dd9-8354-1c4454daa895</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542AC51F</paraID>
      <start>31</start>
      <end>32</end>
      <status>modified</status>
      <modifiedWord>且</modifiedWord>
      <trackRevisions>false</trackRevisions>
    </reviewItem>
    <reviewItem>
      <errorID>13e9b9b9-259c-4f0a-b974-f42f7ce7c9ea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32C90847</paraID>
      <start>0</start>
      <end>2</end>
      <status>modified</status>
      <modifiedWord>1.</modifiedWord>
      <trackRevisions>false</trackRevisions>
    </reviewItem>
    <reviewItem>
      <errorID>f3030b80-c0a5-4502-a71f-c82648577b98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7297771</paraID>
      <start>0</start>
      <end>2</end>
      <status>modified</status>
      <modifiedWord>2.</modifiedWord>
      <trackRevisions>false</trackRevisions>
    </reviewItem>
    <reviewItem>
      <errorID>8e78bf74-a134-4d64-be0a-e8fd3abccc78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3D553F99</paraID>
      <start>0</start>
      <end>2</end>
      <status>modified</status>
      <modifiedWord>3.</modifiedWord>
      <trackRevisions>false</trackRevisions>
    </reviewItem>
    <reviewItem>
      <errorID>7048b893-b102-4579-a614-37811206ea94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30B35282</paraID>
      <start>0</start>
      <end>2</end>
      <status>modified</status>
      <modifiedWord>4.</modifiedWord>
      <trackRevisions>false</trackRevisions>
    </reviewItem>
    <reviewItem>
      <errorID>688da216-2e4f-4e38-a643-7eaad821ae5f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672B5E7E</paraID>
      <start>0</start>
      <end>2</end>
      <status>modified</status>
      <modifiedWord>5.</modifiedWord>
      <trackRevisions>false</trackRevisions>
    </reviewItem>
    <reviewItem>
      <errorID>acd6dea0-53d5-4f48-b299-cbd5227d569f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5E18183F</paraID>
      <start>0</start>
      <end>2</end>
      <status>modified</status>
      <modifiedWord>6.</modifiedWord>
      <trackRevisions>false</trackRevisions>
    </reviewItem>
    <reviewItem>
      <errorID>44cbb66d-c9a8-43a2-9c9f-5dc75f400479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61148C33</paraID>
      <start>0</start>
      <end>2</end>
      <status>modified</status>
      <modifiedWord>7.</modifiedWord>
      <trackRevisions>false</trackRevisions>
    </reviewItem>
    <reviewItem>
      <errorID>b4560977-a15f-41dc-b72b-d58f078684c7</errorID>
      <errorWord>(</errorWord>
      <group>L1_Format</group>
      <groupName>格式问题</groupName>
      <ability>L2_HalfPunc</ability>
      <abilityName>全半角检查</abilityName>
      <candidateList>
        <item>（</item>
      </candidateList>
      <explain>文本全半角错误。</explain>
      <paraID>21B53EAD</paraID>
      <start>11</start>
      <end>12</end>
      <status>ignored</status>
      <modifiedWord/>
      <trackRevisions>false</trackRevisions>
    </reviewItem>
    <reviewItem>
      <errorID>62817bb8-1705-48ec-8e8e-59d23c3aeb20</errorID>
      <errorWord>)</errorWord>
      <group>L1_Format</group>
      <groupName>格式问题</groupName>
      <ability>L2_HalfPunc</ability>
      <abilityName>全半角检查</abilityName>
      <candidateList>
        <item>）</item>
      </candidateList>
      <explain>文本全半角错误。</explain>
      <paraID>21B53EAD</paraID>
      <start>17</start>
      <end>18</end>
      <status>ignored</status>
      <modifiedWord/>
      <trackRevisions>false</trackRevisions>
    </reviewItem>
    <reviewItem>
      <errorID>bcdb442a-cc60-4a8e-9e53-4987481dbae2</errorID>
      <errorWord>详</errorWord>
      <group>L1_Word</group>
      <groupName>字词问题</groupName>
      <ability>L2_Typo</ability>
      <abilityName>字词错误</abilityName>
      <candidateList>
        <item>详见</item>
      </candidateList>
      <explain/>
      <paraID> D55CFD2</paraID>
      <start>97</start>
      <end>99</end>
      <status>modified</status>
      <modifiedWord>详见</modifiedWord>
      <trackRevisions>false</trackRevisions>
    </reviewItem>
    <reviewItem>
      <errorID>f9ac1d19-0631-4364-b6a1-ddc3bf9cc663</errorID>
      <errorWord>(</errorWord>
      <group>L1_Format</group>
      <groupName>格式问题</groupName>
      <ability>L2_HalfPunc</ability>
      <abilityName>全半角检查</abilityName>
      <candidateList>
        <item>（</item>
      </candidateList>
      <explain>文本全半角错误。</explain>
      <paraID>2D86B7AD</paraID>
      <start>7</start>
      <end>8</end>
      <status>modified</status>
      <modifiedWord>（</modifiedWord>
      <trackRevisions>false</trackRevisions>
    </reviewItem>
    <reviewItem>
      <errorID>d84935f2-e371-4fb5-8ad2-562e55c1c6dc</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64</start>
      <end>71</end>
      <status>ignored</status>
      <modifiedWord/>
      <trackRevisions>false</trackRevisions>
    </reviewItem>
    <reviewItem>
      <errorID>a4593dd9-1810-49d1-b3ae-b3d403787b51</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192</start>
      <end>197</end>
      <status>ignored</status>
      <modifiedWord/>
      <trackRevisions>false</trackRevisions>
    </reviewItem>
    <reviewItem>
      <errorID>a2dd3bc6-9218-480d-838f-c648dc505be1</errorID>
      <errorWord>,</errorWord>
      <group>L1_Format</group>
      <groupName>格式问题</groupName>
      <ability>L2_HalfPunc</ability>
      <abilityName>全半角检查</abilityName>
      <candidateList>
        <item>，</item>
      </candidateList>
      <explain>文本全半角错误。</explain>
      <paraID>149A35CB</paraID>
      <start>8</start>
      <end>9</end>
      <status>modified</status>
      <modifiedWord>，</modifiedWord>
      <trackRevisions>false</trackRevisions>
    </reviewItem>
    <reviewItem>
      <errorID>cb97673a-cac2-4654-941a-884f21247290</errorID>
      <errorWord>,</errorWord>
      <group>L1_Format</group>
      <groupName>格式问题</groupName>
      <ability>L2_HalfPunc</ability>
      <abilityName>全半角检查</abilityName>
      <candidateList>
        <item>，</item>
      </candidateList>
      <explain>文本全半角错误。</explain>
      <paraID>19EFB935</paraID>
      <start>35</start>
      <end>36</end>
      <status>modified</status>
      <modifiedWord>，</modifiedWord>
      <trackRevisions>false</trackRevisions>
    </reviewItem>
    <reviewItem>
      <errorID>624ed4c7-2b8f-41e3-9848-07334e23e4d1</errorID>
      <errorWord>,</errorWord>
      <group>L1_Format</group>
      <groupName>格式问题</groupName>
      <ability>L2_HalfPunc</ability>
      <abilityName>全半角检查</abilityName>
      <candidateList>
        <item>，</item>
      </candidateList>
      <explain>文本全半角错误。</explain>
      <paraID>69951688</paraID>
      <start>4</start>
      <end>5</end>
      <status>modified</status>
      <modifiedWord>，</modifiedWord>
      <trackRevisions>false</trackRevisions>
    </reviewItem>
    <reviewItem>
      <errorID>bcab7383-d462-49ca-b7e3-a8a5f4ca1c2e</errorID>
      <errorWord>,</errorWord>
      <group>L1_Format</group>
      <groupName>格式问题</groupName>
      <ability>L2_HalfPunc</ability>
      <abilityName>全半角检查</abilityName>
      <candidateList>
        <item>，</item>
      </candidateList>
      <explain>文本全半角错误。</explain>
      <paraID>1AFF6E69</paraID>
      <start>31</start>
      <end>32</end>
      <status>modified</status>
      <modifiedWord>，</modifiedWord>
      <trackRevisions>false</trackRevisions>
    </reviewItem>
    <reviewItem>
      <errorID>6675ace8-8f1d-4bfa-a6b2-0c163f6cfd48</errorID>
      <errorWord>-</errorWord>
      <group>L1_Format</group>
      <groupName>格式问题</groupName>
      <ability>L2_HalfPunc</ability>
      <abilityName>全半角检查</abilityName>
      <candidateList>
        <item>－</item>
      </candidateList>
      <explain>文本全半角错误。</explain>
      <paraID>3DB6FBF5</paraID>
      <start>6</start>
      <end>7</end>
      <status>modified</status>
      <modifiedWord>－</modifiedWord>
      <trackRevisions>false</trackRevisions>
    </reviewItem>
    <reviewItem>
      <errorID>d88188a7-868d-46ce-9e75-d17532b80b54</errorID>
      <errorWord>)</errorWord>
      <group>L1_Format</group>
      <groupName>格式问题</groupName>
      <ability>L2_HalfPunc</ability>
      <abilityName>全半角检查</abilityName>
      <candidateList>
        <item>）</item>
      </candidateList>
      <explain>文本全半角错误。</explain>
      <paraID>62C0AA09</paraID>
      <start>18</start>
      <end>19</end>
      <status>modified</status>
      <modifiedWord>）</modifiedWord>
      <trackRevisions>false</trackRevisions>
    </reviewItem>
    <reviewItem>
      <errorID>2a3d8962-7c9c-47ca-a9d3-2f31ed175f35</errorID>
      <errorWord>(</errorWord>
      <group>L1_Format</group>
      <groupName>格式问题</groupName>
      <ability>L2_HalfPunc</ability>
      <abilityName>全半角检查</abilityName>
      <candidateList>
        <item>（</item>
      </candidateList>
      <explain>文本全半角错误。</explain>
      <paraID>7469BF24</paraID>
      <start>11</start>
      <end>12</end>
      <status>modified</status>
      <modifiedWord>（</modifiedWord>
      <trackRevisions>false</trackRevisions>
    </reviewItem>
    <reviewItem>
      <errorID>7e637174-db63-43db-aa2f-74fbe9898c7c</errorID>
      <errorWord>)</errorWord>
      <group>L1_Format</group>
      <groupName>格式问题</groupName>
      <ability>L2_HalfPunc</ability>
      <abilityName>全半角检查</abilityName>
      <candidateList>
        <item>）</item>
      </candidateList>
      <explain>文本全半角错误。</explain>
      <paraID>7469BF24</paraID>
      <start>18</start>
      <end>19</end>
      <status>modified</status>
      <modifiedWord>）</modifiedWord>
      <trackRevisions>false</trackRevisions>
    </reviewItem>
    <reviewItem>
      <errorID>ec081857-59a6-434d-9b43-b7d083d6e174</errorID>
      <errorWord>详</errorWord>
      <group>L1_Word</group>
      <groupName>字词问题</groupName>
      <ability>L2_Typo</ability>
      <abilityName>字词错误</abilityName>
      <candidateList>
        <item>详见</item>
      </candidateList>
      <explain/>
      <paraID> 3A2BC3F</paraID>
      <start>96</start>
      <end>98</end>
      <status>modified</status>
      <modifiedWord>详见</modifiedWord>
      <trackRevisions>false</trackRevisions>
    </reviewItem>
    <reviewItem>
      <errorID>c9913725-ac00-414c-8e08-8e643397d018</errorID>
      <errorWord>&lt;</errorWord>
      <group>L1_Format</group>
      <groupName>格式问题</groupName>
      <ability>L2_HalfPunc</ability>
      <abilityName>全半角检查</abilityName>
      <candidateList>
        <item>〈</item>
      </candidateList>
      <explain>文本全半角错误。</explain>
      <paraID>750C8712</paraID>
      <start>50</start>
      <end>51</end>
      <status>ignored</status>
      <modifiedWord/>
      <trackRevisions>false</trackRevisions>
    </reviewItem>
    <reviewItem>
      <errorID>d9941773-02e9-45ac-8953-be543da9072a</errorID>
      <errorWord>&lt;</errorWord>
      <group>L1_Format</group>
      <groupName>格式问题</groupName>
      <ability>L2_HalfPunc</ability>
      <abilityName>全半角检查</abilityName>
      <candidateList>
        <item>〈</item>
      </candidateList>
      <explain>文本全半角错误。</explain>
      <paraID> 69BC087</paraID>
      <start>50</start>
      <end>51</end>
      <status>ignored</status>
      <modifiedWord/>
      <trackRevisions>false</trackRevisions>
    </reviewItem>
    <reviewItem>
      <errorID>e6d3a693-3c7c-4dd8-aa5c-8c548833e6bf</errorID>
      <errorWord>&lt;</errorWord>
      <group>L1_Format</group>
      <groupName>格式问题</groupName>
      <ability>L2_HalfPunc</ability>
      <abilityName>全半角检查</abilityName>
      <candidateList>
        <item>〈</item>
      </candidateList>
      <explain>文本全半角错误。</explain>
      <paraID>3D6AE374</paraID>
      <start>35</start>
      <end>36</end>
      <status>ignored</status>
      <modifiedWord/>
      <trackRevisions>false</trackRevisions>
    </reviewItem>
    <reviewItem>
      <errorID>74b46237-a1e4-488c-9d84-db235bda8182</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64</start>
      <end>71</end>
      <status>ignored</status>
      <modifiedWord/>
      <trackRevisions>false</trackRevisions>
    </reviewItem>
    <reviewItem>
      <errorID>4ac1cca0-85b5-414c-bf51-6538264fc64a</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192</start>
      <end>197</end>
      <status>ignored</status>
      <modifiedWord/>
      <trackRevisions>false</trackRevisions>
    </reviewItem>
    <reviewItem>
      <errorID>466a2d3a-32d6-4a18-adf3-90bbb5dd8930</errorID>
      <errorWord>,</errorWord>
      <group>L1_Format</group>
      <groupName>格式问题</groupName>
      <ability>L2_HalfPunc</ability>
      <abilityName>全半角检查</abilityName>
      <candidateList>
        <item>，</item>
      </candidateList>
      <explain>文本全半角错误。</explain>
      <paraID>1CD1EF40</paraID>
      <start>8</start>
      <end>9</end>
      <status>modified</status>
      <modifiedWord>，</modifiedWord>
      <trackRevisions>false</trackRevisions>
    </reviewItem>
    <reviewItem>
      <errorID>854e8478-5ea1-42a9-a148-46cacdcfa1cb</errorID>
      <errorWord>,</errorWord>
      <group>L1_Format</group>
      <groupName>格式问题</groupName>
      <ability>L2_HalfPunc</ability>
      <abilityName>全半角检查</abilityName>
      <candidateList>
        <item>，</item>
      </candidateList>
      <explain>文本全半角错误。</explain>
      <paraID>54485614</paraID>
      <start>35</start>
      <end>36</end>
      <status>modified</status>
      <modifiedWord>，</modifiedWord>
      <trackRevisions>false</trackRevisions>
    </reviewItem>
    <reviewItem>
      <errorID>5ace6cb6-78ad-4a5e-ac6f-ed44d9a645f8</errorID>
      <errorWord>,</errorWord>
      <group>L1_Format</group>
      <groupName>格式问题</groupName>
      <ability>L2_HalfPunc</ability>
      <abilityName>全半角检查</abilityName>
      <candidateList>
        <item>，</item>
      </candidateList>
      <explain>文本全半角错误。</explain>
      <paraID>10BF99A8</paraID>
      <start>4</start>
      <end>5</end>
      <status>modified</status>
      <modifiedWord>，</modifiedWord>
      <trackRevisions>false</trackRevisions>
    </reviewItem>
    <reviewItem>
      <errorID>1943db7a-56af-4398-8a50-9fb90b73fe46</errorID>
      <errorWord>,</errorWord>
      <group>L1_Format</group>
      <groupName>格式问题</groupName>
      <ability>L2_HalfPunc</ability>
      <abilityName>全半角检查</abilityName>
      <candidateList>
        <item>，</item>
      </candidateList>
      <explain>文本全半角错误。</explain>
      <paraID>3C76FE40</paraID>
      <start>31</start>
      <end>32</end>
      <status>modified</status>
      <modifiedWord>，</modifiedWord>
      <trackRevisions>false</trackRevisions>
    </reviewItem>
    <reviewItem>
      <errorID>fa28aaed-47e9-408b-822a-f2d4023123f0</errorID>
      <errorWord>-</errorWord>
      <group>L1_Format</group>
      <groupName>格式问题</groupName>
      <ability>L2_HalfPunc</ability>
      <abilityName>全半角检查</abilityName>
      <candidateList>
        <item>－</item>
      </candidateList>
      <explain>文本全半角错误。</explain>
      <paraID>24596567</paraID>
      <start>6</start>
      <end>7</end>
      <status>ignored</status>
      <modifiedWord/>
      <trackRevisions>false</trackRevisions>
    </reviewItem>
    <reviewItem>
      <errorID>977931b8-c0be-470c-8dd6-50f3cb1ed1ba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73AFFB38</paraID>
      <start>13</start>
      <end>16</end>
      <status>ignored</status>
      <modifiedWord/>
      <trackRevisions>false</trackRevisions>
    </reviewItem>
    <reviewItem>
      <errorID>dcb27c19-792b-4d8b-93eb-b0b3d70c9aa4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469A8CCD</paraID>
      <start>42</start>
      <end>45</end>
      <status>ignored</status>
      <modifiedWord/>
      <trackRevisions>false</trackRevisions>
    </reviewItem>
    <reviewItem>
      <errorID>f19e5fe3-20a6-4411-8adc-d947c8fe8da1</errorID>
      <errorWord>下</errorWord>
      <group>L1_Word</group>
      <groupName>字词问题</groupName>
      <ability>L2_Typo</ability>
      <abilityName>字词错误</abilityName>
      <candidateList>
        <item>下简</item>
      </candidateList>
      <explain/>
      <paraID>1B278EF8</paraID>
      <start>8</start>
      <end>9</end>
      <status>ignored</status>
      <modifiedWord/>
      <trackRevisions>false</trackRevisions>
    </reviewItem>
    <reviewItem>
      <errorID>2b0a0c39-ad51-4f7e-bfab-9833f44bea30</errorID>
      <errorWord>下</errorWord>
      <group>L1_Word</group>
      <groupName>字词问题</groupName>
      <ability>L2_Typo</ability>
      <abilityName>字词错误</abilityName>
      <candidateList>
        <item>下简</item>
      </candidateList>
      <explain/>
      <paraID>4A104EEB</paraID>
      <start>8</start>
      <end>9</end>
      <status>ignored</status>
      <modifiedWord/>
      <trackRevisions>false</trackRevisions>
    </reviewItem>
    <reviewItem>
      <errorID>cf35d790-74ea-48d1-b906-1d5769aa89f7</errorID>
      <errorWord>涉及到</errorWord>
      <group>L1_Grammar</group>
      <groupName>语法问题</groupName>
      <ability>L2_Grammar</ability>
      <abilityName>语法错误</abilityName>
      <candidateList>
        <item>涉及</item>
      </candidateList>
      <explain>〈动〉牵涉到；关联到：案子～好几个人｜这个问题～面很广。</explain>
      <paraID>648BE1CE</paraID>
      <start>40</start>
      <end>43</end>
      <status>ignored</status>
      <modifiedWord/>
      <trackRevisions>false</trackRevisions>
    </reviewItem>
    <reviewItem>
      <errorID>c1d2d08c-3b5a-4036-8100-c41a6ba02ac1</errorID>
      <errorWord>应</errorWord>
      <group>L1_Word</group>
      <groupName>字词问题</groupName>
      <ability>L2_Typo</ability>
      <abilityName>字词错误</abilityName>
      <candidateList>
        <item>应当</item>
      </candidateList>
      <explain/>
      <paraID> 781C6DB</paraID>
      <start>34</start>
      <end>35</end>
      <status>ignored</status>
      <modifiedWord/>
      <trackRevisions>false</trackRevisions>
    </reviewItem>
    <reviewItem>
      <errorID>a6c3b4e6-3ede-4b72-9532-760c4f0f8a60</errorID>
      <errorWord>作</errorWord>
      <group>L1_Word</group>
      <groupName>字词问题</groupName>
      <ability>L2_Typo</ability>
      <abilityName>字词错误</abilityName>
      <candidateList>
        <item>做</item>
      </candidateList>
      <explain>存在发音相同字词的误用。</explain>
      <paraID>1C5461E0</paraID>
      <start>4</start>
      <end>5</end>
      <status>modified</status>
      <modifiedWord>做</modifiedWord>
      <trackRevisions>false</trackRevisions>
    </reviewItem>
    <reviewItem>
      <errorID>1ad78d2e-96c0-4f80-a2e8-a1e8b1d28622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6E9D2077</paraID>
      <start>0</start>
      <end>2</end>
      <status>modified</status>
      <modifiedWord>1.</modifiedWord>
      <trackRevisions>false</trackRevisions>
    </reviewItem>
    <reviewItem>
      <errorID>edf2e574-3699-4fdd-bca1-058c4114d44e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420A9C0D</paraID>
      <start>0</start>
      <end>2</end>
      <status>modified</status>
      <modifiedWord>2.</modifiedWord>
      <trackRevisions>false</trackRevisions>
    </reviewItem>
    <reviewItem>
      <errorID>70b1a7b1-7ef1-4bc0-bf78-457a5b76cea6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30B26513</paraID>
      <start>0</start>
      <end>2</end>
      <status>modified</status>
      <modifiedWord>3.</modifiedWord>
      <trackRevisions>false</trackRevisions>
    </reviewItem>
    <reviewItem>
      <errorID>5c58b641-5979-4ea2-8ed1-6861e351707a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4FDE6433</paraID>
      <start>0</start>
      <end>2</end>
      <status>modified</status>
      <modifiedWord>4.</modifiedWord>
      <trackRevisions>false</trackRevisions>
    </reviewItem>
    <reviewItem>
      <errorID>97b7c3ee-9a27-49bc-a118-718436ec45c7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1DE16BBB</paraID>
      <start>0</start>
      <end>2</end>
      <status>modified</status>
      <modifiedWord>5.</modifiedWord>
      <trackRevisions>false</trackRevisions>
    </reviewItem>
    <reviewItem>
      <errorID>220e5363-6295-419c-91ef-bac3d54af6c0</errorID>
      <errorWord>;</errorWord>
      <group>L1_Format</group>
      <groupName>格式问题</groupName>
      <ability>L2_HalfPunc</ability>
      <abilityName>全半角检查</abilityName>
      <candidateList>
        <item>；</item>
      </candidateList>
      <explain>文本全半角错误。</explain>
      <paraID>3218A359</paraID>
      <start>16</start>
      <end>17</end>
      <status>modified</status>
      <modifiedWord>；</modifiedWord>
      <trackRevisions>false</trackRevisions>
    </reviewItem>
    <reviewItem>
      <errorID>3c271b29-ccf4-46a6-a914-a2cac1a3b3d4</errorID>
      <errorWord>;</errorWord>
      <group>L1_Format</group>
      <groupName>格式问题</groupName>
      <ability>L2_HalfPunc</ability>
      <abilityName>全半角检查</abilityName>
      <candidateList>
        <item>；</item>
      </candidateList>
      <explain>文本全半角错误。</explain>
      <paraID> 36C60EA</paraID>
      <start>22</start>
      <end>23</end>
      <status>modified</status>
      <modifiedWord>；</modifiedWord>
      <trackRevisions>false</trackRevisions>
    </reviewItem>
    <reviewItem>
      <errorID>7c1f6886-23f9-4d45-b77e-16115386f082</errorID>
      <errorWord>;</errorWord>
      <group>L1_Format</group>
      <groupName>格式问题</groupName>
      <ability>L2_HalfPunc</ability>
      <abilityName>全半角检查</abilityName>
      <candidateList>
        <item>；</item>
      </candidateList>
      <explain>文本全半角错误。</explain>
      <paraID>32BE9145</paraID>
      <start>22</start>
      <end>23</end>
      <status>modified</status>
      <modifiedWord>；</modifiedWord>
      <trackRevisions>false</trackRevisions>
    </reviewItem>
    <reviewItem>
      <errorID>95b34d1b-fc74-44c0-a5ef-56d06966f18f</errorID>
      <errorWord>;</errorWord>
      <group>L1_Format</group>
      <groupName>格式问题</groupName>
      <ability>L2_HalfPunc</ability>
      <abilityName>全半角检查</abilityName>
      <candidateList>
        <item>；</item>
      </candidateList>
      <explain>文本全半角错误。</explain>
      <paraID>5C988BD2</paraID>
      <start>22</start>
      <end>23</end>
      <status>modified</status>
      <modifiedWord>；</modifiedWord>
      <trackRevisions>false</trackRevisions>
    </reviewItem>
    <reviewItem>
      <errorID>91e54cb3-c3d3-42a3-ae79-96ddc6cfd7cb</errorID>
      <errorWord>;</errorWord>
      <group>L1_Format</group>
      <groupName>格式问题</groupName>
      <ability>L2_HalfPunc</ability>
      <abilityName>全半角检查</abilityName>
      <candidateList>
        <item>；</item>
      </candidateList>
      <explain>文本全半角错误。</explain>
      <paraID>64311F89</paraID>
      <start>30</start>
      <end>31</end>
      <status>modified</status>
      <modifiedWord>；</modifiedWord>
      <trackRevisions>false</trackRevisions>
    </reviewItem>
    <reviewItem>
      <errorID>6137a769-15b1-4922-9d7a-fb76d88c699b</errorID>
      <errorWord>七</errorWord>
      <group>L1_Word</group>
      <groupName>字词问题</groupName>
      <ability>L2_Typo</ability>
      <abilityName>字词错误</abilityName>
      <candidateList>
        <item>七条</item>
      </candidateList>
      <explain/>
      <paraID>32445A77</paraID>
      <start>107</start>
      <end>109</end>
      <status>modified</status>
      <modifiedWord>七条</modifiedWord>
      <trackRevisions>false</trackRevisions>
    </reviewItem>
    <reviewItem>
      <errorID>e6f12b38-d331-40a3-b179-a4f2eade2b1f</errorID>
      <errorWord>相应</errorWord>
      <group>L1_Word</group>
      <groupName>字词问题</groupName>
      <ability>L2_Typo</ability>
      <abilityName>字词错误</abilityName>
      <candidateList>
        <item>响应</item>
      </candidateList>
      <explain>存在发音相同字词的误用。</explain>
      <paraID>2FA3C75E</paraID>
      <start>69</start>
      <end>71</end>
      <status>ignored</status>
      <modifiedWord/>
      <trackRevisions>false</trackRevisions>
    </reviewItem>
    <reviewItem>
      <errorID>c3965f0f-8891-42ad-9b95-c2db2e87aab8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40493970</paraID>
      <start>0</start>
      <end>2</end>
      <status>modified</status>
      <modifiedWord>1.</modifiedWord>
      <trackRevisions>false</trackRevisions>
    </reviewItem>
    <reviewItem>
      <errorID>596186e9-69cd-423d-8f19-cec9140bd289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1C0B640E</paraID>
      <start>0</start>
      <end>2</end>
      <status>modified</status>
      <modifiedWord>2.</modifiedWord>
      <trackRevisions>false</trackRevisions>
    </reviewItem>
    <reviewItem>
      <errorID>0554c132-0cb5-4499-ae3c-77e937f36444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518CE91A</paraID>
      <start>0</start>
      <end>2</end>
      <status>modified</status>
      <modifiedWord>1.</modifiedWord>
      <trackRevisions>false</trackRevisions>
    </reviewItem>
    <reviewItem>
      <errorID>7bf2c4d3-3c28-4f51-9f7a-521bb8e6b05b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23C062C0</paraID>
      <start>0</start>
      <end>2</end>
      <status>modified</status>
      <modifiedWord>2.</modifiedWord>
      <trackRevisions>false</trackRevisions>
    </reviewItem>
    <reviewItem>
      <errorID>dcd30439-2476-444f-aa2f-cd24188b2f00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DAC4003</paraID>
      <start>0</start>
      <end>2</end>
      <status>modified</status>
      <modifiedWord>3.</modifiedWord>
      <trackRevisions>false</trackRevisions>
    </reviewItem>
    <reviewItem>
      <errorID>0332c655-270b-4920-8b1b-60476ae756f7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5B293209</paraID>
      <start>0</start>
      <end>2</end>
      <status>modified</status>
      <modifiedWord>4.</modifiedWord>
      <trackRevisions>false</trackRevisions>
    </reviewItem>
    <reviewItem>
      <errorID>2ba255a0-6420-41ae-add1-42f75198dd67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43009373</paraID>
      <start>0</start>
      <end>2</end>
      <status>modified</status>
      <modifiedWord>5.</modifiedWord>
      <trackRevisions>false</trackRevisions>
    </reviewItem>
    <reviewItem>
      <errorID>9062f588-3df5-4e09-b4e9-555f1718648b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580F475F</paraID>
      <start>0</start>
      <end>2</end>
      <status>modified</status>
      <modifiedWord>6.</modifiedWord>
      <trackRevisions>false</trackRevisions>
    </reviewItem>
    <reviewItem>
      <errorID>4b084b09-7eb1-41cd-8190-8d9f16e9cbca</errorID>
      <errorWord>)</errorWord>
      <group>L1_Format</group>
      <groupName>格式问题</groupName>
      <ability>L2_HalfPunc</ability>
      <abilityName>全半角检查</abilityName>
      <candidateList>
        <item>）</item>
      </candidateList>
      <explain>文本全半角错误。</explain>
      <paraID>6A1B5B57</paraID>
      <start>11</start>
      <end>12</end>
      <status>modified</status>
      <modifiedWord>）</modifiedWord>
      <trackRevisions>false</trackRevisions>
    </reviewItem>
    <reviewItem>
      <errorID>090f9464-ffb5-465c-875a-4aa196e88d9b</errorID>
      <errorWord>)</errorWord>
      <group>L1_Format</group>
      <groupName>格式问题</groupName>
      <ability>L2_HalfPunc</ability>
      <abilityName>全半角检查</abilityName>
      <candidateList>
        <item>）</item>
      </candidateList>
      <explain>文本全半角错误。</explain>
      <paraID>21DBA726</paraID>
      <start>11</start>
      <end>12</end>
      <status>modified</status>
      <modifiedWord>）</modifiedWord>
      <trackRevisions>false</trackRevisions>
    </reviewItem>
    <reviewItem>
      <errorID>96d11f10-8fd0-4413-a0a7-ac69ce9cf441</errorID>
      <errorWord>。】</errorWord>
      <group>L1_Punc</group>
      <groupName>标点问题</groupName>
      <ability>L2_Punc</ability>
      <abilityName>标点符号检查</abilityName>
      <candidateList>
        <item>】</item>
      </candidateList>
      <explain/>
      <paraID>4E9F0BF4</paraID>
      <start>59</start>
      <end>61</end>
      <status>ignored</status>
      <modifiedWord/>
      <trackRevisions>false</trackRevisions>
    </reviewItem>
    <reviewItem>
      <errorID>4524dec7-79f0-45fa-967a-911815575c16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188898B5</paraID>
      <start>0</start>
      <end>2</end>
      <status>modified</status>
      <modifiedWord>1.</modifiedWord>
      <trackRevisions>false</trackRevisions>
    </reviewItem>
    <reviewItem>
      <errorID>3d4b2a1a-3c94-4c4a-bf8b-d89ce6463992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145FF207</paraID>
      <start>0</start>
      <end>2</end>
      <status>modified</status>
      <modifiedWord>2.</modifiedWord>
      <trackRevisions>false</trackRevisions>
    </reviewItem>
    <reviewItem>
      <errorID>38035cc4-d925-4ade-8589-da943697aa94</errorID>
      <errorWord>)</errorWord>
      <group>L1_Format</group>
      <groupName>格式问题</groupName>
      <ability>L2_HalfPunc</ability>
      <abilityName>全半角检查</abilityName>
      <candidateList>
        <item>）</item>
      </candidateList>
      <explain>文本全半角错误。</explain>
      <paraID>2A9066DF</paraID>
      <start>50</start>
      <end>51</end>
      <status>modified</status>
      <modifiedWord>）</modifiedWord>
      <trackRevisions>false</trackRevisions>
    </reviewItem>
    <reviewItem>
      <errorID>00029a6b-b289-497b-8b49-3071d1964854</errorID>
      <errorWord>)</errorWord>
      <group>L1_Format</group>
      <groupName>格式问题</groupName>
      <ability>L2_HalfPunc</ability>
      <abilityName>全半角检查</abilityName>
      <candidateList>
        <item>）</item>
      </candidateList>
      <explain>文本全半角错误。</explain>
      <paraID>665C464B</paraID>
      <start>10</start>
      <end>11</end>
      <status>modified</status>
      <modifiedWord>）</modifiedWord>
      <trackRevisions>false</trackRevisions>
    </reviewItem>
    <reviewItem>
      <errorID>4c3dc1f4-3ac2-4b89-b434-4f248038ca46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47803A74</paraID>
      <start>0</start>
      <end>2</end>
      <status>modified</status>
      <modifiedWord>1.</modifiedWord>
      <trackRevisions>false</trackRevisions>
    </reviewItem>
    <reviewItem>
      <errorID>c5eb39f4-1d79-4797-af70-f60b3d08b297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690A0756</paraID>
      <start>0</start>
      <end>2</end>
      <status>modified</status>
      <modifiedWord>2.</modifiedWord>
      <trackRevisions>false</trackRevisions>
    </reviewItem>
    <reviewItem>
      <errorID>be9a973e-2895-41d0-94c0-5fbf61cee455</errorID>
      <errorWord>)</errorWord>
      <group>L1_Format</group>
      <groupName>格式问题</groupName>
      <ability>L2_HalfPunc</ability>
      <abilityName>全半角检查</abilityName>
      <candidateList>
        <item>）</item>
      </candidateList>
      <explain>文本全半角错误。</explain>
      <paraID>402F965E</paraID>
      <start>8</start>
      <end>9</end>
      <status>ignored</status>
      <modifiedWord/>
      <trackRevisions>false</trackRevisions>
    </reviewItem>
    <reviewItem>
      <errorID>a09aaf24-8636-44db-8784-af85c94ce5c4</errorID>
      <errorWord>)</errorWord>
      <group>L1_Format</group>
      <groupName>格式问题</groupName>
      <ability>L2_HalfPunc</ability>
      <abilityName>全半角检查</abilityName>
      <candidateList>
        <item>）</item>
      </candidateList>
      <explain>文本全半角错误。</explain>
      <paraID>165AEE2D</paraID>
      <start>8</start>
      <end>9</end>
      <status>modified</status>
      <modifiedWord>）</modifiedWord>
      <trackRevisions>false</trackRevisions>
    </reviewItem>
    <reviewItem>
      <errorID>8c4f6e47-fb5b-49e5-b560-808763ac0b90</errorID>
      <errorWord>于</errorWord>
      <group>L1_Word</group>
      <groupName>字词问题</groupName>
      <ability>L2_Typo</ability>
      <abilityName>字词错误</abilityName>
      <candidateList>
        <item>于以</item>
      </candidateList>
      <explain/>
      <paraID>3C11145C</paraID>
      <start>27</start>
      <end>28</end>
      <status>ignored</status>
      <modifiedWord/>
      <trackRevisions>false</trackRevisions>
    </reviewItem>
    <reviewItem>
      <errorID>bcb9b5ee-4b71-47f1-8803-264ddd9ab671</errorID>
      <errorWord>于</errorWord>
      <group>L1_Word</group>
      <groupName>字词问题</groupName>
      <ability>L2_Typo</ability>
      <abilityName>字词错误</abilityName>
      <candidateList>
        <item>于以</item>
      </candidateList>
      <explain/>
      <paraID> 2B61C13</paraID>
      <start>29</start>
      <end>30</end>
      <status>ignored</status>
      <modifiedWord/>
      <trackRevisions>false</trackRevisions>
    </reviewItem>
    <reviewItem>
      <errorID>22114f1f-702a-4385-91d6-2d1a3e18b0b7</errorID>
      <errorWord>二○一一</errorWord>
      <group>L1_Knowledge</group>
      <groupName>知识性问题</groupName>
      <ability>L2_Knowledge</ability>
      <abilityName>其他知识</abilityName>
      <candidateList>
        <item>二〇一一</item>
      </candidateList>
      <explain/>
      <paraID>6F52758A</paraID>
      <start>0</start>
      <end>4</end>
      <status>ignored</status>
      <modifiedWord/>
      <trackRevisions>false</trackRevisions>
    </reviewItem>
    <reviewItem>
      <errorID>57255012-a62a-4b4d-8372-84d9ccab1fe1</errorID>
      <errorWord>(</errorWord>
      <group>L1_Format</group>
      <groupName>格式问题</groupName>
      <ability>L2_HalfPunc</ability>
      <abilityName>全半角检查</abilityName>
      <candidateList>
        <item>（</item>
      </candidateList>
      <explain>文本全半角错误。</explain>
      <paraID>7440C465</paraID>
      <start>46</start>
      <end>47</end>
      <status>ignored</status>
      <modifiedWord/>
      <trackRevisions>false</trackRevisions>
    </reviewItem>
    <reviewItem>
      <errorID>6a234afd-d941-4a1a-a7e4-ff4f9f6b49cf</errorID>
      <errorWord>)</errorWord>
      <group>L1_Format</group>
      <groupName>格式问题</groupName>
      <ability>L2_HalfPunc</ability>
      <abilityName>全半角检查</abilityName>
      <candidateList>
        <item>）</item>
      </candidateList>
      <explain>文本全半角错误。</explain>
      <paraID>7440C465</paraID>
      <start>58</start>
      <end>59</end>
      <status>ignored</status>
      <modifiedWord/>
      <trackRevisions>false</trackRevisions>
    </reviewItem>
    <reviewItem>
      <errorID>f9061280-65c5-4572-aabc-dbf7f1f9a2c0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6EBA1AEF</paraID>
      <start>23</start>
      <end>26</end>
      <status>ignored</status>
      <modifiedWord/>
      <trackRevisions>false</trackRevisions>
    </reviewItem>
    <reviewItem>
      <errorID>370262a9-7b0b-4509-843c-44a6e9b83330</errorID>
      <errorWord>中国银行业监督管理委员会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银行业监督管理委员会。2023年9月，中共中央、国务院印发了《党和国家机构改革方案》组建国家金融监督管理总局，不再保留中国银行保险监督管理委员会。</explain>
      <paraID> E162F05</paraID>
      <start>10</start>
      <end>22</end>
      <status>ignored</status>
      <modifiedWord/>
      <trackRevisions>false</trackRevisions>
    </reviewItem>
    <reviewItem>
      <errorID>d6d7548c-88ac-41db-87f2-119faa2af235</errorID>
      <errorWord>中国保险监督管理委员会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保险监督管理委员会。2023年9月，中共中央、国务院印发了《党和国家机构改革方案》组建国家金融监督管理总局，不再保留中国银行保险监督管理委员会。</explain>
      <paraID>13427FED</paraID>
      <start>11</start>
      <end>22</end>
      <status>ignored</status>
      <modifiedWord/>
      <trackRevisions>false</trackRevisions>
    </reviewItem>
    <reviewItem>
      <errorID>907d668c-36e2-42fd-b084-75047410d9dd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35BCA7B1</paraID>
      <start>19</start>
      <end>22</end>
      <status>ignored</status>
      <modifiedWord/>
      <trackRevisions>false</trackRevisions>
    </reviewItem>
    <reviewItem>
      <errorID>ed696247-2fa0-47bd-81b8-eacd261313e4</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E5BB8B0</paraID>
      <start>0</start>
      <end>3</end>
      <status>modified</status>
      <modifiedWord>（八）</modifiedWord>
      <trackRevisions>false</trackRevisions>
    </reviewItem>
    <reviewItem>
      <errorID>98c10fd3-9a9e-4048-9940-76e5352f3b6d</errorID>
      <errorWord>:</errorWord>
      <group>L1_Format</group>
      <groupName>格式问题</groupName>
      <ability>L2_HalfPunc</ability>
      <abilityName>全半角检查</abilityName>
      <candidateList>
        <item>：</item>
      </candidateList>
      <explain>文本全半角错误。</explain>
      <paraID>13D9865C</paraID>
      <start>1</start>
      <end>2</end>
      <status>modified</status>
      <modifiedWord>：</modifiedWord>
      <trackRevisions>false</trackRevisions>
    </reviewItem>
    <reviewItem>
      <errorID>513573b1-efec-46b8-bcbf-1d012e749d89</errorID>
      <errorWord>)</errorWord>
      <group>L1_Format</group>
      <groupName>格式问题</groupName>
      <ability>L2_HalfPunc</ability>
      <abilityName>全半角检查</abilityName>
      <candidateList>
        <item>）</item>
      </candidateList>
      <explain>文本全半角错误。</explain>
      <paraID> 841D36F</paraID>
      <start>8</start>
      <end>9</end>
      <status>modified</status>
      <modifiedWord>）</modifiedWord>
      <trackRevisions>false</trackRevisions>
    </reviewItem>
    <reviewItem>
      <errorID>55c13334-9067-4f80-8b8f-32694759205a</errorID>
      <errorWord>(</errorWord>
      <group>L1_Format</group>
      <groupName>格式问题</groupName>
      <ability>L2_HalfPunc</ability>
      <abilityName>全半角检查</abilityName>
      <candidateList>
        <item>（</item>
      </candidateList>
      <explain>文本全半角错误。</explain>
      <paraID>20204BC0</paraID>
      <start>11</start>
      <end>12</end>
      <status>modified</status>
      <modifiedWord>（</modifiedWord>
      <trackRevisions>false</trackRevisions>
    </reviewItem>
    <reviewItem>
      <errorID>57803216-7d6e-435c-a80a-2d3a366bad23</errorID>
      <errorWord>)</errorWord>
      <group>L1_Format</group>
      <groupName>格式问题</groupName>
      <ability>L2_HalfPunc</ability>
      <abilityName>全半角检查</abilityName>
      <candidateList>
        <item>）</item>
      </candidateList>
      <explain>文本全半角错误。</explain>
      <paraID>20204BC0</paraID>
      <start>14</start>
      <end>15</end>
      <status>modified</status>
      <modifiedWord>）</modifiedWord>
      <trackRevisions>false</trackRevisions>
    </reviewItem>
    <reviewItem>
      <errorID>479e1397-f617-467a-9e80-24627e794a58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2288B711</paraID>
      <start>6</start>
      <end>8</end>
      <status>ignored</status>
      <modifiedWord/>
      <trackRevisions>false</trackRevisions>
    </reviewItem>
    <reviewItem>
      <errorID>afb20a9b-7482-470f-9786-8458f162d5a4</errorID>
      <errorWord>)</errorWord>
      <group>L1_Format</group>
      <groupName>格式问题</groupName>
      <ability>L2_HalfPunc</ability>
      <abilityName>全半角检查</abilityName>
      <candidateList>
        <item>）</item>
      </candidateList>
      <explain>文本全半角错误。</explain>
      <paraID>71983F83</paraID>
      <start>8</start>
      <end>9</end>
      <status>ignored</status>
      <modifiedWord/>
      <trackRevisions>false</trackRevisions>
    </reviewItem>
    <reviewItem>
      <errorID>82b6fd48-32cd-4eef-9021-cf0c2122658d</errorID>
      <errorWord>,</errorWord>
      <group>L1_Format</group>
      <groupName>格式问题</groupName>
      <ability>L2_HalfPunc</ability>
      <abilityName>全半角检查</abilityName>
      <candidateList>
        <item>，</item>
      </candidateList>
      <explain>文本全半角错误。</explain>
      <paraID>1ACC5C30</paraID>
      <start>13</start>
      <end>14</end>
      <status>ignored</status>
      <modifiedWord/>
      <trackRevisions>false</trackRevisions>
    </reviewItem>
    <reviewItem>
      <errorID>10f3deeb-97a2-4b39-9308-01d820e6702e</errorID>
      <errorWord>,</errorWord>
      <group>L1_Format</group>
      <groupName>格式问题</groupName>
      <ability>L2_HalfPunc</ability>
      <abilityName>全半角检查</abilityName>
      <candidateList>
        <item>，</item>
      </candidateList>
      <explain>文本全半角错误。</explain>
      <paraID>1ACC5C30</paraID>
      <start>28</start>
      <end>29</end>
      <status>ignored</status>
      <modifiedWord/>
      <trackRevisions>false</trackRevisions>
    </reviewItem>
    <reviewItem>
      <errorID>eb79e43a-b139-4bbe-8288-bf9f6c919130</errorID>
      <errorWord>,</errorWord>
      <group>L1_Format</group>
      <groupName>格式问题</groupName>
      <ability>L2_HalfPunc</ability>
      <abilityName>全半角检查</abilityName>
      <candidateList>
        <item>，</item>
      </candidateList>
      <explain>文本全半角错误。</explain>
      <paraID>26BB11E4</paraID>
      <start>31</start>
      <end>32</end>
      <status>ignored</status>
      <modifiedWord/>
      <trackRevisions>false</trackRevisions>
    </reviewItem>
    <reviewItem>
      <errorID>6534cb69-7d82-46bc-a34e-fe5241ece562</errorID>
      <errorWord>,</errorWord>
      <group>L1_Format</group>
      <groupName>格式问题</groupName>
      <ability>L2_HalfPunc</ability>
      <abilityName>全半角检查</abilityName>
      <candidateList>
        <item>，</item>
      </candidateList>
      <explain>文本全半角错误。</explain>
      <paraID>10BBFC53</paraID>
      <start>22</start>
      <end>23</end>
      <status>ignored</status>
      <modifiedWord/>
      <trackRevisions>false</trackRevisions>
    </reviewItem>
    <reviewItem>
      <errorID>643cfe4b-a490-48c2-9c3a-26401c232cdc</errorID>
      <errorWord>,</errorWord>
      <group>L1_Format</group>
      <groupName>格式问题</groupName>
      <ability>L2_HalfPunc</ability>
      <abilityName>全半角检查</abilityName>
      <candidateList>
        <item>，</item>
      </candidateList>
      <explain>文本全半角错误。</explain>
      <paraID>1A7E3475</paraID>
      <start>55</start>
      <end>56</end>
      <status>ignored</status>
      <modifiedWord/>
      <trackRevisions>false</trackRevisions>
    </reviewItem>
    <reviewItem>
      <errorID>35ade3ee-b265-406d-b160-f7ab14146634</errorID>
      <errorWord>，</errorWord>
      <group>L1_Word</group>
      <groupName>字词问题</groupName>
      <ability>L2_Typo</ability>
      <abilityName>字词错误</abilityName>
      <candidateList>
        <item>，并</item>
      </candidateList>
      <explain/>
      <paraID>1A7E3475</paraID>
      <start>75</start>
      <end>76</end>
      <status>ignored</status>
      <modifiedWord/>
      <trackRevisions>false</trackRevisions>
    </reviewItem>
    <reviewItem>
      <errorID>f7a5aff1-a85c-4d92-840b-6a519935fa62</errorID>
      <errorWord>)</errorWord>
      <group>L1_Format</group>
      <groupName>格式问题</groupName>
      <ability>L2_HalfPunc</ability>
      <abilityName>全半角检查</abilityName>
      <candidateList>
        <item>）</item>
      </candidateList>
      <explain>文本全半角错误。</explain>
      <paraID>19648C53</paraID>
      <start>8</start>
      <end>9</end>
      <status>ignored</status>
      <modifiedWord/>
      <trackRevisions>false</trackRevisions>
    </reviewItem>
    <reviewItem>
      <errorID>f8cc4f86-6311-4324-9506-6f44fa5f3124</errorID>
      <errorWord>)</errorWord>
      <group>L1_Format</group>
      <groupName>格式问题</groupName>
      <ability>L2_HalfPunc</ability>
      <abilityName>全半角检查</abilityName>
      <candidateList>
        <item>）</item>
      </candidateList>
      <explain>文本全半角错误。</explain>
      <paraID> 270EFB4</paraID>
      <start>8</start>
      <end>9</end>
      <status>ignored</status>
      <modifiedWord/>
      <trackRevisions>false</trackRevisions>
    </reviewItem>
    <reviewItem>
      <errorID>41b7cbd6-0429-4efd-9a25-2659d22af1dd</errorID>
      <errorWord>)</errorWord>
      <group>L1_Format</group>
      <groupName>格式问题</groupName>
      <ability>L2_HalfPunc</ability>
      <abilityName>全半角检查</abilityName>
      <candidateList>
        <item>）</item>
      </candidateList>
      <explain>文本全半角错误。</explain>
      <paraID>51101AF7</paraID>
      <start>8</start>
      <end>9</end>
      <status>ignored</status>
      <modifiedWord/>
      <trackRevisions>false</trackRevisions>
    </reviewItem>
    <reviewItem>
      <errorID>af59e1bd-c815-48ff-92ba-304cd6069be5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6D411982</paraID>
      <start>0</start>
      <end>2</end>
      <status>ignored</status>
      <modifiedWord/>
      <trackRevisions>false</trackRevisions>
    </reviewItem>
    <reviewItem>
      <errorID>6951c1e5-7b9b-4075-90d6-e815b0dddee9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67B455A8</paraID>
      <start>0</start>
      <end>2</end>
      <status>ignored</status>
      <modifiedWord/>
      <trackRevisions>false</trackRevisions>
    </reviewItem>
    <reviewItem>
      <errorID>a2477850-58df-4d04-8573-ab9d5b9cf6ce</errorID>
      <errorWord>:</errorWord>
      <group>L1_Format</group>
      <groupName>格式问题</groupName>
      <ability>L2_HalfPunc</ability>
      <abilityName>全半角检查</abilityName>
      <candidateList>
        <item>：</item>
      </candidateList>
      <explain>文本全半角错误。</explain>
      <paraID>5B790DF6</paraID>
      <start>1</start>
      <end>2</end>
      <status>modified</status>
      <modifiedWord>：</modifiedWord>
      <trackRevisions>false</trackRevisions>
    </reviewItem>
    <reviewItem>
      <errorID>6f5b06ac-505e-4d5f-be87-12308cab1922</errorID>
      <errorWord>:</errorWord>
      <group>L1_Format</group>
      <groupName>格式问题</groupName>
      <ability>L2_HalfPunc</ability>
      <abilityName>全半角检查</abilityName>
      <candidateList>
        <item>：</item>
      </candidateList>
      <explain>文本全半角错误。</explain>
      <paraID> B9CD47C</paraID>
      <start>40</start>
      <end>41</end>
      <status>modified</status>
      <modifiedWord>：</modifiedWord>
      <trackRevisions>false</trackRevisions>
    </reviewItem>
    <reviewItem>
      <errorID>5e683b86-94ab-4110-b998-b445d98f3d3f</errorID>
      <errorWord>(</errorWord>
      <group>L1_Format</group>
      <groupName>格式问题</groupName>
      <ability>L2_HalfPunc</ability>
      <abilityName>全半角检查</abilityName>
      <candidateList>
        <item>（</item>
      </candidateList>
      <explain>文本全半角错误。</explain>
      <paraID>6A8946E7</paraID>
      <start>7</start>
      <end>8</end>
      <status>modified</status>
      <modifiedWord>（</modifiedWord>
      <trackRevisions>false</trackRevisions>
    </reviewItem>
    <reviewItem>
      <errorID>dcf47206-003a-4b6f-9e4d-f92bffcff185</errorID>
      <errorWord>)</errorWord>
      <group>L1_Format</group>
      <groupName>格式问题</groupName>
      <ability>L2_HalfPunc</ability>
      <abilityName>全半角检查</abilityName>
      <candidateList>
        <item>）</item>
      </candidateList>
      <explain>文本全半角错误。</explain>
      <paraID>6A8946E7</paraID>
      <start>12</start>
      <end>13</end>
      <status>modified</status>
      <modifiedWord>）</modifiedWord>
      <trackRevisions>false</trackRevisions>
    </reviewItem>
    <reviewItem>
      <errorID>4e1bea6b-5839-4d2d-b5bc-2ef1a60a621e</errorID>
      <errorWord>(</errorWord>
      <group>L1_Format</group>
      <groupName>格式问题</groupName>
      <ability>L2_HalfPunc</ability>
      <abilityName>全半角检查</abilityName>
      <candidateList>
        <item>（</item>
      </candidateList>
      <explain>文本全半角错误。</explain>
      <paraID>6A8946E7</paraID>
      <start>88</start>
      <end>89</end>
      <status>modified</status>
      <modifiedWord>（</modifiedWord>
      <trackRevisions>false</trackRevisions>
    </reviewItem>
    <reviewItem>
      <errorID>85e1d5ce-2cc8-4d3f-b866-3cab83cd5eec</errorID>
      <errorWord>)</errorWord>
      <group>L1_Format</group>
      <groupName>格式问题</groupName>
      <ability>L2_HalfPunc</ability>
      <abilityName>全半角检查</abilityName>
      <candidateList>
        <item>）</item>
      </candidateList>
      <explain>文本全半角错误。</explain>
      <paraID>6A8946E7</paraID>
      <start>91</start>
      <end>92</end>
      <status>modified</status>
      <modifiedWord>）</modifiedWord>
      <trackRevisions>false</trackRevisions>
    </reviewItem>
    <reviewItem>
      <errorID>2a10a855-a2ee-4147-b4f4-75f503d3aa20</errorID>
      <errorWord>(</errorWord>
      <group>L1_Format</group>
      <groupName>格式问题</groupName>
      <ability>L2_HalfPunc</ability>
      <abilityName>全半角检查</abilityName>
      <candidateList>
        <item>（</item>
      </candidateList>
      <explain>文本全半角错误。</explain>
      <paraID>1869886E</paraID>
      <start>3</start>
      <end>4</end>
      <status>modified</status>
      <modifiedWord>（</modifiedWord>
      <trackRevisions>false</trackRevisions>
    </reviewItem>
    <reviewItem>
      <errorID>e2242033-efee-4f53-b5cc-6d90974c0970</errorID>
      <errorWord>)</errorWord>
      <group>L1_Format</group>
      <groupName>格式问题</groupName>
      <ability>L2_HalfPunc</ability>
      <abilityName>全半角检查</abilityName>
      <candidateList>
        <item>）</item>
      </candidateList>
      <explain>文本全半角错误。</explain>
      <paraID>1869886E</paraID>
      <start>9</start>
      <end>10</end>
      <status>modified</status>
      <modifiedWord>）</modifiedWord>
      <trackRevisions>false</trackRevisions>
    </reviewItem>
    <reviewItem>
      <errorID>dfac419b-1dd8-4381-8290-3f141c1d9b93</errorID>
      <errorWord>:</errorWord>
      <group>L1_Format</group>
      <groupName>格式问题</groupName>
      <ability>L2_HalfPunc</ability>
      <abilityName>全半角检查</abilityName>
      <candidateList>
        <item>：</item>
      </candidateList>
      <explain>文本全半角错误。</explain>
      <paraID>1ED4E4FA</paraID>
      <start>12</start>
      <end>13</end>
      <status>modified</status>
      <modifiedWord>：</modifiedWord>
      <trackRevisions>false</trackRevisions>
    </reviewItem>
    <reviewItem>
      <errorID>ee2eadaa-3892-4ceb-bc3e-f510ed423442</errorID>
      <errorWord>:</errorWord>
      <group>L1_Format</group>
      <groupName>格式问题</groupName>
      <ability>L2_HalfPunc</ability>
      <abilityName>全半角检查</abilityName>
      <candidateList>
        <item>：</item>
      </candidateList>
      <explain>文本全半角错误。</explain>
      <paraID>37A54BFE</paraID>
      <start>2</start>
      <end>3</end>
      <status>modified</status>
      <modifiedWord>：</modifiedWord>
      <trackRevisions>false</trackRevisions>
    </reviewItem>
    <reviewItem>
      <errorID>1575ce97-9868-4c56-bdb5-274a1b1c8432</errorID>
      <errorWord>)</errorWord>
      <group>L1_Format</group>
      <groupName>格式问题</groupName>
      <ability>L2_HalfPunc</ability>
      <abilityName>全半角检查</abilityName>
      <candidateList>
        <item>）</item>
      </candidateList>
      <explain>文本全半角错误。</explain>
      <paraID>448666AB</paraID>
      <start>8</start>
      <end>9</end>
      <status>modified</status>
      <modifiedWord>）</modifiedWord>
      <trackRevisions>false</trackRevisions>
    </reviewItem>
    <reviewItem>
      <errorID>b87275d8-5fb9-47f9-90fb-28b21c925d6c</errorID>
      <errorWord>)</errorWord>
      <group>L1_Format</group>
      <groupName>格式问题</groupName>
      <ability>L2_HalfPunc</ability>
      <abilityName>全半角检查</abilityName>
      <candidateList>
        <item>）</item>
      </candidateList>
      <explain>文本全半角错误。</explain>
      <paraID>4AD74708</paraID>
      <start>8</start>
      <end>9</end>
      <status>modified</status>
      <modifiedWord>）</modifiedWord>
      <trackRevisions>false</trackRevisions>
    </reviewItem>
    <reviewItem>
      <errorID>97a6115e-0081-4e87-befa-71d74b0f6a45</errorID>
      <errorWord>)</errorWord>
      <group>L1_Format</group>
      <groupName>格式问题</groupName>
      <ability>L2_HalfPunc</ability>
      <abilityName>全半角检查</abilityName>
      <candidateList>
        <item>）</item>
      </candidateList>
      <explain>文本全半角错误。</explain>
      <paraID>27333291</paraID>
      <start>8</start>
      <end>9</end>
      <status>modified</status>
      <modifiedWord>）</modifiedWord>
      <trackRevisions>false</trackRevisions>
    </reviewItem>
    <reviewItem>
      <errorID>087a4a04-9069-4570-8e3a-877797cbb242</errorID>
      <errorWord>)</errorWord>
      <group>L1_Format</group>
      <groupName>格式问题</groupName>
      <ability>L2_HalfPunc</ability>
      <abilityName>全半角检查</abilityName>
      <candidateList>
        <item>）</item>
      </candidateList>
      <explain>文本全半角错误。</explain>
      <paraID>4CD5B2EF</paraID>
      <start>18</start>
      <end>19</end>
      <status>modified</status>
      <modifiedWord>）</modifiedWord>
      <trackRevisions>false</trackRevisions>
    </reviewItem>
    <reviewItem>
      <errorID>818ed0b1-bbf3-477b-b84b-c7b836e63478</errorID>
      <errorWord>)</errorWord>
      <group>L1_Format</group>
      <groupName>格式问题</groupName>
      <ability>L2_HalfPunc</ability>
      <abilityName>全半角检查</abilityName>
      <candidateList>
        <item>）</item>
      </candidateList>
      <explain>文本全半角错误。</explain>
      <paraID>77AA3C36</paraID>
      <start>11</start>
      <end>12</end>
      <status>modified</status>
      <modifiedWord>）</modifiedWord>
      <trackRevisions>false</trackRevisions>
    </reviewItem>
    <reviewItem>
      <errorID>f480a2c9-7e4f-45ff-b64d-98399e19ff68</errorID>
      <errorWord>)</errorWord>
      <group>L1_Format</group>
      <groupName>格式问题</groupName>
      <ability>L2_HalfPunc</ability>
      <abilityName>全半角检查</abilityName>
      <candidateList>
        <item>）</item>
      </candidateList>
      <explain>文本全半角错误。</explain>
      <paraID>3EA46769</paraID>
      <start>8</start>
      <end>9</end>
      <status>modified</status>
      <modifiedWord>）</modifiedWord>
      <trackRevisions>false</trackRevisions>
    </reviewItem>
    <reviewItem>
      <errorID>69292fc4-b574-48ce-9a48-e5a668ae2edb</errorID>
      <errorWord>…………</errorWord>
      <group>L1_Punc</group>
      <groupName>标点问题</groupName>
      <ability>L2_Punc</ability>
      <abilityName>标点符号检查</abilityName>
      <candidateList>
        <item>…</item>
      </candidateList>
      <explain/>
      <paraID>6324A49D</paraID>
      <start>0</start>
      <end>4</end>
      <status>ignored</status>
      <modifiedWord/>
      <trackRevisions>false</trackRevisions>
    </reviewItem>
    <reviewItem>
      <errorID>dc09ebfb-5867-4a99-9291-ed3300896b4a</errorID>
      <errorWord>…………</errorWord>
      <group>L1_Punc</group>
      <groupName>标点问题</groupName>
      <ability>L2_Punc</ability>
      <abilityName>标点符号检查</abilityName>
      <candidateList>
        <item>…</item>
      </candidateList>
      <explain/>
      <paraID> EE83785</paraID>
      <start>0</start>
      <end>4</end>
      <status>ignored</status>
      <modifiedWord/>
      <trackRevisions>false</trackRevisions>
    </reviewItem>
    <reviewItem>
      <errorID>c29bae92-84ba-41a3-89f9-694afff2ecb4</errorID>
      <errorWord>)</errorWord>
      <group>L1_Format</group>
      <groupName>格式问题</groupName>
      <ability>L2_HalfPunc</ability>
      <abilityName>全半角检查</abilityName>
      <candidateList>
        <item>）</item>
      </candidateList>
      <explain>文本全半角错误。</explain>
      <paraID>2E8083B6</paraID>
      <start>8</start>
      <end>9</end>
      <status>modified</status>
      <modifiedWord>）</modifiedWord>
      <trackRevisions>false</trackRevisions>
    </reviewItem>
    <reviewItem>
      <errorID>1d727a6a-b0f9-4d89-91cc-3f5b215c4a9c</errorID>
      <errorWord>)</errorWord>
      <group>L1_Format</group>
      <groupName>格式问题</groupName>
      <ability>L2_HalfPunc</ability>
      <abilityName>全半角检查</abilityName>
      <candidateList>
        <item>）</item>
      </candidateList>
      <explain>文本全半角错误。</explain>
      <paraID>68FCBA1E</paraID>
      <start>8</start>
      <end>9</end>
      <status>modified</status>
      <modifiedWord>）</modifiedWord>
      <trackRevisions>false</trackRevisions>
    </reviewItem>
    <reviewItem>
      <errorID>24f64e82-a0d6-490d-b24d-69c107c2bcf1</errorID>
      <errorWord>…………</errorWord>
      <group>L1_Punc</group>
      <groupName>标点问题</groupName>
      <ability>L2_Punc</ability>
      <abilityName>标点符号检查</abilityName>
      <candidateList>
        <item>…</item>
      </candidateList>
      <explain/>
      <paraID>7D0AF02A</paraID>
      <start>0</start>
      <end>4</end>
      <status>ignored</status>
      <modifiedWord/>
      <trackRevisions>false</trackRevisions>
    </reviewItem>
    <reviewItem>
      <errorID>f8c55251-acf4-4205-9d4e-1d697f0de10c</errorID>
      <errorWord>…………</errorWord>
      <group>L1_Punc</group>
      <groupName>标点问题</groupName>
      <ability>L2_Punc</ability>
      <abilityName>标点符号检查</abilityName>
      <candidateList>
        <item>…</item>
      </candidateList>
      <explain/>
      <paraID>59EB3DF9</paraID>
      <start>0</start>
      <end>4</end>
      <status>ignored</status>
      <modifiedWord/>
      <trackRevisions>false</trackRevisions>
    </reviewItem>
    <reviewItem>
      <errorID>75cfc420-b301-458b-b418-114ccb45dd6e</errorID>
      <errorWord>)</errorWord>
      <group>L1_Format</group>
      <groupName>格式问题</groupName>
      <ability>L2_HalfPunc</ability>
      <abilityName>全半角检查</abilityName>
      <candidateList>
        <item>）</item>
      </candidateList>
      <explain>文本全半角错误。</explain>
      <paraID>53059121</paraID>
      <start>8</start>
      <end>9</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8E9464-EF58-442D-B535-F25A6DBA3763}">
  <ds:schemaRefs/>
</ds:datastoreItem>
</file>

<file path=docProps/app.xml><?xml version="1.0" encoding="utf-8"?>
<Properties xmlns="http://schemas.openxmlformats.org/officeDocument/2006/extended-properties" xmlns:vt="http://schemas.openxmlformats.org/officeDocument/2006/docPropsVTypes">
  <Template>Normal.dotm</Template>
  <Pages>130</Pages>
  <Words>8752</Words>
  <Characters>9637</Characters>
  <Lines>562</Lines>
  <Paragraphs>158</Paragraphs>
  <TotalTime>9</TotalTime>
  <ScaleCrop>false</ScaleCrop>
  <LinksUpToDate>false</LinksUpToDate>
  <CharactersWithSpaces>10076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me</cp:lastModifiedBy>
  <cp:lastPrinted>2024-12-28T09:33:00Z</cp:lastPrinted>
  <dcterms:modified xsi:type="dcterms:W3CDTF">2026-04-30T09:13:24Z</dcterms:modified>
  <cp:revision>445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6E655384DD8342B3973167C350B9E4A4_13</vt:lpwstr>
  </property>
  <property fmtid="{D5CDD505-2E9C-101B-9397-08002B2CF9AE}" pid="4" name="KSOTemplateDocerSaveRecord">
    <vt:lpwstr>eyJoZGlkIjoiYjk5ODM0YmMxOWJiYWQyNDU4MGIzYWRmYTA0ZmI5NDciLCJ1c2VySWQiOiIyNzY5MzU0OTIifQ==</vt:lpwstr>
  </property>
</Properties>
</file>