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EA7893">
      <w:pPr>
        <w:snapToGrid w:val="0"/>
        <w:spacing w:after="120" w:line="540" w:lineRule="exact"/>
        <w:jc w:val="left"/>
        <w:rPr>
          <w:rFonts w:ascii="宋体" w:hAnsi="宋体"/>
          <w:color w:val="auto"/>
          <w:sz w:val="44"/>
          <w:highlight w:val="none"/>
        </w:rPr>
      </w:pPr>
    </w:p>
    <w:p w14:paraId="0078FB31">
      <w:pPr>
        <w:snapToGrid w:val="0"/>
        <w:spacing w:line="360" w:lineRule="auto"/>
        <w:jc w:val="center"/>
        <w:rPr>
          <w:rStyle w:val="42"/>
          <w:color w:val="auto"/>
          <w:sz w:val="36"/>
          <w:szCs w:val="36"/>
          <w:highlight w:val="none"/>
        </w:rPr>
      </w:pPr>
      <w:r>
        <w:rPr>
          <w:rFonts w:hint="eastAsia" w:ascii="宋体" w:hAnsi="宋体"/>
          <w:b/>
          <w:color w:val="auto"/>
          <w:sz w:val="52"/>
          <w:szCs w:val="52"/>
          <w:highlight w:val="none"/>
        </w:rPr>
        <w:t xml:space="preserve">招 标 </w:t>
      </w:r>
      <w:r>
        <w:rPr>
          <w:rFonts w:ascii="宋体" w:hAnsi="宋体"/>
          <w:b/>
          <w:color w:val="auto"/>
          <w:sz w:val="52"/>
          <w:szCs w:val="52"/>
          <w:highlight w:val="none"/>
        </w:rPr>
        <w:t>文</w:t>
      </w:r>
      <w:r>
        <w:rPr>
          <w:rFonts w:hint="eastAsia" w:ascii="宋体" w:hAnsi="宋体"/>
          <w:b/>
          <w:color w:val="auto"/>
          <w:sz w:val="52"/>
          <w:szCs w:val="52"/>
          <w:highlight w:val="none"/>
        </w:rPr>
        <w:t xml:space="preserve"> </w:t>
      </w:r>
      <w:r>
        <w:rPr>
          <w:rFonts w:ascii="宋体" w:hAnsi="宋体"/>
          <w:b/>
          <w:color w:val="auto"/>
          <w:sz w:val="52"/>
          <w:szCs w:val="52"/>
          <w:highlight w:val="none"/>
        </w:rPr>
        <w:t>件</w:t>
      </w:r>
    </w:p>
    <w:p w14:paraId="447AC5C2">
      <w:pPr>
        <w:snapToGrid w:val="0"/>
        <w:jc w:val="center"/>
        <w:rPr>
          <w:rStyle w:val="42"/>
          <w:rFonts w:cs="仿宋"/>
          <w:b w:val="0"/>
          <w:bCs/>
          <w:color w:val="auto"/>
          <w:highlight w:val="none"/>
        </w:rPr>
      </w:pPr>
    </w:p>
    <w:p w14:paraId="5D401254">
      <w:pPr>
        <w:snapToGrid w:val="0"/>
        <w:jc w:val="center"/>
        <w:rPr>
          <w:rStyle w:val="42"/>
          <w:rFonts w:cs="仿宋"/>
          <w:b w:val="0"/>
          <w:bCs/>
          <w:color w:val="auto"/>
          <w:highlight w:val="none"/>
        </w:rPr>
      </w:pPr>
    </w:p>
    <w:p w14:paraId="7E3B7F92">
      <w:pPr>
        <w:snapToGrid w:val="0"/>
        <w:spacing w:line="480" w:lineRule="auto"/>
        <w:ind w:left="1439" w:leftChars="114" w:hanging="1200" w:hangingChars="500"/>
        <w:rPr>
          <w:rStyle w:val="40"/>
          <w:rFonts w:hint="eastAsia" w:ascii="宋体" w:hAnsi="宋体" w:eastAsia="宋体"/>
          <w:bCs/>
          <w:color w:val="auto"/>
          <w:sz w:val="24"/>
          <w:highlight w:val="none"/>
          <w:lang w:eastAsia="zh-CN"/>
        </w:rPr>
      </w:pPr>
      <w:r>
        <w:rPr>
          <w:rStyle w:val="40"/>
          <w:rFonts w:hint="eastAsia" w:ascii="宋体" w:hAnsi="宋体"/>
          <w:bCs/>
          <w:color w:val="auto"/>
          <w:sz w:val="24"/>
          <w:highlight w:val="none"/>
        </w:rPr>
        <w:t>项目名称：</w:t>
      </w:r>
      <w:r>
        <w:rPr>
          <w:rStyle w:val="40"/>
          <w:rFonts w:hint="eastAsia" w:ascii="宋体" w:hAnsi="宋体"/>
          <w:bCs/>
          <w:color w:val="auto"/>
          <w:sz w:val="24"/>
          <w:highlight w:val="none"/>
          <w:lang w:eastAsia="zh-CN"/>
        </w:rPr>
        <w:t>乌鲁木齐市市场监督管理局（乌鲁木齐市知识产权局）2026年乌鲁木齐市食品安全监督抽检服务项目</w:t>
      </w:r>
    </w:p>
    <w:p w14:paraId="0BD9E759">
      <w:pPr>
        <w:pStyle w:val="2"/>
        <w:spacing w:before="159" w:line="227" w:lineRule="auto"/>
        <w:ind w:firstLine="240" w:firstLineChars="100"/>
        <w:rPr>
          <w:rFonts w:hint="default" w:eastAsia="宋体"/>
          <w:color w:val="auto"/>
          <w:sz w:val="23"/>
          <w:szCs w:val="23"/>
          <w:highlight w:val="none"/>
          <w:lang w:val="en-US" w:eastAsia="zh-CN"/>
        </w:rPr>
      </w:pPr>
      <w:r>
        <w:rPr>
          <w:rStyle w:val="40"/>
          <w:rFonts w:hint="eastAsia" w:ascii="宋体" w:hAnsi="宋体"/>
          <w:bCs/>
          <w:color w:val="auto"/>
          <w:sz w:val="24"/>
          <w:highlight w:val="none"/>
        </w:rPr>
        <w:t>项目编号：</w:t>
      </w:r>
      <w:r>
        <w:rPr>
          <w:rStyle w:val="40"/>
          <w:rFonts w:hint="eastAsia" w:ascii="宋体" w:hAnsi="宋体" w:eastAsia="宋体" w:cs="Times New Roman"/>
          <w:bCs/>
          <w:color w:val="auto"/>
          <w:kern w:val="2"/>
          <w:sz w:val="24"/>
          <w:szCs w:val="24"/>
          <w:highlight w:val="none"/>
          <w:lang w:val="en-US" w:eastAsia="zh-CN" w:bidi="ar-SA"/>
        </w:rPr>
        <w:t>ZYCX-2026-008</w:t>
      </w:r>
    </w:p>
    <w:p w14:paraId="16E65F2C">
      <w:pPr>
        <w:snapToGrid w:val="0"/>
        <w:spacing w:line="480" w:lineRule="auto"/>
        <w:ind w:firstLine="357"/>
        <w:rPr>
          <w:rStyle w:val="40"/>
          <w:rFonts w:hint="eastAsia" w:ascii="宋体" w:hAnsi="宋体" w:eastAsia="宋体"/>
          <w:bCs/>
          <w:color w:val="auto"/>
          <w:sz w:val="24"/>
          <w:highlight w:val="none"/>
          <w:lang w:eastAsia="zh-CN"/>
        </w:rPr>
      </w:pPr>
    </w:p>
    <w:p w14:paraId="74E63A97">
      <w:pPr>
        <w:snapToGrid w:val="0"/>
        <w:spacing w:line="480" w:lineRule="auto"/>
        <w:ind w:firstLine="357"/>
        <w:rPr>
          <w:rStyle w:val="40"/>
          <w:rFonts w:hint="eastAsia" w:ascii="宋体" w:hAnsi="宋体" w:eastAsia="宋体"/>
          <w:bCs/>
          <w:color w:val="auto"/>
          <w:sz w:val="24"/>
          <w:highlight w:val="none"/>
          <w:lang w:eastAsia="zh-CN"/>
        </w:rPr>
      </w:pPr>
      <w:r>
        <w:rPr>
          <w:rStyle w:val="40"/>
          <w:rFonts w:hint="eastAsia" w:ascii="宋体" w:hAnsi="宋体"/>
          <w:bCs/>
          <w:color w:val="auto"/>
          <w:sz w:val="24"/>
          <w:highlight w:val="none"/>
        </w:rPr>
        <w:t>采购人（盖章）:</w:t>
      </w:r>
      <w:r>
        <w:rPr>
          <w:rStyle w:val="40"/>
          <w:rFonts w:hint="eastAsia" w:ascii="宋体" w:hAnsi="宋体"/>
          <w:bCs/>
          <w:color w:val="auto"/>
          <w:sz w:val="24"/>
          <w:highlight w:val="none"/>
          <w:lang w:eastAsia="zh-CN"/>
        </w:rPr>
        <w:t>乌鲁木齐市市场监督管理局（乌鲁木齐市知识产权局）</w:t>
      </w:r>
    </w:p>
    <w:p w14:paraId="2747EB04">
      <w:pPr>
        <w:snapToGrid w:val="0"/>
        <w:spacing w:line="480" w:lineRule="auto"/>
        <w:ind w:firstLine="357"/>
        <w:rPr>
          <w:rStyle w:val="40"/>
          <w:rFonts w:ascii="宋体" w:hAnsi="宋体"/>
          <w:bCs/>
          <w:color w:val="auto"/>
          <w:sz w:val="24"/>
          <w:highlight w:val="none"/>
        </w:rPr>
      </w:pPr>
      <w:r>
        <w:rPr>
          <w:rStyle w:val="40"/>
          <w:rFonts w:hint="eastAsia" w:ascii="宋体" w:hAnsi="宋体"/>
          <w:bCs/>
          <w:color w:val="auto"/>
          <w:sz w:val="24"/>
          <w:highlight w:val="none"/>
        </w:rPr>
        <w:t>法定代表人（签章）:/</w:t>
      </w:r>
    </w:p>
    <w:p w14:paraId="2ABACB5D">
      <w:pPr>
        <w:snapToGrid w:val="0"/>
        <w:spacing w:line="480" w:lineRule="auto"/>
        <w:ind w:firstLine="357"/>
        <w:rPr>
          <w:rStyle w:val="40"/>
          <w:rFonts w:hint="eastAsia" w:ascii="宋体" w:hAnsi="宋体"/>
          <w:bCs/>
          <w:color w:val="auto"/>
          <w:sz w:val="24"/>
          <w:highlight w:val="none"/>
          <w:lang w:val="en-US" w:eastAsia="zh-CN"/>
        </w:rPr>
      </w:pPr>
      <w:r>
        <w:rPr>
          <w:rStyle w:val="40"/>
          <w:rFonts w:hint="eastAsia" w:ascii="宋体" w:hAnsi="宋体"/>
          <w:bCs/>
          <w:color w:val="auto"/>
          <w:sz w:val="24"/>
          <w:highlight w:val="none"/>
          <w:lang w:eastAsia="zh-CN"/>
        </w:rPr>
        <w:t>联系人：</w:t>
      </w:r>
      <w:r>
        <w:rPr>
          <w:rStyle w:val="40"/>
          <w:rFonts w:hint="eastAsia" w:ascii="宋体" w:hAnsi="宋体"/>
          <w:bCs/>
          <w:color w:val="auto"/>
          <w:sz w:val="24"/>
          <w:highlight w:val="none"/>
          <w:lang w:val="en-US" w:eastAsia="zh-CN"/>
        </w:rPr>
        <w:t>魏老师</w:t>
      </w:r>
    </w:p>
    <w:p w14:paraId="04FAE51D">
      <w:pPr>
        <w:snapToGrid w:val="0"/>
        <w:spacing w:line="480" w:lineRule="auto"/>
        <w:ind w:firstLine="357"/>
        <w:rPr>
          <w:rStyle w:val="40"/>
          <w:rFonts w:hint="eastAsia" w:ascii="宋体" w:hAnsi="宋体"/>
          <w:bCs/>
          <w:color w:val="auto"/>
          <w:sz w:val="24"/>
          <w:highlight w:val="none"/>
          <w:lang w:eastAsia="zh-CN"/>
        </w:rPr>
      </w:pPr>
      <w:r>
        <w:rPr>
          <w:rStyle w:val="40"/>
          <w:rFonts w:hint="eastAsia" w:ascii="宋体" w:hAnsi="宋体"/>
          <w:bCs/>
          <w:color w:val="auto"/>
          <w:sz w:val="24"/>
          <w:highlight w:val="none"/>
          <w:lang w:eastAsia="zh-CN"/>
        </w:rPr>
        <w:t>电话：</w:t>
      </w:r>
      <w:r>
        <w:rPr>
          <w:rStyle w:val="40"/>
          <w:rFonts w:hint="eastAsia" w:ascii="宋体" w:hAnsi="宋体"/>
          <w:bCs/>
          <w:color w:val="auto"/>
          <w:sz w:val="24"/>
          <w:highlight w:val="none"/>
          <w:lang w:val="en-US" w:eastAsia="zh-CN"/>
        </w:rPr>
        <w:t xml:space="preserve"> 0991-2827623 </w:t>
      </w:r>
    </w:p>
    <w:p w14:paraId="40BD4478">
      <w:pPr>
        <w:snapToGrid w:val="0"/>
        <w:spacing w:line="480" w:lineRule="auto"/>
        <w:ind w:firstLine="357"/>
        <w:rPr>
          <w:rStyle w:val="40"/>
          <w:rFonts w:hint="eastAsia" w:ascii="宋体" w:hAnsi="宋体" w:eastAsia="宋体"/>
          <w:bCs/>
          <w:color w:val="auto"/>
          <w:sz w:val="24"/>
          <w:highlight w:val="none"/>
          <w:lang w:eastAsia="zh-CN"/>
        </w:rPr>
      </w:pPr>
      <w:r>
        <w:rPr>
          <w:rStyle w:val="40"/>
          <w:rFonts w:hint="eastAsia" w:ascii="宋体" w:hAnsi="宋体"/>
          <w:bCs/>
          <w:color w:val="auto"/>
          <w:sz w:val="24"/>
          <w:highlight w:val="none"/>
        </w:rPr>
        <w:t>详细地址：</w:t>
      </w:r>
      <w:r>
        <w:rPr>
          <w:rStyle w:val="40"/>
          <w:rFonts w:hint="eastAsia" w:ascii="宋体" w:hAnsi="宋体"/>
          <w:bCs/>
          <w:color w:val="auto"/>
          <w:sz w:val="24"/>
          <w:highlight w:val="none"/>
          <w:lang w:eastAsia="zh-CN"/>
        </w:rPr>
        <w:t>乌鲁木齐市天山区中山路33号</w:t>
      </w:r>
    </w:p>
    <w:p w14:paraId="5740A236">
      <w:pPr>
        <w:snapToGrid w:val="0"/>
        <w:spacing w:line="480" w:lineRule="auto"/>
        <w:ind w:firstLine="357"/>
        <w:rPr>
          <w:rStyle w:val="40"/>
          <w:rFonts w:ascii="宋体" w:hAnsi="宋体"/>
          <w:bCs/>
          <w:color w:val="auto"/>
          <w:sz w:val="24"/>
          <w:highlight w:val="none"/>
        </w:rPr>
      </w:pPr>
    </w:p>
    <w:p w14:paraId="2C2329C8">
      <w:pPr>
        <w:snapToGrid w:val="0"/>
        <w:spacing w:line="480" w:lineRule="auto"/>
        <w:ind w:firstLine="357"/>
        <w:rPr>
          <w:rStyle w:val="40"/>
          <w:rFonts w:ascii="宋体" w:hAnsi="宋体"/>
          <w:bCs/>
          <w:color w:val="auto"/>
          <w:sz w:val="24"/>
          <w:highlight w:val="none"/>
        </w:rPr>
      </w:pPr>
    </w:p>
    <w:p w14:paraId="240925A9">
      <w:pPr>
        <w:snapToGrid w:val="0"/>
        <w:spacing w:line="480" w:lineRule="auto"/>
        <w:ind w:firstLine="357"/>
        <w:rPr>
          <w:rStyle w:val="40"/>
          <w:rFonts w:hint="eastAsia" w:ascii="宋体" w:hAnsi="宋体" w:eastAsia="宋体"/>
          <w:bCs/>
          <w:color w:val="auto"/>
          <w:sz w:val="24"/>
          <w:highlight w:val="none"/>
          <w:lang w:eastAsia="zh-CN"/>
        </w:rPr>
      </w:pPr>
      <w:r>
        <w:rPr>
          <w:rStyle w:val="40"/>
          <w:rFonts w:hint="eastAsia" w:ascii="宋体" w:hAnsi="宋体"/>
          <w:bCs/>
          <w:color w:val="auto"/>
          <w:sz w:val="24"/>
          <w:highlight w:val="none"/>
        </w:rPr>
        <w:t>采购代理机构</w:t>
      </w:r>
      <w:r>
        <w:rPr>
          <w:rStyle w:val="40"/>
          <w:rFonts w:ascii="宋体" w:hAnsi="宋体"/>
          <w:bCs/>
          <w:color w:val="auto"/>
          <w:sz w:val="24"/>
          <w:highlight w:val="none"/>
        </w:rPr>
        <w:t>（盖章）:</w:t>
      </w:r>
      <w:r>
        <w:rPr>
          <w:rStyle w:val="40"/>
          <w:rFonts w:hint="eastAsia" w:ascii="宋体" w:hAnsi="宋体"/>
          <w:bCs/>
          <w:color w:val="auto"/>
          <w:sz w:val="24"/>
          <w:highlight w:val="none"/>
          <w:lang w:eastAsia="zh-CN"/>
        </w:rPr>
        <w:t>新疆志远诚信建设项目管理有限公司</w:t>
      </w:r>
    </w:p>
    <w:p w14:paraId="73D520F0">
      <w:pPr>
        <w:snapToGrid w:val="0"/>
        <w:spacing w:line="480" w:lineRule="auto"/>
        <w:ind w:firstLine="357"/>
        <w:rPr>
          <w:rStyle w:val="40"/>
          <w:rFonts w:ascii="宋体" w:hAnsi="宋体"/>
          <w:bCs/>
          <w:color w:val="auto"/>
          <w:sz w:val="24"/>
          <w:highlight w:val="none"/>
        </w:rPr>
      </w:pPr>
      <w:r>
        <w:rPr>
          <w:rStyle w:val="40"/>
          <w:rFonts w:ascii="宋体" w:hAnsi="宋体"/>
          <w:bCs/>
          <w:color w:val="auto"/>
          <w:spacing w:val="35"/>
          <w:kern w:val="0"/>
          <w:sz w:val="24"/>
          <w:highlight w:val="none"/>
        </w:rPr>
        <w:t>法定代表</w:t>
      </w:r>
      <w:r>
        <w:rPr>
          <w:rStyle w:val="40"/>
          <w:rFonts w:ascii="宋体" w:hAnsi="宋体"/>
          <w:bCs/>
          <w:color w:val="auto"/>
          <w:spacing w:val="3"/>
          <w:kern w:val="0"/>
          <w:sz w:val="24"/>
          <w:highlight w:val="none"/>
        </w:rPr>
        <w:t>人</w:t>
      </w:r>
      <w:r>
        <w:rPr>
          <w:rStyle w:val="40"/>
          <w:rFonts w:ascii="宋体" w:hAnsi="宋体"/>
          <w:bCs/>
          <w:color w:val="auto"/>
          <w:sz w:val="24"/>
          <w:highlight w:val="none"/>
        </w:rPr>
        <w:t>（盖章）:</w:t>
      </w:r>
    </w:p>
    <w:p w14:paraId="5B6119D2">
      <w:pPr>
        <w:snapToGrid w:val="0"/>
        <w:spacing w:line="480" w:lineRule="auto"/>
        <w:ind w:firstLine="357"/>
        <w:rPr>
          <w:rStyle w:val="40"/>
          <w:rFonts w:ascii="宋体" w:hAnsi="宋体"/>
          <w:bCs/>
          <w:color w:val="auto"/>
          <w:sz w:val="24"/>
          <w:highlight w:val="none"/>
        </w:rPr>
      </w:pPr>
      <w:r>
        <w:rPr>
          <w:rStyle w:val="40"/>
          <w:rFonts w:ascii="宋体" w:hAnsi="宋体"/>
          <w:bCs/>
          <w:color w:val="auto"/>
          <w:spacing w:val="35"/>
          <w:kern w:val="0"/>
          <w:sz w:val="24"/>
          <w:highlight w:val="none"/>
        </w:rPr>
        <w:t>项</w:t>
      </w:r>
      <w:r>
        <w:rPr>
          <w:rStyle w:val="40"/>
          <w:rFonts w:hint="eastAsia" w:ascii="宋体" w:hAnsi="宋体"/>
          <w:bCs/>
          <w:color w:val="auto"/>
          <w:spacing w:val="35"/>
          <w:kern w:val="0"/>
          <w:sz w:val="24"/>
          <w:highlight w:val="none"/>
        </w:rPr>
        <w:t xml:space="preserve"> </w:t>
      </w:r>
      <w:r>
        <w:rPr>
          <w:rStyle w:val="40"/>
          <w:rFonts w:ascii="宋体" w:hAnsi="宋体"/>
          <w:bCs/>
          <w:color w:val="auto"/>
          <w:spacing w:val="35"/>
          <w:kern w:val="0"/>
          <w:sz w:val="24"/>
          <w:highlight w:val="none"/>
        </w:rPr>
        <w:t>目</w:t>
      </w:r>
      <w:r>
        <w:rPr>
          <w:rStyle w:val="40"/>
          <w:rFonts w:hint="eastAsia" w:ascii="宋体" w:hAnsi="宋体"/>
          <w:bCs/>
          <w:color w:val="auto"/>
          <w:spacing w:val="35"/>
          <w:kern w:val="0"/>
          <w:sz w:val="24"/>
          <w:highlight w:val="none"/>
        </w:rPr>
        <w:t xml:space="preserve"> 联系人</w:t>
      </w:r>
      <w:r>
        <w:rPr>
          <w:rStyle w:val="40"/>
          <w:rFonts w:ascii="宋体" w:hAnsi="宋体"/>
          <w:bCs/>
          <w:color w:val="auto"/>
          <w:sz w:val="24"/>
          <w:highlight w:val="none"/>
        </w:rPr>
        <w:t>：</w:t>
      </w:r>
      <w:r>
        <w:rPr>
          <w:rStyle w:val="40"/>
          <w:rFonts w:hint="eastAsia" w:ascii="宋体" w:hAnsi="宋体"/>
          <w:bCs/>
          <w:color w:val="auto"/>
          <w:sz w:val="24"/>
          <w:highlight w:val="none"/>
          <w:lang w:val="en-US" w:eastAsia="zh-CN"/>
        </w:rPr>
        <w:t>金慧玲、孙培欣</w:t>
      </w:r>
    </w:p>
    <w:p w14:paraId="71BBB756">
      <w:pPr>
        <w:snapToGrid w:val="0"/>
        <w:spacing w:line="480" w:lineRule="auto"/>
        <w:ind w:firstLine="357"/>
        <w:rPr>
          <w:rStyle w:val="40"/>
          <w:rFonts w:ascii="宋体" w:hAnsi="宋体"/>
          <w:bCs/>
          <w:color w:val="auto"/>
          <w:sz w:val="24"/>
          <w:highlight w:val="none"/>
        </w:rPr>
      </w:pPr>
      <w:r>
        <w:rPr>
          <w:rStyle w:val="40"/>
          <w:rFonts w:ascii="宋体" w:hAnsi="宋体"/>
          <w:bCs/>
          <w:color w:val="auto"/>
          <w:spacing w:val="560"/>
          <w:kern w:val="0"/>
          <w:sz w:val="24"/>
          <w:highlight w:val="none"/>
        </w:rPr>
        <w:t>电</w:t>
      </w:r>
      <w:r>
        <w:rPr>
          <w:rStyle w:val="40"/>
          <w:rFonts w:ascii="宋体" w:hAnsi="宋体"/>
          <w:bCs/>
          <w:color w:val="auto"/>
          <w:kern w:val="0"/>
          <w:sz w:val="24"/>
          <w:highlight w:val="none"/>
        </w:rPr>
        <w:t>话</w:t>
      </w:r>
      <w:r>
        <w:rPr>
          <w:rStyle w:val="40"/>
          <w:rFonts w:ascii="宋体" w:hAnsi="宋体"/>
          <w:bCs/>
          <w:color w:val="auto"/>
          <w:sz w:val="24"/>
          <w:highlight w:val="none"/>
        </w:rPr>
        <w:t>：</w:t>
      </w:r>
      <w:r>
        <w:rPr>
          <w:rStyle w:val="40"/>
          <w:rFonts w:hint="eastAsia" w:ascii="宋体" w:hAnsi="宋体"/>
          <w:bCs/>
          <w:color w:val="auto"/>
          <w:sz w:val="24"/>
          <w:highlight w:val="none"/>
          <w:lang w:val="en-US" w:eastAsia="zh-CN"/>
        </w:rPr>
        <w:t>18146929703</w:t>
      </w:r>
    </w:p>
    <w:p w14:paraId="717EABC1">
      <w:pPr>
        <w:snapToGrid w:val="0"/>
        <w:spacing w:line="480" w:lineRule="auto"/>
        <w:ind w:firstLine="357"/>
        <w:rPr>
          <w:rStyle w:val="40"/>
          <w:rFonts w:hint="eastAsia" w:ascii="宋体" w:hAnsi="宋体" w:eastAsia="宋体"/>
          <w:bCs/>
          <w:color w:val="auto"/>
          <w:sz w:val="24"/>
          <w:highlight w:val="none"/>
          <w:lang w:eastAsia="zh-CN"/>
        </w:rPr>
      </w:pPr>
      <w:r>
        <w:rPr>
          <w:rStyle w:val="40"/>
          <w:rFonts w:ascii="宋体" w:hAnsi="宋体"/>
          <w:bCs/>
          <w:color w:val="auto"/>
          <w:spacing w:val="93"/>
          <w:kern w:val="0"/>
          <w:sz w:val="24"/>
          <w:highlight w:val="none"/>
        </w:rPr>
        <w:t>详细地</w:t>
      </w:r>
      <w:r>
        <w:rPr>
          <w:rStyle w:val="40"/>
          <w:rFonts w:ascii="宋体" w:hAnsi="宋体"/>
          <w:bCs/>
          <w:color w:val="auto"/>
          <w:spacing w:val="1"/>
          <w:kern w:val="0"/>
          <w:sz w:val="24"/>
          <w:highlight w:val="none"/>
        </w:rPr>
        <w:t>址</w:t>
      </w:r>
      <w:r>
        <w:rPr>
          <w:rStyle w:val="40"/>
          <w:rFonts w:hint="eastAsia" w:ascii="宋体" w:hAnsi="宋体"/>
          <w:bCs/>
          <w:color w:val="auto"/>
          <w:spacing w:val="1"/>
          <w:kern w:val="0"/>
          <w:sz w:val="24"/>
          <w:highlight w:val="none"/>
        </w:rPr>
        <w:t>：</w:t>
      </w:r>
      <w:r>
        <w:rPr>
          <w:rStyle w:val="40"/>
          <w:rFonts w:hint="eastAsia" w:ascii="宋体" w:hAnsi="宋体"/>
          <w:bCs/>
          <w:color w:val="auto"/>
          <w:sz w:val="24"/>
          <w:highlight w:val="none"/>
          <w:lang w:eastAsia="zh-CN"/>
        </w:rPr>
        <w:t>乌鲁木齐市红光山路2588号绿地商务中心智海楼606室</w:t>
      </w:r>
    </w:p>
    <w:p w14:paraId="3980BE46">
      <w:pPr>
        <w:pStyle w:val="2"/>
        <w:rPr>
          <w:rStyle w:val="40"/>
          <w:rFonts w:ascii="宋体" w:hAnsi="宋体"/>
          <w:bCs/>
          <w:color w:val="auto"/>
          <w:sz w:val="24"/>
          <w:highlight w:val="none"/>
        </w:rPr>
      </w:pPr>
    </w:p>
    <w:p w14:paraId="12ECC109">
      <w:pPr>
        <w:snapToGrid w:val="0"/>
        <w:spacing w:after="120" w:line="540" w:lineRule="exact"/>
        <w:ind w:firstLine="437"/>
        <w:jc w:val="center"/>
        <w:rPr>
          <w:rFonts w:ascii="宋体" w:hAnsi="宋体"/>
          <w:color w:val="auto"/>
          <w:sz w:val="44"/>
          <w:highlight w:val="none"/>
        </w:rPr>
      </w:pPr>
    </w:p>
    <w:p w14:paraId="2B45EF7C">
      <w:pPr>
        <w:snapToGrid w:val="0"/>
        <w:spacing w:after="120" w:line="540" w:lineRule="exact"/>
        <w:ind w:firstLine="437"/>
        <w:jc w:val="center"/>
        <w:rPr>
          <w:rFonts w:ascii="宋体" w:hAnsi="宋体"/>
          <w:color w:val="auto"/>
          <w:sz w:val="44"/>
          <w:highlight w:val="none"/>
        </w:rPr>
      </w:pPr>
    </w:p>
    <w:p w14:paraId="0205FBFA">
      <w:pPr>
        <w:spacing w:line="500" w:lineRule="exact"/>
        <w:jc w:val="center"/>
        <w:rPr>
          <w:rFonts w:hint="eastAsia" w:ascii="宋体" w:hAnsi="宋体" w:eastAsia="宋体" w:cs="宋体"/>
          <w:b/>
          <w:color w:val="auto"/>
          <w:sz w:val="24"/>
          <w:szCs w:val="24"/>
          <w:highlight w:val="none"/>
        </w:rPr>
      </w:pPr>
      <w:bookmarkStart w:id="0" w:name="_Toc31371"/>
      <w:r>
        <w:rPr>
          <w:rFonts w:hint="eastAsia" w:ascii="宋体" w:hAnsi="宋体" w:eastAsia="宋体" w:cs="宋体"/>
          <w:b/>
          <w:color w:val="auto"/>
          <w:sz w:val="24"/>
          <w:szCs w:val="24"/>
          <w:highlight w:val="none"/>
        </w:rPr>
        <w:t>目    录</w:t>
      </w:r>
      <w:bookmarkEnd w:id="0"/>
    </w:p>
    <w:p w14:paraId="089C63A0">
      <w:pPr>
        <w:pStyle w:val="21"/>
        <w:tabs>
          <w:tab w:val="right" w:leader="dot" w:pos="8959"/>
        </w:tabs>
        <w:rPr>
          <w:rFonts w:hint="eastAsia" w:ascii="宋体" w:hAnsi="宋体" w:eastAsia="宋体" w:cs="宋体"/>
          <w:color w:val="auto"/>
          <w:sz w:val="24"/>
          <w:szCs w:val="24"/>
          <w:highlight w:val="none"/>
        </w:rPr>
      </w:pPr>
    </w:p>
    <w:p w14:paraId="377F654B">
      <w:pPr>
        <w:pStyle w:val="21"/>
        <w:tabs>
          <w:tab w:val="right" w:leader="dot" w:pos="895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"_Toc3427"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第一章  招标公告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_Toc3427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91CAA04">
      <w:pPr>
        <w:pStyle w:val="21"/>
        <w:tabs>
          <w:tab w:val="right" w:leader="dot" w:pos="895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"_Toc28983"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第二章  投标人须知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_Toc28983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85020D1">
      <w:pPr>
        <w:pStyle w:val="21"/>
        <w:tabs>
          <w:tab w:val="right" w:leader="dot" w:pos="895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"_Toc21780"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第三章  投标文件格式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_Toc21780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25A1EB0">
      <w:pPr>
        <w:pStyle w:val="21"/>
        <w:tabs>
          <w:tab w:val="right" w:leader="dot" w:pos="895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"_Toc20068"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 xml:space="preserve">第四章  </w:t>
      </w:r>
      <w:r>
        <w:rPr>
          <w:rFonts w:hint="eastAsia" w:ascii="宋体" w:hAnsi="宋体" w:cs="宋体"/>
          <w:bCs/>
          <w:color w:val="auto"/>
          <w:sz w:val="24"/>
          <w:szCs w:val="24"/>
          <w:highlight w:val="none"/>
          <w:lang w:eastAsia="zh-CN"/>
        </w:rPr>
        <w:t>项目服务需求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_Toc20068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2B95146">
      <w:pPr>
        <w:pStyle w:val="21"/>
        <w:tabs>
          <w:tab w:val="right" w:leader="dot" w:pos="895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"_Toc15082"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第五章  评标办法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_Toc15082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3091203">
      <w:pPr>
        <w:pStyle w:val="21"/>
        <w:tabs>
          <w:tab w:val="right" w:leader="dot" w:pos="895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"_Toc22113"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第六章  拟签订的合同文本</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_Toc22113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269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6D5212C">
      <w:pPr>
        <w:pStyle w:val="2"/>
        <w:spacing w:after="0" w:line="500" w:lineRule="exact"/>
        <w:rPr>
          <w:rFonts w:ascii="宋体" w:hAnsi="宋体" w:cs="宋体"/>
          <w:color w:val="auto"/>
          <w:sz w:val="24"/>
          <w:highlight w:val="none"/>
        </w:rPr>
      </w:pPr>
      <w:r>
        <w:rPr>
          <w:rFonts w:hint="eastAsia" w:ascii="宋体" w:hAnsi="宋体" w:eastAsia="宋体" w:cs="宋体"/>
          <w:color w:val="auto"/>
          <w:sz w:val="24"/>
          <w:szCs w:val="24"/>
          <w:highlight w:val="none"/>
        </w:rPr>
        <w:fldChar w:fldCharType="end"/>
      </w:r>
    </w:p>
    <w:p w14:paraId="00D3742F">
      <w:pPr>
        <w:ind w:firstLine="480" w:firstLineChars="200"/>
        <w:rPr>
          <w:rFonts w:ascii="宋体" w:hAnsi="宋体" w:cs="宋体"/>
          <w:bCs/>
          <w:color w:val="auto"/>
          <w:sz w:val="24"/>
          <w:highlight w:val="none"/>
        </w:rPr>
      </w:pPr>
    </w:p>
    <w:p w14:paraId="2691E812">
      <w:pPr>
        <w:pStyle w:val="3"/>
        <w:spacing w:line="360" w:lineRule="exact"/>
        <w:rPr>
          <w:rFonts w:ascii="宋体" w:hAnsi="宋体" w:cs="宋体"/>
          <w:bCs w:val="0"/>
          <w:color w:val="auto"/>
          <w:sz w:val="24"/>
          <w:szCs w:val="24"/>
          <w:highlight w:val="none"/>
        </w:rPr>
        <w:sectPr>
          <w:headerReference r:id="rId3" w:type="default"/>
          <w:pgSz w:w="11907" w:h="16840"/>
          <w:pgMar w:top="1440" w:right="1080" w:bottom="1440" w:left="1080" w:header="851" w:footer="992" w:gutter="0"/>
          <w:pgNumType w:start="1"/>
          <w:cols w:space="720" w:num="1"/>
          <w:docGrid w:linePitch="312" w:charSpace="0"/>
        </w:sectPr>
      </w:pPr>
    </w:p>
    <w:p w14:paraId="3561ED49">
      <w:pPr>
        <w:pStyle w:val="3"/>
        <w:pageBreakBefore w:val="0"/>
        <w:widowControl w:val="0"/>
        <w:kinsoku/>
        <w:wordWrap/>
        <w:overflowPunct/>
        <w:topLinePunct w:val="0"/>
        <w:autoSpaceDE/>
        <w:autoSpaceDN/>
        <w:bidi w:val="0"/>
        <w:adjustRightInd/>
        <w:snapToGrid/>
        <w:spacing w:before="312" w:beforeLines="100" w:after="312" w:afterLines="100" w:line="400" w:lineRule="exact"/>
        <w:jc w:val="center"/>
        <w:textAlignment w:val="auto"/>
        <w:rPr>
          <w:rFonts w:hint="eastAsia" w:ascii="宋体" w:hAnsi="宋体" w:eastAsia="宋体" w:cs="宋体"/>
          <w:bCs w:val="0"/>
          <w:color w:val="auto"/>
          <w:sz w:val="24"/>
          <w:szCs w:val="24"/>
          <w:highlight w:val="none"/>
        </w:rPr>
      </w:pPr>
      <w:bookmarkStart w:id="1" w:name="_Toc647_WPSOffice_Level1"/>
      <w:bookmarkStart w:id="2" w:name="_Toc3427"/>
      <w:r>
        <w:rPr>
          <w:rFonts w:hint="eastAsia" w:ascii="宋体" w:hAnsi="宋体" w:eastAsia="宋体" w:cs="宋体"/>
          <w:bCs w:val="0"/>
          <w:color w:val="auto"/>
          <w:sz w:val="24"/>
          <w:szCs w:val="24"/>
          <w:highlight w:val="none"/>
        </w:rPr>
        <w:t xml:space="preserve">第一章  </w:t>
      </w:r>
      <w:bookmarkEnd w:id="1"/>
      <w:r>
        <w:rPr>
          <w:rFonts w:hint="eastAsia" w:ascii="宋体" w:hAnsi="宋体" w:eastAsia="宋体" w:cs="宋体"/>
          <w:bCs w:val="0"/>
          <w:color w:val="auto"/>
          <w:sz w:val="24"/>
          <w:szCs w:val="24"/>
          <w:highlight w:val="none"/>
        </w:rPr>
        <w:t>招标公告</w:t>
      </w:r>
      <w:bookmarkEnd w:id="2"/>
    </w:p>
    <w:p w14:paraId="539ABD5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00" w:lineRule="exact"/>
        <w:ind w:firstLine="480" w:firstLineChars="200"/>
        <w:jc w:val="center"/>
        <w:textAlignment w:val="auto"/>
        <w:rPr>
          <w:rFonts w:hint="eastAsia" w:ascii="宋体" w:hAnsi="宋体" w:eastAsia="宋体" w:cs="宋体"/>
          <w:color w:val="auto"/>
          <w:sz w:val="24"/>
          <w:szCs w:val="24"/>
          <w:highlight w:val="none"/>
        </w:rPr>
      </w:pPr>
      <w:bookmarkStart w:id="3" w:name="_Toc856_WPSOffice_Level1"/>
      <w:bookmarkStart w:id="4" w:name="_Toc213396945"/>
      <w:bookmarkStart w:id="5" w:name="_Toc213397009"/>
      <w:bookmarkStart w:id="6" w:name="_Toc213496267"/>
      <w:bookmarkStart w:id="7" w:name="_Toc213396759"/>
      <w:bookmarkStart w:id="8" w:name="_Toc217446031"/>
      <w:r>
        <w:rPr>
          <w:rFonts w:hint="eastAsia" w:ascii="宋体" w:hAnsi="宋体" w:eastAsia="宋体" w:cs="宋体"/>
          <w:color w:val="auto"/>
          <w:sz w:val="24"/>
          <w:szCs w:val="24"/>
          <w:highlight w:val="none"/>
        </w:rPr>
        <w:t>项目概况</w:t>
      </w:r>
    </w:p>
    <w:p w14:paraId="2F67951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乌鲁木齐市市场监督管理局（乌鲁木齐市知识产权局）2026年乌鲁木齐市食品安全监督抽检服务项目</w:t>
      </w:r>
      <w:r>
        <w:rPr>
          <w:rFonts w:hint="eastAsia" w:ascii="宋体" w:hAnsi="宋体" w:eastAsia="宋体" w:cs="宋体"/>
          <w:color w:val="auto"/>
          <w:sz w:val="24"/>
          <w:szCs w:val="24"/>
          <w:highlight w:val="none"/>
        </w:rPr>
        <w:t xml:space="preserve"> 招标项目的潜在投标人应在</w:t>
      </w:r>
      <w:r>
        <w:rPr>
          <w:rFonts w:hint="eastAsia" w:ascii="宋体" w:hAnsi="宋体" w:eastAsia="宋体" w:cs="宋体"/>
          <w:bCs/>
          <w:color w:val="auto"/>
          <w:sz w:val="24"/>
          <w:szCs w:val="24"/>
          <w:highlight w:val="none"/>
          <w:u w:val="single"/>
        </w:rPr>
        <w:t>新疆政府采购云平台https://www.zcygov.cn/</w:t>
      </w:r>
      <w:r>
        <w:rPr>
          <w:rFonts w:hint="eastAsia" w:ascii="宋体" w:hAnsi="宋体" w:eastAsia="宋体" w:cs="宋体"/>
          <w:color w:val="auto"/>
          <w:sz w:val="24"/>
          <w:szCs w:val="24"/>
          <w:highlight w:val="none"/>
        </w:rPr>
        <w:t>获取招标文件，并于</w:t>
      </w:r>
      <w:r>
        <w:rPr>
          <w:rFonts w:hint="eastAsia" w:ascii="宋体" w:hAnsi="宋体" w:cs="宋体"/>
          <w:color w:val="auto"/>
          <w:sz w:val="24"/>
          <w:szCs w:val="24"/>
          <w:highlight w:val="none"/>
          <w:u w:val="single"/>
          <w:lang w:eastAsia="zh-CN"/>
        </w:rPr>
        <w:t>2026年</w:t>
      </w:r>
      <w:r>
        <w:rPr>
          <w:rFonts w:hint="eastAsia" w:ascii="宋体" w:hAnsi="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lang w:eastAsia="zh-CN"/>
        </w:rPr>
        <w:t>月</w:t>
      </w:r>
      <w:r>
        <w:rPr>
          <w:rFonts w:hint="eastAsia" w:ascii="宋体" w:hAnsi="宋体" w:cs="宋体"/>
          <w:color w:val="auto"/>
          <w:sz w:val="24"/>
          <w:szCs w:val="24"/>
          <w:highlight w:val="none"/>
          <w:u w:val="single"/>
          <w:lang w:val="en-US" w:eastAsia="zh-CN"/>
        </w:rPr>
        <w:t>21</w:t>
      </w:r>
      <w:r>
        <w:rPr>
          <w:rFonts w:hint="eastAsia" w:ascii="宋体" w:hAnsi="宋体" w:eastAsia="宋体" w:cs="宋体"/>
          <w:color w:val="auto"/>
          <w:sz w:val="24"/>
          <w:szCs w:val="24"/>
          <w:highlight w:val="none"/>
          <w:u w:val="single"/>
          <w:lang w:eastAsia="zh-CN"/>
        </w:rPr>
        <w:t>日</w:t>
      </w:r>
      <w:r>
        <w:rPr>
          <w:rFonts w:hint="eastAsia" w:ascii="宋体" w:hAnsi="宋体" w:eastAsia="宋体" w:cs="宋体"/>
          <w:color w:val="auto"/>
          <w:sz w:val="24"/>
          <w:szCs w:val="24"/>
          <w:highlight w:val="none"/>
          <w:u w:val="single"/>
        </w:rPr>
        <w:t>11点00分</w:t>
      </w:r>
      <w:r>
        <w:rPr>
          <w:rFonts w:hint="eastAsia" w:ascii="宋体" w:hAnsi="宋体" w:eastAsia="宋体" w:cs="宋体"/>
          <w:bCs/>
          <w:color w:val="auto"/>
          <w:sz w:val="24"/>
          <w:szCs w:val="24"/>
          <w:highlight w:val="none"/>
          <w:u w:val="single"/>
        </w:rPr>
        <w:t>（</w:t>
      </w:r>
      <w:r>
        <w:rPr>
          <w:rFonts w:hint="eastAsia" w:ascii="宋体" w:hAnsi="宋体" w:eastAsia="宋体" w:cs="宋体"/>
          <w:bCs/>
          <w:color w:val="auto"/>
          <w:sz w:val="24"/>
          <w:szCs w:val="24"/>
          <w:highlight w:val="none"/>
        </w:rPr>
        <w:t>北京时间）前</w:t>
      </w:r>
      <w:r>
        <w:rPr>
          <w:rFonts w:hint="eastAsia" w:ascii="宋体" w:hAnsi="宋体" w:cs="宋体"/>
          <w:bCs/>
          <w:color w:val="auto"/>
          <w:sz w:val="24"/>
          <w:szCs w:val="24"/>
          <w:highlight w:val="none"/>
          <w:lang w:eastAsia="zh-CN"/>
        </w:rPr>
        <w:t>上传</w:t>
      </w:r>
      <w:r>
        <w:rPr>
          <w:rFonts w:hint="eastAsia" w:ascii="宋体" w:hAnsi="宋体" w:eastAsia="宋体" w:cs="宋体"/>
          <w:bCs/>
          <w:color w:val="auto"/>
          <w:sz w:val="24"/>
          <w:szCs w:val="24"/>
          <w:highlight w:val="none"/>
        </w:rPr>
        <w:t>投标文件</w:t>
      </w:r>
      <w:r>
        <w:rPr>
          <w:rFonts w:hint="eastAsia" w:ascii="宋体" w:hAnsi="宋体" w:eastAsia="宋体" w:cs="宋体"/>
          <w:color w:val="auto"/>
          <w:sz w:val="24"/>
          <w:szCs w:val="24"/>
          <w:highlight w:val="none"/>
        </w:rPr>
        <w:t>。</w:t>
      </w:r>
    </w:p>
    <w:p w14:paraId="44C3FA99">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lang w:eastAsia="zh-CN"/>
        </w:rPr>
      </w:pPr>
      <w:bookmarkStart w:id="9" w:name="_Toc35393791"/>
      <w:bookmarkStart w:id="10" w:name="_Toc28359003"/>
      <w:bookmarkStart w:id="11" w:name="_Toc35393622"/>
      <w:bookmarkStart w:id="12" w:name="_Toc28359080"/>
      <w:r>
        <w:rPr>
          <w:rFonts w:hint="eastAsia" w:ascii="宋体" w:hAnsi="宋体" w:eastAsia="宋体" w:cs="宋体"/>
          <w:b w:val="0"/>
          <w:bCs/>
          <w:color w:val="auto"/>
          <w:sz w:val="24"/>
          <w:szCs w:val="24"/>
          <w:highlight w:val="none"/>
          <w:shd w:val="clear" w:color="auto" w:fill="auto"/>
        </w:rPr>
        <w:t>一、项目基本情况</w:t>
      </w:r>
      <w:r>
        <w:rPr>
          <w:rFonts w:hint="eastAsia" w:ascii="宋体" w:hAnsi="宋体" w:eastAsia="宋体" w:cs="宋体"/>
          <w:b w:val="0"/>
          <w:bCs/>
          <w:color w:val="auto"/>
          <w:sz w:val="24"/>
          <w:szCs w:val="24"/>
          <w:highlight w:val="none"/>
          <w:shd w:val="clear" w:color="auto" w:fill="auto"/>
          <w:lang w:eastAsia="zh-CN"/>
        </w:rPr>
        <w:t>：</w:t>
      </w:r>
    </w:p>
    <w:p w14:paraId="49BD04BC">
      <w:pPr>
        <w:pStyle w:val="2"/>
        <w:spacing w:before="159" w:line="227" w:lineRule="auto"/>
        <w:ind w:left="504"/>
        <w:rPr>
          <w:rFonts w:hint="default" w:ascii="宋体" w:hAnsi="宋体" w:eastAsia="宋体" w:cs="宋体"/>
          <w:b w:val="0"/>
          <w:bCs/>
          <w:color w:val="auto"/>
          <w:sz w:val="24"/>
          <w:szCs w:val="24"/>
          <w:highlight w:val="none"/>
          <w:shd w:val="clear" w:color="auto" w:fill="auto"/>
          <w:lang w:val="en-US"/>
        </w:rPr>
      </w:pPr>
      <w:r>
        <w:rPr>
          <w:rFonts w:hint="eastAsia" w:ascii="宋体" w:hAnsi="宋体" w:eastAsia="宋体" w:cs="宋体"/>
          <w:b w:val="0"/>
          <w:bCs/>
          <w:color w:val="auto"/>
          <w:sz w:val="24"/>
          <w:szCs w:val="24"/>
          <w:highlight w:val="none"/>
          <w:shd w:val="clear" w:color="auto" w:fill="auto"/>
        </w:rPr>
        <w:t>项目编号：</w:t>
      </w:r>
      <w:r>
        <w:rPr>
          <w:rFonts w:hint="eastAsia"/>
          <w:color w:val="auto"/>
          <w:sz w:val="23"/>
          <w:szCs w:val="23"/>
          <w:highlight w:val="none"/>
          <w:lang w:eastAsia="zh-CN"/>
        </w:rPr>
        <w:t>ZYCX-2026-00</w:t>
      </w:r>
      <w:r>
        <w:rPr>
          <w:rFonts w:hint="eastAsia"/>
          <w:color w:val="auto"/>
          <w:sz w:val="23"/>
          <w:szCs w:val="23"/>
          <w:highlight w:val="none"/>
          <w:lang w:val="en-US" w:eastAsia="zh-CN"/>
        </w:rPr>
        <w:t>8</w:t>
      </w:r>
    </w:p>
    <w:p w14:paraId="15113309">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cs="宋体"/>
          <w:color w:val="auto"/>
          <w:sz w:val="24"/>
          <w:szCs w:val="24"/>
          <w:highlight w:val="none"/>
          <w:u w:val="none"/>
          <w:lang w:eastAsia="zh-CN"/>
        </w:rPr>
      </w:pPr>
      <w:r>
        <w:rPr>
          <w:rFonts w:hint="eastAsia" w:ascii="宋体" w:hAnsi="宋体" w:eastAsia="宋体" w:cs="宋体"/>
          <w:b w:val="0"/>
          <w:bCs/>
          <w:color w:val="auto"/>
          <w:sz w:val="24"/>
          <w:szCs w:val="24"/>
          <w:highlight w:val="none"/>
          <w:shd w:val="clear" w:color="auto" w:fill="auto"/>
        </w:rPr>
        <w:t>项目名称：</w:t>
      </w:r>
      <w:r>
        <w:rPr>
          <w:rFonts w:hint="eastAsia" w:hAnsi="宋体" w:cs="宋体"/>
          <w:color w:val="auto"/>
          <w:sz w:val="24"/>
          <w:szCs w:val="24"/>
          <w:highlight w:val="none"/>
          <w:u w:val="none"/>
          <w:lang w:eastAsia="zh-CN"/>
        </w:rPr>
        <w:t>乌鲁木齐市市场监督管理局（乌鲁木齐市知识产权局）2026年乌鲁木齐市食品安全监督抽检服务项目</w:t>
      </w:r>
    </w:p>
    <w:p w14:paraId="6CAB8A27">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default" w:ascii="宋体"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采购方式：</w:t>
      </w:r>
      <w:r>
        <w:rPr>
          <w:rFonts w:hint="eastAsia" w:hAnsi="宋体" w:cs="宋体"/>
          <w:b w:val="0"/>
          <w:bCs/>
          <w:color w:val="auto"/>
          <w:sz w:val="24"/>
          <w:szCs w:val="24"/>
          <w:highlight w:val="none"/>
          <w:shd w:val="clear" w:color="auto" w:fill="auto"/>
          <w:lang w:val="en-US" w:eastAsia="zh-CN"/>
        </w:rPr>
        <w:t>公开招标</w:t>
      </w:r>
    </w:p>
    <w:p w14:paraId="423F2443">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default"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预算金额（元）：</w:t>
      </w:r>
      <w:r>
        <w:rPr>
          <w:rFonts w:hint="eastAsia" w:hAnsi="宋体" w:cs="宋体"/>
          <w:b w:val="0"/>
          <w:bCs/>
          <w:color w:val="auto"/>
          <w:sz w:val="24"/>
          <w:szCs w:val="24"/>
          <w:highlight w:val="none"/>
          <w:shd w:val="clear" w:color="auto" w:fill="auto"/>
          <w:lang w:val="en-US" w:eastAsia="zh-CN"/>
        </w:rPr>
        <w:t>8800000.00</w:t>
      </w:r>
    </w:p>
    <w:p w14:paraId="44D210BB">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hAnsi="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最高限价（元）：</w:t>
      </w:r>
      <w:r>
        <w:rPr>
          <w:rFonts w:hint="eastAsia" w:hAnsi="宋体" w:cs="宋体"/>
          <w:b w:val="0"/>
          <w:bCs/>
          <w:color w:val="auto"/>
          <w:sz w:val="24"/>
          <w:szCs w:val="24"/>
          <w:highlight w:val="none"/>
          <w:shd w:val="clear" w:color="auto" w:fill="auto"/>
          <w:lang w:val="en-US" w:eastAsia="zh-CN"/>
        </w:rPr>
        <w:t>标项一：1160600.00，标项二：818000.00</w:t>
      </w:r>
      <w:r>
        <w:rPr>
          <w:rFonts w:hint="eastAsia" w:hAnsi="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en-US" w:eastAsia="zh-CN" w:bidi="ar-SA"/>
        </w:rPr>
        <w:t>，标项三</w:t>
      </w:r>
      <w:r>
        <w:rPr>
          <w:rFonts w:hint="eastAsia" w:hAnsi="宋体" w:cs="宋体"/>
          <w:color w:val="auto"/>
          <w:kern w:val="2"/>
          <w:sz w:val="24"/>
          <w:szCs w:val="24"/>
          <w:highlight w:val="none"/>
          <w:lang w:val="en-US" w:eastAsia="zh-CN" w:bidi="ar-SA"/>
        </w:rPr>
        <w:t>：1067600.00， 标项四：1511748</w:t>
      </w:r>
      <w:r>
        <w:rPr>
          <w:rFonts w:hint="eastAsia" w:hAnsi="宋体" w:cs="宋体"/>
          <w:b w:val="0"/>
          <w:bCs/>
          <w:color w:val="auto"/>
          <w:sz w:val="24"/>
          <w:szCs w:val="24"/>
          <w:highlight w:val="none"/>
          <w:shd w:val="clear" w:color="auto" w:fill="auto"/>
          <w:lang w:val="en-US" w:eastAsia="zh-CN"/>
        </w:rPr>
        <w:t>.00</w:t>
      </w:r>
      <w:r>
        <w:rPr>
          <w:rFonts w:hint="eastAsia" w:hAnsi="宋体" w:cs="宋体"/>
          <w:color w:val="auto"/>
          <w:kern w:val="2"/>
          <w:sz w:val="24"/>
          <w:szCs w:val="24"/>
          <w:highlight w:val="none"/>
          <w:lang w:val="en-US" w:eastAsia="zh-CN" w:bidi="ar-SA"/>
        </w:rPr>
        <w:t>，标项五：1182632.00</w:t>
      </w:r>
      <w:r>
        <w:rPr>
          <w:rFonts w:hint="eastAsia" w:hAnsi="宋体" w:cs="宋体"/>
          <w:b w:val="0"/>
          <w:bCs/>
          <w:color w:val="auto"/>
          <w:sz w:val="24"/>
          <w:szCs w:val="24"/>
          <w:highlight w:val="none"/>
          <w:shd w:val="clear" w:color="auto" w:fill="auto"/>
          <w:lang w:val="en-US" w:eastAsia="zh-CN"/>
        </w:rPr>
        <w:t>，标项六：1027600.00，</w:t>
      </w:r>
    </w:p>
    <w:p w14:paraId="69426E30">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default" w:hAnsi="宋体" w:cs="宋体"/>
          <w:b w:val="0"/>
          <w:bCs/>
          <w:color w:val="auto"/>
          <w:sz w:val="24"/>
          <w:szCs w:val="24"/>
          <w:highlight w:val="none"/>
          <w:shd w:val="clear" w:color="auto" w:fill="auto"/>
          <w:lang w:val="en-US" w:eastAsia="zh-CN"/>
        </w:rPr>
      </w:pPr>
      <w:r>
        <w:rPr>
          <w:rFonts w:hint="eastAsia" w:hAnsi="宋体" w:cs="宋体"/>
          <w:color w:val="auto"/>
          <w:kern w:val="2"/>
          <w:sz w:val="24"/>
          <w:szCs w:val="24"/>
          <w:highlight w:val="none"/>
          <w:lang w:val="en-US" w:eastAsia="zh-CN" w:bidi="ar-SA"/>
        </w:rPr>
        <w:t>标项七：</w:t>
      </w:r>
      <w:r>
        <w:rPr>
          <w:rFonts w:hint="eastAsia" w:hAnsi="宋体" w:cs="宋体"/>
          <w:b w:val="0"/>
          <w:bCs/>
          <w:color w:val="auto"/>
          <w:sz w:val="24"/>
          <w:szCs w:val="24"/>
          <w:highlight w:val="none"/>
          <w:shd w:val="clear" w:color="auto" w:fill="auto"/>
          <w:lang w:val="en-US" w:eastAsia="zh-CN"/>
        </w:rPr>
        <w:t>1029000.00，标项八：1002820.00</w:t>
      </w:r>
    </w:p>
    <w:p w14:paraId="22291568">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采购需求：</w:t>
      </w:r>
      <w:bookmarkStart w:id="171" w:name="_GoBack"/>
      <w:bookmarkEnd w:id="171"/>
    </w:p>
    <w:p w14:paraId="7334D79B">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标项一</w:t>
      </w:r>
    </w:p>
    <w:p w14:paraId="216B92AB">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cs="宋体"/>
          <w:color w:val="auto"/>
          <w:sz w:val="24"/>
          <w:szCs w:val="24"/>
          <w:highlight w:val="none"/>
          <w:u w:val="single"/>
          <w:lang w:eastAsia="zh-CN"/>
        </w:rPr>
      </w:pPr>
      <w:r>
        <w:rPr>
          <w:rFonts w:hint="eastAsia" w:ascii="宋体" w:hAnsi="宋体" w:eastAsia="宋体" w:cs="宋体"/>
          <w:b w:val="0"/>
          <w:bCs/>
          <w:color w:val="auto"/>
          <w:sz w:val="24"/>
          <w:szCs w:val="24"/>
          <w:highlight w:val="none"/>
          <w:shd w:val="clear" w:color="auto" w:fill="auto"/>
        </w:rPr>
        <w:t xml:space="preserve">   标项名称:</w:t>
      </w:r>
      <w:r>
        <w:rPr>
          <w:rFonts w:hint="eastAsia" w:hAnsi="宋体" w:cs="宋体"/>
          <w:color w:val="auto"/>
          <w:sz w:val="24"/>
          <w:szCs w:val="24"/>
          <w:highlight w:val="none"/>
          <w:u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val="en-US" w:eastAsia="zh-CN"/>
        </w:rPr>
        <w:t>标项一</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 xml:space="preserve"> </w:t>
      </w:r>
    </w:p>
    <w:p w14:paraId="28AB255F">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lang w:eastAsia="zh-CN"/>
        </w:rPr>
      </w:pPr>
      <w:r>
        <w:rPr>
          <w:rFonts w:hint="eastAsia" w:ascii="宋体" w:hAnsi="宋体" w:eastAsia="宋体" w:cs="宋体"/>
          <w:b w:val="0"/>
          <w:bCs/>
          <w:color w:val="auto"/>
          <w:sz w:val="24"/>
          <w:szCs w:val="24"/>
          <w:highlight w:val="none"/>
          <w:shd w:val="clear" w:color="auto" w:fill="auto"/>
        </w:rPr>
        <w:t xml:space="preserve">   数量:</w:t>
      </w:r>
      <w:r>
        <w:rPr>
          <w:rFonts w:hint="eastAsia" w:hAnsi="宋体" w:cs="宋体"/>
          <w:b w:val="0"/>
          <w:bCs/>
          <w:color w:val="auto"/>
          <w:sz w:val="24"/>
          <w:szCs w:val="24"/>
          <w:highlight w:val="none"/>
          <w:shd w:val="clear" w:color="auto" w:fill="auto"/>
          <w:lang w:val="en-US" w:eastAsia="zh-CN"/>
        </w:rPr>
        <w:t>1</w:t>
      </w:r>
    </w:p>
    <w:p w14:paraId="7092B133">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hAnsi="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 xml:space="preserve">   预算金额（元）:</w:t>
      </w:r>
      <w:r>
        <w:rPr>
          <w:rFonts w:hint="eastAsia" w:hAnsi="宋体" w:cs="宋体"/>
          <w:b w:val="0"/>
          <w:bCs/>
          <w:color w:val="auto"/>
          <w:sz w:val="24"/>
          <w:szCs w:val="24"/>
          <w:highlight w:val="none"/>
          <w:shd w:val="clear" w:color="auto" w:fill="auto"/>
          <w:lang w:val="en-US" w:eastAsia="zh-CN"/>
        </w:rPr>
        <w:t xml:space="preserve"> 1160600.00</w:t>
      </w:r>
    </w:p>
    <w:p w14:paraId="19B9A7B8">
      <w:pPr>
        <w:pStyle w:val="29"/>
        <w:spacing w:line="480" w:lineRule="exact"/>
        <w:ind w:firstLine="480"/>
        <w:rPr>
          <w:rFonts w:hint="default" w:ascii="宋体"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 xml:space="preserve">   简要规格描述或项目基本概况介绍、用途：</w:t>
      </w:r>
      <w:r>
        <w:rPr>
          <w:rFonts w:hint="eastAsia" w:ascii="宋体" w:hAnsi="宋体" w:cs="宋体"/>
          <w:color w:val="auto"/>
          <w:kern w:val="2"/>
          <w:sz w:val="24"/>
          <w:szCs w:val="24"/>
          <w:highlight w:val="none"/>
          <w:lang w:val="en-US" w:eastAsia="zh-CN" w:bidi="ar-SA"/>
        </w:rPr>
        <w:t>2026年乌鲁木齐市市场监督管理局餐饮省抽829批次，详见招标文件“</w:t>
      </w:r>
      <w:r>
        <w:rPr>
          <w:rFonts w:hint="eastAsia" w:ascii="宋体" w:hAnsi="宋体" w:eastAsia="宋体" w:cs="宋体"/>
          <w:bCs/>
          <w:color w:val="auto"/>
          <w:sz w:val="24"/>
          <w:szCs w:val="24"/>
          <w:highlight w:val="none"/>
        </w:rPr>
        <w:t xml:space="preserve">第四章  </w:t>
      </w:r>
      <w:r>
        <w:rPr>
          <w:rFonts w:hint="eastAsia" w:ascii="宋体" w:hAnsi="宋体" w:cs="宋体"/>
          <w:bCs/>
          <w:color w:val="auto"/>
          <w:sz w:val="24"/>
          <w:szCs w:val="24"/>
          <w:highlight w:val="none"/>
          <w:lang w:eastAsia="zh-CN"/>
        </w:rPr>
        <w:t>项目服务需求”</w:t>
      </w:r>
    </w:p>
    <w:p w14:paraId="1B09353C">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标项二</w:t>
      </w:r>
    </w:p>
    <w:p w14:paraId="715BB134">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 xml:space="preserve">   标项名称:</w:t>
      </w:r>
      <w:r>
        <w:rPr>
          <w:rFonts w:hint="eastAsia" w:hAnsi="宋体" w:cs="宋体"/>
          <w:color w:val="auto"/>
          <w:sz w:val="24"/>
          <w:szCs w:val="24"/>
          <w:highlight w:val="none"/>
          <w:u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val="en-US" w:eastAsia="zh-CN"/>
        </w:rPr>
        <w:t>标项二</w:t>
      </w:r>
      <w:r>
        <w:rPr>
          <w:rFonts w:hint="eastAsia" w:hAnsi="宋体" w:cs="宋体"/>
          <w:color w:val="auto"/>
          <w:sz w:val="24"/>
          <w:szCs w:val="24"/>
          <w:highlight w:val="none"/>
          <w:u w:val="none"/>
          <w:lang w:eastAsia="zh-CN"/>
        </w:rPr>
        <w:t>）</w:t>
      </w:r>
      <w:r>
        <w:rPr>
          <w:rFonts w:hint="eastAsia" w:hAnsi="宋体" w:cs="宋体"/>
          <w:color w:val="auto"/>
          <w:kern w:val="2"/>
          <w:sz w:val="24"/>
          <w:szCs w:val="24"/>
          <w:highlight w:val="none"/>
          <w:lang w:val="en-US" w:eastAsia="zh-CN" w:bidi="ar-SA"/>
        </w:rPr>
        <w:t xml:space="preserve"> </w:t>
      </w:r>
      <w:r>
        <w:rPr>
          <w:rFonts w:hint="eastAsia" w:ascii="宋体" w:hAnsi="宋体" w:eastAsia="宋体" w:cs="宋体"/>
          <w:b w:val="0"/>
          <w:bCs/>
          <w:color w:val="auto"/>
          <w:sz w:val="24"/>
          <w:szCs w:val="24"/>
          <w:highlight w:val="none"/>
          <w:shd w:val="clear" w:color="auto" w:fill="auto"/>
        </w:rPr>
        <w:t xml:space="preserve">   </w:t>
      </w:r>
    </w:p>
    <w:p w14:paraId="03B5ECEA">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数量:1</w:t>
      </w:r>
    </w:p>
    <w:p w14:paraId="60479F76">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hAnsi="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 xml:space="preserve">   预算金额（元）:</w:t>
      </w:r>
      <w:r>
        <w:rPr>
          <w:rFonts w:hint="eastAsia" w:hAnsi="宋体" w:cs="宋体"/>
          <w:color w:val="auto"/>
          <w:kern w:val="2"/>
          <w:sz w:val="24"/>
          <w:szCs w:val="24"/>
          <w:highlight w:val="none"/>
          <w:lang w:val="en-US" w:eastAsia="zh-CN" w:bidi="ar-SA"/>
        </w:rPr>
        <w:t xml:space="preserve"> </w:t>
      </w:r>
      <w:r>
        <w:rPr>
          <w:rFonts w:hint="eastAsia" w:hAnsi="宋体" w:cs="宋体"/>
          <w:b w:val="0"/>
          <w:bCs/>
          <w:color w:val="auto"/>
          <w:sz w:val="24"/>
          <w:szCs w:val="24"/>
          <w:highlight w:val="none"/>
          <w:shd w:val="clear" w:color="auto" w:fill="auto"/>
          <w:lang w:val="en-US" w:eastAsia="zh-CN"/>
        </w:rPr>
        <w:t>818000.00</w:t>
      </w:r>
    </w:p>
    <w:p w14:paraId="695647F3">
      <w:pPr>
        <w:ind w:firstLine="360" w:firstLineChars="150"/>
        <w:rPr>
          <w:rFonts w:hint="eastAsia" w:ascii="宋体" w:hAnsi="宋体" w:eastAsia="宋体" w:cs="宋体"/>
          <w:b w:val="0"/>
          <w:bCs/>
          <w:color w:val="auto"/>
          <w:kern w:val="0"/>
          <w:sz w:val="24"/>
          <w:szCs w:val="24"/>
          <w:highlight w:val="none"/>
          <w:shd w:val="clear" w:color="auto" w:fill="auto"/>
          <w:lang w:val="en-US" w:eastAsia="zh-CN" w:bidi="ar-SA"/>
        </w:rPr>
      </w:pPr>
      <w:r>
        <w:rPr>
          <w:rFonts w:hint="eastAsia" w:ascii="宋体" w:hAnsi="宋体" w:eastAsia="宋体" w:cs="宋体"/>
          <w:b w:val="0"/>
          <w:bCs/>
          <w:color w:val="auto"/>
          <w:sz w:val="24"/>
          <w:szCs w:val="24"/>
          <w:highlight w:val="none"/>
          <w:shd w:val="clear" w:color="auto" w:fill="auto"/>
        </w:rPr>
        <w:t xml:space="preserve">  </w:t>
      </w:r>
      <w:r>
        <w:rPr>
          <w:rFonts w:hint="eastAsia" w:ascii="宋体" w:hAnsi="宋体" w:eastAsia="宋体" w:cs="宋体"/>
          <w:b w:val="0"/>
          <w:bCs/>
          <w:color w:val="auto"/>
          <w:kern w:val="0"/>
          <w:sz w:val="24"/>
          <w:szCs w:val="24"/>
          <w:highlight w:val="none"/>
          <w:shd w:val="clear" w:color="auto" w:fill="auto"/>
          <w:lang w:val="en-US" w:eastAsia="zh-CN" w:bidi="ar-SA"/>
        </w:rPr>
        <w:t xml:space="preserve"> 简要规格描述或项目基本概况介绍、用途：</w:t>
      </w:r>
      <w:r>
        <w:rPr>
          <w:rFonts w:hint="default" w:ascii="宋体" w:hAnsi="宋体" w:eastAsia="宋体" w:cs="宋体"/>
          <w:b w:val="0"/>
          <w:bCs/>
          <w:color w:val="auto"/>
          <w:kern w:val="0"/>
          <w:sz w:val="24"/>
          <w:szCs w:val="24"/>
          <w:highlight w:val="none"/>
          <w:shd w:val="clear" w:color="auto" w:fill="auto"/>
          <w:lang w:val="en-US" w:eastAsia="zh-CN" w:bidi="ar-SA"/>
        </w:rPr>
        <w:t>食品生产企业（含小作坊省抽70批次</w:t>
      </w:r>
      <w:r>
        <w:rPr>
          <w:rFonts w:hint="eastAsia" w:ascii="宋体" w:hAnsi="宋体" w:eastAsia="宋体" w:cs="宋体"/>
          <w:b w:val="0"/>
          <w:bCs/>
          <w:color w:val="auto"/>
          <w:kern w:val="0"/>
          <w:sz w:val="24"/>
          <w:szCs w:val="24"/>
          <w:highlight w:val="none"/>
          <w:shd w:val="clear" w:color="auto" w:fill="auto"/>
          <w:lang w:val="en-US" w:eastAsia="zh-CN" w:bidi="ar-SA"/>
        </w:rPr>
        <w:t>，跟踪抽检120批次</w:t>
      </w:r>
      <w:r>
        <w:rPr>
          <w:rFonts w:hint="default" w:ascii="宋体" w:hAnsi="宋体" w:eastAsia="宋体" w:cs="宋体"/>
          <w:b w:val="0"/>
          <w:bCs/>
          <w:color w:val="auto"/>
          <w:kern w:val="0"/>
          <w:sz w:val="24"/>
          <w:szCs w:val="24"/>
          <w:highlight w:val="none"/>
          <w:shd w:val="clear" w:color="auto" w:fill="auto"/>
          <w:lang w:val="en-US" w:eastAsia="zh-CN" w:bidi="ar-SA"/>
        </w:rPr>
        <w:t>）</w:t>
      </w:r>
      <w:r>
        <w:rPr>
          <w:rFonts w:hint="eastAsia" w:ascii="宋体" w:hAnsi="宋体" w:eastAsia="宋体" w:cs="宋体"/>
          <w:b w:val="0"/>
          <w:bCs/>
          <w:color w:val="auto"/>
          <w:kern w:val="0"/>
          <w:sz w:val="24"/>
          <w:szCs w:val="24"/>
          <w:highlight w:val="none"/>
          <w:shd w:val="clear" w:color="auto" w:fill="auto"/>
          <w:lang w:val="en-US" w:eastAsia="zh-CN" w:bidi="ar-SA"/>
        </w:rPr>
        <w:t>409</w:t>
      </w:r>
      <w:r>
        <w:rPr>
          <w:rFonts w:hint="default" w:ascii="宋体" w:hAnsi="宋体" w:eastAsia="宋体" w:cs="宋体"/>
          <w:b w:val="0"/>
          <w:bCs/>
          <w:color w:val="auto"/>
          <w:kern w:val="0"/>
          <w:sz w:val="24"/>
          <w:szCs w:val="24"/>
          <w:highlight w:val="none"/>
          <w:shd w:val="clear" w:color="auto" w:fill="auto"/>
          <w:lang w:val="en-US" w:eastAsia="zh-CN" w:bidi="ar-SA"/>
        </w:rPr>
        <w:t>批次。</w:t>
      </w:r>
      <w:r>
        <w:rPr>
          <w:rFonts w:hint="eastAsia" w:ascii="宋体" w:hAnsi="宋体" w:eastAsia="宋体" w:cs="宋体"/>
          <w:b w:val="0"/>
          <w:bCs/>
          <w:color w:val="auto"/>
          <w:kern w:val="0"/>
          <w:sz w:val="24"/>
          <w:szCs w:val="24"/>
          <w:highlight w:val="none"/>
          <w:shd w:val="clear" w:color="auto" w:fill="auto"/>
          <w:lang w:val="en-US" w:eastAsia="zh-CN" w:bidi="ar-SA"/>
        </w:rPr>
        <w:t>详见招标文件“第四章  项目服务需求”</w:t>
      </w:r>
      <w:r>
        <w:rPr>
          <w:rFonts w:hint="eastAsia" w:ascii="宋体" w:hAnsi="宋体" w:cs="宋体"/>
          <w:b w:val="0"/>
          <w:bCs/>
          <w:color w:val="auto"/>
          <w:kern w:val="0"/>
          <w:sz w:val="24"/>
          <w:szCs w:val="24"/>
          <w:highlight w:val="none"/>
          <w:shd w:val="clear" w:color="auto" w:fill="auto"/>
          <w:lang w:val="en-US" w:eastAsia="zh-CN" w:bidi="ar-SA"/>
        </w:rPr>
        <w:t>。</w:t>
      </w:r>
    </w:p>
    <w:p w14:paraId="3DF9F3D5">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lang w:eastAsia="zh-CN"/>
        </w:rPr>
      </w:pP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三</w:t>
      </w:r>
    </w:p>
    <w:p w14:paraId="0AF0C30E">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 xml:space="preserve">   标项名称:</w:t>
      </w:r>
      <w:r>
        <w:rPr>
          <w:rFonts w:hint="eastAsia" w:hAnsi="宋体" w:cs="宋体"/>
          <w:color w:val="auto"/>
          <w:sz w:val="24"/>
          <w:szCs w:val="24"/>
          <w:highlight w:val="none"/>
          <w:u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val="en-US" w:eastAsia="zh-CN"/>
        </w:rPr>
        <w:t>标项三</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 xml:space="preserve"> </w:t>
      </w:r>
      <w:r>
        <w:rPr>
          <w:rFonts w:hint="eastAsia" w:ascii="宋体" w:hAnsi="宋体" w:eastAsia="宋体" w:cs="宋体"/>
          <w:b w:val="0"/>
          <w:bCs/>
          <w:color w:val="auto"/>
          <w:sz w:val="24"/>
          <w:szCs w:val="24"/>
          <w:highlight w:val="none"/>
          <w:shd w:val="clear" w:color="auto" w:fill="auto"/>
        </w:rPr>
        <w:t xml:space="preserve">   </w:t>
      </w:r>
    </w:p>
    <w:p w14:paraId="5BB0F6B2">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数量:1</w:t>
      </w:r>
    </w:p>
    <w:p w14:paraId="156CD1E4">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default" w:ascii="宋体"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 xml:space="preserve">   预算金额（元）:</w:t>
      </w:r>
      <w:r>
        <w:rPr>
          <w:rFonts w:hint="eastAsia" w:hAnsi="宋体" w:cs="宋体"/>
          <w:color w:val="auto"/>
          <w:kern w:val="2"/>
          <w:sz w:val="24"/>
          <w:szCs w:val="24"/>
          <w:highlight w:val="none"/>
          <w:lang w:val="en-US" w:eastAsia="zh-CN" w:bidi="ar-SA"/>
        </w:rPr>
        <w:t xml:space="preserve"> 1067600.00</w:t>
      </w:r>
    </w:p>
    <w:p w14:paraId="2A8F204D">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cs="宋体"/>
          <w:bCs/>
          <w:color w:val="auto"/>
          <w:sz w:val="24"/>
          <w:szCs w:val="24"/>
          <w:highlight w:val="none"/>
          <w:lang w:eastAsia="zh-CN"/>
        </w:rPr>
      </w:pPr>
      <w:r>
        <w:rPr>
          <w:rFonts w:hint="eastAsia" w:ascii="宋体" w:hAnsi="宋体" w:eastAsia="宋体" w:cs="宋体"/>
          <w:b w:val="0"/>
          <w:bCs/>
          <w:color w:val="auto"/>
          <w:sz w:val="24"/>
          <w:szCs w:val="24"/>
          <w:highlight w:val="none"/>
          <w:shd w:val="clear" w:color="auto" w:fill="auto"/>
        </w:rPr>
        <w:t xml:space="preserve">   简要规格描述或项目基本概况介绍、用途：</w:t>
      </w:r>
      <w:r>
        <w:rPr>
          <w:rFonts w:hint="eastAsia" w:hAnsi="宋体" w:cs="宋体"/>
          <w:color w:val="auto"/>
          <w:kern w:val="2"/>
          <w:sz w:val="24"/>
          <w:szCs w:val="24"/>
          <w:highlight w:val="none"/>
          <w:lang w:val="en-US" w:eastAsia="zh-CN" w:bidi="ar-SA"/>
        </w:rPr>
        <w:t>2026年乌鲁木齐市市场监督管理局食用农产品628批次</w:t>
      </w:r>
      <w:r>
        <w:rPr>
          <w:rFonts w:hint="eastAsia" w:ascii="宋体" w:hAnsi="宋体" w:cs="宋体"/>
          <w:color w:val="auto"/>
          <w:kern w:val="2"/>
          <w:sz w:val="24"/>
          <w:szCs w:val="24"/>
          <w:highlight w:val="none"/>
          <w:lang w:val="en-US" w:eastAsia="zh-CN" w:bidi="ar-SA"/>
        </w:rPr>
        <w:t>，详见招标文件“</w:t>
      </w:r>
      <w:r>
        <w:rPr>
          <w:rFonts w:hint="eastAsia" w:ascii="宋体" w:hAnsi="宋体" w:eastAsia="宋体" w:cs="宋体"/>
          <w:bCs/>
          <w:color w:val="auto"/>
          <w:sz w:val="24"/>
          <w:szCs w:val="24"/>
          <w:highlight w:val="none"/>
        </w:rPr>
        <w:t xml:space="preserve">第四章  </w:t>
      </w:r>
      <w:r>
        <w:rPr>
          <w:rFonts w:hint="eastAsia" w:hAnsi="宋体" w:cs="宋体"/>
          <w:bCs/>
          <w:color w:val="auto"/>
          <w:sz w:val="24"/>
          <w:szCs w:val="24"/>
          <w:highlight w:val="none"/>
          <w:lang w:eastAsia="zh-CN"/>
        </w:rPr>
        <w:t>项目服务需求</w:t>
      </w:r>
      <w:r>
        <w:rPr>
          <w:rFonts w:hint="eastAsia" w:ascii="宋体" w:hAnsi="宋体" w:cs="宋体"/>
          <w:bCs/>
          <w:color w:val="auto"/>
          <w:sz w:val="24"/>
          <w:szCs w:val="24"/>
          <w:highlight w:val="none"/>
          <w:lang w:eastAsia="zh-CN"/>
        </w:rPr>
        <w:t>”</w:t>
      </w:r>
    </w:p>
    <w:p w14:paraId="4A69C7FD">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lang w:eastAsia="zh-CN"/>
        </w:rPr>
      </w:pP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四</w:t>
      </w:r>
    </w:p>
    <w:p w14:paraId="009B0632">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 xml:space="preserve">   标项名称:</w:t>
      </w:r>
      <w:r>
        <w:rPr>
          <w:rFonts w:hint="eastAsia" w:hAnsi="宋体" w:cs="宋体"/>
          <w:color w:val="auto"/>
          <w:sz w:val="24"/>
          <w:szCs w:val="24"/>
          <w:highlight w:val="none"/>
          <w:u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val="en-US" w:eastAsia="zh-CN"/>
        </w:rPr>
        <w:t>标项四</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 xml:space="preserve"> </w:t>
      </w:r>
      <w:r>
        <w:rPr>
          <w:rFonts w:hint="eastAsia" w:ascii="宋体" w:hAnsi="宋体" w:eastAsia="宋体" w:cs="宋体"/>
          <w:b w:val="0"/>
          <w:bCs/>
          <w:color w:val="auto"/>
          <w:sz w:val="24"/>
          <w:szCs w:val="24"/>
          <w:highlight w:val="none"/>
          <w:shd w:val="clear" w:color="auto" w:fill="auto"/>
        </w:rPr>
        <w:t xml:space="preserve">   </w:t>
      </w:r>
    </w:p>
    <w:p w14:paraId="6503BAD3">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数量:1</w:t>
      </w:r>
    </w:p>
    <w:p w14:paraId="14EE7603">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default" w:ascii="宋体"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 xml:space="preserve">   预算金额（元）:</w:t>
      </w:r>
      <w:r>
        <w:rPr>
          <w:rFonts w:hint="eastAsia" w:hAnsi="宋体" w:cs="宋体"/>
          <w:color w:val="auto"/>
          <w:kern w:val="2"/>
          <w:sz w:val="24"/>
          <w:szCs w:val="24"/>
          <w:highlight w:val="none"/>
          <w:lang w:val="en-US" w:eastAsia="zh-CN" w:bidi="ar-SA"/>
        </w:rPr>
        <w:t>1511748</w:t>
      </w:r>
      <w:r>
        <w:rPr>
          <w:rFonts w:hint="eastAsia" w:hAnsi="宋体" w:cs="宋体"/>
          <w:b w:val="0"/>
          <w:bCs/>
          <w:color w:val="auto"/>
          <w:sz w:val="24"/>
          <w:szCs w:val="24"/>
          <w:highlight w:val="none"/>
          <w:shd w:val="clear" w:color="auto" w:fill="auto"/>
          <w:lang w:val="en-US" w:eastAsia="zh-CN"/>
        </w:rPr>
        <w:t>.00</w:t>
      </w:r>
    </w:p>
    <w:p w14:paraId="5E3ADE9A">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cs="宋体"/>
          <w:bCs/>
          <w:color w:val="auto"/>
          <w:sz w:val="24"/>
          <w:szCs w:val="24"/>
          <w:highlight w:val="none"/>
          <w:lang w:eastAsia="zh-CN"/>
        </w:rPr>
      </w:pPr>
      <w:r>
        <w:rPr>
          <w:rFonts w:hint="eastAsia" w:ascii="宋体" w:hAnsi="宋体" w:eastAsia="宋体" w:cs="宋体"/>
          <w:b w:val="0"/>
          <w:bCs/>
          <w:color w:val="auto"/>
          <w:sz w:val="24"/>
          <w:szCs w:val="24"/>
          <w:highlight w:val="none"/>
          <w:shd w:val="clear" w:color="auto" w:fill="auto"/>
        </w:rPr>
        <w:t xml:space="preserve">   简要规格描述或项目基本概况介绍、用途：</w:t>
      </w:r>
      <w:r>
        <w:rPr>
          <w:rFonts w:hint="eastAsia" w:hAnsi="宋体" w:cs="宋体"/>
          <w:color w:val="auto"/>
          <w:kern w:val="2"/>
          <w:sz w:val="24"/>
          <w:szCs w:val="24"/>
          <w:highlight w:val="none"/>
          <w:lang w:val="en-US" w:eastAsia="zh-CN" w:bidi="ar-SA"/>
        </w:rPr>
        <w:t>2026年乌鲁木齐市市场监督管理局网抽专项857批次</w:t>
      </w:r>
      <w:r>
        <w:rPr>
          <w:rFonts w:hint="eastAsia" w:ascii="宋体" w:hAnsi="宋体" w:cs="宋体"/>
          <w:color w:val="auto"/>
          <w:kern w:val="2"/>
          <w:sz w:val="24"/>
          <w:szCs w:val="24"/>
          <w:highlight w:val="none"/>
          <w:lang w:val="en-US" w:eastAsia="zh-CN" w:bidi="ar-SA"/>
        </w:rPr>
        <w:t>，详见招标文件“</w:t>
      </w:r>
      <w:r>
        <w:rPr>
          <w:rFonts w:hint="eastAsia" w:ascii="宋体" w:hAnsi="宋体" w:eastAsia="宋体" w:cs="宋体"/>
          <w:bCs/>
          <w:color w:val="auto"/>
          <w:sz w:val="24"/>
          <w:szCs w:val="24"/>
          <w:highlight w:val="none"/>
        </w:rPr>
        <w:t xml:space="preserve">第四章  </w:t>
      </w:r>
      <w:r>
        <w:rPr>
          <w:rFonts w:hint="eastAsia" w:hAnsi="宋体" w:cs="宋体"/>
          <w:bCs/>
          <w:color w:val="auto"/>
          <w:sz w:val="24"/>
          <w:szCs w:val="24"/>
          <w:highlight w:val="none"/>
          <w:lang w:eastAsia="zh-CN"/>
        </w:rPr>
        <w:t>项目服务需求</w:t>
      </w:r>
      <w:r>
        <w:rPr>
          <w:rFonts w:hint="eastAsia" w:ascii="宋体" w:hAnsi="宋体" w:cs="宋体"/>
          <w:bCs/>
          <w:color w:val="auto"/>
          <w:sz w:val="24"/>
          <w:szCs w:val="24"/>
          <w:highlight w:val="none"/>
          <w:lang w:eastAsia="zh-CN"/>
        </w:rPr>
        <w:t>”</w:t>
      </w:r>
    </w:p>
    <w:p w14:paraId="1E08C3EC">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lang w:eastAsia="zh-CN"/>
        </w:rPr>
      </w:pP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五</w:t>
      </w:r>
    </w:p>
    <w:p w14:paraId="473B7389">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 xml:space="preserve">   标项名称:</w:t>
      </w:r>
      <w:r>
        <w:rPr>
          <w:rFonts w:hint="eastAsia" w:hAnsi="宋体" w:cs="宋体"/>
          <w:color w:val="auto"/>
          <w:sz w:val="24"/>
          <w:szCs w:val="24"/>
          <w:highlight w:val="none"/>
          <w:u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val="en-US" w:eastAsia="zh-CN"/>
        </w:rPr>
        <w:t>标项五</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 xml:space="preserve"> </w:t>
      </w:r>
      <w:r>
        <w:rPr>
          <w:rFonts w:hint="eastAsia" w:ascii="宋体" w:hAnsi="宋体" w:eastAsia="宋体" w:cs="宋体"/>
          <w:b w:val="0"/>
          <w:bCs/>
          <w:color w:val="auto"/>
          <w:sz w:val="24"/>
          <w:szCs w:val="24"/>
          <w:highlight w:val="none"/>
          <w:shd w:val="clear" w:color="auto" w:fill="auto"/>
        </w:rPr>
        <w:t xml:space="preserve">   </w:t>
      </w:r>
    </w:p>
    <w:p w14:paraId="73994849">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数量:1</w:t>
      </w:r>
    </w:p>
    <w:p w14:paraId="56816675">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default" w:ascii="宋体"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 xml:space="preserve">   预算金额（元）:</w:t>
      </w:r>
      <w:r>
        <w:rPr>
          <w:rFonts w:hint="eastAsia" w:hAnsi="宋体" w:cs="宋体"/>
          <w:color w:val="auto"/>
          <w:kern w:val="2"/>
          <w:sz w:val="24"/>
          <w:szCs w:val="24"/>
          <w:highlight w:val="none"/>
          <w:lang w:val="en-US" w:eastAsia="zh-CN" w:bidi="ar-SA"/>
        </w:rPr>
        <w:t xml:space="preserve"> 1182632</w:t>
      </w:r>
      <w:r>
        <w:rPr>
          <w:rFonts w:hint="eastAsia" w:hAnsi="宋体" w:cs="宋体"/>
          <w:b w:val="0"/>
          <w:bCs/>
          <w:color w:val="auto"/>
          <w:sz w:val="24"/>
          <w:szCs w:val="24"/>
          <w:highlight w:val="none"/>
          <w:shd w:val="clear" w:color="auto" w:fill="auto"/>
          <w:lang w:val="en-US" w:eastAsia="zh-CN"/>
        </w:rPr>
        <w:t>.00</w:t>
      </w:r>
    </w:p>
    <w:p w14:paraId="7C026579">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cs="宋体"/>
          <w:bCs/>
          <w:color w:val="auto"/>
          <w:sz w:val="24"/>
          <w:szCs w:val="24"/>
          <w:highlight w:val="none"/>
          <w:lang w:eastAsia="zh-CN"/>
        </w:rPr>
      </w:pPr>
      <w:r>
        <w:rPr>
          <w:rFonts w:hint="eastAsia" w:ascii="宋体" w:hAnsi="宋体" w:eastAsia="宋体" w:cs="宋体"/>
          <w:b w:val="0"/>
          <w:bCs/>
          <w:color w:val="auto"/>
          <w:sz w:val="24"/>
          <w:szCs w:val="24"/>
          <w:highlight w:val="none"/>
          <w:shd w:val="clear" w:color="auto" w:fill="auto"/>
        </w:rPr>
        <w:t xml:space="preserve">   简要规格描述或项目基本概况介绍、用途：</w:t>
      </w:r>
      <w:r>
        <w:rPr>
          <w:rFonts w:hint="default" w:ascii="Times New Roman" w:hAnsi="Times New Roman" w:cs="Times New Roman"/>
          <w:color w:val="auto"/>
          <w:sz w:val="24"/>
          <w:highlight w:val="none"/>
        </w:rPr>
        <w:t>202</w:t>
      </w:r>
      <w:r>
        <w:rPr>
          <w:rFonts w:hint="default" w:ascii="Times New Roman" w:hAnsi="Times New Roman" w:cs="Times New Roman"/>
          <w:color w:val="auto"/>
          <w:sz w:val="24"/>
          <w:highlight w:val="none"/>
          <w:lang w:val="en-US" w:eastAsia="zh-CN"/>
        </w:rPr>
        <w:t>6年</w:t>
      </w:r>
      <w:r>
        <w:rPr>
          <w:rFonts w:hint="eastAsia" w:ascii="Times New Roman" w:hAnsi="Times New Roman" w:eastAsia="宋体" w:cs="Times New Roman"/>
          <w:color w:val="auto"/>
          <w:sz w:val="24"/>
          <w:szCs w:val="24"/>
          <w:highlight w:val="none"/>
          <w:lang w:eastAsia="zh-CN"/>
        </w:rPr>
        <w:t>乌鲁木齐市市场监督管理局（乌鲁木齐市知识产权局）</w:t>
      </w:r>
      <w:r>
        <w:rPr>
          <w:rFonts w:hint="default" w:ascii="Times New Roman" w:hAnsi="Times New Roman" w:eastAsia="宋体" w:cs="Times New Roman"/>
          <w:color w:val="auto"/>
          <w:sz w:val="24"/>
          <w:szCs w:val="24"/>
          <w:highlight w:val="none"/>
          <w:lang w:val="en-US" w:eastAsia="zh-CN"/>
        </w:rPr>
        <w:t>重大活动及</w:t>
      </w:r>
      <w:r>
        <w:rPr>
          <w:rFonts w:hint="default" w:ascii="Times New Roman" w:hAnsi="Times New Roman" w:eastAsia="宋体" w:cs="Times New Roman"/>
          <w:color w:val="auto"/>
          <w:kern w:val="0"/>
          <w:sz w:val="24"/>
          <w:szCs w:val="24"/>
          <w:highlight w:val="none"/>
        </w:rPr>
        <w:t>节日保障抽检</w:t>
      </w:r>
      <w:r>
        <w:rPr>
          <w:rFonts w:hint="default" w:ascii="Times New Roman" w:hAnsi="Times New Roman" w:cs="Times New Roman"/>
          <w:color w:val="auto"/>
          <w:kern w:val="0"/>
          <w:sz w:val="24"/>
          <w:highlight w:val="none"/>
          <w:lang w:val="en-US" w:eastAsia="zh-CN"/>
        </w:rPr>
        <w:t>580</w:t>
      </w:r>
      <w:r>
        <w:rPr>
          <w:rFonts w:hint="default" w:ascii="Times New Roman" w:hAnsi="Times New Roman" w:cs="Times New Roman"/>
          <w:color w:val="auto"/>
          <w:kern w:val="0"/>
          <w:sz w:val="24"/>
          <w:highlight w:val="none"/>
        </w:rPr>
        <w:t>批次，</w:t>
      </w:r>
      <w:r>
        <w:rPr>
          <w:rFonts w:hint="default" w:ascii="Times New Roman" w:hAnsi="Times New Roman" w:cs="Times New Roman"/>
          <w:color w:val="auto"/>
          <w:kern w:val="0"/>
          <w:sz w:val="24"/>
          <w:highlight w:val="none"/>
          <w:lang w:val="en-US" w:eastAsia="zh-CN"/>
        </w:rPr>
        <w:t>你点我检抽检161批次</w:t>
      </w:r>
      <w:r>
        <w:rPr>
          <w:rFonts w:hint="eastAsia" w:ascii="宋体" w:hAnsi="宋体" w:cs="宋体"/>
          <w:color w:val="auto"/>
          <w:kern w:val="2"/>
          <w:sz w:val="24"/>
          <w:szCs w:val="24"/>
          <w:highlight w:val="none"/>
          <w:lang w:val="en-US" w:eastAsia="zh-CN" w:bidi="ar-SA"/>
        </w:rPr>
        <w:t>，详见招标文件“</w:t>
      </w:r>
      <w:r>
        <w:rPr>
          <w:rFonts w:hint="eastAsia" w:ascii="宋体" w:hAnsi="宋体" w:eastAsia="宋体" w:cs="宋体"/>
          <w:bCs/>
          <w:color w:val="auto"/>
          <w:sz w:val="24"/>
          <w:szCs w:val="24"/>
          <w:highlight w:val="none"/>
        </w:rPr>
        <w:t xml:space="preserve">第四章  </w:t>
      </w:r>
      <w:r>
        <w:rPr>
          <w:rFonts w:hint="eastAsia" w:hAnsi="宋体" w:cs="宋体"/>
          <w:bCs/>
          <w:color w:val="auto"/>
          <w:sz w:val="24"/>
          <w:szCs w:val="24"/>
          <w:highlight w:val="none"/>
          <w:lang w:eastAsia="zh-CN"/>
        </w:rPr>
        <w:t>项目服务需求</w:t>
      </w:r>
      <w:r>
        <w:rPr>
          <w:rFonts w:hint="eastAsia" w:ascii="宋体" w:hAnsi="宋体" w:cs="宋体"/>
          <w:bCs/>
          <w:color w:val="auto"/>
          <w:sz w:val="24"/>
          <w:szCs w:val="24"/>
          <w:highlight w:val="none"/>
          <w:lang w:eastAsia="zh-CN"/>
        </w:rPr>
        <w:t>”</w:t>
      </w:r>
    </w:p>
    <w:p w14:paraId="4DA3C0A7">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lang w:eastAsia="zh-CN"/>
        </w:rPr>
      </w:pP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六</w:t>
      </w:r>
    </w:p>
    <w:p w14:paraId="22103011">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 xml:space="preserve">   标项名称:</w:t>
      </w:r>
      <w:r>
        <w:rPr>
          <w:rFonts w:hint="eastAsia" w:hAnsi="宋体" w:cs="宋体"/>
          <w:color w:val="auto"/>
          <w:sz w:val="24"/>
          <w:szCs w:val="24"/>
          <w:highlight w:val="none"/>
          <w:u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val="en-US" w:eastAsia="zh-CN"/>
        </w:rPr>
        <w:t>标项六</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 xml:space="preserve"> </w:t>
      </w:r>
      <w:r>
        <w:rPr>
          <w:rFonts w:hint="eastAsia" w:ascii="宋体" w:hAnsi="宋体" w:eastAsia="宋体" w:cs="宋体"/>
          <w:b w:val="0"/>
          <w:bCs/>
          <w:color w:val="auto"/>
          <w:sz w:val="24"/>
          <w:szCs w:val="24"/>
          <w:highlight w:val="none"/>
          <w:shd w:val="clear" w:color="auto" w:fill="auto"/>
        </w:rPr>
        <w:t xml:space="preserve">   </w:t>
      </w:r>
    </w:p>
    <w:p w14:paraId="24405B21">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数量:1</w:t>
      </w:r>
    </w:p>
    <w:p w14:paraId="075B56F6">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default" w:ascii="宋体"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 xml:space="preserve">   预算金额（元）:</w:t>
      </w:r>
      <w:r>
        <w:rPr>
          <w:rFonts w:hint="eastAsia" w:hAnsi="宋体" w:cs="宋体"/>
          <w:b w:val="0"/>
          <w:bCs/>
          <w:color w:val="auto"/>
          <w:sz w:val="24"/>
          <w:szCs w:val="24"/>
          <w:highlight w:val="none"/>
          <w:shd w:val="clear" w:color="auto" w:fill="auto"/>
          <w:lang w:val="en-US" w:eastAsia="zh-CN"/>
        </w:rPr>
        <w:t>1027600.00</w:t>
      </w:r>
    </w:p>
    <w:p w14:paraId="67BB1FB0">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cs="宋体"/>
          <w:bCs/>
          <w:color w:val="auto"/>
          <w:sz w:val="24"/>
          <w:szCs w:val="24"/>
          <w:highlight w:val="none"/>
          <w:lang w:eastAsia="zh-CN"/>
        </w:rPr>
      </w:pPr>
      <w:r>
        <w:rPr>
          <w:rFonts w:hint="eastAsia" w:ascii="宋体" w:hAnsi="宋体" w:eastAsia="宋体" w:cs="宋体"/>
          <w:b w:val="0"/>
          <w:bCs/>
          <w:color w:val="auto"/>
          <w:sz w:val="24"/>
          <w:szCs w:val="24"/>
          <w:highlight w:val="none"/>
          <w:shd w:val="clear" w:color="auto" w:fill="auto"/>
        </w:rPr>
        <w:t xml:space="preserve">   简要规格描述或项目基本概况介绍、用途：</w:t>
      </w:r>
      <w:r>
        <w:rPr>
          <w:rFonts w:hint="eastAsia" w:hAnsi="宋体" w:cs="宋体"/>
          <w:color w:val="auto"/>
          <w:kern w:val="2"/>
          <w:sz w:val="24"/>
          <w:szCs w:val="24"/>
          <w:highlight w:val="none"/>
          <w:lang w:val="en-US" w:eastAsia="zh-CN" w:bidi="ar-SA"/>
        </w:rPr>
        <w:t>2026年乌鲁木齐市市场监督管理局餐饮市抽（一）734批次</w:t>
      </w:r>
      <w:r>
        <w:rPr>
          <w:rFonts w:hint="eastAsia" w:ascii="宋体" w:hAnsi="宋体" w:cs="宋体"/>
          <w:color w:val="auto"/>
          <w:kern w:val="2"/>
          <w:sz w:val="24"/>
          <w:szCs w:val="24"/>
          <w:highlight w:val="none"/>
          <w:lang w:val="en-US" w:eastAsia="zh-CN" w:bidi="ar-SA"/>
        </w:rPr>
        <w:t>，详见招标文件“</w:t>
      </w:r>
      <w:r>
        <w:rPr>
          <w:rFonts w:hint="eastAsia" w:ascii="宋体" w:hAnsi="宋体" w:eastAsia="宋体" w:cs="宋体"/>
          <w:bCs/>
          <w:color w:val="auto"/>
          <w:sz w:val="24"/>
          <w:szCs w:val="24"/>
          <w:highlight w:val="none"/>
        </w:rPr>
        <w:t xml:space="preserve">第四章  </w:t>
      </w:r>
      <w:r>
        <w:rPr>
          <w:rFonts w:hint="eastAsia" w:hAnsi="宋体" w:cs="宋体"/>
          <w:bCs/>
          <w:color w:val="auto"/>
          <w:sz w:val="24"/>
          <w:szCs w:val="24"/>
          <w:highlight w:val="none"/>
          <w:lang w:eastAsia="zh-CN"/>
        </w:rPr>
        <w:t>项目服务需求</w:t>
      </w:r>
      <w:r>
        <w:rPr>
          <w:rFonts w:hint="eastAsia" w:ascii="宋体" w:hAnsi="宋体" w:cs="宋体"/>
          <w:bCs/>
          <w:color w:val="auto"/>
          <w:sz w:val="24"/>
          <w:szCs w:val="24"/>
          <w:highlight w:val="none"/>
          <w:lang w:eastAsia="zh-CN"/>
        </w:rPr>
        <w:t>”</w:t>
      </w:r>
    </w:p>
    <w:p w14:paraId="40A60E62">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lang w:eastAsia="zh-CN"/>
        </w:rPr>
      </w:pP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七</w:t>
      </w:r>
    </w:p>
    <w:p w14:paraId="4742C999">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 xml:space="preserve">   标项名称:</w:t>
      </w:r>
      <w:r>
        <w:rPr>
          <w:rFonts w:hint="eastAsia" w:hAnsi="宋体" w:cs="宋体"/>
          <w:color w:val="auto"/>
          <w:sz w:val="24"/>
          <w:szCs w:val="24"/>
          <w:highlight w:val="none"/>
          <w:u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val="en-US" w:eastAsia="zh-CN"/>
        </w:rPr>
        <w:t>标项七</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 xml:space="preserve"> </w:t>
      </w:r>
      <w:r>
        <w:rPr>
          <w:rFonts w:hint="eastAsia" w:ascii="宋体" w:hAnsi="宋体" w:eastAsia="宋体" w:cs="宋体"/>
          <w:b w:val="0"/>
          <w:bCs/>
          <w:color w:val="auto"/>
          <w:sz w:val="24"/>
          <w:szCs w:val="24"/>
          <w:highlight w:val="none"/>
          <w:shd w:val="clear" w:color="auto" w:fill="auto"/>
        </w:rPr>
        <w:t xml:space="preserve">   </w:t>
      </w:r>
    </w:p>
    <w:p w14:paraId="08FF2994">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数量:1</w:t>
      </w:r>
    </w:p>
    <w:p w14:paraId="74A6F1AA">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default" w:ascii="宋体"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 xml:space="preserve">   预算金额（元）:</w:t>
      </w:r>
      <w:r>
        <w:rPr>
          <w:rFonts w:hint="eastAsia" w:hAnsi="宋体" w:cs="宋体"/>
          <w:color w:val="auto"/>
          <w:kern w:val="2"/>
          <w:sz w:val="24"/>
          <w:szCs w:val="24"/>
          <w:highlight w:val="none"/>
          <w:lang w:val="en-US" w:eastAsia="zh-CN" w:bidi="ar-SA"/>
        </w:rPr>
        <w:t xml:space="preserve"> </w:t>
      </w:r>
      <w:r>
        <w:rPr>
          <w:rFonts w:hint="eastAsia" w:hAnsi="宋体" w:cs="宋体"/>
          <w:b w:val="0"/>
          <w:bCs/>
          <w:color w:val="auto"/>
          <w:sz w:val="24"/>
          <w:szCs w:val="24"/>
          <w:highlight w:val="none"/>
          <w:shd w:val="clear" w:color="auto" w:fill="auto"/>
          <w:lang w:val="en-US" w:eastAsia="zh-CN"/>
        </w:rPr>
        <w:t>1029000.00</w:t>
      </w:r>
    </w:p>
    <w:p w14:paraId="346AA016">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cs="宋体"/>
          <w:bCs/>
          <w:color w:val="auto"/>
          <w:sz w:val="24"/>
          <w:szCs w:val="24"/>
          <w:highlight w:val="none"/>
          <w:lang w:eastAsia="zh-CN"/>
        </w:rPr>
      </w:pPr>
      <w:r>
        <w:rPr>
          <w:rFonts w:hint="eastAsia" w:ascii="宋体" w:hAnsi="宋体" w:eastAsia="宋体" w:cs="宋体"/>
          <w:b w:val="0"/>
          <w:bCs/>
          <w:color w:val="auto"/>
          <w:sz w:val="24"/>
          <w:szCs w:val="24"/>
          <w:highlight w:val="none"/>
          <w:shd w:val="clear" w:color="auto" w:fill="auto"/>
        </w:rPr>
        <w:t xml:space="preserve">   简要规格描述或项目基本概况介绍、用途：</w:t>
      </w:r>
      <w:r>
        <w:rPr>
          <w:rFonts w:hint="eastAsia" w:hAnsi="宋体" w:cs="宋体"/>
          <w:color w:val="auto"/>
          <w:kern w:val="2"/>
          <w:sz w:val="24"/>
          <w:szCs w:val="24"/>
          <w:highlight w:val="none"/>
          <w:lang w:val="en-US" w:eastAsia="zh-CN" w:bidi="ar-SA"/>
        </w:rPr>
        <w:t>2026年乌鲁木齐市市场监督管理局餐饮市抽（二）735批次</w:t>
      </w:r>
      <w:r>
        <w:rPr>
          <w:rFonts w:hint="eastAsia" w:ascii="宋体" w:hAnsi="宋体" w:cs="宋体"/>
          <w:color w:val="auto"/>
          <w:kern w:val="2"/>
          <w:sz w:val="24"/>
          <w:szCs w:val="24"/>
          <w:highlight w:val="none"/>
          <w:lang w:val="en-US" w:eastAsia="zh-CN" w:bidi="ar-SA"/>
        </w:rPr>
        <w:t>，详见招标文件“</w:t>
      </w:r>
      <w:r>
        <w:rPr>
          <w:rFonts w:hint="eastAsia" w:ascii="宋体" w:hAnsi="宋体" w:eastAsia="宋体" w:cs="宋体"/>
          <w:bCs/>
          <w:color w:val="auto"/>
          <w:sz w:val="24"/>
          <w:szCs w:val="24"/>
          <w:highlight w:val="none"/>
        </w:rPr>
        <w:t xml:space="preserve">第四章  </w:t>
      </w:r>
      <w:r>
        <w:rPr>
          <w:rFonts w:hint="eastAsia" w:hAnsi="宋体" w:cs="宋体"/>
          <w:bCs/>
          <w:color w:val="auto"/>
          <w:sz w:val="24"/>
          <w:szCs w:val="24"/>
          <w:highlight w:val="none"/>
          <w:lang w:eastAsia="zh-CN"/>
        </w:rPr>
        <w:t>项目服务需求</w:t>
      </w:r>
      <w:r>
        <w:rPr>
          <w:rFonts w:hint="eastAsia" w:ascii="宋体" w:hAnsi="宋体" w:cs="宋体"/>
          <w:bCs/>
          <w:color w:val="auto"/>
          <w:sz w:val="24"/>
          <w:szCs w:val="24"/>
          <w:highlight w:val="none"/>
          <w:lang w:eastAsia="zh-CN"/>
        </w:rPr>
        <w:t>”</w:t>
      </w:r>
    </w:p>
    <w:p w14:paraId="7074355F">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cs="宋体"/>
          <w:bCs/>
          <w:color w:val="auto"/>
          <w:sz w:val="24"/>
          <w:szCs w:val="24"/>
          <w:highlight w:val="none"/>
          <w:lang w:eastAsia="zh-CN"/>
        </w:rPr>
      </w:pPr>
    </w:p>
    <w:p w14:paraId="426B0CD2">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八</w:t>
      </w:r>
    </w:p>
    <w:p w14:paraId="7B9B56C5">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 xml:space="preserve">   标项名称:</w:t>
      </w:r>
      <w:r>
        <w:rPr>
          <w:rFonts w:hint="eastAsia" w:hAnsi="宋体" w:cs="宋体"/>
          <w:color w:val="auto"/>
          <w:sz w:val="24"/>
          <w:szCs w:val="24"/>
          <w:highlight w:val="none"/>
          <w:u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val="en-US" w:eastAsia="zh-CN"/>
        </w:rPr>
        <w:t>标项八</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 xml:space="preserve"> </w:t>
      </w:r>
      <w:r>
        <w:rPr>
          <w:rFonts w:hint="eastAsia" w:ascii="宋体" w:hAnsi="宋体" w:eastAsia="宋体" w:cs="宋体"/>
          <w:b w:val="0"/>
          <w:bCs/>
          <w:color w:val="auto"/>
          <w:sz w:val="24"/>
          <w:szCs w:val="24"/>
          <w:highlight w:val="none"/>
          <w:shd w:val="clear" w:color="auto" w:fill="auto"/>
        </w:rPr>
        <w:t xml:space="preserve">   </w:t>
      </w:r>
    </w:p>
    <w:p w14:paraId="16F2C7C3">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数量:1</w:t>
      </w:r>
    </w:p>
    <w:p w14:paraId="57ABE933">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cs="宋体"/>
          <w:bCs/>
          <w:color w:val="auto"/>
          <w:sz w:val="24"/>
          <w:szCs w:val="24"/>
          <w:highlight w:val="none"/>
          <w:lang w:eastAsia="zh-CN"/>
        </w:rPr>
      </w:pPr>
      <w:r>
        <w:rPr>
          <w:rFonts w:hint="eastAsia" w:ascii="宋体" w:hAnsi="宋体" w:eastAsia="宋体" w:cs="宋体"/>
          <w:b w:val="0"/>
          <w:bCs/>
          <w:color w:val="auto"/>
          <w:sz w:val="24"/>
          <w:szCs w:val="24"/>
          <w:highlight w:val="none"/>
          <w:shd w:val="clear" w:color="auto" w:fill="auto"/>
        </w:rPr>
        <w:t xml:space="preserve">   预算金额（元）:</w:t>
      </w:r>
      <w:r>
        <w:rPr>
          <w:rFonts w:hint="eastAsia" w:hAnsi="宋体" w:cs="宋体"/>
          <w:color w:val="auto"/>
          <w:kern w:val="2"/>
          <w:sz w:val="24"/>
          <w:szCs w:val="24"/>
          <w:highlight w:val="none"/>
          <w:lang w:val="en-US" w:eastAsia="zh-CN" w:bidi="ar-SA"/>
        </w:rPr>
        <w:t xml:space="preserve"> </w:t>
      </w:r>
      <w:r>
        <w:rPr>
          <w:rFonts w:hint="eastAsia" w:hAnsi="宋体" w:cs="宋体"/>
          <w:b w:val="0"/>
          <w:bCs/>
          <w:color w:val="auto"/>
          <w:sz w:val="24"/>
          <w:szCs w:val="24"/>
          <w:highlight w:val="none"/>
          <w:shd w:val="clear" w:color="auto" w:fill="auto"/>
          <w:lang w:val="en-US" w:eastAsia="zh-CN"/>
        </w:rPr>
        <w:t>1002820.00</w:t>
      </w:r>
    </w:p>
    <w:p w14:paraId="20370979">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cs="宋体"/>
          <w:bCs/>
          <w:color w:val="auto"/>
          <w:sz w:val="24"/>
          <w:szCs w:val="24"/>
          <w:highlight w:val="none"/>
          <w:lang w:eastAsia="zh-CN"/>
        </w:rPr>
      </w:pPr>
      <w:r>
        <w:rPr>
          <w:rFonts w:hint="eastAsia" w:ascii="宋体" w:hAnsi="宋体" w:eastAsia="宋体" w:cs="宋体"/>
          <w:b w:val="0"/>
          <w:bCs/>
          <w:color w:val="auto"/>
          <w:sz w:val="24"/>
          <w:szCs w:val="24"/>
          <w:highlight w:val="none"/>
          <w:shd w:val="clear" w:color="auto" w:fill="auto"/>
        </w:rPr>
        <w:t xml:space="preserve">   简要规格描述或项目基本概况介绍、用途：</w:t>
      </w:r>
      <w:r>
        <w:rPr>
          <w:rFonts w:hint="eastAsia" w:hAnsi="宋体" w:cs="宋体"/>
          <w:color w:val="auto"/>
          <w:kern w:val="2"/>
          <w:sz w:val="24"/>
          <w:szCs w:val="24"/>
          <w:highlight w:val="none"/>
          <w:lang w:val="en-US" w:eastAsia="zh-CN" w:bidi="ar-SA"/>
        </w:rPr>
        <w:t>2026年乌鲁木齐市市场监督管理局预包装抽580批次</w:t>
      </w:r>
      <w:r>
        <w:rPr>
          <w:rFonts w:hint="eastAsia" w:ascii="宋体" w:hAnsi="宋体" w:cs="宋体"/>
          <w:color w:val="auto"/>
          <w:kern w:val="2"/>
          <w:sz w:val="24"/>
          <w:szCs w:val="24"/>
          <w:highlight w:val="none"/>
          <w:lang w:val="en-US" w:eastAsia="zh-CN" w:bidi="ar-SA"/>
        </w:rPr>
        <w:t>，详见招标文件“</w:t>
      </w:r>
      <w:r>
        <w:rPr>
          <w:rFonts w:hint="eastAsia" w:ascii="宋体" w:hAnsi="宋体" w:eastAsia="宋体" w:cs="宋体"/>
          <w:bCs/>
          <w:color w:val="auto"/>
          <w:sz w:val="24"/>
          <w:szCs w:val="24"/>
          <w:highlight w:val="none"/>
        </w:rPr>
        <w:t xml:space="preserve">第四章  </w:t>
      </w:r>
      <w:r>
        <w:rPr>
          <w:rFonts w:hint="eastAsia" w:hAnsi="宋体" w:cs="宋体"/>
          <w:bCs/>
          <w:color w:val="auto"/>
          <w:sz w:val="24"/>
          <w:szCs w:val="24"/>
          <w:highlight w:val="none"/>
          <w:lang w:eastAsia="zh-CN"/>
        </w:rPr>
        <w:t>项目服务需求</w:t>
      </w:r>
      <w:r>
        <w:rPr>
          <w:rFonts w:hint="eastAsia" w:ascii="宋体" w:hAnsi="宋体" w:cs="宋体"/>
          <w:bCs/>
          <w:color w:val="auto"/>
          <w:sz w:val="24"/>
          <w:szCs w:val="24"/>
          <w:highlight w:val="none"/>
          <w:lang w:eastAsia="zh-CN"/>
        </w:rPr>
        <w:t>”</w:t>
      </w:r>
    </w:p>
    <w:p w14:paraId="40A76FB5">
      <w:pPr>
        <w:pStyle w:val="37"/>
        <w:spacing w:line="360" w:lineRule="auto"/>
        <w:rPr>
          <w:rFonts w:hint="default" w:eastAsia="宋体"/>
          <w:color w:val="auto"/>
          <w:highlight w:val="none"/>
          <w:lang w:val="en-US" w:eastAsia="zh-CN"/>
        </w:rPr>
      </w:pPr>
      <w:r>
        <w:rPr>
          <w:rFonts w:hint="eastAsia" w:eastAsia="宋体"/>
          <w:color w:val="auto"/>
          <w:sz w:val="24"/>
          <w:szCs w:val="24"/>
          <w:highlight w:val="none"/>
          <w:lang w:val="en-US" w:eastAsia="zh-CN"/>
        </w:rPr>
        <w:t xml:space="preserve">    </w:t>
      </w:r>
      <w:r>
        <w:rPr>
          <w:rFonts w:hint="eastAsia" w:ascii="宋体" w:hAnsi="宋体" w:eastAsia="宋体" w:cs="宋体"/>
          <w:b w:val="0"/>
          <w:bCs/>
          <w:color w:val="auto"/>
          <w:kern w:val="0"/>
          <w:sz w:val="24"/>
          <w:szCs w:val="24"/>
          <w:highlight w:val="none"/>
          <w:shd w:val="clear" w:color="auto" w:fill="auto"/>
          <w:lang w:val="en-US" w:eastAsia="zh-CN" w:bidi="ar-SA"/>
        </w:rPr>
        <w:t>备注：</w:t>
      </w:r>
      <w:r>
        <w:rPr>
          <w:rFonts w:hint="eastAsia" w:ascii="宋体" w:hAnsi="宋体" w:eastAsia="宋体" w:cs="宋体"/>
          <w:b w:val="0"/>
          <w:bCs/>
          <w:color w:val="auto"/>
          <w:sz w:val="24"/>
          <w:szCs w:val="24"/>
          <w:highlight w:val="none"/>
          <w:shd w:val="clear" w:color="auto" w:fill="auto"/>
          <w:lang w:val="en-US" w:eastAsia="zh-CN"/>
        </w:rPr>
        <w:t>本项目开标及评审顺序为：</w:t>
      </w: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一、</w:t>
      </w:r>
      <w:r>
        <w:rPr>
          <w:rFonts w:hint="eastAsia" w:ascii="宋体" w:hAnsi="宋体" w:eastAsia="宋体" w:cs="宋体"/>
          <w:b w:val="0"/>
          <w:bCs/>
          <w:color w:val="auto"/>
          <w:sz w:val="24"/>
          <w:szCs w:val="24"/>
          <w:highlight w:val="none"/>
          <w:shd w:val="clear" w:color="auto" w:fill="auto"/>
        </w:rPr>
        <w:t>标项</w:t>
      </w:r>
      <w:r>
        <w:rPr>
          <w:rFonts w:hint="eastAsia" w:ascii="宋体" w:hAnsi="宋体" w:eastAsia="宋体" w:cs="宋体"/>
          <w:b w:val="0"/>
          <w:bCs/>
          <w:color w:val="auto"/>
          <w:sz w:val="24"/>
          <w:szCs w:val="24"/>
          <w:highlight w:val="none"/>
          <w:shd w:val="clear" w:color="auto" w:fill="auto"/>
          <w:lang w:val="en-US" w:eastAsia="zh-CN"/>
        </w:rPr>
        <w:t>二、</w:t>
      </w: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三、</w:t>
      </w: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四、</w:t>
      </w: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五、</w:t>
      </w: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六、</w:t>
      </w: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七、</w:t>
      </w:r>
      <w:r>
        <w:rPr>
          <w:rFonts w:hint="eastAsia" w:ascii="宋体" w:hAnsi="宋体" w:eastAsia="宋体" w:cs="宋体"/>
          <w:b w:val="0"/>
          <w:bCs/>
          <w:color w:val="auto"/>
          <w:sz w:val="24"/>
          <w:szCs w:val="24"/>
          <w:highlight w:val="none"/>
          <w:shd w:val="clear" w:color="auto" w:fill="auto"/>
        </w:rPr>
        <w:t>标项</w:t>
      </w:r>
      <w:r>
        <w:rPr>
          <w:rFonts w:hint="eastAsia" w:ascii="宋体" w:hAnsi="宋体" w:eastAsia="宋体" w:cs="宋体"/>
          <w:b w:val="0"/>
          <w:bCs/>
          <w:color w:val="auto"/>
          <w:sz w:val="24"/>
          <w:szCs w:val="24"/>
          <w:highlight w:val="none"/>
          <w:shd w:val="clear" w:color="auto" w:fill="auto"/>
          <w:lang w:val="en-US" w:eastAsia="zh-CN"/>
        </w:rPr>
        <w:t>八</w:t>
      </w:r>
      <w:r>
        <w:rPr>
          <w:rFonts w:hint="eastAsia" w:hAnsi="宋体" w:cs="宋体"/>
          <w:b w:val="0"/>
          <w:bCs/>
          <w:color w:val="auto"/>
          <w:sz w:val="24"/>
          <w:szCs w:val="24"/>
          <w:highlight w:val="none"/>
          <w:shd w:val="clear" w:color="auto" w:fill="auto"/>
          <w:lang w:val="en-US" w:eastAsia="zh-CN"/>
        </w:rPr>
        <w:t>，</w:t>
      </w:r>
      <w:r>
        <w:rPr>
          <w:rFonts w:hint="default" w:ascii="宋体" w:hAnsi="宋体" w:eastAsia="宋体" w:cs="宋体"/>
          <w:b w:val="0"/>
          <w:bCs/>
          <w:color w:val="auto"/>
          <w:sz w:val="24"/>
          <w:szCs w:val="24"/>
          <w:highlight w:val="none"/>
          <w:shd w:val="clear" w:color="auto" w:fill="auto"/>
          <w:lang w:val="en-US" w:eastAsia="zh-CN"/>
        </w:rPr>
        <w:t>参与本项目招标</w:t>
      </w:r>
      <w:r>
        <w:rPr>
          <w:rFonts w:hint="default" w:ascii="宋体" w:hAnsi="宋体" w:cs="宋体"/>
          <w:color w:val="auto"/>
          <w:sz w:val="24"/>
          <w:szCs w:val="24"/>
          <w:highlight w:val="none"/>
          <w:lang w:val="en-US" w:eastAsia="zh-CN"/>
        </w:rPr>
        <w:t>的</w:t>
      </w:r>
      <w:r>
        <w:rPr>
          <w:rFonts w:hint="eastAsia" w:ascii="宋体" w:hAnsi="宋体" w:cs="宋体"/>
          <w:color w:val="auto"/>
          <w:sz w:val="24"/>
          <w:szCs w:val="24"/>
          <w:highlight w:val="none"/>
          <w:lang w:eastAsia="zh-CN"/>
        </w:rPr>
        <w:t>投标人</w:t>
      </w:r>
      <w:r>
        <w:rPr>
          <w:rFonts w:hint="default" w:ascii="宋体" w:hAnsi="宋体" w:cs="宋体"/>
          <w:color w:val="auto"/>
          <w:sz w:val="24"/>
          <w:szCs w:val="24"/>
          <w:highlight w:val="none"/>
          <w:lang w:val="en-US" w:eastAsia="zh-CN"/>
        </w:rPr>
        <w:t>按</w:t>
      </w:r>
      <w:r>
        <w:rPr>
          <w:rFonts w:hint="eastAsia" w:ascii="宋体" w:hAnsi="宋体" w:cs="宋体"/>
          <w:color w:val="auto"/>
          <w:sz w:val="24"/>
          <w:szCs w:val="24"/>
          <w:highlight w:val="none"/>
          <w:lang w:val="en-US" w:eastAsia="zh-CN"/>
        </w:rPr>
        <w:t>标项</w:t>
      </w:r>
      <w:r>
        <w:rPr>
          <w:rFonts w:hint="default" w:ascii="宋体" w:hAnsi="宋体" w:cs="宋体"/>
          <w:color w:val="auto"/>
          <w:sz w:val="24"/>
          <w:szCs w:val="24"/>
          <w:highlight w:val="none"/>
          <w:lang w:val="en-US" w:eastAsia="zh-CN"/>
        </w:rPr>
        <w:t>准备投标材料。每个</w:t>
      </w:r>
      <w:r>
        <w:rPr>
          <w:rFonts w:hint="eastAsia" w:ascii="宋体" w:hAnsi="宋体" w:cs="宋体"/>
          <w:color w:val="auto"/>
          <w:sz w:val="24"/>
          <w:szCs w:val="24"/>
          <w:highlight w:val="none"/>
          <w:lang w:eastAsia="zh-CN"/>
        </w:rPr>
        <w:t>投标人</w:t>
      </w:r>
      <w:r>
        <w:rPr>
          <w:rFonts w:hint="default" w:ascii="宋体" w:hAnsi="宋体" w:cs="宋体"/>
          <w:color w:val="auto"/>
          <w:sz w:val="24"/>
          <w:szCs w:val="24"/>
          <w:highlight w:val="none"/>
          <w:lang w:val="en-US" w:eastAsia="zh-CN"/>
        </w:rPr>
        <w:t>可同时投多个</w:t>
      </w:r>
      <w:r>
        <w:rPr>
          <w:rFonts w:hint="eastAsia" w:ascii="宋体" w:hAnsi="宋体" w:cs="宋体"/>
          <w:color w:val="auto"/>
          <w:sz w:val="24"/>
          <w:szCs w:val="24"/>
          <w:highlight w:val="none"/>
          <w:lang w:val="en-US" w:eastAsia="zh-CN"/>
        </w:rPr>
        <w:t>标项</w:t>
      </w:r>
      <w:r>
        <w:rPr>
          <w:rFonts w:hint="default" w:ascii="宋体" w:hAnsi="宋体" w:cs="宋体"/>
          <w:color w:val="auto"/>
          <w:sz w:val="24"/>
          <w:szCs w:val="24"/>
          <w:highlight w:val="none"/>
          <w:lang w:val="en-US" w:eastAsia="zh-CN"/>
        </w:rPr>
        <w:t>，但只能</w:t>
      </w:r>
      <w:r>
        <w:rPr>
          <w:rFonts w:hint="eastAsia" w:ascii="宋体" w:hAnsi="宋体" w:cs="宋体"/>
          <w:color w:val="auto"/>
          <w:sz w:val="24"/>
          <w:szCs w:val="24"/>
          <w:highlight w:val="none"/>
          <w:lang w:val="en-US" w:eastAsia="zh-CN"/>
        </w:rPr>
        <w:t>中标</w:t>
      </w:r>
      <w:r>
        <w:rPr>
          <w:rFonts w:hint="default" w:ascii="宋体" w:hAnsi="宋体" w:cs="宋体"/>
          <w:color w:val="auto"/>
          <w:sz w:val="24"/>
          <w:szCs w:val="24"/>
          <w:highlight w:val="none"/>
          <w:lang w:val="en-US" w:eastAsia="zh-CN"/>
        </w:rPr>
        <w:t>一个</w:t>
      </w:r>
      <w:r>
        <w:rPr>
          <w:rFonts w:hint="eastAsia" w:ascii="宋体" w:hAnsi="宋体" w:cs="宋体"/>
          <w:color w:val="auto"/>
          <w:sz w:val="24"/>
          <w:szCs w:val="24"/>
          <w:highlight w:val="none"/>
          <w:lang w:val="en-US" w:eastAsia="zh-CN"/>
        </w:rPr>
        <w:t>标</w:t>
      </w:r>
      <w:r>
        <w:rPr>
          <w:rFonts w:hint="eastAsia" w:ascii="宋体" w:hAnsi="宋体" w:eastAsia="宋体" w:cs="宋体"/>
          <w:b w:val="0"/>
          <w:bCs/>
          <w:color w:val="auto"/>
          <w:sz w:val="24"/>
          <w:szCs w:val="24"/>
          <w:highlight w:val="none"/>
          <w:shd w:val="clear" w:color="auto" w:fill="auto"/>
          <w:lang w:val="en-US" w:eastAsia="zh-CN"/>
        </w:rPr>
        <w:t>项</w:t>
      </w:r>
      <w:r>
        <w:rPr>
          <w:rFonts w:hint="default" w:ascii="宋体" w:hAnsi="宋体" w:eastAsia="宋体" w:cs="宋体"/>
          <w:b w:val="0"/>
          <w:bCs/>
          <w:color w:val="auto"/>
          <w:sz w:val="24"/>
          <w:szCs w:val="24"/>
          <w:highlight w:val="none"/>
          <w:shd w:val="clear" w:color="auto" w:fill="auto"/>
          <w:lang w:val="en-US" w:eastAsia="zh-CN"/>
        </w:rPr>
        <w:t>，如</w:t>
      </w:r>
      <w:r>
        <w:rPr>
          <w:rFonts w:hint="eastAsia" w:ascii="宋体" w:hAnsi="宋体" w:cs="宋体"/>
          <w:color w:val="auto"/>
          <w:sz w:val="24"/>
          <w:szCs w:val="24"/>
          <w:highlight w:val="none"/>
          <w:lang w:eastAsia="zh-CN"/>
        </w:rPr>
        <w:t>投标人</w:t>
      </w:r>
      <w:r>
        <w:rPr>
          <w:rFonts w:hint="default" w:ascii="宋体" w:hAnsi="宋体" w:eastAsia="宋体" w:cs="宋体"/>
          <w:b w:val="0"/>
          <w:bCs/>
          <w:color w:val="auto"/>
          <w:sz w:val="24"/>
          <w:szCs w:val="24"/>
          <w:highlight w:val="none"/>
          <w:shd w:val="clear" w:color="auto" w:fill="auto"/>
          <w:lang w:val="en-US" w:eastAsia="zh-CN"/>
        </w:rPr>
        <w:t>在按</w:t>
      </w:r>
      <w:r>
        <w:rPr>
          <w:rFonts w:hint="eastAsia" w:ascii="宋体" w:hAnsi="宋体" w:eastAsia="宋体" w:cs="宋体"/>
          <w:b w:val="0"/>
          <w:bCs/>
          <w:color w:val="auto"/>
          <w:sz w:val="24"/>
          <w:szCs w:val="24"/>
          <w:highlight w:val="none"/>
          <w:shd w:val="clear" w:color="auto" w:fill="auto"/>
          <w:lang w:val="en-US" w:eastAsia="zh-CN"/>
        </w:rPr>
        <w:t>标项</w:t>
      </w:r>
      <w:r>
        <w:rPr>
          <w:rFonts w:hint="default" w:ascii="宋体" w:hAnsi="宋体" w:eastAsia="宋体" w:cs="宋体"/>
          <w:b w:val="0"/>
          <w:bCs/>
          <w:color w:val="auto"/>
          <w:sz w:val="24"/>
          <w:szCs w:val="24"/>
          <w:highlight w:val="none"/>
          <w:shd w:val="clear" w:color="auto" w:fill="auto"/>
          <w:lang w:val="en-US" w:eastAsia="zh-CN"/>
        </w:rPr>
        <w:t>号顺序评审过程中一旦确定</w:t>
      </w:r>
      <w:r>
        <w:rPr>
          <w:rFonts w:hint="eastAsia" w:ascii="宋体" w:hAnsi="宋体" w:eastAsia="宋体" w:cs="宋体"/>
          <w:b w:val="0"/>
          <w:bCs/>
          <w:color w:val="auto"/>
          <w:sz w:val="24"/>
          <w:szCs w:val="24"/>
          <w:highlight w:val="none"/>
          <w:shd w:val="clear" w:color="auto" w:fill="auto"/>
          <w:lang w:val="en-US" w:eastAsia="zh-CN"/>
        </w:rPr>
        <w:t>中标</w:t>
      </w:r>
      <w:r>
        <w:rPr>
          <w:rFonts w:hint="default" w:ascii="宋体" w:hAnsi="宋体" w:eastAsia="宋体" w:cs="宋体"/>
          <w:b w:val="0"/>
          <w:bCs/>
          <w:color w:val="auto"/>
          <w:sz w:val="24"/>
          <w:szCs w:val="24"/>
          <w:highlight w:val="none"/>
          <w:shd w:val="clear" w:color="auto" w:fill="auto"/>
          <w:lang w:val="en-US" w:eastAsia="zh-CN"/>
        </w:rPr>
        <w:t>，后续</w:t>
      </w:r>
      <w:r>
        <w:rPr>
          <w:rFonts w:hint="eastAsia" w:ascii="宋体" w:hAnsi="宋体" w:eastAsia="宋体" w:cs="宋体"/>
          <w:b w:val="0"/>
          <w:bCs/>
          <w:color w:val="auto"/>
          <w:sz w:val="24"/>
          <w:szCs w:val="24"/>
          <w:highlight w:val="none"/>
          <w:shd w:val="clear" w:color="auto" w:fill="auto"/>
          <w:lang w:val="en-US" w:eastAsia="zh-CN"/>
        </w:rPr>
        <w:t>标项</w:t>
      </w:r>
      <w:r>
        <w:rPr>
          <w:rFonts w:hint="default" w:ascii="宋体" w:hAnsi="宋体" w:eastAsia="宋体" w:cs="宋体"/>
          <w:b w:val="0"/>
          <w:bCs/>
          <w:color w:val="auto"/>
          <w:sz w:val="24"/>
          <w:szCs w:val="24"/>
          <w:highlight w:val="none"/>
          <w:shd w:val="clear" w:color="auto" w:fill="auto"/>
          <w:lang w:val="en-US" w:eastAsia="zh-CN"/>
        </w:rPr>
        <w:t>的</w:t>
      </w:r>
      <w:r>
        <w:rPr>
          <w:rFonts w:hint="eastAsia" w:ascii="宋体" w:hAnsi="宋体" w:eastAsia="宋体" w:cs="宋体"/>
          <w:b w:val="0"/>
          <w:bCs/>
          <w:color w:val="auto"/>
          <w:sz w:val="24"/>
          <w:szCs w:val="24"/>
          <w:highlight w:val="none"/>
          <w:shd w:val="clear" w:color="auto" w:fill="auto"/>
          <w:lang w:val="en-US" w:eastAsia="zh-CN"/>
        </w:rPr>
        <w:t>中标</w:t>
      </w:r>
      <w:r>
        <w:rPr>
          <w:rFonts w:hint="default" w:ascii="宋体" w:hAnsi="宋体" w:eastAsia="宋体" w:cs="宋体"/>
          <w:b w:val="0"/>
          <w:bCs/>
          <w:color w:val="auto"/>
          <w:sz w:val="24"/>
          <w:szCs w:val="24"/>
          <w:highlight w:val="none"/>
          <w:shd w:val="clear" w:color="auto" w:fill="auto"/>
          <w:lang w:val="en-US" w:eastAsia="zh-CN"/>
        </w:rPr>
        <w:t>人则不再考虑该</w:t>
      </w:r>
      <w:r>
        <w:rPr>
          <w:rFonts w:hint="eastAsia" w:ascii="宋体" w:hAnsi="宋体" w:cs="宋体"/>
          <w:color w:val="auto"/>
          <w:sz w:val="24"/>
          <w:szCs w:val="24"/>
          <w:highlight w:val="none"/>
          <w:lang w:eastAsia="zh-CN"/>
        </w:rPr>
        <w:t>投标人</w:t>
      </w:r>
      <w:r>
        <w:rPr>
          <w:rFonts w:hint="default" w:ascii="宋体" w:hAnsi="宋体" w:eastAsia="宋体" w:cs="宋体"/>
          <w:b w:val="0"/>
          <w:bCs/>
          <w:color w:val="auto"/>
          <w:sz w:val="24"/>
          <w:szCs w:val="24"/>
          <w:highlight w:val="none"/>
          <w:shd w:val="clear" w:color="auto" w:fill="auto"/>
          <w:lang w:val="en-US" w:eastAsia="zh-CN"/>
        </w:rPr>
        <w:t>。</w:t>
      </w:r>
    </w:p>
    <w:p w14:paraId="41502401">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合同履约期限：标项</w:t>
      </w:r>
      <w:r>
        <w:rPr>
          <w:rFonts w:hint="eastAsia" w:hAnsi="宋体" w:cs="宋体"/>
          <w:b w:val="0"/>
          <w:bCs/>
          <w:color w:val="auto"/>
          <w:sz w:val="24"/>
          <w:szCs w:val="24"/>
          <w:highlight w:val="none"/>
          <w:shd w:val="clear" w:color="auto" w:fill="auto"/>
          <w:lang w:val="en-US" w:eastAsia="zh-CN"/>
        </w:rPr>
        <w:t>一、</w:t>
      </w:r>
      <w:r>
        <w:rPr>
          <w:rFonts w:hint="eastAsia" w:ascii="宋体" w:hAnsi="宋体" w:eastAsia="宋体" w:cs="宋体"/>
          <w:b w:val="0"/>
          <w:bCs/>
          <w:color w:val="auto"/>
          <w:sz w:val="24"/>
          <w:szCs w:val="24"/>
          <w:highlight w:val="none"/>
          <w:shd w:val="clear" w:color="auto" w:fill="auto"/>
        </w:rPr>
        <w:t>标项</w:t>
      </w:r>
      <w:r>
        <w:rPr>
          <w:rFonts w:hint="eastAsia" w:ascii="宋体" w:hAnsi="宋体" w:eastAsia="宋体" w:cs="宋体"/>
          <w:b w:val="0"/>
          <w:bCs/>
          <w:color w:val="auto"/>
          <w:sz w:val="24"/>
          <w:szCs w:val="24"/>
          <w:highlight w:val="none"/>
          <w:shd w:val="clear" w:color="auto" w:fill="auto"/>
          <w:lang w:val="en-US" w:eastAsia="zh-CN"/>
        </w:rPr>
        <w:t>二、</w:t>
      </w: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三、</w:t>
      </w: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四、</w:t>
      </w: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五、</w:t>
      </w: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六、</w:t>
      </w: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七、标项八，详见招标文件</w:t>
      </w:r>
      <w:r>
        <w:rPr>
          <w:rFonts w:hint="eastAsia" w:ascii="宋体" w:hAnsi="宋体" w:eastAsia="宋体" w:cs="宋体"/>
          <w:b w:val="0"/>
          <w:bCs/>
          <w:color w:val="auto"/>
          <w:sz w:val="24"/>
          <w:szCs w:val="24"/>
          <w:highlight w:val="none"/>
          <w:shd w:val="clear" w:color="auto" w:fill="auto"/>
        </w:rPr>
        <w:t>。</w:t>
      </w:r>
    </w:p>
    <w:p w14:paraId="6DA07053">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本项目（否）接受联合体投标。</w:t>
      </w:r>
    </w:p>
    <w:p w14:paraId="55D242B4">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二、申请人的资格要求：</w:t>
      </w:r>
      <w:bookmarkEnd w:id="9"/>
      <w:bookmarkEnd w:id="10"/>
      <w:bookmarkEnd w:id="11"/>
      <w:bookmarkEnd w:id="12"/>
    </w:p>
    <w:p w14:paraId="0469AFE9">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标项一：</w:t>
      </w:r>
      <w:r>
        <w:rPr>
          <w:rFonts w:hint="eastAsia" w:ascii="宋体" w:hAnsi="宋体" w:eastAsia="宋体" w:cs="宋体"/>
          <w:color w:val="auto"/>
          <w:sz w:val="24"/>
          <w:szCs w:val="24"/>
          <w:highlight w:val="none"/>
        </w:rPr>
        <w:t>1.满足《中华人民共和国政府采购法》第二十二条规定；</w:t>
      </w:r>
    </w:p>
    <w:p w14:paraId="1D843E28">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bookmarkStart w:id="13" w:name="_Toc28359081"/>
      <w:bookmarkStart w:id="14" w:name="_Toc28359004"/>
      <w:r>
        <w:rPr>
          <w:rFonts w:hint="eastAsia" w:ascii="宋体" w:hAnsi="宋体" w:eastAsia="宋体" w:cs="宋体"/>
          <w:color w:val="auto"/>
          <w:sz w:val="24"/>
          <w:szCs w:val="24"/>
          <w:highlight w:val="none"/>
        </w:rPr>
        <w:t>2.落实政府采购政策需满足的资格要求：</w:t>
      </w:r>
    </w:p>
    <w:p w14:paraId="30DB2C82">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cs="宋体"/>
          <w:b w:val="0"/>
          <w:bCs/>
          <w:color w:val="auto"/>
          <w:sz w:val="24"/>
          <w:szCs w:val="24"/>
          <w:highlight w:val="none"/>
          <w:shd w:val="clear" w:color="auto" w:fill="auto"/>
          <w:lang w:val="en-US" w:eastAsia="zh-CN"/>
        </w:rPr>
        <w:t>本项目</w:t>
      </w:r>
      <w:r>
        <w:rPr>
          <w:rFonts w:ascii="宋体" w:hAnsi="宋体" w:eastAsia="宋体" w:cs="宋体"/>
          <w:color w:val="auto"/>
          <w:sz w:val="24"/>
          <w:szCs w:val="24"/>
          <w:highlight w:val="none"/>
        </w:rPr>
        <w:t>为专门面向小微企业采购的项目，供应商应为小微企业</w:t>
      </w:r>
      <w:r>
        <w:rPr>
          <w:rFonts w:hint="eastAsia" w:ascii="宋体" w:hAnsi="宋体" w:cs="宋体"/>
          <w:color w:val="auto"/>
          <w:sz w:val="24"/>
          <w:szCs w:val="24"/>
          <w:highlight w:val="none"/>
          <w:lang w:eastAsia="zh-CN"/>
        </w:rPr>
        <w:t>，</w:t>
      </w:r>
      <w:r>
        <w:rPr>
          <w:rFonts w:hint="eastAsia" w:ascii="宋体" w:hAnsi="宋体" w:eastAsia="宋体" w:cs="宋体"/>
          <w:b w:val="0"/>
          <w:bCs/>
          <w:color w:val="auto"/>
          <w:kern w:val="0"/>
          <w:sz w:val="24"/>
          <w:szCs w:val="24"/>
          <w:highlight w:val="none"/>
          <w:shd w:val="clear" w:color="auto" w:fill="auto"/>
          <w:lang w:val="en-US" w:eastAsia="zh-CN"/>
        </w:rPr>
        <w:t>根据《政府采购促进中小企业发展管理办法》（财库[2020]46 号）的规定，不再执行价格评审优惠的扶持政策</w:t>
      </w:r>
      <w:r>
        <w:rPr>
          <w:rFonts w:ascii="宋体" w:hAnsi="宋体" w:eastAsia="宋体" w:cs="宋体"/>
          <w:color w:val="auto"/>
          <w:sz w:val="24"/>
          <w:szCs w:val="24"/>
          <w:highlight w:val="none"/>
        </w:rPr>
        <w:t>。</w:t>
      </w:r>
    </w:p>
    <w:p w14:paraId="38A62D17">
      <w:pPr>
        <w:pageBreakBefore w:val="0"/>
        <w:widowControl w:val="0"/>
        <w:numPr>
          <w:ilvl w:val="0"/>
          <w:numId w:val="4"/>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本项目的特定资格要求：投标人必须具有检验全项目的检验检测机构资质认定资质（CMA），具备与承检任务中食品品种、检测项目、检品数量相适应的检验检测能力。</w:t>
      </w:r>
    </w:p>
    <w:p w14:paraId="433E39DD">
      <w:pPr>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标项二：</w:t>
      </w:r>
      <w:r>
        <w:rPr>
          <w:rFonts w:hint="eastAsia" w:ascii="宋体" w:hAnsi="宋体" w:eastAsia="宋体" w:cs="宋体"/>
          <w:color w:val="auto"/>
          <w:sz w:val="24"/>
          <w:szCs w:val="24"/>
          <w:highlight w:val="none"/>
        </w:rPr>
        <w:t>1.满足《中华人民共和国政府采购法》第二十二条规定；</w:t>
      </w:r>
    </w:p>
    <w:p w14:paraId="47C24156">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2A8A07CF">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cs="宋体"/>
          <w:b w:val="0"/>
          <w:bCs/>
          <w:color w:val="auto"/>
          <w:sz w:val="24"/>
          <w:szCs w:val="24"/>
          <w:highlight w:val="none"/>
          <w:shd w:val="clear" w:color="auto" w:fill="auto"/>
          <w:lang w:val="en-US" w:eastAsia="zh-CN"/>
        </w:rPr>
        <w:t>本项目</w:t>
      </w:r>
      <w:r>
        <w:rPr>
          <w:rFonts w:ascii="宋体" w:hAnsi="宋体" w:eastAsia="宋体" w:cs="宋体"/>
          <w:color w:val="auto"/>
          <w:sz w:val="24"/>
          <w:szCs w:val="24"/>
          <w:highlight w:val="none"/>
        </w:rPr>
        <w:t>为专门面向</w:t>
      </w:r>
      <w:r>
        <w:rPr>
          <w:rFonts w:hint="eastAsia" w:ascii="宋体" w:hAnsi="宋体" w:cs="宋体"/>
          <w:color w:val="auto"/>
          <w:sz w:val="24"/>
          <w:szCs w:val="24"/>
          <w:highlight w:val="none"/>
          <w:lang w:val="en-US" w:eastAsia="zh-CN"/>
        </w:rPr>
        <w:t>中</w:t>
      </w:r>
      <w:r>
        <w:rPr>
          <w:rFonts w:ascii="宋体" w:hAnsi="宋体" w:eastAsia="宋体" w:cs="宋体"/>
          <w:color w:val="auto"/>
          <w:sz w:val="24"/>
          <w:szCs w:val="24"/>
          <w:highlight w:val="none"/>
        </w:rPr>
        <w:t>小微企业采购的项目，供应商应为</w:t>
      </w:r>
      <w:r>
        <w:rPr>
          <w:rFonts w:hint="eastAsia" w:ascii="宋体" w:hAnsi="宋体" w:cs="宋体"/>
          <w:color w:val="auto"/>
          <w:sz w:val="24"/>
          <w:szCs w:val="24"/>
          <w:highlight w:val="none"/>
          <w:lang w:val="en-US" w:eastAsia="zh-CN"/>
        </w:rPr>
        <w:t>中</w:t>
      </w:r>
      <w:r>
        <w:rPr>
          <w:rFonts w:ascii="宋体" w:hAnsi="宋体" w:eastAsia="宋体" w:cs="宋体"/>
          <w:color w:val="auto"/>
          <w:sz w:val="24"/>
          <w:szCs w:val="24"/>
          <w:highlight w:val="none"/>
        </w:rPr>
        <w:t>小微企业</w:t>
      </w:r>
      <w:r>
        <w:rPr>
          <w:rFonts w:hint="eastAsia" w:ascii="宋体" w:hAnsi="宋体" w:cs="宋体"/>
          <w:color w:val="auto"/>
          <w:sz w:val="24"/>
          <w:szCs w:val="24"/>
          <w:highlight w:val="none"/>
          <w:lang w:eastAsia="zh-CN"/>
        </w:rPr>
        <w:t>，</w:t>
      </w:r>
      <w:r>
        <w:rPr>
          <w:rFonts w:hint="eastAsia" w:ascii="宋体" w:hAnsi="宋体" w:eastAsia="宋体" w:cs="宋体"/>
          <w:b w:val="0"/>
          <w:bCs/>
          <w:color w:val="auto"/>
          <w:kern w:val="0"/>
          <w:sz w:val="24"/>
          <w:szCs w:val="24"/>
          <w:highlight w:val="none"/>
          <w:shd w:val="clear" w:color="auto" w:fill="auto"/>
          <w:lang w:val="en-US" w:eastAsia="zh-CN"/>
        </w:rPr>
        <w:t>根据《政府采购促进中小企业发展管理办法》（财库[2020]46 号）的规定，不再执行价格评审优惠的扶持政策</w:t>
      </w:r>
      <w:r>
        <w:rPr>
          <w:rFonts w:ascii="宋体" w:hAnsi="宋体" w:eastAsia="宋体" w:cs="宋体"/>
          <w:color w:val="auto"/>
          <w:sz w:val="24"/>
          <w:szCs w:val="24"/>
          <w:highlight w:val="none"/>
        </w:rPr>
        <w:t>。</w:t>
      </w:r>
    </w:p>
    <w:p w14:paraId="62F00AC0">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.本项目的特定资格要求：投标人必须具有检验全项目的检验检测机构资质认定资质（CMA），具备与承检任务中食品品种、检测项目、检品数量相适应的检验检测能力。</w:t>
      </w:r>
    </w:p>
    <w:p w14:paraId="625B0FEC">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标项三：</w:t>
      </w:r>
      <w:r>
        <w:rPr>
          <w:rFonts w:hint="eastAsia" w:ascii="宋体" w:hAnsi="宋体" w:eastAsia="宋体" w:cs="宋体"/>
          <w:color w:val="auto"/>
          <w:sz w:val="24"/>
          <w:szCs w:val="24"/>
          <w:highlight w:val="none"/>
        </w:rPr>
        <w:t>1.满足《中华人民共和国政府采购法》第二十二条规定；</w:t>
      </w:r>
    </w:p>
    <w:p w14:paraId="48A27026">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41D2DBD7">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ins w:id="0" w:author="刘恒运" w:date="2025-03-25T18:09:00Z">
        <w:r>
          <w:rPr>
            <w:rFonts w:hint="default" w:ascii="宋体" w:hAnsi="宋体" w:eastAsia="宋体" w:cs="宋体"/>
            <w:color w:val="auto"/>
            <w:sz w:val="24"/>
            <w:szCs w:val="24"/>
            <w:highlight w:val="none"/>
            <w:lang w:val="en-US" w:eastAsia="zh-CN"/>
          </w:rPr>
          <w:t>本项目为非专门面向中小企业（含中型、小型、微型企业）采购项目，根据《政府采购促进中小企业发展管理办法》（财库[2020]46号）的规定，评标时将给予此类企业进行价格10%的优惠，用优惠后的价格参与评审</w:t>
        </w:r>
      </w:ins>
      <w:r>
        <w:rPr>
          <w:rFonts w:hint="default" w:ascii="宋体" w:hAnsi="宋体" w:eastAsia="宋体" w:cs="宋体"/>
          <w:color w:val="auto"/>
          <w:sz w:val="24"/>
          <w:szCs w:val="24"/>
          <w:highlight w:val="none"/>
          <w:lang w:val="en-US" w:eastAsia="zh-CN"/>
        </w:rPr>
        <w:t>；</w:t>
      </w:r>
    </w:p>
    <w:p w14:paraId="7E3787C6">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.本项目的特定资格要求：投标人必须具有检验全项目的检验检测机构资质认定资质（CMA），具备与承检任务中食品品种、检测项目、检品数量相适应的检验检测能力。</w:t>
      </w:r>
    </w:p>
    <w:p w14:paraId="53CF2DE7">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标项四：</w:t>
      </w:r>
      <w:r>
        <w:rPr>
          <w:rFonts w:hint="eastAsia" w:ascii="宋体" w:hAnsi="宋体" w:eastAsia="宋体" w:cs="宋体"/>
          <w:color w:val="auto"/>
          <w:sz w:val="24"/>
          <w:szCs w:val="24"/>
          <w:highlight w:val="none"/>
        </w:rPr>
        <w:t>1.满足《中华人民共和国政府采购法》第二十二条规定；</w:t>
      </w:r>
    </w:p>
    <w:p w14:paraId="2AC9C0A4">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1B36B9B7">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ins w:id="1" w:author="刘恒运" w:date="2025-03-25T18:09:00Z">
        <w:r>
          <w:rPr>
            <w:rFonts w:hint="default" w:ascii="宋体" w:hAnsi="宋体" w:eastAsia="宋体" w:cs="宋体"/>
            <w:color w:val="auto"/>
            <w:sz w:val="24"/>
            <w:szCs w:val="24"/>
            <w:highlight w:val="none"/>
            <w:lang w:val="en-US" w:eastAsia="zh-CN"/>
          </w:rPr>
          <w:t>本项目为非专门面向中小企业（含中型、小型、微型企业）采购项目，根据《政府采购促进中小企业发展管理办法》（财库[2020]46号）的规定，评标时将给予此类企业进行价格10%的优惠，用优惠后的价格参与评审</w:t>
        </w:r>
      </w:ins>
      <w:r>
        <w:rPr>
          <w:rFonts w:hint="default" w:ascii="宋体" w:hAnsi="宋体" w:eastAsia="宋体" w:cs="宋体"/>
          <w:color w:val="auto"/>
          <w:sz w:val="24"/>
          <w:szCs w:val="24"/>
          <w:highlight w:val="none"/>
          <w:lang w:val="en-US" w:eastAsia="zh-CN"/>
        </w:rPr>
        <w:t>；</w:t>
      </w:r>
    </w:p>
    <w:p w14:paraId="7C27FDF9">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.本项目的特定资格要求：投标人必须具有检验全项目的检验检测机构资质认定资质（CMA），具备与承检任务中食品品种、检测项目、检品数量相适应的检验检测能力。</w:t>
      </w:r>
    </w:p>
    <w:p w14:paraId="46691EAE">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标项五：</w:t>
      </w:r>
      <w:r>
        <w:rPr>
          <w:rFonts w:hint="eastAsia" w:ascii="宋体" w:hAnsi="宋体" w:eastAsia="宋体" w:cs="宋体"/>
          <w:color w:val="auto"/>
          <w:sz w:val="24"/>
          <w:szCs w:val="24"/>
          <w:highlight w:val="none"/>
        </w:rPr>
        <w:t>1.满足《中华人民共和国政府采购法》第二十二条规定；</w:t>
      </w:r>
    </w:p>
    <w:p w14:paraId="1D607D33">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31F26394">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cs="宋体"/>
          <w:b w:val="0"/>
          <w:bCs/>
          <w:color w:val="auto"/>
          <w:sz w:val="24"/>
          <w:szCs w:val="24"/>
          <w:highlight w:val="none"/>
          <w:shd w:val="clear" w:color="auto" w:fill="auto"/>
          <w:lang w:val="en-US" w:eastAsia="zh-CN"/>
        </w:rPr>
        <w:t>本项目</w:t>
      </w:r>
      <w:r>
        <w:rPr>
          <w:rFonts w:ascii="宋体" w:hAnsi="宋体" w:eastAsia="宋体" w:cs="宋体"/>
          <w:color w:val="auto"/>
          <w:sz w:val="24"/>
          <w:szCs w:val="24"/>
          <w:highlight w:val="none"/>
        </w:rPr>
        <w:t>为专门面向小微企业采购的项目，供应商应为小微企业</w:t>
      </w:r>
      <w:r>
        <w:rPr>
          <w:rFonts w:hint="eastAsia" w:ascii="宋体" w:hAnsi="宋体" w:cs="宋体"/>
          <w:color w:val="auto"/>
          <w:sz w:val="24"/>
          <w:szCs w:val="24"/>
          <w:highlight w:val="none"/>
          <w:lang w:eastAsia="zh-CN"/>
        </w:rPr>
        <w:t>，</w:t>
      </w:r>
      <w:r>
        <w:rPr>
          <w:rFonts w:hint="eastAsia" w:ascii="宋体" w:hAnsi="宋体" w:eastAsia="宋体" w:cs="宋体"/>
          <w:b w:val="0"/>
          <w:bCs/>
          <w:color w:val="auto"/>
          <w:kern w:val="0"/>
          <w:sz w:val="24"/>
          <w:szCs w:val="24"/>
          <w:highlight w:val="none"/>
          <w:shd w:val="clear" w:color="auto" w:fill="auto"/>
          <w:lang w:val="en-US" w:eastAsia="zh-CN"/>
        </w:rPr>
        <w:t>根据《政府采购促进中小企业发展管理办法》（财库[2020]46 号）的规定，不再执行价格评审优惠的扶持政策</w:t>
      </w:r>
      <w:r>
        <w:rPr>
          <w:rFonts w:ascii="宋体" w:hAnsi="宋体" w:eastAsia="宋体" w:cs="宋体"/>
          <w:color w:val="auto"/>
          <w:sz w:val="24"/>
          <w:szCs w:val="24"/>
          <w:highlight w:val="none"/>
        </w:rPr>
        <w:t>。</w:t>
      </w:r>
    </w:p>
    <w:p w14:paraId="58BBA3B8">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.本项目的特定资格要求：投标人必须具有检验全项目的检验检测机构资质认定资质（CMA），具备与承检任务中食品品种、检测项目、检品数量相适应的检验检测能力。</w:t>
      </w:r>
    </w:p>
    <w:p w14:paraId="133F2163">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标项六：</w:t>
      </w:r>
      <w:r>
        <w:rPr>
          <w:rFonts w:hint="eastAsia" w:ascii="宋体" w:hAnsi="宋体" w:eastAsia="宋体" w:cs="宋体"/>
          <w:color w:val="auto"/>
          <w:sz w:val="24"/>
          <w:szCs w:val="24"/>
          <w:highlight w:val="none"/>
        </w:rPr>
        <w:t>1.满足《中华人民共和国政府采购法》第二十二条规定；</w:t>
      </w:r>
    </w:p>
    <w:p w14:paraId="6C1B7577">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446CAD1F">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ins w:id="2" w:author="刘恒运" w:date="2025-03-25T18:09:00Z">
        <w:r>
          <w:rPr>
            <w:rFonts w:hint="default" w:ascii="宋体" w:hAnsi="宋体" w:eastAsia="宋体" w:cs="宋体"/>
            <w:color w:val="auto"/>
            <w:sz w:val="24"/>
            <w:szCs w:val="24"/>
            <w:highlight w:val="none"/>
            <w:lang w:val="en-US" w:eastAsia="zh-CN"/>
          </w:rPr>
          <w:t>本项目为非专门面向中小企业（含中型、小型、微型企业）采购项目，根据《政府采购促进中小企业发展管理办法》（财库[2020]46号）的规定，评标时将给予此类企业进行价格10%的优惠，用优惠后的价格参与评审</w:t>
        </w:r>
      </w:ins>
      <w:r>
        <w:rPr>
          <w:rFonts w:ascii="宋体" w:hAnsi="宋体" w:eastAsia="宋体" w:cs="宋体"/>
          <w:color w:val="auto"/>
          <w:sz w:val="24"/>
          <w:szCs w:val="24"/>
          <w:highlight w:val="none"/>
        </w:rPr>
        <w:t>。</w:t>
      </w:r>
    </w:p>
    <w:p w14:paraId="35BE7F45">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.本项目的特定资格要求：投标人必须具有检验全项目的检验检测机构资质认定资质（CMA），具备与承检任务中食品品种、检测项目、检品数量相适应的检验检测能力。</w:t>
      </w:r>
    </w:p>
    <w:p w14:paraId="7F7AE53D">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标项七：</w:t>
      </w:r>
      <w:r>
        <w:rPr>
          <w:rFonts w:hint="eastAsia" w:ascii="宋体" w:hAnsi="宋体" w:eastAsia="宋体" w:cs="宋体"/>
          <w:color w:val="auto"/>
          <w:sz w:val="24"/>
          <w:szCs w:val="24"/>
          <w:highlight w:val="none"/>
        </w:rPr>
        <w:t>1.满足《中华人民共和国政府采购法》第二十二条规定；</w:t>
      </w:r>
    </w:p>
    <w:p w14:paraId="544E3424">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341C5B80">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ins w:id="3" w:author="刘恒运" w:date="2025-03-25T18:09:00Z">
        <w:r>
          <w:rPr>
            <w:rFonts w:hint="default" w:ascii="宋体" w:hAnsi="宋体" w:eastAsia="宋体" w:cs="宋体"/>
            <w:color w:val="auto"/>
            <w:sz w:val="24"/>
            <w:szCs w:val="24"/>
            <w:highlight w:val="none"/>
            <w:lang w:val="en-US" w:eastAsia="zh-CN"/>
          </w:rPr>
          <w:t>本项目为非专门面向中小企业（含中型、小型、微型企业）采购项目，根据《政府采购促进中小企业发展管理办法》（财库[2020]46号）的规定，评标时将给予此类企业进行价格10%的优惠，用优惠后的价格参与评审</w:t>
        </w:r>
      </w:ins>
      <w:r>
        <w:rPr>
          <w:rFonts w:hint="default" w:ascii="宋体" w:hAnsi="宋体" w:eastAsia="宋体" w:cs="宋体"/>
          <w:color w:val="auto"/>
          <w:sz w:val="24"/>
          <w:szCs w:val="24"/>
          <w:highlight w:val="none"/>
          <w:lang w:val="en-US" w:eastAsia="zh-CN"/>
        </w:rPr>
        <w:t>；</w:t>
      </w:r>
    </w:p>
    <w:p w14:paraId="531FDFC6">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.本项目的特定资格要求：投标人必须具有检验全项目的检验检测机构资质认定资质（CMA），具备与承检任务中食品品种、检测项目、检品数量相适应的检验检测能力。</w:t>
      </w:r>
    </w:p>
    <w:p w14:paraId="639409F6">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标项八：</w:t>
      </w:r>
      <w:r>
        <w:rPr>
          <w:rFonts w:hint="eastAsia" w:ascii="宋体" w:hAnsi="宋体" w:eastAsia="宋体" w:cs="宋体"/>
          <w:color w:val="auto"/>
          <w:sz w:val="24"/>
          <w:szCs w:val="24"/>
          <w:highlight w:val="none"/>
        </w:rPr>
        <w:t>1.满足《中华人民共和国政府采购法》第二十二条规定；</w:t>
      </w:r>
    </w:p>
    <w:p w14:paraId="6581DE34">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31EF14D2">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cs="宋体"/>
          <w:b w:val="0"/>
          <w:bCs/>
          <w:color w:val="auto"/>
          <w:sz w:val="24"/>
          <w:szCs w:val="24"/>
          <w:highlight w:val="none"/>
          <w:shd w:val="clear" w:color="auto" w:fill="auto"/>
          <w:lang w:val="en-US" w:eastAsia="zh-CN"/>
        </w:rPr>
        <w:t>本项目</w:t>
      </w:r>
      <w:r>
        <w:rPr>
          <w:rFonts w:ascii="宋体" w:hAnsi="宋体" w:eastAsia="宋体" w:cs="宋体"/>
          <w:color w:val="auto"/>
          <w:sz w:val="24"/>
          <w:szCs w:val="24"/>
          <w:highlight w:val="none"/>
        </w:rPr>
        <w:t>为专门面向小微企业采购的项目，供应商应为小微企业</w:t>
      </w:r>
      <w:r>
        <w:rPr>
          <w:rFonts w:hint="eastAsia" w:ascii="宋体" w:hAnsi="宋体" w:cs="宋体"/>
          <w:color w:val="auto"/>
          <w:sz w:val="24"/>
          <w:szCs w:val="24"/>
          <w:highlight w:val="none"/>
          <w:lang w:eastAsia="zh-CN"/>
        </w:rPr>
        <w:t>，</w:t>
      </w:r>
      <w:r>
        <w:rPr>
          <w:rFonts w:hint="eastAsia" w:ascii="宋体" w:hAnsi="宋体" w:eastAsia="宋体" w:cs="宋体"/>
          <w:b w:val="0"/>
          <w:bCs/>
          <w:color w:val="auto"/>
          <w:kern w:val="0"/>
          <w:sz w:val="24"/>
          <w:szCs w:val="24"/>
          <w:highlight w:val="none"/>
          <w:shd w:val="clear" w:color="auto" w:fill="auto"/>
          <w:lang w:val="en-US" w:eastAsia="zh-CN"/>
        </w:rPr>
        <w:t>根据《政府采购促进中小企业发展管理办法》（财库[2020]46 号）的规定，不再执行价格评审优惠的扶持政策</w:t>
      </w:r>
      <w:r>
        <w:rPr>
          <w:rFonts w:ascii="宋体" w:hAnsi="宋体" w:eastAsia="宋体" w:cs="宋体"/>
          <w:color w:val="auto"/>
          <w:sz w:val="24"/>
          <w:szCs w:val="24"/>
          <w:highlight w:val="none"/>
        </w:rPr>
        <w:t>。</w:t>
      </w:r>
    </w:p>
    <w:p w14:paraId="1C1A98CC">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.本项目的特定资格要求：投标人必须具有检验全项目的检验检测机构资质认定资质（CMA），具备与承检任务中食品品种、检测项目、检品数量相适应的检验检测能力。</w:t>
      </w:r>
    </w:p>
    <w:p w14:paraId="1116FCC4">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bookmarkStart w:id="15" w:name="_Toc35393792"/>
      <w:bookmarkStart w:id="16" w:name="_Toc35393623"/>
      <w:r>
        <w:rPr>
          <w:rFonts w:hint="eastAsia" w:ascii="宋体" w:hAnsi="宋体" w:eastAsia="宋体" w:cs="宋体"/>
          <w:color w:val="auto"/>
          <w:sz w:val="24"/>
          <w:szCs w:val="24"/>
          <w:highlight w:val="none"/>
        </w:rPr>
        <w:t>三、获取招标文件</w:t>
      </w:r>
      <w:bookmarkEnd w:id="13"/>
      <w:bookmarkEnd w:id="14"/>
      <w:bookmarkEnd w:id="15"/>
      <w:bookmarkEnd w:id="16"/>
    </w:p>
    <w:p w14:paraId="33609FC6">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cs="宋体"/>
          <w:color w:val="auto"/>
          <w:sz w:val="24"/>
          <w:szCs w:val="24"/>
          <w:highlight w:val="none"/>
          <w:lang w:eastAsia="zh-CN"/>
        </w:rPr>
        <w:t>2026年</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日至202</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日，每天上午</w:t>
      </w:r>
      <w:r>
        <w:rPr>
          <w:rFonts w:hint="eastAsia" w:ascii="宋体" w:hAnsi="宋体" w:cs="宋体"/>
          <w:color w:val="auto"/>
          <w:sz w:val="24"/>
          <w:szCs w:val="24"/>
          <w:highlight w:val="none"/>
          <w:lang w:val="en-US" w:eastAsia="zh-CN"/>
        </w:rPr>
        <w:t>00</w:t>
      </w:r>
      <w:r>
        <w:rPr>
          <w:rFonts w:hint="eastAsia" w:ascii="宋体" w:hAnsi="宋体" w:eastAsia="宋体" w:cs="宋体"/>
          <w:color w:val="auto"/>
          <w:sz w:val="24"/>
          <w:szCs w:val="24"/>
          <w:highlight w:val="none"/>
        </w:rPr>
        <w:t>:00至</w:t>
      </w:r>
      <w:r>
        <w:rPr>
          <w:rFonts w:hint="eastAsia" w:ascii="宋体" w:hAnsi="宋体" w:cs="宋体"/>
          <w:color w:val="auto"/>
          <w:sz w:val="24"/>
          <w:szCs w:val="24"/>
          <w:highlight w:val="none"/>
          <w:lang w:val="en-US" w:eastAsia="zh-CN"/>
        </w:rPr>
        <w:t>23</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59</w:t>
      </w:r>
      <w:r>
        <w:rPr>
          <w:rFonts w:hint="eastAsia" w:ascii="宋体" w:hAnsi="宋体" w:eastAsia="宋体" w:cs="宋体"/>
          <w:color w:val="auto"/>
          <w:sz w:val="24"/>
          <w:szCs w:val="24"/>
          <w:highlight w:val="none"/>
        </w:rPr>
        <w:t>（北京时间，线上获取法定节假日均可 ）</w:t>
      </w:r>
    </w:p>
    <w:p w14:paraId="700B4802">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地点：</w:t>
      </w:r>
      <w:r>
        <w:rPr>
          <w:rFonts w:hint="eastAsia" w:ascii="宋体" w:hAnsi="宋体" w:cs="宋体"/>
          <w:color w:val="auto"/>
          <w:sz w:val="24"/>
          <w:szCs w:val="24"/>
          <w:highlight w:val="none"/>
          <w:lang w:eastAsia="zh-CN"/>
        </w:rPr>
        <w:t>投标人</w:t>
      </w:r>
      <w:r>
        <w:rPr>
          <w:rFonts w:hint="eastAsia" w:ascii="宋体" w:hAnsi="宋体" w:eastAsia="宋体" w:cs="宋体"/>
          <w:color w:val="auto"/>
          <w:sz w:val="24"/>
          <w:szCs w:val="24"/>
          <w:highlight w:val="none"/>
        </w:rPr>
        <w:t>登陆政采云平台http://www.zcygov.cn/，在线申请获取招标文件（登录政府采购云平台 → 项目采购 → 获取招标文件→申请，审核通过后可下载招标文件，如有操作性问题，可与政采云在线客服进行咨询，咨询电话：95763）。</w:t>
      </w:r>
    </w:p>
    <w:p w14:paraId="76ABE2B4">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方式：投标人登录新疆政府采购云平台https://www.zcygov.cn/在线申请获取</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（登录政府采购云平台 → 项目采购 → 获取招标文件→ 申请，审核通过后可下载招标文件）</w:t>
      </w:r>
    </w:p>
    <w:p w14:paraId="792793DC">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售价：0元</w:t>
      </w:r>
    </w:p>
    <w:p w14:paraId="358FCEED">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bookmarkStart w:id="17" w:name="_Toc28359082"/>
      <w:bookmarkStart w:id="18" w:name="_Toc28359005"/>
      <w:bookmarkStart w:id="19" w:name="_Toc35393624"/>
      <w:bookmarkStart w:id="20" w:name="_Toc35393793"/>
      <w:r>
        <w:rPr>
          <w:rFonts w:hint="eastAsia" w:ascii="宋体" w:hAnsi="宋体" w:eastAsia="宋体" w:cs="宋体"/>
          <w:color w:val="auto"/>
          <w:sz w:val="24"/>
          <w:szCs w:val="24"/>
          <w:highlight w:val="none"/>
        </w:rPr>
        <w:t>四、提交投标文件</w:t>
      </w:r>
      <w:bookmarkEnd w:id="17"/>
      <w:bookmarkEnd w:id="18"/>
      <w:r>
        <w:rPr>
          <w:rFonts w:hint="eastAsia" w:ascii="宋体" w:hAnsi="宋体" w:eastAsia="宋体" w:cs="宋体"/>
          <w:color w:val="auto"/>
          <w:sz w:val="24"/>
          <w:szCs w:val="24"/>
          <w:highlight w:val="none"/>
        </w:rPr>
        <w:t>截止时间、开标时间和地点</w:t>
      </w:r>
      <w:bookmarkEnd w:id="19"/>
      <w:bookmarkEnd w:id="20"/>
    </w:p>
    <w:p w14:paraId="1A25309E">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提交投标文件截止时间：</w:t>
      </w:r>
      <w:r>
        <w:rPr>
          <w:rFonts w:hint="eastAsia" w:ascii="宋体" w:hAnsi="宋体" w:cs="宋体"/>
          <w:color w:val="auto"/>
          <w:sz w:val="24"/>
          <w:szCs w:val="24"/>
          <w:highlight w:val="none"/>
          <w:lang w:eastAsia="zh-CN"/>
        </w:rPr>
        <w:t>2026年</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月</w:t>
      </w:r>
      <w:r>
        <w:rPr>
          <w:rFonts w:hint="eastAsia" w:ascii="宋体" w:hAnsi="宋体" w:cs="宋体"/>
          <w:color w:val="auto"/>
          <w:sz w:val="24"/>
          <w:szCs w:val="24"/>
          <w:highlight w:val="none"/>
          <w:lang w:val="en-US" w:eastAsia="zh-CN"/>
        </w:rPr>
        <w:t>21</w:t>
      </w:r>
      <w:r>
        <w:rPr>
          <w:rFonts w:hint="eastAsia" w:ascii="宋体" w:hAnsi="宋体" w:eastAsia="宋体" w:cs="宋体"/>
          <w:color w:val="auto"/>
          <w:sz w:val="24"/>
          <w:szCs w:val="24"/>
          <w:highlight w:val="none"/>
          <w:lang w:eastAsia="zh-CN"/>
        </w:rPr>
        <w:t>日</w:t>
      </w:r>
      <w:r>
        <w:rPr>
          <w:rFonts w:hint="eastAsia" w:ascii="宋体" w:hAnsi="宋体" w:eastAsia="宋体" w:cs="宋体"/>
          <w:color w:val="auto"/>
          <w:sz w:val="24"/>
          <w:szCs w:val="24"/>
          <w:highlight w:val="none"/>
        </w:rPr>
        <w:t>11点00分（北京时间）</w:t>
      </w:r>
    </w:p>
    <w:p w14:paraId="650F4868">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开标时间：</w:t>
      </w:r>
      <w:r>
        <w:rPr>
          <w:rFonts w:hint="eastAsia" w:ascii="宋体" w:hAnsi="宋体" w:cs="宋体"/>
          <w:color w:val="auto"/>
          <w:sz w:val="24"/>
          <w:szCs w:val="24"/>
          <w:highlight w:val="none"/>
          <w:lang w:eastAsia="zh-CN"/>
        </w:rPr>
        <w:t>2026年</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月</w:t>
      </w:r>
      <w:r>
        <w:rPr>
          <w:rFonts w:hint="eastAsia" w:ascii="宋体" w:hAnsi="宋体" w:cs="宋体"/>
          <w:color w:val="auto"/>
          <w:sz w:val="24"/>
          <w:szCs w:val="24"/>
          <w:highlight w:val="none"/>
          <w:lang w:val="en-US" w:eastAsia="zh-CN"/>
        </w:rPr>
        <w:t>21</w:t>
      </w:r>
      <w:r>
        <w:rPr>
          <w:rFonts w:hint="eastAsia" w:ascii="宋体" w:hAnsi="宋体" w:eastAsia="宋体" w:cs="宋体"/>
          <w:color w:val="auto"/>
          <w:sz w:val="24"/>
          <w:szCs w:val="24"/>
          <w:highlight w:val="none"/>
          <w:lang w:eastAsia="zh-CN"/>
        </w:rPr>
        <w:t>日</w:t>
      </w:r>
      <w:r>
        <w:rPr>
          <w:rFonts w:hint="eastAsia" w:ascii="宋体" w:hAnsi="宋体" w:eastAsia="宋体" w:cs="宋体"/>
          <w:color w:val="auto"/>
          <w:sz w:val="24"/>
          <w:szCs w:val="24"/>
          <w:highlight w:val="none"/>
        </w:rPr>
        <w:t>11点00分（北京时间）</w:t>
      </w:r>
    </w:p>
    <w:p w14:paraId="051FBEDD">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开标地点：</w:t>
      </w:r>
      <w:bookmarkStart w:id="21" w:name="_Toc35393794"/>
      <w:bookmarkStart w:id="22" w:name="_Toc35393625"/>
      <w:bookmarkStart w:id="23" w:name="_Toc28359084"/>
      <w:bookmarkStart w:id="24" w:name="_Toc28359007"/>
      <w:r>
        <w:rPr>
          <w:rFonts w:hint="eastAsia" w:ascii="宋体" w:hAnsi="宋体" w:eastAsia="宋体" w:cs="宋体"/>
          <w:color w:val="auto"/>
          <w:sz w:val="24"/>
          <w:szCs w:val="24"/>
          <w:highlight w:val="none"/>
        </w:rPr>
        <w:t>政采云平台http://www.zcygov.cn/</w:t>
      </w:r>
    </w:p>
    <w:p w14:paraId="791307F9">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五、公告期限</w:t>
      </w:r>
      <w:bookmarkEnd w:id="21"/>
      <w:bookmarkEnd w:id="22"/>
      <w:bookmarkEnd w:id="23"/>
      <w:bookmarkEnd w:id="24"/>
    </w:p>
    <w:p w14:paraId="27379F13">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自本公告发布之日起5个工作日。</w:t>
      </w:r>
    </w:p>
    <w:p w14:paraId="20BD4C90">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bookmarkStart w:id="25" w:name="_Toc35393626"/>
      <w:bookmarkStart w:id="26" w:name="_Toc35393795"/>
      <w:r>
        <w:rPr>
          <w:rFonts w:hint="eastAsia" w:ascii="宋体" w:hAnsi="宋体" w:eastAsia="宋体" w:cs="宋体"/>
          <w:color w:val="auto"/>
          <w:sz w:val="24"/>
          <w:szCs w:val="24"/>
          <w:highlight w:val="none"/>
        </w:rPr>
        <w:t>六、其他补充事宜</w:t>
      </w:r>
      <w:bookmarkEnd w:id="25"/>
      <w:bookmarkEnd w:id="26"/>
    </w:p>
    <w:p w14:paraId="64F8CA98">
      <w:pPr>
        <w:pStyle w:val="62"/>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400" w:lineRule="exact"/>
        <w:ind w:leftChars="200" w:right="0" w:rightChars="0"/>
        <w:jc w:val="left"/>
        <w:textAlignment w:val="auto"/>
        <w:rPr>
          <w:rFonts w:hint="eastAsia" w:asciiTheme="minorEastAsia" w:hAnsiTheme="minorEastAsia" w:eastAsiaTheme="minorEastAsia" w:cstheme="minorEastAsia"/>
          <w:b w:val="0"/>
          <w:bCs/>
          <w:color w:val="auto"/>
          <w:sz w:val="24"/>
          <w:szCs w:val="24"/>
          <w:highlight w:val="none"/>
          <w:shd w:val="clear" w:color="auto" w:fill="auto"/>
          <w:lang w:val="en-US" w:eastAsia="zh-CN"/>
        </w:rPr>
      </w:pPr>
      <w:bookmarkStart w:id="27" w:name="_Toc35393627"/>
      <w:bookmarkStart w:id="28" w:name="_Toc28359008"/>
      <w:bookmarkStart w:id="29" w:name="_Toc35393796"/>
      <w:bookmarkStart w:id="30" w:name="_Toc28359085"/>
      <w:r>
        <w:rPr>
          <w:rFonts w:hint="eastAsia" w:asciiTheme="minorEastAsia" w:hAnsiTheme="minorEastAsia" w:eastAsiaTheme="minorEastAsia" w:cstheme="minorEastAsia"/>
          <w:b w:val="0"/>
          <w:bCs/>
          <w:color w:val="auto"/>
          <w:sz w:val="24"/>
          <w:szCs w:val="24"/>
          <w:highlight w:val="none"/>
          <w:shd w:val="clear" w:color="auto" w:fill="auto"/>
          <w:lang w:val="en-US" w:eastAsia="zh-CN"/>
        </w:rPr>
        <w:t>1、本项目实行电子招投标，供应商须登录政采云平台申请获取采购文件，并需要使用CA锁，登录政采云电子投标客户端制作投标文件，若供应商参与投标,自行承担与投标有关的一切费用。</w:t>
      </w:r>
    </w:p>
    <w:p w14:paraId="503BFFD5">
      <w:pPr>
        <w:pStyle w:val="62"/>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400" w:lineRule="exact"/>
        <w:ind w:leftChars="200" w:right="0" w:rightChars="0"/>
        <w:jc w:val="left"/>
        <w:textAlignment w:val="auto"/>
        <w:rPr>
          <w:rFonts w:hint="eastAsia" w:asciiTheme="minorEastAsia" w:hAnsiTheme="minorEastAsia" w:eastAsiaTheme="minorEastAsia" w:cstheme="minorEastAsia"/>
          <w:b w:val="0"/>
          <w:bCs/>
          <w:color w:val="auto"/>
          <w:sz w:val="24"/>
          <w:szCs w:val="24"/>
          <w:highlight w:val="none"/>
          <w:shd w:val="clear" w:color="auto" w:fill="auto"/>
          <w:lang w:val="en-US" w:eastAsia="zh-CN"/>
        </w:rPr>
      </w:pPr>
      <w:r>
        <w:rPr>
          <w:rFonts w:hint="eastAsia" w:asciiTheme="minorEastAsia" w:hAnsiTheme="minorEastAsia" w:eastAsiaTheme="minorEastAsia" w:cstheme="minorEastAsia"/>
          <w:b w:val="0"/>
          <w:bCs/>
          <w:color w:val="auto"/>
          <w:sz w:val="24"/>
          <w:szCs w:val="24"/>
          <w:highlight w:val="none"/>
          <w:shd w:val="clear" w:color="auto" w:fill="auto"/>
          <w:lang w:val="en-US" w:eastAsia="zh-CN"/>
        </w:rPr>
        <w:t>2.各供应商应在开标前确保是新疆维吾尔自治区政府采购网正式注册入库的供应商，并完成CA数字证书申领。因未注册入库、未办理CA数字证书等原因造成无法投标或投标失败等后果的由供应商自行承担</w:t>
      </w:r>
    </w:p>
    <w:p w14:paraId="5AEF8A8A">
      <w:pPr>
        <w:pStyle w:val="62"/>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400" w:lineRule="exact"/>
        <w:ind w:leftChars="200" w:right="0" w:rightChars="0"/>
        <w:jc w:val="left"/>
        <w:textAlignment w:val="auto"/>
        <w:rPr>
          <w:rFonts w:hint="eastAsia" w:asciiTheme="minorEastAsia" w:hAnsiTheme="minorEastAsia" w:eastAsiaTheme="minorEastAsia" w:cstheme="minorEastAsia"/>
          <w:b w:val="0"/>
          <w:bCs/>
          <w:color w:val="auto"/>
          <w:sz w:val="24"/>
          <w:szCs w:val="24"/>
          <w:highlight w:val="none"/>
          <w:shd w:val="clear" w:color="auto" w:fill="auto"/>
          <w:lang w:val="en-US" w:eastAsia="zh-CN"/>
        </w:rPr>
      </w:pPr>
      <w:r>
        <w:rPr>
          <w:rFonts w:hint="eastAsia" w:asciiTheme="minorEastAsia" w:hAnsiTheme="minorEastAsia" w:eastAsiaTheme="minorEastAsia" w:cstheme="minorEastAsia"/>
          <w:b w:val="0"/>
          <w:bCs/>
          <w:color w:val="auto"/>
          <w:sz w:val="24"/>
          <w:szCs w:val="24"/>
          <w:highlight w:val="none"/>
          <w:shd w:val="clear" w:color="auto" w:fill="auto"/>
          <w:lang w:val="en-US" w:eastAsia="zh-CN"/>
        </w:rPr>
        <w:t>3.供应商可前往新疆政府采购网（http://www.ccgp-xinjiang.gov.cn/）下载专区，下载政采云电子投标客户端，安装完成后，可通过账号密码或CA登录客户端进行投标文件制作。</w:t>
      </w:r>
    </w:p>
    <w:p w14:paraId="1EED8FB5">
      <w:pPr>
        <w:pStyle w:val="62"/>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400" w:lineRule="exact"/>
        <w:ind w:leftChars="200" w:right="0" w:rightChars="0"/>
        <w:jc w:val="left"/>
        <w:textAlignment w:val="auto"/>
        <w:rPr>
          <w:rFonts w:hint="eastAsia" w:asciiTheme="minorEastAsia" w:hAnsiTheme="minorEastAsia" w:eastAsiaTheme="minorEastAsia" w:cstheme="minorEastAsia"/>
          <w:b w:val="0"/>
          <w:bCs/>
          <w:color w:val="auto"/>
          <w:sz w:val="24"/>
          <w:szCs w:val="24"/>
          <w:highlight w:val="none"/>
          <w:shd w:val="clear" w:color="auto" w:fill="auto"/>
          <w:lang w:val="en-US" w:eastAsia="zh-CN"/>
        </w:rPr>
      </w:pPr>
      <w:r>
        <w:rPr>
          <w:rFonts w:hint="eastAsia" w:asciiTheme="minorEastAsia" w:hAnsiTheme="minorEastAsia" w:eastAsiaTheme="minorEastAsia" w:cstheme="minorEastAsia"/>
          <w:b w:val="0"/>
          <w:bCs/>
          <w:color w:val="auto"/>
          <w:sz w:val="24"/>
          <w:szCs w:val="24"/>
          <w:highlight w:val="none"/>
          <w:shd w:val="clear" w:color="auto" w:fill="auto"/>
          <w:lang w:val="en-US" w:eastAsia="zh-CN"/>
        </w:rPr>
        <w:t>4..供应商在开标时须携带制作加密电子投标文件所使用的CA锁，电脑须提前配置好浏览器，以便开标时在线解密。</w:t>
      </w:r>
    </w:p>
    <w:p w14:paraId="1AC10AFE">
      <w:pPr>
        <w:pStyle w:val="62"/>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400" w:lineRule="exact"/>
        <w:ind w:leftChars="200" w:right="0" w:rightChars="0"/>
        <w:jc w:val="left"/>
        <w:textAlignment w:val="auto"/>
        <w:rPr>
          <w:rFonts w:hint="eastAsia" w:asciiTheme="minorEastAsia" w:hAnsiTheme="minorEastAsia" w:eastAsiaTheme="minorEastAsia" w:cstheme="minorEastAsia"/>
          <w:b w:val="0"/>
          <w:bCs/>
          <w:color w:val="auto"/>
          <w:sz w:val="24"/>
          <w:szCs w:val="24"/>
          <w:highlight w:val="none"/>
          <w:shd w:val="clear" w:color="auto" w:fill="auto"/>
          <w:lang w:val="en-US" w:eastAsia="zh-CN"/>
        </w:rPr>
      </w:pPr>
      <w:r>
        <w:rPr>
          <w:rFonts w:hint="eastAsia" w:asciiTheme="minorEastAsia" w:hAnsiTheme="minorEastAsia" w:eastAsiaTheme="minorEastAsia" w:cstheme="minorEastAsia"/>
          <w:b w:val="0"/>
          <w:bCs/>
          <w:color w:val="auto"/>
          <w:sz w:val="24"/>
          <w:szCs w:val="24"/>
          <w:highlight w:val="none"/>
          <w:shd w:val="clear" w:color="auto" w:fill="auto"/>
          <w:lang w:val="en-US" w:eastAsia="zh-CN"/>
        </w:rPr>
        <w:t>5.投标供应商应当在投标截止时间前，将生成的“电子加密投标文件”上传递交至“政府采购云平台”，投标截止时间以后上传递交的投标文件将被“政府采购云平台”拒收。</w:t>
      </w:r>
    </w:p>
    <w:p w14:paraId="4F19637B">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七、对本次招标提出询问，请按以下方式联系</w:t>
      </w:r>
      <w:bookmarkEnd w:id="27"/>
      <w:bookmarkEnd w:id="28"/>
      <w:bookmarkEnd w:id="29"/>
      <w:bookmarkEnd w:id="30"/>
      <w:r>
        <w:rPr>
          <w:rFonts w:hint="eastAsia" w:ascii="宋体" w:hAnsi="宋体" w:eastAsia="宋体" w:cs="宋体"/>
          <w:color w:val="auto"/>
          <w:sz w:val="24"/>
          <w:szCs w:val="24"/>
          <w:highlight w:val="none"/>
          <w:lang w:eastAsia="zh-CN"/>
        </w:rPr>
        <w:t>：</w:t>
      </w:r>
    </w:p>
    <w:p w14:paraId="2AB5EA9F">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1.采购人信息</w:t>
      </w:r>
    </w:p>
    <w:p w14:paraId="0117B535">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 称：</w:t>
      </w:r>
      <w:r>
        <w:rPr>
          <w:rFonts w:hint="eastAsia" w:ascii="宋体" w:hAnsi="宋体" w:cs="宋体"/>
          <w:color w:val="auto"/>
          <w:sz w:val="24"/>
          <w:szCs w:val="24"/>
          <w:highlight w:val="none"/>
          <w:lang w:eastAsia="zh-CN"/>
        </w:rPr>
        <w:t>乌鲁木齐市市场监督管理局（乌鲁木齐市知识产权局）</w:t>
      </w:r>
      <w:r>
        <w:rPr>
          <w:rFonts w:hint="eastAsia" w:ascii="宋体" w:hAnsi="宋体" w:eastAsia="宋体" w:cs="宋体"/>
          <w:color w:val="auto"/>
          <w:sz w:val="24"/>
          <w:szCs w:val="24"/>
          <w:highlight w:val="none"/>
        </w:rPr>
        <w:t>　　　　　　　　　　　</w:t>
      </w:r>
    </w:p>
    <w:p w14:paraId="4F54AD91">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cs="宋体"/>
          <w:color w:val="auto"/>
          <w:sz w:val="24"/>
          <w:szCs w:val="24"/>
          <w:highlight w:val="none"/>
          <w:lang w:eastAsia="zh-CN"/>
        </w:rPr>
        <w:t>乌鲁木齐市天山区中山路33号</w:t>
      </w:r>
      <w:r>
        <w:rPr>
          <w:rFonts w:hint="eastAsia" w:ascii="宋体" w:hAnsi="宋体" w:eastAsia="宋体" w:cs="宋体"/>
          <w:color w:val="auto"/>
          <w:sz w:val="24"/>
          <w:szCs w:val="24"/>
          <w:highlight w:val="none"/>
        </w:rPr>
        <w:t>　　　　　　　　　</w:t>
      </w:r>
    </w:p>
    <w:p w14:paraId="66EE98D2">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联系方式：</w:t>
      </w:r>
      <w:r>
        <w:rPr>
          <w:rFonts w:hint="eastAsia" w:ascii="宋体" w:hAnsi="宋体" w:cs="宋体"/>
          <w:color w:val="auto"/>
          <w:sz w:val="24"/>
          <w:szCs w:val="24"/>
          <w:highlight w:val="none"/>
          <w:lang w:eastAsia="zh-CN"/>
        </w:rPr>
        <w:t>0991-</w:t>
      </w:r>
      <w:r>
        <w:rPr>
          <w:rFonts w:hint="eastAsia" w:ascii="宋体" w:hAnsi="宋体" w:cs="宋体"/>
          <w:color w:val="auto"/>
          <w:sz w:val="24"/>
          <w:szCs w:val="24"/>
          <w:highlight w:val="none"/>
          <w:lang w:val="en-US" w:eastAsia="zh-CN"/>
        </w:rPr>
        <w:t>2827623</w:t>
      </w:r>
      <w:r>
        <w:rPr>
          <w:rFonts w:hint="eastAsia" w:ascii="宋体" w:hAnsi="宋体" w:eastAsia="宋体" w:cs="宋体"/>
          <w:color w:val="auto"/>
          <w:sz w:val="24"/>
          <w:szCs w:val="24"/>
          <w:highlight w:val="none"/>
        </w:rPr>
        <w:t xml:space="preserve"> </w:t>
      </w:r>
    </w:p>
    <w:p w14:paraId="2968CB0A">
      <w:pPr>
        <w:pageBreakBefore w:val="0"/>
        <w:widowControl w:val="0"/>
        <w:kinsoku/>
        <w:wordWrap/>
        <w:overflowPunct/>
        <w:topLinePunct w:val="0"/>
        <w:autoSpaceDE/>
        <w:autoSpaceDN/>
        <w:bidi w:val="0"/>
        <w:adjustRightInd/>
        <w:snapToGrid/>
        <w:spacing w:line="400" w:lineRule="exact"/>
        <w:ind w:firstLine="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bookmarkStart w:id="31" w:name="_Toc28359086"/>
      <w:bookmarkStart w:id="32" w:name="_Toc28359009"/>
    </w:p>
    <w:p w14:paraId="4032BC2B">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2.采购代理机构信息</w:t>
      </w:r>
      <w:bookmarkEnd w:id="31"/>
      <w:bookmarkEnd w:id="32"/>
    </w:p>
    <w:p w14:paraId="6B73E033">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 称：</w:t>
      </w:r>
      <w:r>
        <w:rPr>
          <w:rFonts w:hint="eastAsia" w:ascii="宋体" w:hAnsi="宋体" w:cs="宋体"/>
          <w:color w:val="auto"/>
          <w:sz w:val="24"/>
          <w:szCs w:val="24"/>
          <w:highlight w:val="none"/>
          <w:lang w:eastAsia="zh-CN"/>
        </w:rPr>
        <w:t>新疆志远诚信建设项目管理有限公司</w:t>
      </w:r>
      <w:r>
        <w:rPr>
          <w:rFonts w:hint="eastAsia" w:ascii="宋体" w:hAnsi="宋体" w:eastAsia="宋体" w:cs="宋体"/>
          <w:color w:val="auto"/>
          <w:sz w:val="24"/>
          <w:szCs w:val="24"/>
          <w:highlight w:val="none"/>
        </w:rPr>
        <w:t>　　　　　　　　　　　　</w:t>
      </w:r>
    </w:p>
    <w:p w14:paraId="21D536B9">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cs="宋体"/>
          <w:color w:val="auto"/>
          <w:sz w:val="24"/>
          <w:szCs w:val="24"/>
          <w:highlight w:val="none"/>
          <w:lang w:eastAsia="zh-CN"/>
        </w:rPr>
        <w:t>乌鲁木齐市红光山路2588号绿地商务中心智海楼606室</w:t>
      </w:r>
      <w:r>
        <w:rPr>
          <w:rFonts w:hint="eastAsia" w:ascii="宋体" w:hAnsi="宋体" w:eastAsia="宋体" w:cs="宋体"/>
          <w:color w:val="auto"/>
          <w:sz w:val="24"/>
          <w:szCs w:val="24"/>
          <w:highlight w:val="none"/>
        </w:rPr>
        <w:t>　　　　　　　　　　　　</w:t>
      </w:r>
    </w:p>
    <w:p w14:paraId="1984E315">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项目联系人：</w:t>
      </w:r>
      <w:r>
        <w:rPr>
          <w:rFonts w:hint="eastAsia" w:ascii="宋体" w:hAnsi="宋体" w:cs="宋体"/>
          <w:color w:val="auto"/>
          <w:sz w:val="24"/>
          <w:szCs w:val="24"/>
          <w:highlight w:val="none"/>
          <w:lang w:eastAsia="zh-CN"/>
        </w:rPr>
        <w:t>金慧玲、孙培欣</w:t>
      </w:r>
    </w:p>
    <w:p w14:paraId="535F630A">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w:t>
      </w:r>
      <w:r>
        <w:rPr>
          <w:rFonts w:hint="eastAsia" w:ascii="宋体" w:hAnsi="宋体" w:cs="宋体"/>
          <w:color w:val="auto"/>
          <w:sz w:val="24"/>
          <w:szCs w:val="24"/>
          <w:highlight w:val="none"/>
          <w:lang w:val="en-US" w:eastAsia="zh-CN"/>
        </w:rPr>
        <w:t>18146929703</w:t>
      </w:r>
    </w:p>
    <w:p w14:paraId="4A419109">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p w14:paraId="200E6829">
      <w:pPr>
        <w:pStyle w:val="3"/>
        <w:pageBreakBefore w:val="0"/>
        <w:kinsoku/>
        <w:wordWrap/>
        <w:overflowPunct/>
        <w:topLinePunct w:val="0"/>
        <w:autoSpaceDE/>
        <w:autoSpaceDN/>
        <w:bidi w:val="0"/>
        <w:spacing w:before="0" w:after="0" w:line="4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33" w:name="_Toc28983"/>
      <w:r>
        <w:rPr>
          <w:rFonts w:hint="eastAsia" w:ascii="宋体" w:hAnsi="宋体" w:eastAsia="宋体" w:cs="宋体"/>
          <w:color w:val="auto"/>
          <w:sz w:val="24"/>
          <w:szCs w:val="24"/>
          <w:highlight w:val="none"/>
        </w:rPr>
        <w:t>第二章  投标人须知</w:t>
      </w:r>
      <w:bookmarkEnd w:id="3"/>
      <w:bookmarkEnd w:id="4"/>
      <w:bookmarkEnd w:id="5"/>
      <w:bookmarkEnd w:id="6"/>
      <w:bookmarkEnd w:id="7"/>
      <w:bookmarkEnd w:id="8"/>
      <w:bookmarkEnd w:id="33"/>
    </w:p>
    <w:p w14:paraId="094E1E8C">
      <w:pPr>
        <w:keepNext/>
        <w:keepLines/>
        <w:pageBreakBefore w:val="0"/>
        <w:kinsoku/>
        <w:wordWrap/>
        <w:overflowPunct/>
        <w:topLinePunct w:val="0"/>
        <w:autoSpaceDE/>
        <w:autoSpaceDN/>
        <w:bidi w:val="0"/>
        <w:spacing w:line="420" w:lineRule="exact"/>
        <w:jc w:val="center"/>
        <w:textAlignment w:val="auto"/>
        <w:outlineLvl w:val="1"/>
        <w:rPr>
          <w:rFonts w:hint="eastAsia" w:ascii="宋体" w:hAnsi="宋体" w:eastAsia="宋体" w:cs="宋体"/>
          <w:b/>
          <w:bCs/>
          <w:color w:val="auto"/>
          <w:sz w:val="24"/>
          <w:szCs w:val="24"/>
          <w:highlight w:val="none"/>
        </w:rPr>
      </w:pPr>
      <w:bookmarkStart w:id="34" w:name="_Toc189727030"/>
      <w:bookmarkStart w:id="35" w:name="_Toc213496268"/>
      <w:bookmarkStart w:id="36" w:name="_Toc213396946"/>
      <w:bookmarkStart w:id="37" w:name="_Toc213397010"/>
      <w:bookmarkStart w:id="38" w:name="_Toc213396760"/>
      <w:bookmarkStart w:id="39" w:name="_Toc217446032"/>
      <w:r>
        <w:rPr>
          <w:rFonts w:hint="eastAsia" w:ascii="宋体" w:hAnsi="宋体" w:eastAsia="宋体" w:cs="宋体"/>
          <w:b/>
          <w:bCs/>
          <w:color w:val="auto"/>
          <w:sz w:val="24"/>
          <w:szCs w:val="24"/>
          <w:highlight w:val="none"/>
        </w:rPr>
        <w:t>一、投标人须知前附表</w:t>
      </w:r>
      <w:bookmarkEnd w:id="34"/>
      <w:bookmarkEnd w:id="35"/>
      <w:bookmarkEnd w:id="36"/>
      <w:bookmarkEnd w:id="37"/>
      <w:bookmarkEnd w:id="38"/>
      <w:bookmarkEnd w:id="39"/>
    </w:p>
    <w:tbl>
      <w:tblPr>
        <w:tblStyle w:val="30"/>
        <w:tblW w:w="51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39"/>
        <w:gridCol w:w="6663"/>
      </w:tblGrid>
      <w:tr w14:paraId="1C557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2" w:type="pct"/>
            <w:vAlign w:val="center"/>
          </w:tcPr>
          <w:p w14:paraId="70AC1E2A">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 w:type="pct"/>
            <w:vAlign w:val="center"/>
          </w:tcPr>
          <w:p w14:paraId="5478E17F">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名 称</w:t>
            </w:r>
          </w:p>
        </w:tc>
        <w:tc>
          <w:tcPr>
            <w:tcW w:w="3796" w:type="pct"/>
            <w:vAlign w:val="center"/>
          </w:tcPr>
          <w:p w14:paraId="5C5FCC9B">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w:t>
            </w:r>
          </w:p>
        </w:tc>
      </w:tr>
      <w:tr w14:paraId="4E9FC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382" w:type="pct"/>
            <w:vAlign w:val="center"/>
          </w:tcPr>
          <w:p w14:paraId="5C1C709C">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 w:type="pct"/>
            <w:vAlign w:val="center"/>
          </w:tcPr>
          <w:p w14:paraId="369C3B1A">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p>
        </w:tc>
        <w:tc>
          <w:tcPr>
            <w:tcW w:w="3796" w:type="pct"/>
            <w:vAlign w:val="center"/>
          </w:tcPr>
          <w:p w14:paraId="24C7252F">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  称：</w:t>
            </w:r>
            <w:r>
              <w:rPr>
                <w:rFonts w:hint="eastAsia" w:ascii="宋体" w:hAnsi="宋体" w:cs="宋体"/>
                <w:color w:val="auto"/>
                <w:sz w:val="24"/>
                <w:szCs w:val="24"/>
                <w:highlight w:val="none"/>
                <w:lang w:eastAsia="zh-CN"/>
              </w:rPr>
              <w:t>乌鲁木齐市市场监督管理局（乌鲁木齐市知识产权局）</w:t>
            </w:r>
          </w:p>
          <w:p w14:paraId="72893789">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  址：</w:t>
            </w:r>
            <w:r>
              <w:rPr>
                <w:rFonts w:hint="eastAsia" w:ascii="宋体" w:hAnsi="宋体" w:cs="宋体"/>
                <w:color w:val="auto"/>
                <w:sz w:val="24"/>
                <w:szCs w:val="24"/>
                <w:highlight w:val="none"/>
                <w:lang w:eastAsia="zh-CN"/>
              </w:rPr>
              <w:t>乌鲁木齐市天山区中山路33号</w:t>
            </w:r>
          </w:p>
          <w:p w14:paraId="1419BCA5">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联系人：</w:t>
            </w:r>
          </w:p>
          <w:p w14:paraId="5E30297C">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电话：</w:t>
            </w:r>
            <w:r>
              <w:rPr>
                <w:rFonts w:hint="eastAsia" w:ascii="宋体" w:hAnsi="宋体" w:cs="宋体"/>
                <w:color w:val="auto"/>
                <w:sz w:val="24"/>
                <w:szCs w:val="24"/>
                <w:highlight w:val="none"/>
                <w:lang w:eastAsia="zh-CN"/>
              </w:rPr>
              <w:t>0991-</w:t>
            </w:r>
            <w:r>
              <w:rPr>
                <w:rFonts w:hint="eastAsia" w:ascii="宋体" w:hAnsi="宋体" w:cs="宋体"/>
                <w:color w:val="auto"/>
                <w:sz w:val="24"/>
                <w:szCs w:val="24"/>
                <w:highlight w:val="none"/>
                <w:lang w:val="en-US" w:eastAsia="zh-CN"/>
              </w:rPr>
              <w:t>2827623</w:t>
            </w:r>
            <w:r>
              <w:rPr>
                <w:rFonts w:hint="eastAsia" w:ascii="宋体" w:hAnsi="宋体" w:eastAsia="宋体" w:cs="宋体"/>
                <w:color w:val="auto"/>
                <w:sz w:val="24"/>
                <w:szCs w:val="24"/>
                <w:highlight w:val="none"/>
                <w:lang w:eastAsia="zh-CN"/>
              </w:rPr>
              <w:t xml:space="preserve"> </w:t>
            </w:r>
          </w:p>
        </w:tc>
      </w:tr>
      <w:tr w14:paraId="3CAF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2" w:type="pct"/>
            <w:vAlign w:val="center"/>
          </w:tcPr>
          <w:p w14:paraId="3D3641AF">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 w:type="pct"/>
            <w:vAlign w:val="center"/>
          </w:tcPr>
          <w:p w14:paraId="5F531033">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w:t>
            </w:r>
          </w:p>
        </w:tc>
        <w:tc>
          <w:tcPr>
            <w:tcW w:w="3796" w:type="pct"/>
            <w:vAlign w:val="center"/>
          </w:tcPr>
          <w:p w14:paraId="33A7CC5A">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名  称：</w:t>
            </w:r>
            <w:r>
              <w:rPr>
                <w:rFonts w:hint="eastAsia" w:ascii="宋体" w:hAnsi="宋体" w:cs="宋体"/>
                <w:color w:val="auto"/>
                <w:sz w:val="24"/>
                <w:szCs w:val="24"/>
                <w:highlight w:val="none"/>
                <w:lang w:eastAsia="zh-CN"/>
              </w:rPr>
              <w:t>新疆志远诚信建设项目管理有限公司</w:t>
            </w:r>
          </w:p>
          <w:p w14:paraId="2BC56D4A">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cs="宋体"/>
                <w:color w:val="auto"/>
                <w:sz w:val="24"/>
                <w:szCs w:val="24"/>
                <w:highlight w:val="none"/>
                <w:lang w:val="zh-CN"/>
              </w:rPr>
              <w:t>乌鲁木齐市红光山路2588号绿地商务中心智海楼606室</w:t>
            </w:r>
          </w:p>
          <w:p w14:paraId="1B36492A">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项目联系人：</w:t>
            </w:r>
            <w:r>
              <w:rPr>
                <w:rFonts w:hint="eastAsia" w:ascii="宋体" w:hAnsi="宋体" w:cs="宋体"/>
                <w:color w:val="auto"/>
                <w:sz w:val="24"/>
                <w:szCs w:val="24"/>
                <w:highlight w:val="none"/>
                <w:lang w:eastAsia="zh-CN"/>
              </w:rPr>
              <w:t>金慧玲、孙培欣</w:t>
            </w:r>
            <w:r>
              <w:rPr>
                <w:rFonts w:hint="eastAsia" w:ascii="宋体" w:hAnsi="宋体" w:eastAsia="宋体" w:cs="宋体"/>
                <w:color w:val="auto"/>
                <w:sz w:val="24"/>
                <w:szCs w:val="24"/>
                <w:highlight w:val="none"/>
              </w:rPr>
              <w:t xml:space="preserve"> </w:t>
            </w:r>
          </w:p>
          <w:p w14:paraId="25BD224B">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w:t>
            </w:r>
            <w:r>
              <w:rPr>
                <w:rFonts w:hint="eastAsia" w:ascii="宋体" w:hAnsi="宋体" w:cs="宋体"/>
                <w:color w:val="auto"/>
                <w:sz w:val="24"/>
                <w:szCs w:val="24"/>
                <w:highlight w:val="none"/>
                <w:lang w:eastAsia="zh-CN"/>
              </w:rPr>
              <w:t>18146929703</w:t>
            </w:r>
            <w:r>
              <w:rPr>
                <w:rFonts w:hint="eastAsia" w:ascii="宋体" w:hAnsi="宋体" w:eastAsia="宋体" w:cs="宋体"/>
                <w:color w:val="auto"/>
                <w:sz w:val="24"/>
                <w:szCs w:val="24"/>
                <w:highlight w:val="none"/>
              </w:rPr>
              <w:t xml:space="preserve"> </w:t>
            </w:r>
          </w:p>
        </w:tc>
      </w:tr>
      <w:tr w14:paraId="526A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1" w:hRule="atLeast"/>
          <w:jc w:val="center"/>
        </w:trPr>
        <w:tc>
          <w:tcPr>
            <w:tcW w:w="382" w:type="pct"/>
            <w:vAlign w:val="center"/>
          </w:tcPr>
          <w:p w14:paraId="26EA11CC">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 w:type="pct"/>
            <w:vAlign w:val="center"/>
          </w:tcPr>
          <w:p w14:paraId="20986CA8">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标项</w:t>
            </w:r>
            <w:r>
              <w:rPr>
                <w:rFonts w:hint="eastAsia" w:ascii="宋体" w:hAnsi="宋体" w:eastAsia="宋体" w:cs="宋体"/>
                <w:color w:val="auto"/>
                <w:sz w:val="24"/>
                <w:szCs w:val="24"/>
                <w:highlight w:val="none"/>
              </w:rPr>
              <w:t>名称</w:t>
            </w:r>
          </w:p>
        </w:tc>
        <w:tc>
          <w:tcPr>
            <w:tcW w:w="3796" w:type="pct"/>
            <w:vAlign w:val="center"/>
          </w:tcPr>
          <w:p w14:paraId="34BDE02C">
            <w:pPr>
              <w:keepNext w:val="0"/>
              <w:keepLines w:val="0"/>
              <w:pageBreakBefore w:val="0"/>
              <w:kinsoku/>
              <w:wordWrap/>
              <w:overflowPunct/>
              <w:topLinePunct w:val="0"/>
              <w:autoSpaceDE/>
              <w:autoSpaceDN/>
              <w:bidi w:val="0"/>
              <w:spacing w:line="400" w:lineRule="exact"/>
              <w:textAlignment w:val="auto"/>
              <w:rPr>
                <w:rFonts w:hint="eastAsia" w:hAnsi="宋体" w:cs="宋体"/>
                <w:color w:val="auto"/>
                <w:sz w:val="24"/>
                <w:szCs w:val="24"/>
                <w:highlight w:val="none"/>
                <w:u w:val="none"/>
                <w:lang w:val="en-US" w:eastAsia="zh-CN"/>
              </w:rPr>
            </w:pPr>
            <w:r>
              <w:rPr>
                <w:rFonts w:hint="eastAsia" w:ascii="宋体" w:hAnsi="宋体" w:cs="宋体"/>
                <w:color w:val="auto"/>
                <w:sz w:val="24"/>
                <w:szCs w:val="24"/>
                <w:highlight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标项一</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 xml:space="preserve"> </w:t>
            </w:r>
          </w:p>
          <w:p w14:paraId="4CCED22F">
            <w:pPr>
              <w:pStyle w:val="2"/>
              <w:rPr>
                <w:rFonts w:hint="eastAsia" w:hAnsi="宋体" w:cs="宋体"/>
                <w:color w:val="auto"/>
                <w:sz w:val="24"/>
                <w:szCs w:val="24"/>
                <w:highlight w:val="none"/>
                <w:u w:val="none"/>
                <w:lang w:eastAsia="zh-CN"/>
              </w:rPr>
            </w:pPr>
            <w:r>
              <w:rPr>
                <w:rFonts w:hint="eastAsia" w:ascii="宋体" w:hAnsi="宋体" w:cs="宋体"/>
                <w:color w:val="auto"/>
                <w:sz w:val="24"/>
                <w:szCs w:val="24"/>
                <w:highlight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标项二</w:t>
            </w:r>
            <w:r>
              <w:rPr>
                <w:rFonts w:hint="eastAsia" w:hAnsi="宋体" w:cs="宋体"/>
                <w:color w:val="auto"/>
                <w:sz w:val="24"/>
                <w:szCs w:val="24"/>
                <w:highlight w:val="none"/>
                <w:u w:val="none"/>
                <w:lang w:eastAsia="zh-CN"/>
              </w:rPr>
              <w:t>）</w:t>
            </w:r>
          </w:p>
          <w:p w14:paraId="7FB776CC">
            <w:pPr>
              <w:pStyle w:val="2"/>
              <w:rPr>
                <w:rFonts w:hint="eastAsia" w:hAnsi="宋体" w:cs="宋体"/>
                <w:color w:val="auto"/>
                <w:sz w:val="24"/>
                <w:szCs w:val="24"/>
                <w:highlight w:val="none"/>
                <w:u w:val="none"/>
                <w:lang w:eastAsia="zh-CN"/>
              </w:rPr>
            </w:pPr>
            <w:r>
              <w:rPr>
                <w:rFonts w:hint="eastAsia" w:ascii="宋体" w:hAnsi="宋体" w:cs="宋体"/>
                <w:color w:val="auto"/>
                <w:sz w:val="24"/>
                <w:szCs w:val="24"/>
                <w:highlight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标项三</w:t>
            </w:r>
            <w:r>
              <w:rPr>
                <w:rFonts w:hint="eastAsia" w:hAnsi="宋体" w:cs="宋体"/>
                <w:color w:val="auto"/>
                <w:sz w:val="24"/>
                <w:szCs w:val="24"/>
                <w:highlight w:val="none"/>
                <w:u w:val="none"/>
                <w:lang w:eastAsia="zh-CN"/>
              </w:rPr>
              <w:t>）</w:t>
            </w:r>
          </w:p>
          <w:p w14:paraId="6A72C4D6">
            <w:pPr>
              <w:pStyle w:val="2"/>
              <w:rPr>
                <w:rFonts w:hint="eastAsia" w:hAnsi="宋体" w:cs="宋体"/>
                <w:color w:val="auto"/>
                <w:sz w:val="24"/>
                <w:szCs w:val="24"/>
                <w:highlight w:val="none"/>
                <w:u w:val="none"/>
                <w:lang w:eastAsia="zh-CN"/>
              </w:rPr>
            </w:pPr>
            <w:r>
              <w:rPr>
                <w:rFonts w:hint="eastAsia" w:ascii="宋体" w:hAnsi="宋体" w:cs="宋体"/>
                <w:color w:val="auto"/>
                <w:sz w:val="24"/>
                <w:szCs w:val="24"/>
                <w:highlight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标项四</w:t>
            </w:r>
            <w:r>
              <w:rPr>
                <w:rFonts w:hint="eastAsia" w:hAnsi="宋体" w:cs="宋体"/>
                <w:color w:val="auto"/>
                <w:sz w:val="24"/>
                <w:szCs w:val="24"/>
                <w:highlight w:val="none"/>
                <w:u w:val="none"/>
                <w:lang w:eastAsia="zh-CN"/>
              </w:rPr>
              <w:t>）</w:t>
            </w:r>
          </w:p>
          <w:p w14:paraId="24CA7007">
            <w:pPr>
              <w:pStyle w:val="2"/>
              <w:rPr>
                <w:rFonts w:hint="eastAsia" w:hAnsi="宋体" w:cs="宋体"/>
                <w:color w:val="auto"/>
                <w:sz w:val="24"/>
                <w:szCs w:val="24"/>
                <w:highlight w:val="none"/>
                <w:u w:val="none"/>
                <w:lang w:eastAsia="zh-CN"/>
              </w:rPr>
            </w:pPr>
            <w:r>
              <w:rPr>
                <w:rFonts w:hint="eastAsia" w:ascii="宋体" w:hAnsi="宋体" w:cs="宋体"/>
                <w:color w:val="auto"/>
                <w:sz w:val="24"/>
                <w:szCs w:val="24"/>
                <w:highlight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标项五</w:t>
            </w:r>
            <w:r>
              <w:rPr>
                <w:rFonts w:hint="eastAsia" w:hAnsi="宋体" w:cs="宋体"/>
                <w:color w:val="auto"/>
                <w:sz w:val="24"/>
                <w:szCs w:val="24"/>
                <w:highlight w:val="none"/>
                <w:u w:val="none"/>
                <w:lang w:eastAsia="zh-CN"/>
              </w:rPr>
              <w:t>）</w:t>
            </w:r>
          </w:p>
          <w:p w14:paraId="77E0126C">
            <w:pPr>
              <w:pStyle w:val="2"/>
              <w:rPr>
                <w:rFonts w:hint="eastAsia" w:hAnsi="宋体" w:cs="宋体"/>
                <w:color w:val="auto"/>
                <w:sz w:val="24"/>
                <w:szCs w:val="24"/>
                <w:highlight w:val="none"/>
                <w:u w:val="none"/>
                <w:lang w:eastAsia="zh-CN"/>
              </w:rPr>
            </w:pPr>
            <w:r>
              <w:rPr>
                <w:rFonts w:hint="eastAsia" w:ascii="宋体" w:hAnsi="宋体" w:cs="宋体"/>
                <w:color w:val="auto"/>
                <w:sz w:val="24"/>
                <w:szCs w:val="24"/>
                <w:highlight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标项六</w:t>
            </w:r>
            <w:r>
              <w:rPr>
                <w:rFonts w:hint="eastAsia" w:hAnsi="宋体" w:cs="宋体"/>
                <w:color w:val="auto"/>
                <w:sz w:val="24"/>
                <w:szCs w:val="24"/>
                <w:highlight w:val="none"/>
                <w:u w:val="none"/>
                <w:lang w:eastAsia="zh-CN"/>
              </w:rPr>
              <w:t>）</w:t>
            </w:r>
          </w:p>
          <w:p w14:paraId="7FCB85AF">
            <w:pPr>
              <w:pStyle w:val="2"/>
              <w:rPr>
                <w:rFonts w:hint="eastAsia" w:hAnsi="宋体" w:cs="宋体"/>
                <w:color w:val="auto"/>
                <w:sz w:val="24"/>
                <w:szCs w:val="24"/>
                <w:highlight w:val="none"/>
                <w:u w:val="none"/>
                <w:lang w:eastAsia="zh-CN"/>
              </w:rPr>
            </w:pPr>
            <w:r>
              <w:rPr>
                <w:rFonts w:hint="eastAsia" w:ascii="宋体" w:hAnsi="宋体" w:cs="宋体"/>
                <w:color w:val="auto"/>
                <w:sz w:val="24"/>
                <w:szCs w:val="24"/>
                <w:highlight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标项七</w:t>
            </w:r>
            <w:r>
              <w:rPr>
                <w:rFonts w:hint="eastAsia" w:hAnsi="宋体" w:cs="宋体"/>
                <w:color w:val="auto"/>
                <w:sz w:val="24"/>
                <w:szCs w:val="24"/>
                <w:highlight w:val="none"/>
                <w:u w:val="none"/>
                <w:lang w:eastAsia="zh-CN"/>
              </w:rPr>
              <w:t>）</w:t>
            </w:r>
          </w:p>
          <w:p w14:paraId="54962505">
            <w:pPr>
              <w:pStyle w:val="2"/>
              <w:rPr>
                <w:rFonts w:hint="eastAsia" w:hAnsi="宋体" w:cs="宋体"/>
                <w:color w:val="auto"/>
                <w:sz w:val="24"/>
                <w:szCs w:val="24"/>
                <w:highlight w:val="none"/>
                <w:u w:val="none"/>
                <w:lang w:val="en-US" w:eastAsia="zh-CN"/>
              </w:rPr>
            </w:pPr>
            <w:r>
              <w:rPr>
                <w:rFonts w:hint="eastAsia" w:ascii="宋体" w:hAnsi="宋体" w:cs="宋体"/>
                <w:color w:val="auto"/>
                <w:sz w:val="24"/>
                <w:szCs w:val="24"/>
                <w:highlight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标项八</w:t>
            </w:r>
            <w:r>
              <w:rPr>
                <w:rFonts w:hint="eastAsia" w:hAnsi="宋体" w:cs="宋体"/>
                <w:color w:val="auto"/>
                <w:sz w:val="24"/>
                <w:szCs w:val="24"/>
                <w:highlight w:val="none"/>
                <w:u w:val="none"/>
                <w:lang w:eastAsia="zh-CN"/>
              </w:rPr>
              <w:t>）</w:t>
            </w:r>
          </w:p>
        </w:tc>
      </w:tr>
      <w:tr w14:paraId="2710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2" w:type="pct"/>
            <w:vAlign w:val="center"/>
          </w:tcPr>
          <w:p w14:paraId="76E54C52">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20" w:type="pct"/>
            <w:vAlign w:val="center"/>
          </w:tcPr>
          <w:p w14:paraId="34634896">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标项</w:t>
            </w:r>
            <w:r>
              <w:rPr>
                <w:rFonts w:hint="eastAsia" w:ascii="宋体" w:hAnsi="宋体" w:eastAsia="宋体" w:cs="宋体"/>
                <w:color w:val="auto"/>
                <w:sz w:val="24"/>
                <w:szCs w:val="24"/>
                <w:highlight w:val="none"/>
              </w:rPr>
              <w:t>编号</w:t>
            </w:r>
          </w:p>
        </w:tc>
        <w:tc>
          <w:tcPr>
            <w:tcW w:w="3796" w:type="pct"/>
            <w:vAlign w:val="center"/>
          </w:tcPr>
          <w:p w14:paraId="268E3D1A">
            <w:pPr>
              <w:pStyle w:val="2"/>
              <w:spacing w:before="159" w:line="227" w:lineRule="auto"/>
              <w:rPr>
                <w:rFonts w:hint="default" w:ascii="宋体" w:hAnsi="宋体" w:eastAsia="宋体" w:cs="宋体"/>
                <w:color w:val="auto"/>
                <w:sz w:val="24"/>
                <w:szCs w:val="24"/>
                <w:highlight w:val="none"/>
                <w:lang w:val="en-US" w:eastAsia="zh-CN"/>
              </w:rPr>
            </w:pPr>
            <w:r>
              <w:rPr>
                <w:rFonts w:hint="eastAsia"/>
                <w:color w:val="auto"/>
                <w:sz w:val="23"/>
                <w:szCs w:val="23"/>
                <w:highlight w:val="none"/>
                <w:lang w:eastAsia="zh-CN"/>
              </w:rPr>
              <w:t>ZYCX-2026-00</w:t>
            </w:r>
            <w:r>
              <w:rPr>
                <w:rFonts w:hint="eastAsia"/>
                <w:color w:val="auto"/>
                <w:sz w:val="23"/>
                <w:szCs w:val="23"/>
                <w:highlight w:val="none"/>
                <w:lang w:val="en-US" w:eastAsia="zh-CN"/>
              </w:rPr>
              <w:t>8-01；</w:t>
            </w:r>
            <w:r>
              <w:rPr>
                <w:rFonts w:hint="eastAsia"/>
                <w:color w:val="auto"/>
                <w:sz w:val="23"/>
                <w:szCs w:val="23"/>
                <w:highlight w:val="none"/>
                <w:lang w:eastAsia="zh-CN"/>
              </w:rPr>
              <w:t>ZYCX-2026-00</w:t>
            </w:r>
            <w:r>
              <w:rPr>
                <w:rFonts w:hint="eastAsia"/>
                <w:color w:val="auto"/>
                <w:sz w:val="23"/>
                <w:szCs w:val="23"/>
                <w:highlight w:val="none"/>
                <w:lang w:val="en-US" w:eastAsia="zh-CN"/>
              </w:rPr>
              <w:t>8-02；</w:t>
            </w:r>
            <w:r>
              <w:rPr>
                <w:rFonts w:hint="eastAsia"/>
                <w:color w:val="auto"/>
                <w:sz w:val="23"/>
                <w:szCs w:val="23"/>
                <w:highlight w:val="none"/>
                <w:lang w:eastAsia="zh-CN"/>
              </w:rPr>
              <w:t>ZYCX-2026-00</w:t>
            </w:r>
            <w:r>
              <w:rPr>
                <w:rFonts w:hint="eastAsia"/>
                <w:color w:val="auto"/>
                <w:sz w:val="23"/>
                <w:szCs w:val="23"/>
                <w:highlight w:val="none"/>
                <w:lang w:val="en-US" w:eastAsia="zh-CN"/>
              </w:rPr>
              <w:t>8-03；</w:t>
            </w:r>
            <w:r>
              <w:rPr>
                <w:rFonts w:hint="eastAsia"/>
                <w:color w:val="auto"/>
                <w:sz w:val="23"/>
                <w:szCs w:val="23"/>
                <w:highlight w:val="none"/>
                <w:lang w:eastAsia="zh-CN"/>
              </w:rPr>
              <w:t>ZYCX-2026-00</w:t>
            </w:r>
            <w:r>
              <w:rPr>
                <w:rFonts w:hint="eastAsia"/>
                <w:color w:val="auto"/>
                <w:sz w:val="23"/>
                <w:szCs w:val="23"/>
                <w:highlight w:val="none"/>
                <w:lang w:val="en-US" w:eastAsia="zh-CN"/>
              </w:rPr>
              <w:t>8-04；</w:t>
            </w:r>
            <w:r>
              <w:rPr>
                <w:rFonts w:hint="eastAsia"/>
                <w:color w:val="auto"/>
                <w:sz w:val="23"/>
                <w:szCs w:val="23"/>
                <w:highlight w:val="none"/>
                <w:lang w:eastAsia="zh-CN"/>
              </w:rPr>
              <w:t>ZYCX-2026-00</w:t>
            </w:r>
            <w:r>
              <w:rPr>
                <w:rFonts w:hint="eastAsia"/>
                <w:color w:val="auto"/>
                <w:sz w:val="23"/>
                <w:szCs w:val="23"/>
                <w:highlight w:val="none"/>
                <w:lang w:val="en-US" w:eastAsia="zh-CN"/>
              </w:rPr>
              <w:t>8-05；</w:t>
            </w:r>
            <w:r>
              <w:rPr>
                <w:rFonts w:hint="eastAsia"/>
                <w:color w:val="auto"/>
                <w:sz w:val="23"/>
                <w:szCs w:val="23"/>
                <w:highlight w:val="none"/>
                <w:lang w:eastAsia="zh-CN"/>
              </w:rPr>
              <w:t>ZYCX-2026-00</w:t>
            </w:r>
            <w:r>
              <w:rPr>
                <w:rFonts w:hint="eastAsia"/>
                <w:color w:val="auto"/>
                <w:sz w:val="23"/>
                <w:szCs w:val="23"/>
                <w:highlight w:val="none"/>
                <w:lang w:val="en-US" w:eastAsia="zh-CN"/>
              </w:rPr>
              <w:t>8-06；</w:t>
            </w:r>
            <w:r>
              <w:rPr>
                <w:rFonts w:hint="eastAsia"/>
                <w:color w:val="auto"/>
                <w:sz w:val="23"/>
                <w:szCs w:val="23"/>
                <w:highlight w:val="none"/>
                <w:lang w:eastAsia="zh-CN"/>
              </w:rPr>
              <w:t>ZYCX-2026-00</w:t>
            </w:r>
            <w:r>
              <w:rPr>
                <w:rFonts w:hint="eastAsia"/>
                <w:color w:val="auto"/>
                <w:sz w:val="23"/>
                <w:szCs w:val="23"/>
                <w:highlight w:val="none"/>
                <w:lang w:val="en-US" w:eastAsia="zh-CN"/>
              </w:rPr>
              <w:t>8-07；</w:t>
            </w:r>
            <w:r>
              <w:rPr>
                <w:rFonts w:hint="eastAsia"/>
                <w:color w:val="auto"/>
                <w:sz w:val="23"/>
                <w:szCs w:val="23"/>
                <w:highlight w:val="none"/>
                <w:lang w:eastAsia="zh-CN"/>
              </w:rPr>
              <w:t>ZYCX-2026-00</w:t>
            </w:r>
            <w:r>
              <w:rPr>
                <w:rFonts w:hint="eastAsia"/>
                <w:color w:val="auto"/>
                <w:sz w:val="23"/>
                <w:szCs w:val="23"/>
                <w:highlight w:val="none"/>
                <w:lang w:val="en-US" w:eastAsia="zh-CN"/>
              </w:rPr>
              <w:t>8-08</w:t>
            </w:r>
          </w:p>
        </w:tc>
      </w:tr>
      <w:tr w14:paraId="1D37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vAlign w:val="center"/>
          </w:tcPr>
          <w:p w14:paraId="486284B5">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820" w:type="pct"/>
            <w:vAlign w:val="center"/>
          </w:tcPr>
          <w:p w14:paraId="4E6F098A">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资金来源、预算金额及最高限价</w:t>
            </w:r>
          </w:p>
        </w:tc>
        <w:tc>
          <w:tcPr>
            <w:tcW w:w="3796" w:type="pct"/>
            <w:vAlign w:val="center"/>
          </w:tcPr>
          <w:p w14:paraId="1EC6C35B">
            <w:pPr>
              <w:keepNext w:val="0"/>
              <w:keepLines w:val="0"/>
              <w:pageBreakBefore w:val="0"/>
              <w:kinsoku/>
              <w:wordWrap/>
              <w:overflowPunct/>
              <w:topLinePunct w:val="0"/>
              <w:autoSpaceDE/>
              <w:autoSpaceDN/>
              <w:bidi w:val="0"/>
              <w:spacing w:line="40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资金来源：财政资金</w:t>
            </w:r>
          </w:p>
          <w:p w14:paraId="21A962E8">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预算金额（最高限价）</w:t>
            </w:r>
            <w:r>
              <w:rPr>
                <w:rFonts w:hint="eastAsia" w:ascii="宋体" w:hAnsi="宋体" w:eastAsia="宋体" w:cs="宋体"/>
                <w:color w:val="auto"/>
                <w:kern w:val="2"/>
                <w:sz w:val="24"/>
                <w:szCs w:val="24"/>
                <w:highlight w:val="none"/>
                <w:lang w:val="en-US" w:eastAsia="zh-CN" w:bidi="ar-SA"/>
              </w:rPr>
              <w:t>：</w:t>
            </w:r>
            <w:r>
              <w:rPr>
                <w:rFonts w:hint="eastAsia" w:hAnsi="宋体" w:cs="宋体"/>
                <w:b w:val="0"/>
                <w:bCs/>
                <w:color w:val="auto"/>
                <w:sz w:val="24"/>
                <w:szCs w:val="24"/>
                <w:highlight w:val="none"/>
                <w:shd w:val="clear" w:color="auto" w:fill="auto"/>
                <w:lang w:val="en-US" w:eastAsia="zh-CN"/>
              </w:rPr>
              <w:t>8800000.00</w:t>
            </w:r>
            <w:r>
              <w:rPr>
                <w:rFonts w:hint="eastAsia" w:ascii="宋体" w:hAnsi="宋体" w:cs="宋体"/>
                <w:color w:val="auto"/>
                <w:kern w:val="2"/>
                <w:sz w:val="24"/>
                <w:szCs w:val="24"/>
                <w:highlight w:val="none"/>
                <w:lang w:val="en-US" w:eastAsia="zh-CN" w:bidi="ar-SA"/>
              </w:rPr>
              <w:t>元</w:t>
            </w:r>
          </w:p>
          <w:p w14:paraId="174B3E58">
            <w:pPr>
              <w:keepNext w:val="0"/>
              <w:keepLines w:val="0"/>
              <w:pageBreakBefore w:val="0"/>
              <w:kinsoku/>
              <w:wordWrap/>
              <w:overflowPunct/>
              <w:topLinePunct w:val="0"/>
              <w:autoSpaceDE/>
              <w:autoSpaceDN/>
              <w:bidi w:val="0"/>
              <w:spacing w:line="400" w:lineRule="exact"/>
              <w:jc w:val="left"/>
              <w:textAlignment w:val="auto"/>
              <w:rPr>
                <w:rFonts w:hint="eastAsia" w:ascii="宋体" w:hAnsi="宋体" w:eastAsia="宋体" w:cs="宋体"/>
                <w:b w:val="0"/>
                <w:bCs/>
                <w:color w:val="auto"/>
                <w:kern w:val="0"/>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lang w:val="en-US" w:eastAsia="zh-CN" w:bidi="ar-SA"/>
              </w:rPr>
              <w:t>标项</w:t>
            </w:r>
            <w:r>
              <w:rPr>
                <w:rFonts w:hint="eastAsia" w:ascii="宋体" w:hAnsi="宋体" w:eastAsia="宋体" w:cs="宋体"/>
                <w:b w:val="0"/>
                <w:bCs/>
                <w:color w:val="auto"/>
                <w:kern w:val="0"/>
                <w:sz w:val="24"/>
                <w:szCs w:val="24"/>
                <w:highlight w:val="none"/>
                <w:shd w:val="clear" w:color="auto" w:fill="auto"/>
                <w:lang w:val="en-US" w:eastAsia="zh-CN" w:bidi="ar-SA"/>
              </w:rPr>
              <w:t>一：1160600.00元，</w:t>
            </w:r>
          </w:p>
          <w:p w14:paraId="4912B217">
            <w:pPr>
              <w:keepNext w:val="0"/>
              <w:keepLines w:val="0"/>
              <w:pageBreakBefore w:val="0"/>
              <w:kinsoku/>
              <w:wordWrap/>
              <w:overflowPunct/>
              <w:topLinePunct w:val="0"/>
              <w:autoSpaceDE/>
              <w:autoSpaceDN/>
              <w:bidi w:val="0"/>
              <w:spacing w:line="400" w:lineRule="exact"/>
              <w:jc w:val="left"/>
              <w:textAlignment w:val="auto"/>
              <w:rPr>
                <w:rFonts w:hint="default" w:ascii="宋体" w:hAnsi="宋体" w:eastAsia="宋体" w:cs="宋体"/>
                <w:b w:val="0"/>
                <w:bCs/>
                <w:color w:val="auto"/>
                <w:kern w:val="0"/>
                <w:sz w:val="24"/>
                <w:szCs w:val="24"/>
                <w:highlight w:val="none"/>
                <w:shd w:val="clear" w:color="auto" w:fill="auto"/>
                <w:lang w:val="en-US" w:eastAsia="zh-CN" w:bidi="ar-SA"/>
              </w:rPr>
            </w:pPr>
            <w:r>
              <w:rPr>
                <w:rFonts w:hint="eastAsia" w:ascii="宋体" w:hAnsi="宋体" w:eastAsia="宋体" w:cs="宋体"/>
                <w:b w:val="0"/>
                <w:bCs/>
                <w:color w:val="auto"/>
                <w:kern w:val="0"/>
                <w:sz w:val="24"/>
                <w:szCs w:val="24"/>
                <w:highlight w:val="none"/>
                <w:shd w:val="clear" w:color="auto" w:fill="auto"/>
                <w:lang w:val="en-US" w:eastAsia="zh-CN" w:bidi="ar-SA"/>
              </w:rPr>
              <w:t>标项二：818000.00 元；</w:t>
            </w:r>
          </w:p>
          <w:p w14:paraId="2D483D6B">
            <w:pPr>
              <w:keepNext w:val="0"/>
              <w:keepLines w:val="0"/>
              <w:pageBreakBefore w:val="0"/>
              <w:kinsoku/>
              <w:wordWrap/>
              <w:overflowPunct/>
              <w:topLinePunct w:val="0"/>
              <w:autoSpaceDE/>
              <w:autoSpaceDN/>
              <w:bidi w:val="0"/>
              <w:spacing w:line="400" w:lineRule="exact"/>
              <w:jc w:val="left"/>
              <w:textAlignment w:val="auto"/>
              <w:rPr>
                <w:rFonts w:hint="eastAsia" w:ascii="宋体" w:hAnsi="宋体" w:eastAsia="宋体" w:cs="宋体"/>
                <w:b w:val="0"/>
                <w:bCs/>
                <w:color w:val="auto"/>
                <w:kern w:val="0"/>
                <w:sz w:val="24"/>
                <w:szCs w:val="24"/>
                <w:highlight w:val="none"/>
                <w:shd w:val="clear" w:color="auto" w:fill="auto"/>
                <w:lang w:val="en-US" w:eastAsia="zh-CN" w:bidi="ar-SA"/>
              </w:rPr>
            </w:pPr>
            <w:r>
              <w:rPr>
                <w:rFonts w:hint="eastAsia" w:ascii="宋体" w:hAnsi="宋体" w:eastAsia="宋体" w:cs="宋体"/>
                <w:b w:val="0"/>
                <w:bCs/>
                <w:color w:val="auto"/>
                <w:kern w:val="0"/>
                <w:sz w:val="24"/>
                <w:szCs w:val="24"/>
                <w:highlight w:val="none"/>
                <w:shd w:val="clear" w:color="auto" w:fill="auto"/>
                <w:lang w:val="en-US" w:eastAsia="zh-CN" w:bidi="ar-SA"/>
              </w:rPr>
              <w:t>标项三：1067600.00元；</w:t>
            </w:r>
          </w:p>
          <w:p w14:paraId="0E8088E3">
            <w:pPr>
              <w:keepNext w:val="0"/>
              <w:keepLines w:val="0"/>
              <w:pageBreakBefore w:val="0"/>
              <w:kinsoku/>
              <w:wordWrap/>
              <w:overflowPunct/>
              <w:topLinePunct w:val="0"/>
              <w:autoSpaceDE/>
              <w:autoSpaceDN/>
              <w:bidi w:val="0"/>
              <w:spacing w:line="400" w:lineRule="exact"/>
              <w:jc w:val="left"/>
              <w:textAlignment w:val="auto"/>
              <w:rPr>
                <w:rFonts w:hint="default" w:ascii="宋体" w:hAnsi="宋体" w:eastAsia="宋体" w:cs="宋体"/>
                <w:b w:val="0"/>
                <w:bCs/>
                <w:color w:val="auto"/>
                <w:kern w:val="0"/>
                <w:sz w:val="24"/>
                <w:szCs w:val="24"/>
                <w:highlight w:val="none"/>
                <w:shd w:val="clear" w:color="auto" w:fill="auto"/>
                <w:lang w:val="en-US" w:eastAsia="zh-CN" w:bidi="ar-SA"/>
              </w:rPr>
            </w:pPr>
            <w:r>
              <w:rPr>
                <w:rFonts w:hint="eastAsia" w:ascii="宋体" w:hAnsi="宋体" w:eastAsia="宋体" w:cs="宋体"/>
                <w:b w:val="0"/>
                <w:bCs/>
                <w:color w:val="auto"/>
                <w:kern w:val="0"/>
                <w:sz w:val="24"/>
                <w:szCs w:val="24"/>
                <w:highlight w:val="none"/>
                <w:shd w:val="clear" w:color="auto" w:fill="auto"/>
                <w:lang w:val="en-US" w:eastAsia="zh-CN" w:bidi="ar-SA"/>
              </w:rPr>
              <w:t>标项四：1511748.00元；</w:t>
            </w:r>
          </w:p>
          <w:p w14:paraId="422B611B">
            <w:pPr>
              <w:keepNext w:val="0"/>
              <w:keepLines w:val="0"/>
              <w:pageBreakBefore w:val="0"/>
              <w:kinsoku/>
              <w:wordWrap/>
              <w:overflowPunct/>
              <w:topLinePunct w:val="0"/>
              <w:autoSpaceDE/>
              <w:autoSpaceDN/>
              <w:bidi w:val="0"/>
              <w:spacing w:line="400" w:lineRule="exact"/>
              <w:jc w:val="left"/>
              <w:textAlignment w:val="auto"/>
              <w:rPr>
                <w:rFonts w:hint="default" w:ascii="宋体" w:hAnsi="宋体" w:eastAsia="宋体" w:cs="宋体"/>
                <w:b w:val="0"/>
                <w:bCs/>
                <w:color w:val="auto"/>
                <w:kern w:val="0"/>
                <w:sz w:val="24"/>
                <w:szCs w:val="24"/>
                <w:highlight w:val="none"/>
                <w:shd w:val="clear" w:color="auto" w:fill="auto"/>
                <w:lang w:val="en-US" w:eastAsia="zh-CN" w:bidi="ar-SA"/>
              </w:rPr>
            </w:pPr>
            <w:r>
              <w:rPr>
                <w:rFonts w:hint="eastAsia" w:ascii="宋体" w:hAnsi="宋体" w:eastAsia="宋体" w:cs="宋体"/>
                <w:b w:val="0"/>
                <w:bCs/>
                <w:color w:val="auto"/>
                <w:kern w:val="0"/>
                <w:sz w:val="24"/>
                <w:szCs w:val="24"/>
                <w:highlight w:val="none"/>
                <w:shd w:val="clear" w:color="auto" w:fill="auto"/>
                <w:lang w:val="en-US" w:eastAsia="zh-CN" w:bidi="ar-SA"/>
              </w:rPr>
              <w:t>标项五：</w:t>
            </w:r>
            <w:r>
              <w:rPr>
                <w:rFonts w:hint="eastAsia" w:ascii="宋体" w:hAnsi="宋体" w:cs="宋体"/>
                <w:b w:val="0"/>
                <w:bCs/>
                <w:color w:val="auto"/>
                <w:kern w:val="0"/>
                <w:sz w:val="24"/>
                <w:szCs w:val="24"/>
                <w:highlight w:val="none"/>
                <w:shd w:val="clear" w:color="auto" w:fill="auto"/>
                <w:lang w:val="en-US" w:eastAsia="zh-CN" w:bidi="ar-SA"/>
              </w:rPr>
              <w:t>1182632.00</w:t>
            </w:r>
            <w:r>
              <w:rPr>
                <w:rFonts w:hint="eastAsia" w:ascii="宋体" w:hAnsi="宋体" w:eastAsia="宋体" w:cs="宋体"/>
                <w:b w:val="0"/>
                <w:bCs/>
                <w:color w:val="auto"/>
                <w:kern w:val="0"/>
                <w:sz w:val="24"/>
                <w:szCs w:val="24"/>
                <w:highlight w:val="none"/>
                <w:shd w:val="clear" w:color="auto" w:fill="auto"/>
                <w:lang w:val="en-US" w:eastAsia="zh-CN" w:bidi="ar-SA"/>
              </w:rPr>
              <w:t>元；</w:t>
            </w:r>
          </w:p>
          <w:p w14:paraId="2064D921">
            <w:pPr>
              <w:keepNext w:val="0"/>
              <w:keepLines w:val="0"/>
              <w:pageBreakBefore w:val="0"/>
              <w:kinsoku/>
              <w:wordWrap/>
              <w:overflowPunct/>
              <w:topLinePunct w:val="0"/>
              <w:autoSpaceDE/>
              <w:autoSpaceDN/>
              <w:bidi w:val="0"/>
              <w:spacing w:line="400" w:lineRule="exact"/>
              <w:jc w:val="left"/>
              <w:textAlignment w:val="auto"/>
              <w:rPr>
                <w:rFonts w:hint="default" w:ascii="宋体" w:hAnsi="宋体" w:eastAsia="宋体" w:cs="宋体"/>
                <w:b w:val="0"/>
                <w:bCs/>
                <w:color w:val="auto"/>
                <w:kern w:val="0"/>
                <w:sz w:val="24"/>
                <w:szCs w:val="24"/>
                <w:highlight w:val="none"/>
                <w:shd w:val="clear" w:color="auto" w:fill="auto"/>
                <w:lang w:val="en-US" w:eastAsia="zh-CN" w:bidi="ar-SA"/>
              </w:rPr>
            </w:pPr>
            <w:r>
              <w:rPr>
                <w:rFonts w:hint="eastAsia" w:ascii="宋体" w:hAnsi="宋体" w:eastAsia="宋体" w:cs="宋体"/>
                <w:b w:val="0"/>
                <w:bCs/>
                <w:color w:val="auto"/>
                <w:kern w:val="0"/>
                <w:sz w:val="24"/>
                <w:szCs w:val="24"/>
                <w:highlight w:val="none"/>
                <w:shd w:val="clear" w:color="auto" w:fill="auto"/>
                <w:lang w:val="en-US" w:eastAsia="zh-CN" w:bidi="ar-SA"/>
              </w:rPr>
              <w:t>标项六：1027600.00元；</w:t>
            </w:r>
          </w:p>
          <w:p w14:paraId="2D9890E7">
            <w:pPr>
              <w:keepNext w:val="0"/>
              <w:keepLines w:val="0"/>
              <w:pageBreakBefore w:val="0"/>
              <w:kinsoku/>
              <w:wordWrap/>
              <w:overflowPunct/>
              <w:topLinePunct w:val="0"/>
              <w:autoSpaceDE/>
              <w:autoSpaceDN/>
              <w:bidi w:val="0"/>
              <w:spacing w:line="400" w:lineRule="exact"/>
              <w:jc w:val="left"/>
              <w:textAlignment w:val="auto"/>
              <w:rPr>
                <w:rFonts w:hint="eastAsia" w:ascii="宋体" w:hAnsi="宋体" w:eastAsia="宋体" w:cs="宋体"/>
                <w:b w:val="0"/>
                <w:bCs/>
                <w:color w:val="auto"/>
                <w:kern w:val="0"/>
                <w:sz w:val="24"/>
                <w:szCs w:val="24"/>
                <w:highlight w:val="none"/>
                <w:shd w:val="clear" w:color="auto" w:fill="auto"/>
                <w:lang w:val="en-US" w:eastAsia="zh-CN" w:bidi="ar-SA"/>
              </w:rPr>
            </w:pPr>
            <w:r>
              <w:rPr>
                <w:rFonts w:hint="eastAsia" w:ascii="宋体" w:hAnsi="宋体" w:eastAsia="宋体" w:cs="宋体"/>
                <w:b w:val="0"/>
                <w:bCs/>
                <w:color w:val="auto"/>
                <w:kern w:val="0"/>
                <w:sz w:val="24"/>
                <w:szCs w:val="24"/>
                <w:highlight w:val="none"/>
                <w:shd w:val="clear" w:color="auto" w:fill="auto"/>
                <w:lang w:val="en-US" w:eastAsia="zh-CN" w:bidi="ar-SA"/>
              </w:rPr>
              <w:t>标项七：1029000.00元；</w:t>
            </w:r>
          </w:p>
          <w:p w14:paraId="04366CA5">
            <w:pPr>
              <w:keepNext w:val="0"/>
              <w:keepLines w:val="0"/>
              <w:pageBreakBefore w:val="0"/>
              <w:kinsoku/>
              <w:wordWrap/>
              <w:overflowPunct/>
              <w:topLinePunct w:val="0"/>
              <w:autoSpaceDE/>
              <w:autoSpaceDN/>
              <w:bidi w:val="0"/>
              <w:spacing w:line="400" w:lineRule="exact"/>
              <w:jc w:val="left"/>
              <w:textAlignment w:val="auto"/>
              <w:rPr>
                <w:rFonts w:hint="default" w:ascii="宋体" w:hAnsi="宋体" w:eastAsia="宋体" w:cs="宋体"/>
                <w:b w:val="0"/>
                <w:bCs/>
                <w:color w:val="auto"/>
                <w:kern w:val="0"/>
                <w:sz w:val="24"/>
                <w:szCs w:val="24"/>
                <w:highlight w:val="none"/>
                <w:shd w:val="clear" w:color="auto" w:fill="auto"/>
                <w:lang w:val="en-US" w:eastAsia="zh-CN" w:bidi="ar-SA"/>
              </w:rPr>
            </w:pPr>
            <w:r>
              <w:rPr>
                <w:rFonts w:hint="eastAsia" w:ascii="宋体" w:hAnsi="宋体" w:eastAsia="宋体" w:cs="宋体"/>
                <w:b w:val="0"/>
                <w:bCs/>
                <w:color w:val="auto"/>
                <w:kern w:val="0"/>
                <w:sz w:val="24"/>
                <w:szCs w:val="24"/>
                <w:highlight w:val="none"/>
                <w:shd w:val="clear" w:color="auto" w:fill="auto"/>
                <w:lang w:val="en-US" w:eastAsia="zh-CN" w:bidi="ar-SA"/>
              </w:rPr>
              <w:t>标项八：1002820.00元</w:t>
            </w:r>
          </w:p>
          <w:p w14:paraId="44DFBF64">
            <w:pPr>
              <w:keepNext w:val="0"/>
              <w:keepLines w:val="0"/>
              <w:pageBreakBefore w:val="0"/>
              <w:kinsoku/>
              <w:wordWrap/>
              <w:overflowPunct/>
              <w:topLinePunct w:val="0"/>
              <w:autoSpaceDE/>
              <w:autoSpaceDN/>
              <w:bidi w:val="0"/>
              <w:spacing w:line="40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投标人投标报价若超过最高限价，投标无效。</w:t>
            </w:r>
          </w:p>
        </w:tc>
      </w:tr>
    </w:tbl>
    <w:p w14:paraId="743D6B21">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40"/>
        <w:gridCol w:w="6408"/>
      </w:tblGrid>
      <w:tr w14:paraId="4E3B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394" w:type="pct"/>
            <w:vAlign w:val="center"/>
          </w:tcPr>
          <w:p w14:paraId="5EA4EA0D">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845" w:type="pct"/>
            <w:vAlign w:val="center"/>
          </w:tcPr>
          <w:p w14:paraId="6F30E5FE">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采购需求</w:t>
            </w:r>
          </w:p>
        </w:tc>
        <w:tc>
          <w:tcPr>
            <w:tcW w:w="3760" w:type="pct"/>
            <w:vAlign w:val="center"/>
          </w:tcPr>
          <w:p w14:paraId="6E86DB94">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hAnsi="宋体" w:cs="宋体"/>
                <w:color w:val="auto"/>
                <w:sz w:val="24"/>
                <w:szCs w:val="24"/>
                <w:highlight w:val="none"/>
                <w:u w:val="none"/>
                <w:lang w:val="en-US" w:eastAsia="zh-CN"/>
              </w:rPr>
            </w:pPr>
            <w:r>
              <w:rPr>
                <w:rFonts w:hint="eastAsia" w:ascii="宋体" w:hAnsi="宋体" w:eastAsia="宋体" w:cs="宋体"/>
                <w:b w:val="0"/>
                <w:bCs/>
                <w:color w:val="auto"/>
                <w:sz w:val="24"/>
                <w:szCs w:val="24"/>
                <w:highlight w:val="none"/>
                <w:shd w:val="clear" w:color="auto" w:fill="auto"/>
              </w:rPr>
              <w:t>标项一</w:t>
            </w:r>
            <w:r>
              <w:rPr>
                <w:rFonts w:hint="eastAsia" w:hAnsi="宋体" w:cs="宋体"/>
                <w:b w:val="0"/>
                <w:bCs/>
                <w:color w:val="auto"/>
                <w:sz w:val="24"/>
                <w:szCs w:val="24"/>
                <w:highlight w:val="none"/>
                <w:shd w:val="clear" w:color="auto" w:fill="auto"/>
                <w:lang w:eastAsia="zh-CN"/>
              </w:rPr>
              <w:t>：</w:t>
            </w:r>
            <w:r>
              <w:rPr>
                <w:rFonts w:hint="eastAsia" w:hAnsi="宋体" w:cs="宋体"/>
                <w:color w:val="auto"/>
                <w:sz w:val="24"/>
                <w:szCs w:val="24"/>
                <w:highlight w:val="none"/>
                <w:u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val="en-US" w:eastAsia="zh-CN"/>
              </w:rPr>
              <w:t>标项一</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 xml:space="preserve"> </w:t>
            </w:r>
          </w:p>
          <w:p w14:paraId="4C49F3DD">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hAnsi="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预算金额（元）:</w:t>
            </w:r>
            <w:r>
              <w:rPr>
                <w:rFonts w:hint="eastAsia" w:hAnsi="宋体" w:cs="宋体"/>
                <w:b w:val="0"/>
                <w:bCs/>
                <w:color w:val="auto"/>
                <w:sz w:val="24"/>
                <w:szCs w:val="24"/>
                <w:highlight w:val="none"/>
                <w:shd w:val="clear" w:color="auto" w:fill="auto"/>
                <w:lang w:val="en-US" w:eastAsia="zh-CN"/>
              </w:rPr>
              <w:t xml:space="preserve"> 1160600.00</w:t>
            </w:r>
          </w:p>
          <w:p w14:paraId="3EBABE6A">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default" w:ascii="宋体"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简要规格描述或项目基本概况介绍、用途：</w:t>
            </w:r>
            <w:r>
              <w:rPr>
                <w:rFonts w:hint="eastAsia" w:ascii="宋体" w:hAnsi="宋体" w:cs="宋体"/>
                <w:color w:val="auto"/>
                <w:kern w:val="2"/>
                <w:sz w:val="24"/>
                <w:szCs w:val="24"/>
                <w:highlight w:val="none"/>
                <w:lang w:val="en-US" w:eastAsia="zh-CN" w:bidi="ar-SA"/>
              </w:rPr>
              <w:t>2026年乌鲁木齐市市场监督管理局餐饮省抽829批次，详见招标文件“</w:t>
            </w:r>
            <w:r>
              <w:rPr>
                <w:rFonts w:hint="eastAsia" w:ascii="宋体" w:hAnsi="宋体" w:eastAsia="宋体" w:cs="宋体"/>
                <w:bCs/>
                <w:color w:val="auto"/>
                <w:sz w:val="24"/>
                <w:szCs w:val="24"/>
                <w:highlight w:val="none"/>
              </w:rPr>
              <w:t xml:space="preserve">第四章  </w:t>
            </w:r>
            <w:r>
              <w:rPr>
                <w:rFonts w:hint="eastAsia" w:ascii="宋体" w:hAnsi="宋体" w:cs="宋体"/>
                <w:bCs/>
                <w:color w:val="auto"/>
                <w:sz w:val="24"/>
                <w:szCs w:val="24"/>
                <w:highlight w:val="none"/>
                <w:lang w:eastAsia="zh-CN"/>
              </w:rPr>
              <w:t>项目服务需求”</w:t>
            </w:r>
          </w:p>
          <w:p w14:paraId="0E4D8B0C">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标项二:</w:t>
            </w:r>
            <w:r>
              <w:rPr>
                <w:rFonts w:hint="eastAsia" w:hAnsi="宋体" w:cs="宋体"/>
                <w:color w:val="auto"/>
                <w:sz w:val="24"/>
                <w:szCs w:val="24"/>
                <w:highlight w:val="none"/>
                <w:u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val="en-US" w:eastAsia="zh-CN"/>
              </w:rPr>
              <w:t>标项二</w:t>
            </w:r>
            <w:r>
              <w:rPr>
                <w:rFonts w:hint="eastAsia" w:hAnsi="宋体" w:cs="宋体"/>
                <w:color w:val="auto"/>
                <w:sz w:val="24"/>
                <w:szCs w:val="24"/>
                <w:highlight w:val="none"/>
                <w:u w:val="none"/>
                <w:lang w:eastAsia="zh-CN"/>
              </w:rPr>
              <w:t>）</w:t>
            </w:r>
            <w:r>
              <w:rPr>
                <w:rFonts w:hint="eastAsia" w:hAnsi="宋体" w:cs="宋体"/>
                <w:color w:val="auto"/>
                <w:kern w:val="2"/>
                <w:sz w:val="24"/>
                <w:szCs w:val="24"/>
                <w:highlight w:val="none"/>
                <w:lang w:val="en-US" w:eastAsia="zh-CN" w:bidi="ar-SA"/>
              </w:rPr>
              <w:t xml:space="preserve"> </w:t>
            </w:r>
            <w:r>
              <w:rPr>
                <w:rFonts w:hint="eastAsia" w:ascii="宋体" w:hAnsi="宋体" w:eastAsia="宋体" w:cs="宋体"/>
                <w:b w:val="0"/>
                <w:bCs/>
                <w:color w:val="auto"/>
                <w:sz w:val="24"/>
                <w:szCs w:val="24"/>
                <w:highlight w:val="none"/>
                <w:shd w:val="clear" w:color="auto" w:fill="auto"/>
              </w:rPr>
              <w:t xml:space="preserve">   </w:t>
            </w:r>
          </w:p>
          <w:p w14:paraId="03FBD97D">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hAnsi="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预算金额（元）:</w:t>
            </w:r>
            <w:r>
              <w:rPr>
                <w:rFonts w:hint="eastAsia" w:hAnsi="宋体" w:cs="宋体"/>
                <w:color w:val="auto"/>
                <w:kern w:val="2"/>
                <w:sz w:val="24"/>
                <w:szCs w:val="24"/>
                <w:highlight w:val="none"/>
                <w:lang w:val="en-US" w:eastAsia="zh-CN" w:bidi="ar-SA"/>
              </w:rPr>
              <w:t xml:space="preserve"> </w:t>
            </w:r>
            <w:r>
              <w:rPr>
                <w:rFonts w:hint="eastAsia" w:hAnsi="宋体" w:cs="宋体"/>
                <w:b w:val="0"/>
                <w:bCs/>
                <w:color w:val="auto"/>
                <w:sz w:val="24"/>
                <w:szCs w:val="24"/>
                <w:highlight w:val="none"/>
                <w:shd w:val="clear" w:color="auto" w:fill="auto"/>
                <w:lang w:val="en-US" w:eastAsia="zh-CN"/>
              </w:rPr>
              <w:t>818000.00</w:t>
            </w:r>
          </w:p>
          <w:p w14:paraId="1793E434">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ascii="宋体" w:hAnsi="宋体" w:cs="宋体"/>
                <w:color w:val="auto"/>
                <w:sz w:val="24"/>
                <w:szCs w:val="24"/>
                <w:highlight w:val="none"/>
              </w:rPr>
            </w:pPr>
            <w:r>
              <w:rPr>
                <w:rFonts w:hint="eastAsia" w:ascii="宋体" w:hAnsi="宋体" w:eastAsia="宋体" w:cs="宋体"/>
                <w:b w:val="0"/>
                <w:bCs/>
                <w:color w:val="auto"/>
                <w:sz w:val="24"/>
                <w:szCs w:val="24"/>
                <w:highlight w:val="none"/>
                <w:shd w:val="clear" w:color="auto" w:fill="auto"/>
              </w:rPr>
              <w:t>简要规格描述或项目基本概况介绍、用途：</w:t>
            </w:r>
            <w:r>
              <w:rPr>
                <w:rFonts w:hint="eastAsia" w:hAnsi="宋体" w:cs="宋体"/>
                <w:color w:val="auto"/>
                <w:kern w:val="2"/>
                <w:sz w:val="24"/>
                <w:szCs w:val="24"/>
                <w:highlight w:val="none"/>
                <w:lang w:val="en-US" w:eastAsia="zh-CN" w:bidi="ar-SA"/>
              </w:rPr>
              <w:t>食品生产企业</w:t>
            </w:r>
            <w:r>
              <w:rPr>
                <w:rFonts w:hint="default" w:ascii="Times New Roman" w:hAnsi="Times New Roman" w:cs="Times New Roman"/>
                <w:color w:val="auto"/>
                <w:kern w:val="0"/>
                <w:sz w:val="24"/>
                <w:highlight w:val="none"/>
              </w:rPr>
              <w:t>（含小作坊省抽</w:t>
            </w:r>
            <w:r>
              <w:rPr>
                <w:rFonts w:hint="default" w:ascii="Times New Roman" w:hAnsi="Times New Roman" w:cs="Times New Roman"/>
                <w:color w:val="auto"/>
                <w:kern w:val="0"/>
                <w:sz w:val="24"/>
                <w:highlight w:val="none"/>
                <w:lang w:val="en-US" w:eastAsia="zh-CN"/>
              </w:rPr>
              <w:t>70</w:t>
            </w:r>
            <w:r>
              <w:rPr>
                <w:rFonts w:hint="default" w:ascii="Times New Roman" w:hAnsi="Times New Roman" w:cs="Times New Roman"/>
                <w:color w:val="auto"/>
                <w:kern w:val="0"/>
                <w:sz w:val="24"/>
                <w:highlight w:val="none"/>
              </w:rPr>
              <w:t>批次</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跟踪抽检120批次</w:t>
            </w:r>
            <w:r>
              <w:rPr>
                <w:rFonts w:hint="default" w:ascii="Times New Roman" w:hAnsi="Times New Roman" w:cs="Times New Roman"/>
                <w:color w:val="auto"/>
                <w:kern w:val="0"/>
                <w:sz w:val="24"/>
                <w:highlight w:val="none"/>
              </w:rPr>
              <w:t>）</w:t>
            </w:r>
            <w:r>
              <w:rPr>
                <w:rFonts w:hint="eastAsia" w:hAnsi="宋体" w:cs="宋体"/>
                <w:color w:val="auto"/>
                <w:kern w:val="2"/>
                <w:sz w:val="24"/>
                <w:szCs w:val="24"/>
                <w:highlight w:val="none"/>
                <w:lang w:val="en-US" w:eastAsia="zh-CN" w:bidi="ar-SA"/>
              </w:rPr>
              <w:t>409批次</w:t>
            </w:r>
            <w:r>
              <w:rPr>
                <w:rFonts w:hint="eastAsia" w:ascii="宋体" w:hAnsi="宋体" w:cs="宋体"/>
                <w:color w:val="auto"/>
                <w:kern w:val="2"/>
                <w:sz w:val="24"/>
                <w:szCs w:val="24"/>
                <w:highlight w:val="none"/>
                <w:lang w:val="en-US" w:eastAsia="zh-CN" w:bidi="ar-SA"/>
              </w:rPr>
              <w:t>，详见招标文件“</w:t>
            </w:r>
            <w:r>
              <w:rPr>
                <w:rFonts w:hint="eastAsia" w:ascii="宋体" w:hAnsi="宋体" w:eastAsia="宋体" w:cs="宋体"/>
                <w:bCs/>
                <w:color w:val="auto"/>
                <w:sz w:val="24"/>
                <w:szCs w:val="24"/>
                <w:highlight w:val="none"/>
              </w:rPr>
              <w:t xml:space="preserve">第四章  </w:t>
            </w:r>
            <w:r>
              <w:rPr>
                <w:rFonts w:hint="eastAsia" w:hAnsi="宋体" w:cs="宋体"/>
                <w:bCs/>
                <w:color w:val="auto"/>
                <w:sz w:val="24"/>
                <w:szCs w:val="24"/>
                <w:highlight w:val="none"/>
                <w:lang w:eastAsia="zh-CN"/>
              </w:rPr>
              <w:t>项目服务需求</w:t>
            </w:r>
            <w:r>
              <w:rPr>
                <w:rFonts w:hint="eastAsia" w:ascii="宋体" w:hAnsi="宋体" w:cs="宋体"/>
                <w:bCs/>
                <w:color w:val="auto"/>
                <w:sz w:val="24"/>
                <w:szCs w:val="24"/>
                <w:highlight w:val="none"/>
                <w:lang w:eastAsia="zh-CN"/>
              </w:rPr>
              <w:t>”</w:t>
            </w:r>
          </w:p>
          <w:p w14:paraId="3C9C0704">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三</w:t>
            </w:r>
            <w:r>
              <w:rPr>
                <w:rFonts w:hint="eastAsia" w:ascii="宋体" w:hAnsi="宋体" w:eastAsia="宋体" w:cs="宋体"/>
                <w:b w:val="0"/>
                <w:bCs/>
                <w:color w:val="auto"/>
                <w:sz w:val="24"/>
                <w:szCs w:val="24"/>
                <w:highlight w:val="none"/>
                <w:shd w:val="clear" w:color="auto" w:fill="auto"/>
              </w:rPr>
              <w:t>:</w:t>
            </w:r>
            <w:r>
              <w:rPr>
                <w:rFonts w:hint="eastAsia" w:hAnsi="宋体" w:cs="宋体"/>
                <w:color w:val="auto"/>
                <w:sz w:val="24"/>
                <w:szCs w:val="24"/>
                <w:highlight w:val="none"/>
                <w:u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val="en-US" w:eastAsia="zh-CN"/>
              </w:rPr>
              <w:t>标项三</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 xml:space="preserve"> </w:t>
            </w:r>
            <w:r>
              <w:rPr>
                <w:rFonts w:hint="eastAsia" w:ascii="宋体" w:hAnsi="宋体" w:eastAsia="宋体" w:cs="宋体"/>
                <w:b w:val="0"/>
                <w:bCs/>
                <w:color w:val="auto"/>
                <w:sz w:val="24"/>
                <w:szCs w:val="24"/>
                <w:highlight w:val="none"/>
                <w:shd w:val="clear" w:color="auto" w:fill="auto"/>
              </w:rPr>
              <w:t xml:space="preserve">   </w:t>
            </w:r>
          </w:p>
          <w:p w14:paraId="45A5E259">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default" w:ascii="宋体"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预算金额（元）:</w:t>
            </w:r>
            <w:r>
              <w:rPr>
                <w:rFonts w:hint="eastAsia" w:hAnsi="宋体" w:cs="宋体"/>
                <w:color w:val="auto"/>
                <w:kern w:val="2"/>
                <w:sz w:val="24"/>
                <w:szCs w:val="24"/>
                <w:highlight w:val="none"/>
                <w:lang w:val="en-US" w:eastAsia="zh-CN" w:bidi="ar-SA"/>
              </w:rPr>
              <w:t xml:space="preserve"> 1067600.00</w:t>
            </w:r>
          </w:p>
          <w:p w14:paraId="0D2A2C92">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ascii="宋体" w:hAnsi="宋体" w:cs="宋体"/>
                <w:bCs/>
                <w:color w:val="auto"/>
                <w:sz w:val="24"/>
                <w:szCs w:val="24"/>
                <w:highlight w:val="none"/>
                <w:lang w:eastAsia="zh-CN"/>
              </w:rPr>
            </w:pPr>
            <w:r>
              <w:rPr>
                <w:rFonts w:hint="eastAsia" w:ascii="宋体" w:hAnsi="宋体" w:eastAsia="宋体" w:cs="宋体"/>
                <w:b w:val="0"/>
                <w:bCs/>
                <w:color w:val="auto"/>
                <w:sz w:val="24"/>
                <w:szCs w:val="24"/>
                <w:highlight w:val="none"/>
                <w:shd w:val="clear" w:color="auto" w:fill="auto"/>
              </w:rPr>
              <w:t>简要规格描述或项目基本概况介绍、用途：</w:t>
            </w:r>
            <w:r>
              <w:rPr>
                <w:rFonts w:hint="eastAsia" w:hAnsi="宋体" w:cs="宋体"/>
                <w:color w:val="auto"/>
                <w:kern w:val="2"/>
                <w:sz w:val="24"/>
                <w:szCs w:val="24"/>
                <w:highlight w:val="none"/>
                <w:lang w:val="en-US" w:eastAsia="zh-CN" w:bidi="ar-SA"/>
              </w:rPr>
              <w:t>2026年乌鲁木齐市市场监督管理局食用农产品628批次</w:t>
            </w:r>
            <w:r>
              <w:rPr>
                <w:rFonts w:hint="eastAsia" w:ascii="宋体" w:hAnsi="宋体" w:cs="宋体"/>
                <w:color w:val="auto"/>
                <w:kern w:val="2"/>
                <w:sz w:val="24"/>
                <w:szCs w:val="24"/>
                <w:highlight w:val="none"/>
                <w:lang w:val="en-US" w:eastAsia="zh-CN" w:bidi="ar-SA"/>
              </w:rPr>
              <w:t>，详见招标文件“</w:t>
            </w:r>
            <w:r>
              <w:rPr>
                <w:rFonts w:hint="eastAsia" w:ascii="宋体" w:hAnsi="宋体" w:eastAsia="宋体" w:cs="宋体"/>
                <w:bCs/>
                <w:color w:val="auto"/>
                <w:sz w:val="24"/>
                <w:szCs w:val="24"/>
                <w:highlight w:val="none"/>
              </w:rPr>
              <w:t xml:space="preserve">第四章  </w:t>
            </w:r>
            <w:r>
              <w:rPr>
                <w:rFonts w:hint="eastAsia" w:hAnsi="宋体" w:cs="宋体"/>
                <w:bCs/>
                <w:color w:val="auto"/>
                <w:sz w:val="24"/>
                <w:szCs w:val="24"/>
                <w:highlight w:val="none"/>
                <w:lang w:eastAsia="zh-CN"/>
              </w:rPr>
              <w:t>项目服务需求</w:t>
            </w:r>
            <w:r>
              <w:rPr>
                <w:rFonts w:hint="eastAsia" w:ascii="宋体" w:hAnsi="宋体" w:cs="宋体"/>
                <w:bCs/>
                <w:color w:val="auto"/>
                <w:sz w:val="24"/>
                <w:szCs w:val="24"/>
                <w:highlight w:val="none"/>
                <w:lang w:eastAsia="zh-CN"/>
              </w:rPr>
              <w:t>”</w:t>
            </w:r>
          </w:p>
          <w:p w14:paraId="1250709B">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四</w:t>
            </w:r>
            <w:r>
              <w:rPr>
                <w:rFonts w:hint="eastAsia" w:ascii="宋体" w:hAnsi="宋体" w:eastAsia="宋体" w:cs="宋体"/>
                <w:b w:val="0"/>
                <w:bCs/>
                <w:color w:val="auto"/>
                <w:sz w:val="24"/>
                <w:szCs w:val="24"/>
                <w:highlight w:val="none"/>
                <w:shd w:val="clear" w:color="auto" w:fill="auto"/>
              </w:rPr>
              <w:t>:</w:t>
            </w:r>
            <w:r>
              <w:rPr>
                <w:rFonts w:hint="eastAsia" w:hAnsi="宋体" w:cs="宋体"/>
                <w:color w:val="auto"/>
                <w:sz w:val="24"/>
                <w:szCs w:val="24"/>
                <w:highlight w:val="none"/>
                <w:u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val="en-US" w:eastAsia="zh-CN"/>
              </w:rPr>
              <w:t>标项四</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 xml:space="preserve"> </w:t>
            </w:r>
            <w:r>
              <w:rPr>
                <w:rFonts w:hint="eastAsia" w:ascii="宋体" w:hAnsi="宋体" w:eastAsia="宋体" w:cs="宋体"/>
                <w:b w:val="0"/>
                <w:bCs/>
                <w:color w:val="auto"/>
                <w:sz w:val="24"/>
                <w:szCs w:val="24"/>
                <w:highlight w:val="none"/>
                <w:shd w:val="clear" w:color="auto" w:fill="auto"/>
              </w:rPr>
              <w:t xml:space="preserve">   </w:t>
            </w:r>
          </w:p>
          <w:p w14:paraId="1916C6F5">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default" w:ascii="宋体"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预算金额（元）:</w:t>
            </w:r>
            <w:r>
              <w:rPr>
                <w:rFonts w:hint="eastAsia" w:hAnsi="宋体" w:cs="宋体"/>
                <w:color w:val="auto"/>
                <w:kern w:val="2"/>
                <w:sz w:val="24"/>
                <w:szCs w:val="24"/>
                <w:highlight w:val="none"/>
                <w:lang w:val="en-US" w:eastAsia="zh-CN" w:bidi="ar-SA"/>
              </w:rPr>
              <w:t>1511748</w:t>
            </w:r>
            <w:r>
              <w:rPr>
                <w:rFonts w:hint="eastAsia" w:hAnsi="宋体" w:cs="宋体"/>
                <w:b w:val="0"/>
                <w:bCs/>
                <w:color w:val="auto"/>
                <w:sz w:val="24"/>
                <w:szCs w:val="24"/>
                <w:highlight w:val="none"/>
                <w:shd w:val="clear" w:color="auto" w:fill="auto"/>
                <w:lang w:val="en-US" w:eastAsia="zh-CN"/>
              </w:rPr>
              <w:t>.00</w:t>
            </w:r>
          </w:p>
          <w:p w14:paraId="11F0F800">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ascii="宋体" w:hAnsi="宋体" w:cs="宋体"/>
                <w:bCs/>
                <w:color w:val="auto"/>
                <w:sz w:val="24"/>
                <w:szCs w:val="24"/>
                <w:highlight w:val="none"/>
                <w:lang w:eastAsia="zh-CN"/>
              </w:rPr>
            </w:pPr>
            <w:r>
              <w:rPr>
                <w:rFonts w:hint="eastAsia" w:ascii="宋体" w:hAnsi="宋体" w:eastAsia="宋体" w:cs="宋体"/>
                <w:b w:val="0"/>
                <w:bCs/>
                <w:color w:val="auto"/>
                <w:sz w:val="24"/>
                <w:szCs w:val="24"/>
                <w:highlight w:val="none"/>
                <w:shd w:val="clear" w:color="auto" w:fill="auto"/>
              </w:rPr>
              <w:t>简要规格描述或项目基本概况介绍、用途：</w:t>
            </w:r>
            <w:r>
              <w:rPr>
                <w:rFonts w:hint="eastAsia" w:hAnsi="宋体" w:cs="宋体"/>
                <w:color w:val="auto"/>
                <w:kern w:val="2"/>
                <w:sz w:val="24"/>
                <w:szCs w:val="24"/>
                <w:highlight w:val="none"/>
                <w:lang w:val="en-US" w:eastAsia="zh-CN" w:bidi="ar-SA"/>
              </w:rPr>
              <w:t>2026年乌鲁木齐市市场监督管理局网抽专项857批次</w:t>
            </w:r>
            <w:r>
              <w:rPr>
                <w:rFonts w:hint="eastAsia" w:ascii="宋体" w:hAnsi="宋体" w:cs="宋体"/>
                <w:color w:val="auto"/>
                <w:kern w:val="2"/>
                <w:sz w:val="24"/>
                <w:szCs w:val="24"/>
                <w:highlight w:val="none"/>
                <w:lang w:val="en-US" w:eastAsia="zh-CN" w:bidi="ar-SA"/>
              </w:rPr>
              <w:t>，详见招标文件“</w:t>
            </w:r>
            <w:r>
              <w:rPr>
                <w:rFonts w:hint="eastAsia" w:ascii="宋体" w:hAnsi="宋体" w:eastAsia="宋体" w:cs="宋体"/>
                <w:bCs/>
                <w:color w:val="auto"/>
                <w:sz w:val="24"/>
                <w:szCs w:val="24"/>
                <w:highlight w:val="none"/>
              </w:rPr>
              <w:t>第四章</w:t>
            </w:r>
            <w:r>
              <w:rPr>
                <w:rFonts w:hint="eastAsia" w:hAnsi="宋体" w:cs="宋体"/>
                <w:bCs/>
                <w:color w:val="auto"/>
                <w:sz w:val="24"/>
                <w:szCs w:val="24"/>
                <w:highlight w:val="none"/>
                <w:lang w:eastAsia="zh-CN"/>
              </w:rPr>
              <w:t>项目服务需求</w:t>
            </w:r>
            <w:r>
              <w:rPr>
                <w:rFonts w:hint="eastAsia" w:ascii="宋体" w:hAnsi="宋体" w:cs="宋体"/>
                <w:bCs/>
                <w:color w:val="auto"/>
                <w:sz w:val="24"/>
                <w:szCs w:val="24"/>
                <w:highlight w:val="none"/>
                <w:lang w:eastAsia="zh-CN"/>
              </w:rPr>
              <w:t>”</w:t>
            </w:r>
          </w:p>
          <w:p w14:paraId="166174E8">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五：</w:t>
            </w:r>
            <w:r>
              <w:rPr>
                <w:rFonts w:hint="eastAsia" w:hAnsi="宋体" w:cs="宋体"/>
                <w:color w:val="auto"/>
                <w:sz w:val="24"/>
                <w:szCs w:val="24"/>
                <w:highlight w:val="none"/>
                <w:u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val="en-US" w:eastAsia="zh-CN"/>
              </w:rPr>
              <w:t>标项五</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 xml:space="preserve"> </w:t>
            </w:r>
            <w:r>
              <w:rPr>
                <w:rFonts w:hint="eastAsia" w:ascii="宋体" w:hAnsi="宋体" w:eastAsia="宋体" w:cs="宋体"/>
                <w:b w:val="0"/>
                <w:bCs/>
                <w:color w:val="auto"/>
                <w:sz w:val="24"/>
                <w:szCs w:val="24"/>
                <w:highlight w:val="none"/>
                <w:shd w:val="clear" w:color="auto" w:fill="auto"/>
              </w:rPr>
              <w:t xml:space="preserve">   </w:t>
            </w:r>
          </w:p>
          <w:p w14:paraId="26194516">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hAnsi="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预算金额（元）:</w:t>
            </w:r>
            <w:r>
              <w:rPr>
                <w:rFonts w:hint="eastAsia" w:hAnsi="宋体" w:cs="宋体"/>
                <w:color w:val="auto"/>
                <w:kern w:val="2"/>
                <w:sz w:val="24"/>
                <w:szCs w:val="24"/>
                <w:highlight w:val="none"/>
                <w:lang w:val="en-US" w:eastAsia="zh-CN" w:bidi="ar-SA"/>
              </w:rPr>
              <w:t xml:space="preserve"> 1182632.00</w:t>
            </w:r>
          </w:p>
          <w:p w14:paraId="5868A805">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ascii="宋体" w:hAnsi="宋体" w:cs="宋体"/>
                <w:bCs/>
                <w:color w:val="auto"/>
                <w:sz w:val="24"/>
                <w:szCs w:val="24"/>
                <w:highlight w:val="none"/>
                <w:lang w:eastAsia="zh-CN"/>
              </w:rPr>
            </w:pPr>
            <w:r>
              <w:rPr>
                <w:rFonts w:hint="eastAsia" w:ascii="宋体" w:hAnsi="宋体" w:eastAsia="宋体" w:cs="宋体"/>
                <w:b w:val="0"/>
                <w:bCs/>
                <w:color w:val="auto"/>
                <w:sz w:val="24"/>
                <w:szCs w:val="24"/>
                <w:highlight w:val="none"/>
                <w:shd w:val="clear" w:color="auto" w:fill="auto"/>
              </w:rPr>
              <w:t>简要规格描述或项目基本概况介绍、用途：</w:t>
            </w:r>
            <w:r>
              <w:rPr>
                <w:rFonts w:hint="default" w:ascii="Times New Roman" w:hAnsi="Times New Roman" w:cs="Times New Roman"/>
                <w:color w:val="auto"/>
                <w:sz w:val="24"/>
                <w:highlight w:val="none"/>
              </w:rPr>
              <w:t>202</w:t>
            </w:r>
            <w:r>
              <w:rPr>
                <w:rFonts w:hint="default" w:ascii="Times New Roman" w:hAnsi="Times New Roman" w:cs="Times New Roman"/>
                <w:color w:val="auto"/>
                <w:sz w:val="24"/>
                <w:highlight w:val="none"/>
                <w:lang w:val="en-US" w:eastAsia="zh-CN"/>
              </w:rPr>
              <w:t>6年</w:t>
            </w:r>
            <w:r>
              <w:rPr>
                <w:rFonts w:hint="eastAsia" w:ascii="Times New Roman" w:hAnsi="Times New Roman" w:eastAsia="宋体" w:cs="Times New Roman"/>
                <w:color w:val="auto"/>
                <w:sz w:val="24"/>
                <w:szCs w:val="24"/>
                <w:highlight w:val="none"/>
                <w:lang w:eastAsia="zh-CN"/>
              </w:rPr>
              <w:t>乌鲁木齐市市场监督管理局（乌鲁木齐市知识产权局）</w:t>
            </w:r>
            <w:r>
              <w:rPr>
                <w:rFonts w:hint="default" w:ascii="Times New Roman" w:hAnsi="Times New Roman" w:eastAsia="宋体" w:cs="Times New Roman"/>
                <w:color w:val="auto"/>
                <w:sz w:val="24"/>
                <w:szCs w:val="24"/>
                <w:highlight w:val="none"/>
                <w:lang w:val="en-US" w:eastAsia="zh-CN"/>
              </w:rPr>
              <w:t>重大活动及</w:t>
            </w:r>
            <w:r>
              <w:rPr>
                <w:rFonts w:hint="default" w:ascii="Times New Roman" w:hAnsi="Times New Roman" w:eastAsia="宋体" w:cs="Times New Roman"/>
                <w:color w:val="auto"/>
                <w:kern w:val="0"/>
                <w:sz w:val="24"/>
                <w:szCs w:val="24"/>
                <w:highlight w:val="none"/>
              </w:rPr>
              <w:t>节日保障抽检</w:t>
            </w:r>
            <w:r>
              <w:rPr>
                <w:rFonts w:hint="default" w:ascii="Times New Roman" w:hAnsi="Times New Roman" w:cs="Times New Roman"/>
                <w:color w:val="auto"/>
                <w:kern w:val="0"/>
                <w:sz w:val="24"/>
                <w:highlight w:val="none"/>
                <w:lang w:val="en-US" w:eastAsia="zh-CN"/>
              </w:rPr>
              <w:t>580</w:t>
            </w:r>
            <w:r>
              <w:rPr>
                <w:rFonts w:hint="default" w:ascii="Times New Roman" w:hAnsi="Times New Roman" w:cs="Times New Roman"/>
                <w:color w:val="auto"/>
                <w:kern w:val="0"/>
                <w:sz w:val="24"/>
                <w:highlight w:val="none"/>
              </w:rPr>
              <w:t>批次，</w:t>
            </w:r>
            <w:r>
              <w:rPr>
                <w:rFonts w:hint="default" w:ascii="Times New Roman" w:hAnsi="Times New Roman" w:cs="Times New Roman"/>
                <w:color w:val="auto"/>
                <w:kern w:val="0"/>
                <w:sz w:val="24"/>
                <w:highlight w:val="none"/>
                <w:lang w:val="en-US" w:eastAsia="zh-CN"/>
              </w:rPr>
              <w:t>你点我检抽检161批次</w:t>
            </w:r>
            <w:r>
              <w:rPr>
                <w:rFonts w:hint="eastAsia" w:ascii="宋体" w:hAnsi="宋体" w:cs="宋体"/>
                <w:color w:val="auto"/>
                <w:kern w:val="2"/>
                <w:sz w:val="24"/>
                <w:szCs w:val="24"/>
                <w:highlight w:val="none"/>
                <w:lang w:val="en-US" w:eastAsia="zh-CN" w:bidi="ar-SA"/>
              </w:rPr>
              <w:t>，详见招标文件“</w:t>
            </w:r>
            <w:r>
              <w:rPr>
                <w:rFonts w:hint="eastAsia" w:ascii="宋体" w:hAnsi="宋体" w:eastAsia="宋体" w:cs="宋体"/>
                <w:bCs/>
                <w:color w:val="auto"/>
                <w:sz w:val="24"/>
                <w:szCs w:val="24"/>
                <w:highlight w:val="none"/>
              </w:rPr>
              <w:t xml:space="preserve">第四章  </w:t>
            </w:r>
            <w:r>
              <w:rPr>
                <w:rFonts w:hint="eastAsia" w:hAnsi="宋体" w:cs="宋体"/>
                <w:bCs/>
                <w:color w:val="auto"/>
                <w:sz w:val="24"/>
                <w:szCs w:val="24"/>
                <w:highlight w:val="none"/>
                <w:lang w:eastAsia="zh-CN"/>
              </w:rPr>
              <w:t>项目服务需求</w:t>
            </w:r>
            <w:r>
              <w:rPr>
                <w:rFonts w:hint="eastAsia" w:ascii="宋体" w:hAnsi="宋体" w:cs="宋体"/>
                <w:bCs/>
                <w:color w:val="auto"/>
                <w:sz w:val="24"/>
                <w:szCs w:val="24"/>
                <w:highlight w:val="none"/>
                <w:lang w:eastAsia="zh-CN"/>
              </w:rPr>
              <w:t>”</w:t>
            </w:r>
          </w:p>
          <w:p w14:paraId="391178BB">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六</w:t>
            </w:r>
            <w:r>
              <w:rPr>
                <w:rFonts w:hint="eastAsia" w:ascii="宋体" w:hAnsi="宋体" w:eastAsia="宋体" w:cs="宋体"/>
                <w:b w:val="0"/>
                <w:bCs/>
                <w:color w:val="auto"/>
                <w:sz w:val="24"/>
                <w:szCs w:val="24"/>
                <w:highlight w:val="none"/>
                <w:shd w:val="clear" w:color="auto" w:fill="auto"/>
              </w:rPr>
              <w:t>:</w:t>
            </w:r>
            <w:r>
              <w:rPr>
                <w:rFonts w:hint="eastAsia" w:hAnsi="宋体" w:cs="宋体"/>
                <w:color w:val="auto"/>
                <w:sz w:val="24"/>
                <w:szCs w:val="24"/>
                <w:highlight w:val="none"/>
                <w:u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val="en-US" w:eastAsia="zh-CN"/>
              </w:rPr>
              <w:t>标项六</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 xml:space="preserve"> </w:t>
            </w:r>
            <w:r>
              <w:rPr>
                <w:rFonts w:hint="eastAsia" w:ascii="宋体" w:hAnsi="宋体" w:eastAsia="宋体" w:cs="宋体"/>
                <w:b w:val="0"/>
                <w:bCs/>
                <w:color w:val="auto"/>
                <w:sz w:val="24"/>
                <w:szCs w:val="24"/>
                <w:highlight w:val="none"/>
                <w:shd w:val="clear" w:color="auto" w:fill="auto"/>
              </w:rPr>
              <w:t xml:space="preserve">   </w:t>
            </w:r>
          </w:p>
          <w:p w14:paraId="1DF976D6">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default" w:ascii="宋体"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预算金额（元）:</w:t>
            </w:r>
            <w:r>
              <w:rPr>
                <w:rFonts w:hint="eastAsia" w:hAnsi="宋体" w:cs="宋体"/>
                <w:b w:val="0"/>
                <w:bCs/>
                <w:color w:val="auto"/>
                <w:sz w:val="24"/>
                <w:szCs w:val="24"/>
                <w:highlight w:val="none"/>
                <w:shd w:val="clear" w:color="auto" w:fill="auto"/>
                <w:lang w:val="en-US" w:eastAsia="zh-CN"/>
              </w:rPr>
              <w:t>1027600.00</w:t>
            </w:r>
          </w:p>
          <w:p w14:paraId="76BC2924">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ascii="宋体" w:hAnsi="宋体" w:cs="宋体"/>
                <w:bCs/>
                <w:color w:val="auto"/>
                <w:sz w:val="24"/>
                <w:szCs w:val="24"/>
                <w:highlight w:val="none"/>
                <w:lang w:eastAsia="zh-CN"/>
              </w:rPr>
            </w:pPr>
            <w:r>
              <w:rPr>
                <w:rFonts w:hint="eastAsia" w:ascii="宋体" w:hAnsi="宋体" w:eastAsia="宋体" w:cs="宋体"/>
                <w:b w:val="0"/>
                <w:bCs/>
                <w:color w:val="auto"/>
                <w:sz w:val="24"/>
                <w:szCs w:val="24"/>
                <w:highlight w:val="none"/>
                <w:shd w:val="clear" w:color="auto" w:fill="auto"/>
              </w:rPr>
              <w:t>简要规格描述或项目基本概况介绍、用途：</w:t>
            </w:r>
            <w:r>
              <w:rPr>
                <w:rFonts w:hint="eastAsia" w:hAnsi="宋体" w:cs="宋体"/>
                <w:color w:val="auto"/>
                <w:kern w:val="2"/>
                <w:sz w:val="24"/>
                <w:szCs w:val="24"/>
                <w:highlight w:val="none"/>
                <w:lang w:val="en-US" w:eastAsia="zh-CN" w:bidi="ar-SA"/>
              </w:rPr>
              <w:t>2026年乌鲁木齐市市场监督管理局餐饮市抽（一）734批次</w:t>
            </w:r>
            <w:r>
              <w:rPr>
                <w:rFonts w:hint="eastAsia" w:ascii="宋体" w:hAnsi="宋体" w:cs="宋体"/>
                <w:color w:val="auto"/>
                <w:kern w:val="2"/>
                <w:sz w:val="24"/>
                <w:szCs w:val="24"/>
                <w:highlight w:val="none"/>
                <w:lang w:val="en-US" w:eastAsia="zh-CN" w:bidi="ar-SA"/>
              </w:rPr>
              <w:t>，详见招标文件“</w:t>
            </w:r>
            <w:r>
              <w:rPr>
                <w:rFonts w:hint="eastAsia" w:ascii="宋体" w:hAnsi="宋体" w:eastAsia="宋体" w:cs="宋体"/>
                <w:bCs/>
                <w:color w:val="auto"/>
                <w:sz w:val="24"/>
                <w:szCs w:val="24"/>
                <w:highlight w:val="none"/>
              </w:rPr>
              <w:t xml:space="preserve">第四章  </w:t>
            </w:r>
            <w:r>
              <w:rPr>
                <w:rFonts w:hint="eastAsia" w:hAnsi="宋体" w:cs="宋体"/>
                <w:bCs/>
                <w:color w:val="auto"/>
                <w:sz w:val="24"/>
                <w:szCs w:val="24"/>
                <w:highlight w:val="none"/>
                <w:lang w:eastAsia="zh-CN"/>
              </w:rPr>
              <w:t>项目服务需求</w:t>
            </w:r>
            <w:r>
              <w:rPr>
                <w:rFonts w:hint="eastAsia" w:ascii="宋体" w:hAnsi="宋体" w:cs="宋体"/>
                <w:bCs/>
                <w:color w:val="auto"/>
                <w:sz w:val="24"/>
                <w:szCs w:val="24"/>
                <w:highlight w:val="none"/>
                <w:lang w:eastAsia="zh-CN"/>
              </w:rPr>
              <w:t>”</w:t>
            </w:r>
          </w:p>
          <w:p w14:paraId="319BE8B0">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七</w:t>
            </w:r>
            <w:r>
              <w:rPr>
                <w:rFonts w:hint="eastAsia" w:ascii="宋体" w:hAnsi="宋体" w:eastAsia="宋体" w:cs="宋体"/>
                <w:b w:val="0"/>
                <w:bCs/>
                <w:color w:val="auto"/>
                <w:sz w:val="24"/>
                <w:szCs w:val="24"/>
                <w:highlight w:val="none"/>
                <w:shd w:val="clear" w:color="auto" w:fill="auto"/>
              </w:rPr>
              <w:t>:</w:t>
            </w:r>
            <w:r>
              <w:rPr>
                <w:rFonts w:hint="eastAsia" w:hAnsi="宋体" w:cs="宋体"/>
                <w:color w:val="auto"/>
                <w:sz w:val="24"/>
                <w:szCs w:val="24"/>
                <w:highlight w:val="none"/>
                <w:u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val="en-US" w:eastAsia="zh-CN"/>
              </w:rPr>
              <w:t>标项七</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 xml:space="preserve"> </w:t>
            </w:r>
            <w:r>
              <w:rPr>
                <w:rFonts w:hint="eastAsia" w:ascii="宋体" w:hAnsi="宋体" w:eastAsia="宋体" w:cs="宋体"/>
                <w:b w:val="0"/>
                <w:bCs/>
                <w:color w:val="auto"/>
                <w:sz w:val="24"/>
                <w:szCs w:val="24"/>
                <w:highlight w:val="none"/>
                <w:shd w:val="clear" w:color="auto" w:fill="auto"/>
              </w:rPr>
              <w:t xml:space="preserve">   </w:t>
            </w:r>
          </w:p>
          <w:p w14:paraId="569A7F8C">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default" w:ascii="宋体"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rPr>
              <w:t>预算金额（元）:</w:t>
            </w:r>
            <w:r>
              <w:rPr>
                <w:rFonts w:hint="eastAsia" w:hAnsi="宋体" w:cs="宋体"/>
                <w:color w:val="auto"/>
                <w:kern w:val="2"/>
                <w:sz w:val="24"/>
                <w:szCs w:val="24"/>
                <w:highlight w:val="none"/>
                <w:lang w:val="en-US" w:eastAsia="zh-CN" w:bidi="ar-SA"/>
              </w:rPr>
              <w:t xml:space="preserve"> </w:t>
            </w:r>
            <w:r>
              <w:rPr>
                <w:rFonts w:hint="eastAsia" w:hAnsi="宋体" w:cs="宋体"/>
                <w:b w:val="0"/>
                <w:bCs/>
                <w:color w:val="auto"/>
                <w:sz w:val="24"/>
                <w:szCs w:val="24"/>
                <w:highlight w:val="none"/>
                <w:shd w:val="clear" w:color="auto" w:fill="auto"/>
                <w:lang w:val="en-US" w:eastAsia="zh-CN"/>
              </w:rPr>
              <w:t>1029000.00</w:t>
            </w:r>
          </w:p>
          <w:p w14:paraId="60C793D3">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ascii="宋体" w:hAnsi="宋体" w:cs="宋体"/>
                <w:bCs/>
                <w:color w:val="auto"/>
                <w:sz w:val="24"/>
                <w:szCs w:val="24"/>
                <w:highlight w:val="none"/>
                <w:lang w:eastAsia="zh-CN"/>
              </w:rPr>
            </w:pPr>
            <w:r>
              <w:rPr>
                <w:rFonts w:hint="eastAsia" w:ascii="宋体" w:hAnsi="宋体" w:eastAsia="宋体" w:cs="宋体"/>
                <w:b w:val="0"/>
                <w:bCs/>
                <w:color w:val="auto"/>
                <w:sz w:val="24"/>
                <w:szCs w:val="24"/>
                <w:highlight w:val="none"/>
                <w:shd w:val="clear" w:color="auto" w:fill="auto"/>
              </w:rPr>
              <w:t>简要规格描述或项目基本概况介绍、用途：</w:t>
            </w:r>
            <w:r>
              <w:rPr>
                <w:rFonts w:hint="eastAsia" w:hAnsi="宋体" w:cs="宋体"/>
                <w:color w:val="auto"/>
                <w:kern w:val="2"/>
                <w:sz w:val="24"/>
                <w:szCs w:val="24"/>
                <w:highlight w:val="none"/>
                <w:lang w:val="en-US" w:eastAsia="zh-CN" w:bidi="ar-SA"/>
              </w:rPr>
              <w:t>2026年乌鲁木齐市市场监督管理局餐饮市抽（二）735批次</w:t>
            </w:r>
            <w:r>
              <w:rPr>
                <w:rFonts w:hint="eastAsia" w:ascii="宋体" w:hAnsi="宋体" w:cs="宋体"/>
                <w:color w:val="auto"/>
                <w:kern w:val="2"/>
                <w:sz w:val="24"/>
                <w:szCs w:val="24"/>
                <w:highlight w:val="none"/>
                <w:lang w:val="en-US" w:eastAsia="zh-CN" w:bidi="ar-SA"/>
              </w:rPr>
              <w:t>，详见招标文件“</w:t>
            </w:r>
            <w:r>
              <w:rPr>
                <w:rFonts w:hint="eastAsia" w:ascii="宋体" w:hAnsi="宋体" w:eastAsia="宋体" w:cs="宋体"/>
                <w:bCs/>
                <w:color w:val="auto"/>
                <w:sz w:val="24"/>
                <w:szCs w:val="24"/>
                <w:highlight w:val="none"/>
              </w:rPr>
              <w:t xml:space="preserve">第四章  </w:t>
            </w:r>
            <w:r>
              <w:rPr>
                <w:rFonts w:hint="eastAsia" w:hAnsi="宋体" w:cs="宋体"/>
                <w:bCs/>
                <w:color w:val="auto"/>
                <w:sz w:val="24"/>
                <w:szCs w:val="24"/>
                <w:highlight w:val="none"/>
                <w:lang w:eastAsia="zh-CN"/>
              </w:rPr>
              <w:t>项目服务需求</w:t>
            </w:r>
            <w:r>
              <w:rPr>
                <w:rFonts w:hint="eastAsia" w:ascii="宋体" w:hAnsi="宋体" w:cs="宋体"/>
                <w:bCs/>
                <w:color w:val="auto"/>
                <w:sz w:val="24"/>
                <w:szCs w:val="24"/>
                <w:highlight w:val="none"/>
                <w:lang w:eastAsia="zh-CN"/>
              </w:rPr>
              <w:t>”</w:t>
            </w:r>
          </w:p>
          <w:p w14:paraId="60C11149">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标项</w:t>
            </w:r>
            <w:r>
              <w:rPr>
                <w:rFonts w:hint="eastAsia" w:hAnsi="宋体" w:cs="宋体"/>
                <w:b w:val="0"/>
                <w:bCs/>
                <w:color w:val="auto"/>
                <w:sz w:val="24"/>
                <w:szCs w:val="24"/>
                <w:highlight w:val="none"/>
                <w:shd w:val="clear" w:color="auto" w:fill="auto"/>
                <w:lang w:val="en-US" w:eastAsia="zh-CN"/>
              </w:rPr>
              <w:t>八</w:t>
            </w:r>
            <w:r>
              <w:rPr>
                <w:rFonts w:hint="eastAsia" w:ascii="宋体" w:hAnsi="宋体" w:eastAsia="宋体" w:cs="宋体"/>
                <w:b w:val="0"/>
                <w:bCs/>
                <w:color w:val="auto"/>
                <w:sz w:val="24"/>
                <w:szCs w:val="24"/>
                <w:highlight w:val="none"/>
                <w:shd w:val="clear" w:color="auto" w:fill="auto"/>
              </w:rPr>
              <w:t>:</w:t>
            </w:r>
            <w:r>
              <w:rPr>
                <w:rFonts w:hint="eastAsia" w:hAnsi="宋体" w:cs="宋体"/>
                <w:color w:val="auto"/>
                <w:sz w:val="24"/>
                <w:szCs w:val="24"/>
                <w:highlight w:val="none"/>
                <w:u w:val="none"/>
                <w:lang w:eastAsia="zh-CN"/>
              </w:rPr>
              <w:t>乌鲁木齐市市场监督管理局（乌鲁木齐市知识产权局）2026年乌鲁木齐市食品安全监督抽检服务项目（</w:t>
            </w:r>
            <w:r>
              <w:rPr>
                <w:rFonts w:hint="eastAsia" w:hAnsi="宋体" w:cs="宋体"/>
                <w:color w:val="auto"/>
                <w:sz w:val="24"/>
                <w:szCs w:val="24"/>
                <w:highlight w:val="none"/>
                <w:u w:val="none"/>
                <w:lang w:val="en-US" w:eastAsia="zh-CN"/>
              </w:rPr>
              <w:t>标项八</w:t>
            </w:r>
            <w:r>
              <w:rPr>
                <w:rFonts w:hint="eastAsia" w:hAnsi="宋体" w:cs="宋体"/>
                <w:color w:val="auto"/>
                <w:sz w:val="24"/>
                <w:szCs w:val="24"/>
                <w:highlight w:val="none"/>
                <w:u w:val="none"/>
                <w:lang w:eastAsia="zh-CN"/>
              </w:rPr>
              <w:t>）</w:t>
            </w:r>
            <w:r>
              <w:rPr>
                <w:rFonts w:hint="eastAsia" w:hAnsi="宋体" w:cs="宋体"/>
                <w:color w:val="auto"/>
                <w:sz w:val="24"/>
                <w:szCs w:val="24"/>
                <w:highlight w:val="none"/>
                <w:u w:val="none"/>
                <w:lang w:val="en-US" w:eastAsia="zh-CN"/>
              </w:rPr>
              <w:t xml:space="preserve"> </w:t>
            </w:r>
            <w:r>
              <w:rPr>
                <w:rFonts w:hint="eastAsia" w:ascii="宋体" w:hAnsi="宋体" w:eastAsia="宋体" w:cs="宋体"/>
                <w:b w:val="0"/>
                <w:bCs/>
                <w:color w:val="auto"/>
                <w:sz w:val="24"/>
                <w:szCs w:val="24"/>
                <w:highlight w:val="none"/>
                <w:shd w:val="clear" w:color="auto" w:fill="auto"/>
              </w:rPr>
              <w:t xml:space="preserve">   </w:t>
            </w:r>
          </w:p>
          <w:p w14:paraId="7DE4D9F2">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eastAsia" w:ascii="宋体" w:hAnsi="宋体" w:cs="宋体"/>
                <w:bCs/>
                <w:color w:val="auto"/>
                <w:sz w:val="24"/>
                <w:szCs w:val="24"/>
                <w:highlight w:val="none"/>
                <w:lang w:eastAsia="zh-CN"/>
              </w:rPr>
            </w:pPr>
            <w:r>
              <w:rPr>
                <w:rFonts w:hint="eastAsia" w:ascii="宋体" w:hAnsi="宋体" w:eastAsia="宋体" w:cs="宋体"/>
                <w:b w:val="0"/>
                <w:bCs/>
                <w:color w:val="auto"/>
                <w:sz w:val="24"/>
                <w:szCs w:val="24"/>
                <w:highlight w:val="none"/>
                <w:shd w:val="clear" w:color="auto" w:fill="auto"/>
              </w:rPr>
              <w:t>预算金额（元）:</w:t>
            </w:r>
            <w:r>
              <w:rPr>
                <w:rFonts w:hint="eastAsia" w:hAnsi="宋体" w:cs="宋体"/>
                <w:color w:val="auto"/>
                <w:kern w:val="2"/>
                <w:sz w:val="24"/>
                <w:szCs w:val="24"/>
                <w:highlight w:val="none"/>
                <w:lang w:val="en-US" w:eastAsia="zh-CN" w:bidi="ar-SA"/>
              </w:rPr>
              <w:t xml:space="preserve"> </w:t>
            </w:r>
            <w:r>
              <w:rPr>
                <w:rFonts w:hint="eastAsia" w:hAnsi="宋体" w:cs="宋体"/>
                <w:b w:val="0"/>
                <w:bCs/>
                <w:color w:val="auto"/>
                <w:sz w:val="24"/>
                <w:szCs w:val="24"/>
                <w:highlight w:val="none"/>
                <w:shd w:val="clear" w:color="auto" w:fill="auto"/>
                <w:lang w:val="en-US" w:eastAsia="zh-CN"/>
              </w:rPr>
              <w:t>1002820.00</w:t>
            </w:r>
          </w:p>
          <w:p w14:paraId="542D1826">
            <w:pPr>
              <w:pStyle w:val="62"/>
              <w:keepNext w:val="0"/>
              <w:keepLines w:val="0"/>
              <w:pageBreakBefore w:val="0"/>
              <w:widowControl/>
              <w:shd w:val="clear" w:color="auto" w:fill="auto"/>
              <w:kinsoku/>
              <w:wordWrap/>
              <w:overflowPunct/>
              <w:topLinePunct w:val="0"/>
              <w:autoSpaceDE/>
              <w:autoSpaceDN/>
              <w:bidi w:val="0"/>
              <w:adjustRightInd/>
              <w:snapToGrid/>
              <w:spacing w:line="400" w:lineRule="exact"/>
              <w:ind w:right="0" w:rightChars="0"/>
              <w:jc w:val="left"/>
              <w:textAlignment w:val="auto"/>
              <w:rPr>
                <w:rFonts w:hint="default" w:ascii="宋体" w:hAnsi="宋体" w:cs="宋体"/>
                <w:bCs/>
                <w:color w:val="auto"/>
                <w:sz w:val="24"/>
                <w:szCs w:val="24"/>
                <w:highlight w:val="none"/>
                <w:lang w:val="en-US" w:eastAsia="zh-CN"/>
              </w:rPr>
            </w:pPr>
            <w:r>
              <w:rPr>
                <w:rFonts w:hint="eastAsia" w:ascii="宋体" w:hAnsi="宋体" w:eastAsia="宋体" w:cs="宋体"/>
                <w:b w:val="0"/>
                <w:bCs/>
                <w:color w:val="auto"/>
                <w:sz w:val="24"/>
                <w:szCs w:val="24"/>
                <w:highlight w:val="none"/>
                <w:shd w:val="clear" w:color="auto" w:fill="auto"/>
              </w:rPr>
              <w:t>简要规格描述或项目基本概况介绍、用途：</w:t>
            </w:r>
            <w:r>
              <w:rPr>
                <w:rFonts w:hint="eastAsia" w:hAnsi="宋体" w:cs="宋体"/>
                <w:color w:val="auto"/>
                <w:kern w:val="2"/>
                <w:sz w:val="24"/>
                <w:szCs w:val="24"/>
                <w:highlight w:val="none"/>
                <w:lang w:val="en-US" w:eastAsia="zh-CN" w:bidi="ar-SA"/>
              </w:rPr>
              <w:t>2026年乌鲁木齐市市场监督管理局预包装抽580批次</w:t>
            </w:r>
            <w:r>
              <w:rPr>
                <w:rFonts w:hint="eastAsia" w:ascii="宋体" w:hAnsi="宋体" w:cs="宋体"/>
                <w:color w:val="auto"/>
                <w:kern w:val="2"/>
                <w:sz w:val="24"/>
                <w:szCs w:val="24"/>
                <w:highlight w:val="none"/>
                <w:lang w:val="en-US" w:eastAsia="zh-CN" w:bidi="ar-SA"/>
              </w:rPr>
              <w:t>，详见招标文件“</w:t>
            </w:r>
            <w:r>
              <w:rPr>
                <w:rFonts w:hint="eastAsia" w:ascii="宋体" w:hAnsi="宋体" w:eastAsia="宋体" w:cs="宋体"/>
                <w:bCs/>
                <w:color w:val="auto"/>
                <w:sz w:val="24"/>
                <w:szCs w:val="24"/>
                <w:highlight w:val="none"/>
              </w:rPr>
              <w:t>第四章</w:t>
            </w:r>
            <w:r>
              <w:rPr>
                <w:rFonts w:hint="eastAsia" w:hAnsi="宋体" w:cs="宋体"/>
                <w:bCs/>
                <w:color w:val="auto"/>
                <w:sz w:val="24"/>
                <w:szCs w:val="24"/>
                <w:highlight w:val="none"/>
                <w:lang w:eastAsia="zh-CN"/>
              </w:rPr>
              <w:t>项目服务需求</w:t>
            </w:r>
            <w:r>
              <w:rPr>
                <w:rFonts w:hint="eastAsia" w:ascii="宋体" w:hAnsi="宋体" w:cs="宋体"/>
                <w:bCs/>
                <w:color w:val="auto"/>
                <w:sz w:val="24"/>
                <w:szCs w:val="24"/>
                <w:highlight w:val="none"/>
                <w:lang w:eastAsia="zh-CN"/>
              </w:rPr>
              <w:t>”</w:t>
            </w:r>
          </w:p>
        </w:tc>
      </w:tr>
      <w:tr w14:paraId="0217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94" w:type="pct"/>
            <w:vAlign w:val="center"/>
          </w:tcPr>
          <w:p w14:paraId="7EF52AD6">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845" w:type="pct"/>
            <w:vAlign w:val="center"/>
          </w:tcPr>
          <w:p w14:paraId="6F25E004">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标段（包）划分</w:t>
            </w:r>
          </w:p>
        </w:tc>
        <w:tc>
          <w:tcPr>
            <w:tcW w:w="3760" w:type="pct"/>
            <w:vAlign w:val="center"/>
          </w:tcPr>
          <w:p w14:paraId="0A1E2CB3">
            <w:pPr>
              <w:keepNext w:val="0"/>
              <w:keepLines w:val="0"/>
              <w:pageBreakBefore w:val="0"/>
              <w:kinsoku/>
              <w:wordWrap/>
              <w:overflowPunct/>
              <w:topLinePunct w:val="0"/>
              <w:autoSpaceDE/>
              <w:autoSpaceDN/>
              <w:bidi w:val="0"/>
              <w:spacing w:line="400" w:lineRule="exac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本次招标共</w:t>
            </w:r>
            <w:r>
              <w:rPr>
                <w:rFonts w:hint="eastAsia" w:ascii="宋体" w:hAnsi="宋体" w:cs="宋体"/>
                <w:color w:val="auto"/>
                <w:sz w:val="24"/>
                <w:szCs w:val="24"/>
                <w:highlight w:val="none"/>
                <w:lang w:val="en-US" w:eastAsia="zh-CN"/>
              </w:rPr>
              <w:t>8个标项</w:t>
            </w:r>
          </w:p>
        </w:tc>
      </w:tr>
      <w:tr w14:paraId="3481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94" w:type="pct"/>
            <w:vAlign w:val="center"/>
          </w:tcPr>
          <w:p w14:paraId="7CF680A0">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845" w:type="pct"/>
            <w:vAlign w:val="center"/>
          </w:tcPr>
          <w:p w14:paraId="29993CE9">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服务期</w:t>
            </w:r>
          </w:p>
        </w:tc>
        <w:tc>
          <w:tcPr>
            <w:tcW w:w="3760" w:type="pct"/>
            <w:vAlign w:val="center"/>
          </w:tcPr>
          <w:p w14:paraId="129C03E0">
            <w:pPr>
              <w:pStyle w:val="37"/>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标项一:2027年4月30日前完成所有抽检任务。</w:t>
            </w:r>
          </w:p>
          <w:p w14:paraId="3FFF6AAE">
            <w:pPr>
              <w:pStyle w:val="37"/>
              <w:spacing w:line="360" w:lineRule="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标项二:2026年12月30日前完成所有抽检任务。</w:t>
            </w:r>
          </w:p>
          <w:p w14:paraId="17928E57">
            <w:pPr>
              <w:pStyle w:val="37"/>
              <w:spacing w:line="360" w:lineRule="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标项三:2027年4月30日前完成所有抽检任务。</w:t>
            </w:r>
          </w:p>
          <w:p w14:paraId="29277714">
            <w:pPr>
              <w:pStyle w:val="37"/>
              <w:spacing w:line="360" w:lineRule="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标项四:2026年12月30日前完成完成所有抽检任务。</w:t>
            </w:r>
          </w:p>
          <w:p w14:paraId="33448E4C">
            <w:pPr>
              <w:pStyle w:val="37"/>
              <w:spacing w:line="360" w:lineRule="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标项五:2027年4月30日前完成完成所有抽检任务。</w:t>
            </w:r>
          </w:p>
          <w:p w14:paraId="48B587A0">
            <w:pPr>
              <w:pStyle w:val="37"/>
              <w:spacing w:line="360" w:lineRule="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标项六:2027年4月30日前完成完成所有抽检任务。</w:t>
            </w:r>
          </w:p>
          <w:p w14:paraId="21F24D8F">
            <w:pPr>
              <w:pStyle w:val="37"/>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标项七:2027年4月30日前完成完成所有抽检任务。</w:t>
            </w:r>
          </w:p>
          <w:p w14:paraId="69EAD1D9">
            <w:pPr>
              <w:pStyle w:val="37"/>
              <w:spacing w:line="360" w:lineRule="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标项八:2027年4月30日前完成完成所有抽检任务。</w:t>
            </w:r>
          </w:p>
        </w:tc>
      </w:tr>
      <w:tr w14:paraId="3C24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4" w:type="pct"/>
            <w:vAlign w:val="center"/>
          </w:tcPr>
          <w:p w14:paraId="43C83E7F">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845" w:type="pct"/>
            <w:vAlign w:val="center"/>
          </w:tcPr>
          <w:p w14:paraId="796EF4DD">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服务标准</w:t>
            </w:r>
          </w:p>
        </w:tc>
        <w:tc>
          <w:tcPr>
            <w:tcW w:w="3760" w:type="pct"/>
            <w:vAlign w:val="center"/>
          </w:tcPr>
          <w:p w14:paraId="14AE5632">
            <w:pPr>
              <w:keepNext w:val="0"/>
              <w:keepLines w:val="0"/>
              <w:pageBreakBefore w:val="0"/>
              <w:kinsoku/>
              <w:wordWrap/>
              <w:overflowPunct/>
              <w:topLinePunct w:val="0"/>
              <w:autoSpaceDE/>
              <w:autoSpaceDN/>
              <w:bidi w:val="0"/>
              <w:spacing w:line="400" w:lineRule="exac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满足采购人需求</w:t>
            </w:r>
          </w:p>
        </w:tc>
      </w:tr>
      <w:tr w14:paraId="3F4B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vAlign w:val="center"/>
          </w:tcPr>
          <w:p w14:paraId="26A8EB6C">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845" w:type="pct"/>
            <w:vAlign w:val="center"/>
          </w:tcPr>
          <w:p w14:paraId="6A1E084C">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落实的政府采购政策</w:t>
            </w:r>
          </w:p>
        </w:tc>
        <w:tc>
          <w:tcPr>
            <w:tcW w:w="3760" w:type="pct"/>
            <w:vAlign w:val="center"/>
          </w:tcPr>
          <w:p w14:paraId="26372954">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cs="宋体"/>
                <w:b/>
                <w:bCs/>
                <w:color w:val="auto"/>
                <w:sz w:val="24"/>
                <w:szCs w:val="24"/>
                <w:highlight w:val="none"/>
                <w:lang w:val="en-US" w:eastAsia="zh-CN"/>
              </w:rPr>
              <w:t>标项一：</w:t>
            </w:r>
          </w:p>
          <w:p w14:paraId="5BBAA72B">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cs="宋体"/>
                <w:b w:val="0"/>
                <w:bCs/>
                <w:color w:val="auto"/>
                <w:sz w:val="24"/>
                <w:szCs w:val="24"/>
                <w:highlight w:val="none"/>
                <w:shd w:val="clear" w:color="auto" w:fill="auto"/>
                <w:lang w:val="en-US" w:eastAsia="zh-CN"/>
              </w:rPr>
              <w:t>本项目</w:t>
            </w:r>
            <w:r>
              <w:rPr>
                <w:rFonts w:ascii="宋体" w:hAnsi="宋体" w:eastAsia="宋体" w:cs="宋体"/>
                <w:color w:val="auto"/>
                <w:sz w:val="24"/>
                <w:szCs w:val="24"/>
                <w:highlight w:val="none"/>
              </w:rPr>
              <w:t>为专门面向小微企业采购的项目，供应商应为小微企业</w:t>
            </w:r>
            <w:r>
              <w:rPr>
                <w:rFonts w:hint="eastAsia" w:ascii="宋体" w:hAnsi="宋体" w:cs="宋体"/>
                <w:color w:val="auto"/>
                <w:sz w:val="24"/>
                <w:szCs w:val="24"/>
                <w:highlight w:val="none"/>
                <w:lang w:eastAsia="zh-CN"/>
              </w:rPr>
              <w:t>，</w:t>
            </w:r>
            <w:r>
              <w:rPr>
                <w:rFonts w:hint="eastAsia" w:ascii="宋体" w:hAnsi="宋体" w:eastAsia="宋体" w:cs="宋体"/>
                <w:b w:val="0"/>
                <w:bCs/>
                <w:color w:val="auto"/>
                <w:kern w:val="0"/>
                <w:sz w:val="24"/>
                <w:szCs w:val="24"/>
                <w:highlight w:val="none"/>
                <w:shd w:val="clear" w:color="auto" w:fill="auto"/>
                <w:lang w:val="en-US" w:eastAsia="zh-CN"/>
              </w:rPr>
              <w:t>根据《政府采购促进中小企业发展管理办法》（财库[2020]46 号）的规定，不再执行价格评审优惠的扶持政策</w:t>
            </w:r>
            <w:r>
              <w:rPr>
                <w:rFonts w:ascii="宋体" w:hAnsi="宋体" w:eastAsia="宋体" w:cs="宋体"/>
                <w:color w:val="auto"/>
                <w:sz w:val="24"/>
                <w:szCs w:val="24"/>
                <w:highlight w:val="none"/>
              </w:rPr>
              <w:t>。</w:t>
            </w:r>
          </w:p>
          <w:p w14:paraId="3E2ED066">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标项二：</w:t>
            </w:r>
          </w:p>
          <w:p w14:paraId="737BDA33">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cs="宋体"/>
                <w:b w:val="0"/>
                <w:bCs/>
                <w:color w:val="auto"/>
                <w:sz w:val="24"/>
                <w:szCs w:val="24"/>
                <w:highlight w:val="none"/>
                <w:shd w:val="clear" w:color="auto" w:fill="auto"/>
                <w:lang w:val="en-US" w:eastAsia="zh-CN"/>
              </w:rPr>
              <w:t>本项目</w:t>
            </w:r>
            <w:r>
              <w:rPr>
                <w:rFonts w:ascii="宋体" w:hAnsi="宋体" w:eastAsia="宋体" w:cs="宋体"/>
                <w:color w:val="auto"/>
                <w:sz w:val="24"/>
                <w:szCs w:val="24"/>
                <w:highlight w:val="none"/>
              </w:rPr>
              <w:t>为专门面向</w:t>
            </w:r>
            <w:r>
              <w:rPr>
                <w:rFonts w:hint="eastAsia" w:ascii="宋体" w:hAnsi="宋体" w:cs="宋体"/>
                <w:color w:val="auto"/>
                <w:sz w:val="24"/>
                <w:szCs w:val="24"/>
                <w:highlight w:val="none"/>
                <w:lang w:val="en-US" w:eastAsia="zh-CN"/>
              </w:rPr>
              <w:t>中</w:t>
            </w:r>
            <w:r>
              <w:rPr>
                <w:rFonts w:ascii="宋体" w:hAnsi="宋体" w:eastAsia="宋体" w:cs="宋体"/>
                <w:color w:val="auto"/>
                <w:sz w:val="24"/>
                <w:szCs w:val="24"/>
                <w:highlight w:val="none"/>
              </w:rPr>
              <w:t>小微企业采购的项目，供应商应为</w:t>
            </w:r>
            <w:r>
              <w:rPr>
                <w:rFonts w:hint="eastAsia" w:ascii="宋体" w:hAnsi="宋体" w:cs="宋体"/>
                <w:color w:val="auto"/>
                <w:sz w:val="24"/>
                <w:szCs w:val="24"/>
                <w:highlight w:val="none"/>
                <w:lang w:val="en-US" w:eastAsia="zh-CN"/>
              </w:rPr>
              <w:t>中</w:t>
            </w:r>
            <w:r>
              <w:rPr>
                <w:rFonts w:ascii="宋体" w:hAnsi="宋体" w:eastAsia="宋体" w:cs="宋体"/>
                <w:color w:val="auto"/>
                <w:sz w:val="24"/>
                <w:szCs w:val="24"/>
                <w:highlight w:val="none"/>
              </w:rPr>
              <w:t>小微企业</w:t>
            </w:r>
            <w:r>
              <w:rPr>
                <w:rFonts w:hint="eastAsia" w:ascii="宋体" w:hAnsi="宋体" w:cs="宋体"/>
                <w:color w:val="auto"/>
                <w:sz w:val="24"/>
                <w:szCs w:val="24"/>
                <w:highlight w:val="none"/>
                <w:lang w:eastAsia="zh-CN"/>
              </w:rPr>
              <w:t>，</w:t>
            </w:r>
            <w:r>
              <w:rPr>
                <w:rFonts w:hint="eastAsia" w:ascii="宋体" w:hAnsi="宋体" w:eastAsia="宋体" w:cs="宋体"/>
                <w:b w:val="0"/>
                <w:bCs/>
                <w:color w:val="auto"/>
                <w:kern w:val="0"/>
                <w:sz w:val="24"/>
                <w:szCs w:val="24"/>
                <w:highlight w:val="none"/>
                <w:shd w:val="clear" w:color="auto" w:fill="auto"/>
                <w:lang w:val="en-US" w:eastAsia="zh-CN"/>
              </w:rPr>
              <w:t>根据《政府采购促进中小企业发展管理办法》（财库[2020]46 号）的规定，不再执行价格评审优惠的扶持政策</w:t>
            </w:r>
            <w:r>
              <w:rPr>
                <w:rFonts w:ascii="宋体" w:hAnsi="宋体" w:eastAsia="宋体" w:cs="宋体"/>
                <w:color w:val="auto"/>
                <w:sz w:val="24"/>
                <w:szCs w:val="24"/>
                <w:highlight w:val="none"/>
              </w:rPr>
              <w:t>。</w:t>
            </w:r>
          </w:p>
          <w:p w14:paraId="67109C22">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标项三：</w:t>
            </w:r>
          </w:p>
          <w:p w14:paraId="58F972F4">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ins w:id="4" w:author="刘恒运" w:date="2025-03-25T18:09:00Z">
              <w:r>
                <w:rPr>
                  <w:rFonts w:hint="default" w:ascii="宋体" w:hAnsi="宋体" w:eastAsia="宋体" w:cs="宋体"/>
                  <w:color w:val="auto"/>
                  <w:sz w:val="24"/>
                  <w:szCs w:val="24"/>
                  <w:highlight w:val="none"/>
                  <w:lang w:val="en-US" w:eastAsia="zh-CN"/>
                </w:rPr>
                <w:t>本项目为非专门面向中小企业（含中型、小型、微型企业）采购项目，根据《政府采购促进中小企业发展管理办法》（财库[2020]46号）的规定，评标时将给予此类企业进行价格10%的优惠，用优惠后的价格参与评审</w:t>
              </w:r>
            </w:ins>
            <w:r>
              <w:rPr>
                <w:rFonts w:hint="default" w:ascii="宋体" w:hAnsi="宋体" w:eastAsia="宋体" w:cs="宋体"/>
                <w:color w:val="auto"/>
                <w:sz w:val="24"/>
                <w:szCs w:val="24"/>
                <w:highlight w:val="none"/>
                <w:lang w:val="en-US" w:eastAsia="zh-CN"/>
              </w:rPr>
              <w:t>；</w:t>
            </w:r>
          </w:p>
          <w:p w14:paraId="5AF8906B">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标项四：</w:t>
            </w:r>
          </w:p>
          <w:p w14:paraId="5A5A648B">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ins w:id="5" w:author="刘恒运" w:date="2025-03-25T18:09:00Z">
              <w:r>
                <w:rPr>
                  <w:rFonts w:hint="default" w:ascii="宋体" w:hAnsi="宋体" w:eastAsia="宋体" w:cs="宋体"/>
                  <w:color w:val="auto"/>
                  <w:sz w:val="24"/>
                  <w:szCs w:val="24"/>
                  <w:highlight w:val="none"/>
                  <w:lang w:val="en-US" w:eastAsia="zh-CN"/>
                </w:rPr>
                <w:t>本项目为非专门面向中小企业（含中型、小型、微型企业）采购项目，根据《政府采购促进中小企业发展管理办法》（财库[2020]46号）的规定，评标时将给予此类企业进行价格10%的优惠，用优惠后的价格参与评审</w:t>
              </w:r>
            </w:ins>
            <w:r>
              <w:rPr>
                <w:rFonts w:hint="default" w:ascii="宋体" w:hAnsi="宋体" w:eastAsia="宋体" w:cs="宋体"/>
                <w:color w:val="auto"/>
                <w:sz w:val="24"/>
                <w:szCs w:val="24"/>
                <w:highlight w:val="none"/>
                <w:lang w:val="en-US" w:eastAsia="zh-CN"/>
              </w:rPr>
              <w:t>；</w:t>
            </w:r>
          </w:p>
          <w:p w14:paraId="37728B7F">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标项五：</w:t>
            </w:r>
          </w:p>
          <w:p w14:paraId="00615030">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b w:val="0"/>
                <w:bCs/>
                <w:color w:val="auto"/>
                <w:sz w:val="24"/>
                <w:szCs w:val="24"/>
                <w:highlight w:val="none"/>
                <w:shd w:val="clear" w:color="auto" w:fill="auto"/>
                <w:lang w:val="en-US" w:eastAsia="zh-CN"/>
              </w:rPr>
              <w:t>本项目</w:t>
            </w:r>
            <w:r>
              <w:rPr>
                <w:rFonts w:ascii="宋体" w:hAnsi="宋体" w:eastAsia="宋体" w:cs="宋体"/>
                <w:color w:val="auto"/>
                <w:sz w:val="24"/>
                <w:szCs w:val="24"/>
                <w:highlight w:val="none"/>
              </w:rPr>
              <w:t>为专门面向小微企业采购的项目，供应商应为小微企业</w:t>
            </w:r>
            <w:r>
              <w:rPr>
                <w:rFonts w:hint="eastAsia" w:ascii="宋体" w:hAnsi="宋体" w:cs="宋体"/>
                <w:color w:val="auto"/>
                <w:sz w:val="24"/>
                <w:szCs w:val="24"/>
                <w:highlight w:val="none"/>
                <w:lang w:eastAsia="zh-CN"/>
              </w:rPr>
              <w:t>，</w:t>
            </w:r>
            <w:r>
              <w:rPr>
                <w:rFonts w:hint="eastAsia" w:ascii="宋体" w:hAnsi="宋体" w:eastAsia="宋体" w:cs="宋体"/>
                <w:b w:val="0"/>
                <w:bCs/>
                <w:color w:val="auto"/>
                <w:kern w:val="0"/>
                <w:sz w:val="24"/>
                <w:szCs w:val="24"/>
                <w:highlight w:val="none"/>
                <w:shd w:val="clear" w:color="auto" w:fill="auto"/>
                <w:lang w:val="en-US" w:eastAsia="zh-CN"/>
              </w:rPr>
              <w:t>根据《政府采购促进中小企业发展管理办法》（财库[2020]46 号）的规定，不再执行价格评审优惠的扶持政策</w:t>
            </w:r>
            <w:r>
              <w:rPr>
                <w:rFonts w:ascii="宋体" w:hAnsi="宋体" w:eastAsia="宋体" w:cs="宋体"/>
                <w:color w:val="auto"/>
                <w:sz w:val="24"/>
                <w:szCs w:val="24"/>
                <w:highlight w:val="none"/>
              </w:rPr>
              <w:t>。</w:t>
            </w:r>
          </w:p>
          <w:p w14:paraId="68249C26">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标项六：</w:t>
            </w:r>
          </w:p>
          <w:p w14:paraId="1F15068E">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ins w:id="6" w:author="刘恒运" w:date="2025-03-25T18:09:00Z">
              <w:r>
                <w:rPr>
                  <w:rFonts w:hint="default" w:ascii="宋体" w:hAnsi="宋体" w:eastAsia="宋体" w:cs="宋体"/>
                  <w:color w:val="auto"/>
                  <w:sz w:val="24"/>
                  <w:szCs w:val="24"/>
                  <w:highlight w:val="none"/>
                  <w:lang w:val="en-US" w:eastAsia="zh-CN"/>
                </w:rPr>
                <w:t>本项目为非专门面向中小企业（含中型、小型、微型企业）采购项目，根据《政府采购促进中小企业发展管理办法》（财库[2020]46号）的规定，评标时将给予此类企业进行价格10%的优惠，用优惠后的价格参与评审</w:t>
              </w:r>
            </w:ins>
            <w:r>
              <w:rPr>
                <w:rFonts w:hint="default" w:ascii="宋体" w:hAnsi="宋体" w:eastAsia="宋体" w:cs="宋体"/>
                <w:color w:val="auto"/>
                <w:sz w:val="24"/>
                <w:szCs w:val="24"/>
                <w:highlight w:val="none"/>
                <w:lang w:val="en-US" w:eastAsia="zh-CN"/>
              </w:rPr>
              <w:t>；</w:t>
            </w:r>
          </w:p>
          <w:p w14:paraId="75152418">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标项七：</w:t>
            </w:r>
          </w:p>
          <w:p w14:paraId="7FE2F0C7">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ins w:id="7" w:author="刘恒运" w:date="2025-03-25T18:09:00Z">
              <w:r>
                <w:rPr>
                  <w:rFonts w:hint="default" w:ascii="宋体" w:hAnsi="宋体" w:eastAsia="宋体" w:cs="宋体"/>
                  <w:color w:val="auto"/>
                  <w:sz w:val="24"/>
                  <w:szCs w:val="24"/>
                  <w:highlight w:val="none"/>
                  <w:lang w:val="en-US" w:eastAsia="zh-CN"/>
                </w:rPr>
                <w:t>本项目为非专门面向中小企业（含中型、小型、微型企业）采购项目，根据《政府采购促进中小企业发展管理办法》（财库[2020]46号）的规定，评标时将给予此类企业进行价格10%的优惠，用优惠后的价格参与评审</w:t>
              </w:r>
            </w:ins>
            <w:r>
              <w:rPr>
                <w:rFonts w:hint="default" w:ascii="宋体" w:hAnsi="宋体" w:eastAsia="宋体" w:cs="宋体"/>
                <w:color w:val="auto"/>
                <w:sz w:val="24"/>
                <w:szCs w:val="24"/>
                <w:highlight w:val="none"/>
                <w:lang w:val="en-US" w:eastAsia="zh-CN"/>
              </w:rPr>
              <w:t>；</w:t>
            </w:r>
          </w:p>
          <w:p w14:paraId="046468E6">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标项八：</w:t>
            </w:r>
          </w:p>
          <w:p w14:paraId="2493ADE4">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b w:val="0"/>
                <w:bCs/>
                <w:color w:val="auto"/>
                <w:sz w:val="24"/>
                <w:szCs w:val="24"/>
                <w:highlight w:val="none"/>
                <w:shd w:val="clear" w:color="auto" w:fill="auto"/>
                <w:lang w:val="en-US" w:eastAsia="zh-CN"/>
              </w:rPr>
              <w:t>本项目</w:t>
            </w:r>
            <w:r>
              <w:rPr>
                <w:rFonts w:ascii="宋体" w:hAnsi="宋体" w:eastAsia="宋体" w:cs="宋体"/>
                <w:color w:val="auto"/>
                <w:sz w:val="24"/>
                <w:szCs w:val="24"/>
                <w:highlight w:val="none"/>
              </w:rPr>
              <w:t>为专门面向小微企业采购的项目，供应商应为小微企业</w:t>
            </w:r>
            <w:r>
              <w:rPr>
                <w:rFonts w:hint="eastAsia" w:ascii="宋体" w:hAnsi="宋体" w:cs="宋体"/>
                <w:color w:val="auto"/>
                <w:sz w:val="24"/>
                <w:szCs w:val="24"/>
                <w:highlight w:val="none"/>
                <w:lang w:eastAsia="zh-CN"/>
              </w:rPr>
              <w:t>，</w:t>
            </w:r>
            <w:r>
              <w:rPr>
                <w:rFonts w:hint="eastAsia" w:ascii="宋体" w:hAnsi="宋体" w:eastAsia="宋体" w:cs="宋体"/>
                <w:b w:val="0"/>
                <w:bCs/>
                <w:color w:val="auto"/>
                <w:kern w:val="0"/>
                <w:sz w:val="24"/>
                <w:szCs w:val="24"/>
                <w:highlight w:val="none"/>
                <w:shd w:val="clear" w:color="auto" w:fill="auto"/>
                <w:lang w:val="en-US" w:eastAsia="zh-CN"/>
              </w:rPr>
              <w:t>根据《政府采购促进中小企业发展管理办法》（财库[2020]46 号）的规定，不再执行价格评审优惠的扶持政策</w:t>
            </w:r>
            <w:r>
              <w:rPr>
                <w:rFonts w:ascii="宋体" w:hAnsi="宋体" w:eastAsia="宋体" w:cs="宋体"/>
                <w:color w:val="auto"/>
                <w:sz w:val="24"/>
                <w:szCs w:val="24"/>
                <w:highlight w:val="none"/>
              </w:rPr>
              <w:t>。</w:t>
            </w:r>
          </w:p>
          <w:p w14:paraId="5E7757D2">
            <w:pPr>
              <w:keepNext w:val="0"/>
              <w:keepLines w:val="0"/>
              <w:pageBreakBefore w:val="0"/>
              <w:numPr>
                <w:ilvl w:val="0"/>
                <w:numId w:val="0"/>
              </w:numPr>
              <w:kinsoku/>
              <w:wordWrap/>
              <w:overflowPunct/>
              <w:topLinePunct w:val="0"/>
              <w:autoSpaceDE/>
              <w:autoSpaceDN/>
              <w:bidi w:val="0"/>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color w:val="auto"/>
                <w:kern w:val="0"/>
                <w:sz w:val="24"/>
                <w:szCs w:val="24"/>
                <w:highlight w:val="none"/>
                <w:shd w:val="clear" w:color="auto" w:fill="auto"/>
                <w:lang w:val="en-US" w:eastAsia="zh-CN"/>
              </w:rPr>
              <w:t>2</w:t>
            </w:r>
            <w:r>
              <w:rPr>
                <w:rFonts w:hint="eastAsia" w:ascii="宋体" w:hAnsi="宋体" w:eastAsia="宋体" w:cs="宋体"/>
                <w:b w:val="0"/>
                <w:bCs/>
                <w:color w:val="auto"/>
                <w:kern w:val="0"/>
                <w:sz w:val="24"/>
                <w:szCs w:val="24"/>
                <w:highlight w:val="none"/>
                <w:shd w:val="clear" w:color="auto" w:fill="auto"/>
                <w:lang w:eastAsia="zh-CN"/>
              </w:rPr>
              <w:t>、所属行业：</w:t>
            </w:r>
            <w:r>
              <w:rPr>
                <w:rFonts w:hint="eastAsia" w:ascii="宋体" w:hAnsi="宋体" w:eastAsia="宋体" w:cs="宋体"/>
                <w:b/>
                <w:bCs w:val="0"/>
                <w:color w:val="auto"/>
                <w:kern w:val="0"/>
                <w:sz w:val="24"/>
                <w:szCs w:val="24"/>
                <w:highlight w:val="none"/>
                <w:shd w:val="clear" w:color="auto" w:fill="auto"/>
                <w:lang w:eastAsia="zh-CN"/>
              </w:rPr>
              <w:t>其他未列明行业</w:t>
            </w:r>
            <w:r>
              <w:rPr>
                <w:rFonts w:hint="eastAsia" w:ascii="宋体" w:hAnsi="宋体" w:eastAsia="宋体" w:cs="宋体"/>
                <w:b w:val="0"/>
                <w:bCs/>
                <w:color w:val="auto"/>
                <w:kern w:val="0"/>
                <w:sz w:val="24"/>
                <w:szCs w:val="24"/>
                <w:highlight w:val="none"/>
                <w:shd w:val="clear" w:color="auto" w:fill="auto"/>
                <w:lang w:eastAsia="zh-CN"/>
              </w:rPr>
              <w:t>。</w:t>
            </w:r>
          </w:p>
        </w:tc>
      </w:tr>
      <w:tr w14:paraId="5970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4" w:type="pct"/>
            <w:vAlign w:val="center"/>
          </w:tcPr>
          <w:p w14:paraId="3725EADB">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845" w:type="pct"/>
            <w:vAlign w:val="center"/>
          </w:tcPr>
          <w:p w14:paraId="3D297C16">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投标人资格要求</w:t>
            </w:r>
          </w:p>
        </w:tc>
        <w:tc>
          <w:tcPr>
            <w:tcW w:w="3760" w:type="pct"/>
            <w:vAlign w:val="center"/>
          </w:tcPr>
          <w:p w14:paraId="55A070C9">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标项一：</w:t>
            </w:r>
            <w:r>
              <w:rPr>
                <w:rFonts w:hint="eastAsia" w:ascii="宋体" w:hAnsi="宋体" w:eastAsia="宋体" w:cs="宋体"/>
                <w:color w:val="auto"/>
                <w:sz w:val="24"/>
                <w:szCs w:val="24"/>
                <w:highlight w:val="none"/>
              </w:rPr>
              <w:t>1.满足《中华人民共和国政府采购法》第二十二条规定；</w:t>
            </w:r>
          </w:p>
          <w:p w14:paraId="1592DBA8">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38BCEA13">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cs="宋体"/>
                <w:b w:val="0"/>
                <w:bCs/>
                <w:color w:val="auto"/>
                <w:sz w:val="24"/>
                <w:szCs w:val="24"/>
                <w:highlight w:val="none"/>
                <w:shd w:val="clear" w:color="auto" w:fill="auto"/>
                <w:lang w:val="en-US" w:eastAsia="zh-CN"/>
              </w:rPr>
              <w:t>本项目</w:t>
            </w:r>
            <w:r>
              <w:rPr>
                <w:rFonts w:ascii="宋体" w:hAnsi="宋体" w:eastAsia="宋体" w:cs="宋体"/>
                <w:color w:val="auto"/>
                <w:sz w:val="24"/>
                <w:szCs w:val="24"/>
                <w:highlight w:val="none"/>
              </w:rPr>
              <w:t>为专门面向小微企业采购的项目，供应商应为小微企业</w:t>
            </w:r>
            <w:r>
              <w:rPr>
                <w:rFonts w:hint="eastAsia" w:ascii="宋体" w:hAnsi="宋体" w:cs="宋体"/>
                <w:color w:val="auto"/>
                <w:sz w:val="24"/>
                <w:szCs w:val="24"/>
                <w:highlight w:val="none"/>
                <w:lang w:eastAsia="zh-CN"/>
              </w:rPr>
              <w:t>，</w:t>
            </w:r>
            <w:r>
              <w:rPr>
                <w:rFonts w:hint="eastAsia" w:ascii="宋体" w:hAnsi="宋体" w:eastAsia="宋体" w:cs="宋体"/>
                <w:b w:val="0"/>
                <w:bCs/>
                <w:color w:val="auto"/>
                <w:kern w:val="0"/>
                <w:sz w:val="24"/>
                <w:szCs w:val="24"/>
                <w:highlight w:val="none"/>
                <w:shd w:val="clear" w:color="auto" w:fill="auto"/>
                <w:lang w:val="en-US" w:eastAsia="zh-CN"/>
              </w:rPr>
              <w:t>根据《政府采购促进中小企业发展管理办法》（财库[2020]46 号）的规定，不再执行价格评审优惠的扶持政策</w:t>
            </w:r>
            <w:r>
              <w:rPr>
                <w:rFonts w:ascii="宋体" w:hAnsi="宋体" w:eastAsia="宋体" w:cs="宋体"/>
                <w:color w:val="auto"/>
                <w:sz w:val="24"/>
                <w:szCs w:val="24"/>
                <w:highlight w:val="none"/>
              </w:rPr>
              <w:t>。</w:t>
            </w:r>
          </w:p>
          <w:p w14:paraId="149D4C3C">
            <w:pPr>
              <w:pageBreakBefore w:val="0"/>
              <w:widowControl w:val="0"/>
              <w:numPr>
                <w:ilvl w:val="0"/>
                <w:numId w:val="4"/>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本项目的特定资格要求：投标人必须具有检验全项目的检验检测机构资质认定资质（CMA），具备与承检任务中食品品种、检测项目、检品数量相适应的检验检测能力。</w:t>
            </w:r>
          </w:p>
          <w:p w14:paraId="02B3AAF3">
            <w:pPr>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标项二：</w:t>
            </w:r>
            <w:r>
              <w:rPr>
                <w:rFonts w:hint="eastAsia" w:ascii="宋体" w:hAnsi="宋体" w:eastAsia="宋体" w:cs="宋体"/>
                <w:color w:val="auto"/>
                <w:sz w:val="24"/>
                <w:szCs w:val="24"/>
                <w:highlight w:val="none"/>
              </w:rPr>
              <w:t>1.满足《中华人民共和国政府采购法》第二十二条规定；</w:t>
            </w:r>
          </w:p>
          <w:p w14:paraId="1AC5190A">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4F652BA5">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cs="宋体"/>
                <w:b w:val="0"/>
                <w:bCs/>
                <w:color w:val="auto"/>
                <w:sz w:val="24"/>
                <w:szCs w:val="24"/>
                <w:highlight w:val="none"/>
                <w:shd w:val="clear" w:color="auto" w:fill="auto"/>
                <w:lang w:val="en-US" w:eastAsia="zh-CN"/>
              </w:rPr>
              <w:t>本项目</w:t>
            </w:r>
            <w:r>
              <w:rPr>
                <w:rFonts w:ascii="宋体" w:hAnsi="宋体" w:eastAsia="宋体" w:cs="宋体"/>
                <w:color w:val="auto"/>
                <w:sz w:val="24"/>
                <w:szCs w:val="24"/>
                <w:highlight w:val="none"/>
              </w:rPr>
              <w:t>为专门面向</w:t>
            </w:r>
            <w:r>
              <w:rPr>
                <w:rFonts w:hint="eastAsia" w:ascii="宋体" w:hAnsi="宋体" w:cs="宋体"/>
                <w:color w:val="auto"/>
                <w:sz w:val="24"/>
                <w:szCs w:val="24"/>
                <w:highlight w:val="none"/>
                <w:lang w:val="en-US" w:eastAsia="zh-CN"/>
              </w:rPr>
              <w:t>中</w:t>
            </w:r>
            <w:r>
              <w:rPr>
                <w:rFonts w:ascii="宋体" w:hAnsi="宋体" w:eastAsia="宋体" w:cs="宋体"/>
                <w:color w:val="auto"/>
                <w:sz w:val="24"/>
                <w:szCs w:val="24"/>
                <w:highlight w:val="none"/>
              </w:rPr>
              <w:t>小微企业采购的项目，供应商应为</w:t>
            </w:r>
            <w:r>
              <w:rPr>
                <w:rFonts w:hint="eastAsia" w:ascii="宋体" w:hAnsi="宋体" w:cs="宋体"/>
                <w:color w:val="auto"/>
                <w:sz w:val="24"/>
                <w:szCs w:val="24"/>
                <w:highlight w:val="none"/>
                <w:lang w:val="en-US" w:eastAsia="zh-CN"/>
              </w:rPr>
              <w:t>中</w:t>
            </w:r>
            <w:r>
              <w:rPr>
                <w:rFonts w:ascii="宋体" w:hAnsi="宋体" w:eastAsia="宋体" w:cs="宋体"/>
                <w:color w:val="auto"/>
                <w:sz w:val="24"/>
                <w:szCs w:val="24"/>
                <w:highlight w:val="none"/>
              </w:rPr>
              <w:t>小微企业</w:t>
            </w:r>
            <w:r>
              <w:rPr>
                <w:rFonts w:hint="eastAsia" w:ascii="宋体" w:hAnsi="宋体" w:cs="宋体"/>
                <w:color w:val="auto"/>
                <w:sz w:val="24"/>
                <w:szCs w:val="24"/>
                <w:highlight w:val="none"/>
                <w:lang w:eastAsia="zh-CN"/>
              </w:rPr>
              <w:t>，</w:t>
            </w:r>
            <w:r>
              <w:rPr>
                <w:rFonts w:hint="eastAsia" w:ascii="宋体" w:hAnsi="宋体" w:eastAsia="宋体" w:cs="宋体"/>
                <w:b w:val="0"/>
                <w:bCs/>
                <w:color w:val="auto"/>
                <w:kern w:val="0"/>
                <w:sz w:val="24"/>
                <w:szCs w:val="24"/>
                <w:highlight w:val="none"/>
                <w:shd w:val="clear" w:color="auto" w:fill="auto"/>
                <w:lang w:val="en-US" w:eastAsia="zh-CN"/>
              </w:rPr>
              <w:t>根据《政府采购促进中小企业发展管理办法》（财库[2020]46 号）的规定，不再执行价格评审优惠的扶持政策</w:t>
            </w:r>
            <w:r>
              <w:rPr>
                <w:rFonts w:ascii="宋体" w:hAnsi="宋体" w:eastAsia="宋体" w:cs="宋体"/>
                <w:color w:val="auto"/>
                <w:sz w:val="24"/>
                <w:szCs w:val="24"/>
                <w:highlight w:val="none"/>
              </w:rPr>
              <w:t>。</w:t>
            </w:r>
          </w:p>
          <w:p w14:paraId="626C480B">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.本项目的特定资格要求：投标人必须具有检验全项目的检验检测机构资质认定资质（CMA），具备与承检任务中食品品种、检测项目、检品数量相适应的检验检测能力。</w:t>
            </w:r>
          </w:p>
          <w:p w14:paraId="29E36041">
            <w:pPr>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标项三：</w:t>
            </w:r>
            <w:r>
              <w:rPr>
                <w:rFonts w:hint="eastAsia" w:ascii="宋体" w:hAnsi="宋体" w:eastAsia="宋体" w:cs="宋体"/>
                <w:color w:val="auto"/>
                <w:sz w:val="24"/>
                <w:szCs w:val="24"/>
                <w:highlight w:val="none"/>
              </w:rPr>
              <w:t>1.满足《中华人民共和国政府采购法》第二十二条规定；</w:t>
            </w:r>
          </w:p>
          <w:p w14:paraId="06DCF617">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75E9670A">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ins w:id="8" w:author="刘恒运" w:date="2025-03-25T18:09:00Z">
              <w:r>
                <w:rPr>
                  <w:rFonts w:hint="default" w:ascii="宋体" w:hAnsi="宋体" w:eastAsia="宋体" w:cs="宋体"/>
                  <w:color w:val="auto"/>
                  <w:sz w:val="24"/>
                  <w:szCs w:val="24"/>
                  <w:highlight w:val="none"/>
                  <w:lang w:val="en-US" w:eastAsia="zh-CN"/>
                </w:rPr>
                <w:t>本项目为非专门面向中小企业（含中型、小型、微型企业）采购项目，根据《政府采购促进中小企业发展管理办法》（财库[2020]46号）的规定，评标时将给予此类企业进行价格10%的优惠，用优惠后的价格参与评审</w:t>
              </w:r>
            </w:ins>
            <w:r>
              <w:rPr>
                <w:rFonts w:hint="default" w:ascii="宋体" w:hAnsi="宋体" w:eastAsia="宋体" w:cs="宋体"/>
                <w:color w:val="auto"/>
                <w:sz w:val="24"/>
                <w:szCs w:val="24"/>
                <w:highlight w:val="none"/>
                <w:lang w:val="en-US" w:eastAsia="zh-CN"/>
              </w:rPr>
              <w:t>；</w:t>
            </w:r>
          </w:p>
          <w:p w14:paraId="589D4569">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.本项目的特定资格要求：投标人必须具有检验全项目的检验检测机构资质认定资质（CMA），具备与承检任务中食品品种、检测项目、检品数量相适应的检验检测能力。</w:t>
            </w:r>
          </w:p>
          <w:p w14:paraId="290C69C9">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标项四：</w:t>
            </w:r>
            <w:r>
              <w:rPr>
                <w:rFonts w:hint="eastAsia" w:ascii="宋体" w:hAnsi="宋体" w:eastAsia="宋体" w:cs="宋体"/>
                <w:color w:val="auto"/>
                <w:sz w:val="24"/>
                <w:szCs w:val="24"/>
                <w:highlight w:val="none"/>
              </w:rPr>
              <w:t>1.满足《中华人民共和国政府采购法》第二十二条规定；</w:t>
            </w:r>
          </w:p>
          <w:p w14:paraId="2EFB5624">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3E9C5333">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ins w:id="9" w:author="刘恒运" w:date="2025-03-25T18:09:00Z">
              <w:r>
                <w:rPr>
                  <w:rFonts w:hint="default" w:ascii="宋体" w:hAnsi="宋体" w:eastAsia="宋体" w:cs="宋体"/>
                  <w:color w:val="auto"/>
                  <w:sz w:val="24"/>
                  <w:szCs w:val="24"/>
                  <w:highlight w:val="none"/>
                  <w:lang w:val="en-US" w:eastAsia="zh-CN"/>
                </w:rPr>
                <w:t>本项目为非专门面向中小企业（含中型、小型、微型企业）采购项目，根据《政府采购促进中小企业发展管理办法》（财库[2020]46号）的规定，评标时将给予此类企业进行价格10%的优惠，用优惠后的价格参与评审</w:t>
              </w:r>
            </w:ins>
            <w:r>
              <w:rPr>
                <w:rFonts w:hint="default" w:ascii="宋体" w:hAnsi="宋体" w:eastAsia="宋体" w:cs="宋体"/>
                <w:color w:val="auto"/>
                <w:sz w:val="24"/>
                <w:szCs w:val="24"/>
                <w:highlight w:val="none"/>
                <w:lang w:val="en-US" w:eastAsia="zh-CN"/>
              </w:rPr>
              <w:t>；</w:t>
            </w:r>
          </w:p>
          <w:p w14:paraId="648303F8">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.本项目的特定资格要求：投标人必须具有检验全项目的检验检测机构资质认定资质（CMA），具备与承检任务中食品品种、检测项目、检品数量相适应的检验检测能力。</w:t>
            </w:r>
          </w:p>
          <w:p w14:paraId="4C54CA47">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标项五：</w:t>
            </w:r>
            <w:r>
              <w:rPr>
                <w:rFonts w:hint="eastAsia" w:ascii="宋体" w:hAnsi="宋体" w:eastAsia="宋体" w:cs="宋体"/>
                <w:color w:val="auto"/>
                <w:sz w:val="24"/>
                <w:szCs w:val="24"/>
                <w:highlight w:val="none"/>
              </w:rPr>
              <w:t>1.满足《中华人民共和国政府采购法》第二十二条规定；</w:t>
            </w:r>
          </w:p>
          <w:p w14:paraId="102E5C9F">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2D0D8B1A">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cs="宋体"/>
                <w:b w:val="0"/>
                <w:bCs/>
                <w:color w:val="auto"/>
                <w:sz w:val="24"/>
                <w:szCs w:val="24"/>
                <w:highlight w:val="none"/>
                <w:shd w:val="clear" w:color="auto" w:fill="auto"/>
                <w:lang w:val="en-US" w:eastAsia="zh-CN"/>
              </w:rPr>
              <w:t>本项目</w:t>
            </w:r>
            <w:r>
              <w:rPr>
                <w:rFonts w:ascii="宋体" w:hAnsi="宋体" w:eastAsia="宋体" w:cs="宋体"/>
                <w:color w:val="auto"/>
                <w:sz w:val="24"/>
                <w:szCs w:val="24"/>
                <w:highlight w:val="none"/>
              </w:rPr>
              <w:t>为专门面向小微企业采购的项目，供应商应为小微企业</w:t>
            </w:r>
            <w:r>
              <w:rPr>
                <w:rFonts w:hint="eastAsia" w:ascii="宋体" w:hAnsi="宋体" w:cs="宋体"/>
                <w:color w:val="auto"/>
                <w:sz w:val="24"/>
                <w:szCs w:val="24"/>
                <w:highlight w:val="none"/>
                <w:lang w:eastAsia="zh-CN"/>
              </w:rPr>
              <w:t>，</w:t>
            </w:r>
            <w:r>
              <w:rPr>
                <w:rFonts w:hint="eastAsia" w:ascii="宋体" w:hAnsi="宋体" w:eastAsia="宋体" w:cs="宋体"/>
                <w:b w:val="0"/>
                <w:bCs/>
                <w:color w:val="auto"/>
                <w:kern w:val="0"/>
                <w:sz w:val="24"/>
                <w:szCs w:val="24"/>
                <w:highlight w:val="none"/>
                <w:shd w:val="clear" w:color="auto" w:fill="auto"/>
                <w:lang w:val="en-US" w:eastAsia="zh-CN"/>
              </w:rPr>
              <w:t>根据《政府采购促进中小企业发展管理办法》（财库[2020]46 号）的规定，不再执行价格评审优惠的扶持政策</w:t>
            </w:r>
            <w:r>
              <w:rPr>
                <w:rFonts w:ascii="宋体" w:hAnsi="宋体" w:eastAsia="宋体" w:cs="宋体"/>
                <w:color w:val="auto"/>
                <w:sz w:val="24"/>
                <w:szCs w:val="24"/>
                <w:highlight w:val="none"/>
              </w:rPr>
              <w:t>。</w:t>
            </w:r>
          </w:p>
          <w:p w14:paraId="2D66ABE2">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.本项目的特定资格要求：投标人必须具有检验全项目的检验检测机构资质认定资质（CMA），具备与承检任务中食品品种、检测项目、检品数量相适应的检验检测能力。</w:t>
            </w:r>
          </w:p>
          <w:p w14:paraId="00E99595">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标项六：</w:t>
            </w:r>
            <w:r>
              <w:rPr>
                <w:rFonts w:hint="eastAsia" w:ascii="宋体" w:hAnsi="宋体" w:eastAsia="宋体" w:cs="宋体"/>
                <w:color w:val="auto"/>
                <w:sz w:val="24"/>
                <w:szCs w:val="24"/>
                <w:highlight w:val="none"/>
              </w:rPr>
              <w:t>1.满足《中华人民共和国政府采购法》第二十二条规定；</w:t>
            </w:r>
          </w:p>
          <w:p w14:paraId="6E34175C">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60FA0DFD">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ins w:id="10" w:author="刘恒运" w:date="2025-03-25T18:09:00Z">
              <w:r>
                <w:rPr>
                  <w:rFonts w:hint="default" w:ascii="宋体" w:hAnsi="宋体" w:eastAsia="宋体" w:cs="宋体"/>
                  <w:color w:val="auto"/>
                  <w:sz w:val="24"/>
                  <w:szCs w:val="24"/>
                  <w:highlight w:val="none"/>
                  <w:lang w:val="en-US" w:eastAsia="zh-CN"/>
                </w:rPr>
                <w:t>本项目为非专门面向中小企业（含中型、小型、微型企业）采购项目，根据《政府采购促进中小企业发展管理办法》（财库[2020]46号）的规定，评标时将给予此类企业进行价格10%的优惠，用优惠后的价格参与评审</w:t>
              </w:r>
            </w:ins>
            <w:r>
              <w:rPr>
                <w:rFonts w:hint="default" w:ascii="宋体" w:hAnsi="宋体" w:eastAsia="宋体" w:cs="宋体"/>
                <w:color w:val="auto"/>
                <w:sz w:val="24"/>
                <w:szCs w:val="24"/>
                <w:highlight w:val="none"/>
                <w:lang w:val="en-US" w:eastAsia="zh-CN"/>
              </w:rPr>
              <w:t>；</w:t>
            </w:r>
          </w:p>
          <w:p w14:paraId="38B10B74">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.本项目的特定资格要求：投标人必须具有检验全项目的检验检测机构资质认定资质（CMA），具备与承检任务中食品品种、检测项目、检品数量相适应的检验检测能力。</w:t>
            </w:r>
          </w:p>
          <w:p w14:paraId="797C3D9E">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标项七：</w:t>
            </w:r>
            <w:r>
              <w:rPr>
                <w:rFonts w:hint="eastAsia" w:ascii="宋体" w:hAnsi="宋体" w:eastAsia="宋体" w:cs="宋体"/>
                <w:color w:val="auto"/>
                <w:sz w:val="24"/>
                <w:szCs w:val="24"/>
                <w:highlight w:val="none"/>
              </w:rPr>
              <w:t>1.满足《中华人民共和国政府采购法》第二十二条规定；</w:t>
            </w:r>
          </w:p>
          <w:p w14:paraId="37A2CB83">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005FE905">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ins w:id="11" w:author="刘恒运" w:date="2025-03-25T18:09:00Z">
              <w:r>
                <w:rPr>
                  <w:rFonts w:hint="default" w:ascii="宋体" w:hAnsi="宋体" w:eastAsia="宋体" w:cs="宋体"/>
                  <w:color w:val="auto"/>
                  <w:sz w:val="24"/>
                  <w:szCs w:val="24"/>
                  <w:highlight w:val="none"/>
                  <w:lang w:val="en-US" w:eastAsia="zh-CN"/>
                </w:rPr>
                <w:t>本项目为非专门面向中小企业（含中型、小型、微型企业）采购项目，根据《政府采购促进中小企业发展管理办法》（财库[2020]46号）的规定，评标时将给予此类企业进行价格10%的优惠，用优惠后的价格参与评审</w:t>
              </w:r>
            </w:ins>
            <w:r>
              <w:rPr>
                <w:rFonts w:hint="default" w:ascii="宋体" w:hAnsi="宋体" w:eastAsia="宋体" w:cs="宋体"/>
                <w:color w:val="auto"/>
                <w:sz w:val="24"/>
                <w:szCs w:val="24"/>
                <w:highlight w:val="none"/>
                <w:lang w:val="en-US" w:eastAsia="zh-CN"/>
              </w:rPr>
              <w:t>；</w:t>
            </w:r>
          </w:p>
          <w:p w14:paraId="5A924C51">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.本项目的特定资格要求：投标人必须具有检验全项目的检验检测机构资质认定资质（CMA），具备与承检任务中食品品种、检测项目、检品数量相适应的检验检测能力。</w:t>
            </w:r>
          </w:p>
          <w:p w14:paraId="54760484">
            <w:pPr>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标项八：</w:t>
            </w:r>
            <w:r>
              <w:rPr>
                <w:rFonts w:hint="eastAsia" w:ascii="宋体" w:hAnsi="宋体" w:eastAsia="宋体" w:cs="宋体"/>
                <w:color w:val="auto"/>
                <w:sz w:val="24"/>
                <w:szCs w:val="24"/>
                <w:highlight w:val="none"/>
              </w:rPr>
              <w:t>1.满足《中华人民共和国政府采购法》第二十二条规定；</w:t>
            </w:r>
          </w:p>
          <w:p w14:paraId="65E60F47">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2.落实政府采购政策需满足的资格要求：</w:t>
            </w:r>
          </w:p>
          <w:p w14:paraId="29040787">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cs="宋体"/>
                <w:b w:val="0"/>
                <w:bCs/>
                <w:color w:val="auto"/>
                <w:sz w:val="24"/>
                <w:szCs w:val="24"/>
                <w:highlight w:val="none"/>
                <w:shd w:val="clear" w:color="auto" w:fill="auto"/>
                <w:lang w:val="en-US" w:eastAsia="zh-CN"/>
              </w:rPr>
              <w:t>本项目</w:t>
            </w:r>
            <w:r>
              <w:rPr>
                <w:rFonts w:ascii="宋体" w:hAnsi="宋体" w:eastAsia="宋体" w:cs="宋体"/>
                <w:color w:val="auto"/>
                <w:sz w:val="24"/>
                <w:szCs w:val="24"/>
                <w:highlight w:val="none"/>
              </w:rPr>
              <w:t>为专门面向小微企业采购的项目，供应商应为小微企业</w:t>
            </w:r>
            <w:r>
              <w:rPr>
                <w:rFonts w:hint="eastAsia" w:ascii="宋体" w:hAnsi="宋体" w:cs="宋体"/>
                <w:color w:val="auto"/>
                <w:sz w:val="24"/>
                <w:szCs w:val="24"/>
                <w:highlight w:val="none"/>
                <w:lang w:eastAsia="zh-CN"/>
              </w:rPr>
              <w:t>，</w:t>
            </w:r>
            <w:r>
              <w:rPr>
                <w:rFonts w:hint="eastAsia" w:ascii="宋体" w:hAnsi="宋体" w:eastAsia="宋体" w:cs="宋体"/>
                <w:b w:val="0"/>
                <w:bCs/>
                <w:color w:val="auto"/>
                <w:kern w:val="0"/>
                <w:sz w:val="24"/>
                <w:szCs w:val="24"/>
                <w:highlight w:val="none"/>
                <w:shd w:val="clear" w:color="auto" w:fill="auto"/>
                <w:lang w:val="en-US" w:eastAsia="zh-CN"/>
              </w:rPr>
              <w:t>根据《政府采购促进中小企业发展管理办法》（财库[2020]46 号）的规定，不再执行价格评审优惠的扶持政策</w:t>
            </w:r>
            <w:r>
              <w:rPr>
                <w:rFonts w:ascii="宋体" w:hAnsi="宋体" w:eastAsia="宋体" w:cs="宋体"/>
                <w:color w:val="auto"/>
                <w:sz w:val="24"/>
                <w:szCs w:val="24"/>
                <w:highlight w:val="none"/>
              </w:rPr>
              <w:t>。</w:t>
            </w:r>
          </w:p>
          <w:p w14:paraId="6543BA9B">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.本项目的特定资格要求：投标人必须具有检验全项目的检验检测机构资质认定资质（CMA），具备与承检任务中食品品种、检测项目、检品数量相适应的检验检测能力。</w:t>
            </w:r>
          </w:p>
          <w:p w14:paraId="32FCA03F">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highlight w:val="none"/>
              </w:rPr>
            </w:pPr>
          </w:p>
        </w:tc>
      </w:tr>
      <w:tr w14:paraId="3827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vAlign w:val="center"/>
          </w:tcPr>
          <w:p w14:paraId="36FEAB51">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845" w:type="pct"/>
            <w:vAlign w:val="center"/>
          </w:tcPr>
          <w:p w14:paraId="23925C62">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p>
        </w:tc>
        <w:tc>
          <w:tcPr>
            <w:tcW w:w="3760" w:type="pct"/>
            <w:vAlign w:val="center"/>
          </w:tcPr>
          <w:p w14:paraId="7EE86686">
            <w:pPr>
              <w:pStyle w:val="29"/>
              <w:keepNext w:val="0"/>
              <w:keepLines w:val="0"/>
              <w:pageBreakBefore w:val="0"/>
              <w:kinsoku/>
              <w:wordWrap/>
              <w:overflowPunct/>
              <w:topLinePunct w:val="0"/>
              <w:autoSpaceDE/>
              <w:autoSpaceDN/>
              <w:bidi w:val="0"/>
              <w:spacing w:line="400" w:lineRule="exact"/>
              <w:ind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投标保证金的金额：</w:t>
            </w:r>
          </w:p>
          <w:p w14:paraId="74F6B3D9">
            <w:pPr>
              <w:pStyle w:val="29"/>
              <w:keepNext w:val="0"/>
              <w:keepLines w:val="0"/>
              <w:pageBreakBefore w:val="0"/>
              <w:kinsoku/>
              <w:wordWrap/>
              <w:overflowPunct/>
              <w:topLinePunct w:val="0"/>
              <w:autoSpaceDE/>
              <w:autoSpaceDN/>
              <w:bidi w:val="0"/>
              <w:spacing w:line="400" w:lineRule="exact"/>
              <w:ind w:firstLine="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标项一：小写：11000.00元（大写：壹万壹仟元整）</w:t>
            </w:r>
          </w:p>
          <w:p w14:paraId="508A50EA">
            <w:pPr>
              <w:pStyle w:val="29"/>
              <w:keepNext w:val="0"/>
              <w:keepLines w:val="0"/>
              <w:pageBreakBefore w:val="0"/>
              <w:kinsoku/>
              <w:wordWrap/>
              <w:overflowPunct/>
              <w:topLinePunct w:val="0"/>
              <w:autoSpaceDE/>
              <w:autoSpaceDN/>
              <w:bidi w:val="0"/>
              <w:spacing w:line="400" w:lineRule="exact"/>
              <w:ind w:firstLine="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标项二：小写：8000.00元（大写：捌仟元整）</w:t>
            </w:r>
          </w:p>
          <w:p w14:paraId="58C4EC90">
            <w:pP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标项三：小写：10000.00元（大写：壹万元整）</w:t>
            </w:r>
          </w:p>
          <w:p w14:paraId="40A62B6E">
            <w:pP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标项四：小写：15000.00元（大写：壹万伍仟元整）</w:t>
            </w:r>
          </w:p>
          <w:p w14:paraId="11033C95">
            <w:pP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标项五：小写：11000.00元（大写：壹万壹仟元整）</w:t>
            </w:r>
          </w:p>
          <w:p w14:paraId="21DE19D0">
            <w:pP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标项六：小写：10000.00元（大写：壹万元整）</w:t>
            </w:r>
          </w:p>
          <w:p w14:paraId="78369995">
            <w:pP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标项七：小写：10000.00元（大写：壹万元整）</w:t>
            </w:r>
          </w:p>
          <w:p w14:paraId="5DD16782">
            <w:pP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标项八：小写：10000.00元（大写：壹万元整）</w:t>
            </w:r>
          </w:p>
          <w:p w14:paraId="51B0A6E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投标保证金须在投标文件</w:t>
            </w:r>
            <w:r>
              <w:rPr>
                <w:rFonts w:hint="eastAsia" w:ascii="宋体" w:hAnsi="宋体" w:cs="宋体"/>
                <w:color w:val="auto"/>
                <w:sz w:val="24"/>
                <w:szCs w:val="24"/>
                <w:highlight w:val="none"/>
                <w:lang w:eastAsia="zh-CN"/>
              </w:rPr>
              <w:t>上传</w:t>
            </w:r>
            <w:r>
              <w:rPr>
                <w:rFonts w:hint="eastAsia" w:ascii="宋体" w:hAnsi="宋体" w:eastAsia="宋体" w:cs="宋体"/>
                <w:color w:val="auto"/>
                <w:sz w:val="24"/>
                <w:szCs w:val="24"/>
                <w:highlight w:val="none"/>
              </w:rPr>
              <w:t>截止时间前确认到账。</w:t>
            </w:r>
          </w:p>
          <w:p w14:paraId="5D304F09">
            <w:pPr>
              <w:pStyle w:val="29"/>
              <w:keepNext w:val="0"/>
              <w:keepLines w:val="0"/>
              <w:pageBreakBefore w:val="0"/>
              <w:kinsoku/>
              <w:wordWrap/>
              <w:overflowPunct/>
              <w:topLinePunct w:val="0"/>
              <w:autoSpaceDE/>
              <w:autoSpaceDN/>
              <w:bidi w:val="0"/>
              <w:spacing w:line="400" w:lineRule="exact"/>
              <w:ind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一、投标保证金缴纳：</w:t>
            </w:r>
          </w:p>
          <w:p w14:paraId="6EE7B0A4">
            <w:pPr>
              <w:pStyle w:val="29"/>
              <w:keepNext w:val="0"/>
              <w:keepLines w:val="0"/>
              <w:pageBreakBefore w:val="0"/>
              <w:kinsoku/>
              <w:wordWrap/>
              <w:overflowPunct/>
              <w:topLinePunct w:val="0"/>
              <w:autoSpaceDE/>
              <w:autoSpaceDN/>
              <w:bidi w:val="0"/>
              <w:spacing w:line="400" w:lineRule="exact"/>
              <w:ind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1.投标保证金应当以电汇、网银</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保函</w:t>
            </w:r>
            <w:r>
              <w:rPr>
                <w:rFonts w:hint="eastAsia" w:ascii="宋体" w:hAnsi="宋体" w:eastAsia="宋体" w:cs="宋体"/>
                <w:color w:val="auto"/>
                <w:sz w:val="24"/>
                <w:szCs w:val="24"/>
                <w:highlight w:val="none"/>
              </w:rPr>
              <w:t>等非现金形式提交；</w:t>
            </w:r>
          </w:p>
          <w:p w14:paraId="1DCAFD1C">
            <w:pPr>
              <w:pStyle w:val="29"/>
              <w:keepNext w:val="0"/>
              <w:keepLines w:val="0"/>
              <w:pageBreakBefore w:val="0"/>
              <w:kinsoku/>
              <w:wordWrap/>
              <w:overflowPunct/>
              <w:topLinePunct w:val="0"/>
              <w:autoSpaceDE/>
              <w:autoSpaceDN/>
              <w:bidi w:val="0"/>
              <w:spacing w:line="400" w:lineRule="exact"/>
              <w:ind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2.缴纳投标保证金时需备注项目名称</w:t>
            </w:r>
            <w:r>
              <w:rPr>
                <w:rFonts w:hint="eastAsia" w:ascii="宋体" w:hAnsi="宋体" w:cs="宋体"/>
                <w:color w:val="auto"/>
                <w:sz w:val="24"/>
                <w:szCs w:val="24"/>
                <w:highlight w:val="none"/>
                <w:lang w:val="en-US" w:eastAsia="zh-CN"/>
              </w:rPr>
              <w:t>+标项</w:t>
            </w:r>
            <w:r>
              <w:rPr>
                <w:rFonts w:hint="eastAsia" w:ascii="宋体" w:hAnsi="宋体" w:eastAsia="宋体" w:cs="宋体"/>
                <w:color w:val="auto"/>
                <w:sz w:val="24"/>
                <w:szCs w:val="24"/>
                <w:highlight w:val="none"/>
              </w:rPr>
              <w:t>；</w:t>
            </w:r>
          </w:p>
          <w:p w14:paraId="2E256A87">
            <w:pPr>
              <w:pStyle w:val="29"/>
              <w:keepNext w:val="0"/>
              <w:keepLines w:val="0"/>
              <w:pageBreakBefore w:val="0"/>
              <w:kinsoku/>
              <w:wordWrap/>
              <w:overflowPunct/>
              <w:topLinePunct w:val="0"/>
              <w:autoSpaceDE/>
              <w:autoSpaceDN/>
              <w:bidi w:val="0"/>
              <w:spacing w:line="400" w:lineRule="exact"/>
              <w:ind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3.投标保证金</w:t>
            </w:r>
            <w:r>
              <w:rPr>
                <w:rFonts w:hint="eastAsia" w:ascii="宋体" w:hAnsi="宋体" w:cs="宋体"/>
                <w:color w:val="auto"/>
                <w:sz w:val="24"/>
                <w:szCs w:val="24"/>
                <w:highlight w:val="none"/>
                <w:lang w:eastAsia="zh-CN"/>
              </w:rPr>
              <w:t>上传</w:t>
            </w:r>
            <w:r>
              <w:rPr>
                <w:rFonts w:hint="eastAsia" w:ascii="宋体" w:hAnsi="宋体" w:eastAsia="宋体" w:cs="宋体"/>
                <w:color w:val="auto"/>
                <w:sz w:val="24"/>
                <w:szCs w:val="24"/>
                <w:highlight w:val="none"/>
              </w:rPr>
              <w:t>截止时间：与投标文件</w:t>
            </w:r>
            <w:r>
              <w:rPr>
                <w:rFonts w:hint="eastAsia" w:ascii="宋体" w:hAnsi="宋体" w:cs="宋体"/>
                <w:color w:val="auto"/>
                <w:sz w:val="24"/>
                <w:szCs w:val="24"/>
                <w:highlight w:val="none"/>
                <w:lang w:eastAsia="zh-CN"/>
              </w:rPr>
              <w:t>上传</w:t>
            </w:r>
            <w:r>
              <w:rPr>
                <w:rFonts w:hint="eastAsia" w:ascii="宋体" w:hAnsi="宋体" w:eastAsia="宋体" w:cs="宋体"/>
                <w:color w:val="auto"/>
                <w:sz w:val="24"/>
                <w:szCs w:val="24"/>
                <w:highlight w:val="none"/>
              </w:rPr>
              <w:t>截止时间相同；</w:t>
            </w:r>
          </w:p>
          <w:p w14:paraId="42A82B01">
            <w:pPr>
              <w:pStyle w:val="29"/>
              <w:keepNext w:val="0"/>
              <w:keepLines w:val="0"/>
              <w:pageBreakBefore w:val="0"/>
              <w:kinsoku/>
              <w:wordWrap/>
              <w:overflowPunct/>
              <w:topLinePunct w:val="0"/>
              <w:autoSpaceDE/>
              <w:autoSpaceDN/>
              <w:bidi w:val="0"/>
              <w:spacing w:line="400" w:lineRule="exact"/>
              <w:ind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投标保证金缴纳账户：</w:t>
            </w:r>
          </w:p>
          <w:p w14:paraId="6127E257">
            <w:pPr>
              <w:pStyle w:val="70"/>
              <w:spacing w:before="163" w:line="229"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账号：651651008013001382096</w:t>
            </w:r>
          </w:p>
          <w:p w14:paraId="43AAE1A5">
            <w:pPr>
              <w:pStyle w:val="70"/>
              <w:spacing w:before="160" w:line="228"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户名：新疆志远诚信建设项目管理有限公司</w:t>
            </w:r>
          </w:p>
          <w:p w14:paraId="36CE0D34">
            <w:pPr>
              <w:pStyle w:val="70"/>
              <w:spacing w:before="161" w:line="228"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开户行名称：交通银行新疆维吾尔自治区分行</w:t>
            </w:r>
          </w:p>
          <w:p w14:paraId="6B21823E">
            <w:pPr>
              <w:pStyle w:val="70"/>
              <w:spacing w:before="162" w:line="228" w:lineRule="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行号：301881000026</w:t>
            </w:r>
          </w:p>
          <w:p w14:paraId="13E6D70A">
            <w:pPr>
              <w:pStyle w:val="29"/>
              <w:keepNext w:val="0"/>
              <w:keepLines w:val="0"/>
              <w:pageBreakBefore w:val="0"/>
              <w:kinsoku/>
              <w:wordWrap/>
              <w:overflowPunct/>
              <w:topLinePunct w:val="0"/>
              <w:autoSpaceDE/>
              <w:autoSpaceDN/>
              <w:bidi w:val="0"/>
              <w:spacing w:line="400" w:lineRule="exact"/>
              <w:ind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二、投标保证金退还：</w:t>
            </w:r>
          </w:p>
          <w:p w14:paraId="5DF1BBCD">
            <w:pPr>
              <w:pStyle w:val="29"/>
              <w:keepNext w:val="0"/>
              <w:keepLines w:val="0"/>
              <w:pageBreakBefore w:val="0"/>
              <w:kinsoku/>
              <w:wordWrap/>
              <w:overflowPunct/>
              <w:topLinePunct w:val="0"/>
              <w:autoSpaceDE/>
              <w:autoSpaceDN/>
              <w:bidi w:val="0"/>
              <w:spacing w:line="400" w:lineRule="exact"/>
              <w:ind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1.未中标人的投标保证金将在中标通知书发出后5个工作日内退还；</w:t>
            </w:r>
          </w:p>
          <w:p w14:paraId="5D213385">
            <w:pPr>
              <w:pStyle w:val="29"/>
              <w:keepNext w:val="0"/>
              <w:keepLines w:val="0"/>
              <w:pageBreakBefore w:val="0"/>
              <w:kinsoku/>
              <w:wordWrap/>
              <w:overflowPunct/>
              <w:topLinePunct w:val="0"/>
              <w:autoSpaceDE/>
              <w:autoSpaceDN/>
              <w:bidi w:val="0"/>
              <w:spacing w:line="400" w:lineRule="exact"/>
              <w:ind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2.中标人的投标保证金将在自采购合同签订之日起5个工作日内无息退还；</w:t>
            </w:r>
          </w:p>
          <w:p w14:paraId="2F5595C4">
            <w:pPr>
              <w:pStyle w:val="29"/>
              <w:keepNext w:val="0"/>
              <w:keepLines w:val="0"/>
              <w:pageBreakBefore w:val="0"/>
              <w:kinsoku/>
              <w:wordWrap/>
              <w:overflowPunct/>
              <w:topLinePunct w:val="0"/>
              <w:autoSpaceDE/>
              <w:autoSpaceDN/>
              <w:bidi w:val="0"/>
              <w:spacing w:line="400" w:lineRule="exact"/>
              <w:ind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3.有下列情形之一的，投标保证金不予退还：详见总则第15.5条。</w:t>
            </w:r>
          </w:p>
          <w:p w14:paraId="04292E93">
            <w:pPr>
              <w:pStyle w:val="29"/>
              <w:keepNext w:val="0"/>
              <w:keepLines w:val="0"/>
              <w:pageBreakBefore w:val="0"/>
              <w:kinsoku/>
              <w:wordWrap/>
              <w:overflowPunct/>
              <w:topLinePunct w:val="0"/>
              <w:autoSpaceDE/>
              <w:autoSpaceDN/>
              <w:bidi w:val="0"/>
              <w:spacing w:line="400" w:lineRule="exact"/>
              <w:ind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三、加盖公章的投标保证金缴纳凭证</w:t>
            </w:r>
            <w:r>
              <w:rPr>
                <w:rFonts w:hint="eastAsia" w:ascii="宋体" w:hAnsi="宋体" w:eastAsia="宋体" w:cs="宋体"/>
                <w:caps w:val="0"/>
                <w:color w:val="auto"/>
                <w:spacing w:val="0"/>
                <w:kern w:val="0"/>
                <w:sz w:val="24"/>
                <w:szCs w:val="24"/>
                <w:highlight w:val="none"/>
                <w:lang w:eastAsia="zh-CN" w:bidi="ar"/>
              </w:rPr>
              <w:t>彩色扫描件</w:t>
            </w:r>
            <w:r>
              <w:rPr>
                <w:rFonts w:hint="eastAsia" w:ascii="宋体" w:hAnsi="宋体" w:eastAsia="宋体" w:cs="宋体"/>
                <w:color w:val="auto"/>
                <w:sz w:val="24"/>
                <w:szCs w:val="24"/>
                <w:highlight w:val="none"/>
              </w:rPr>
              <w:t>需装订在投标文件中相应位置。</w:t>
            </w:r>
          </w:p>
          <w:p w14:paraId="4C26F4DA">
            <w:pPr>
              <w:pStyle w:val="29"/>
              <w:keepNext w:val="0"/>
              <w:keepLines w:val="0"/>
              <w:pageBreakBefore w:val="0"/>
              <w:kinsoku/>
              <w:wordWrap/>
              <w:overflowPunct/>
              <w:topLinePunct w:val="0"/>
              <w:autoSpaceDE/>
              <w:autoSpaceDN/>
              <w:bidi w:val="0"/>
              <w:spacing w:line="400" w:lineRule="exact"/>
              <w:ind w:firstLine="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注：投标人未按照招标文件的规定提交投标保证金的，将被视为</w:t>
            </w:r>
            <w:r>
              <w:rPr>
                <w:rFonts w:hint="eastAsia" w:ascii="宋体" w:hAnsi="宋体" w:cs="宋体"/>
                <w:b/>
                <w:bCs/>
                <w:color w:val="auto"/>
                <w:sz w:val="24"/>
                <w:szCs w:val="24"/>
                <w:highlight w:val="none"/>
                <w:lang w:eastAsia="zh-CN"/>
              </w:rPr>
              <w:t>投标</w:t>
            </w:r>
            <w:r>
              <w:rPr>
                <w:rFonts w:hint="eastAsia" w:ascii="宋体" w:hAnsi="宋体" w:eastAsia="宋体" w:cs="宋体"/>
                <w:b/>
                <w:bCs/>
                <w:color w:val="auto"/>
                <w:sz w:val="24"/>
                <w:szCs w:val="24"/>
                <w:highlight w:val="none"/>
              </w:rPr>
              <w:t>无效</w:t>
            </w:r>
            <w:r>
              <w:rPr>
                <w:rFonts w:hint="eastAsia" w:ascii="宋体" w:hAnsi="宋体" w:eastAsia="宋体" w:cs="宋体"/>
                <w:color w:val="auto"/>
                <w:sz w:val="24"/>
                <w:szCs w:val="24"/>
                <w:highlight w:val="none"/>
              </w:rPr>
              <w:t>。</w:t>
            </w:r>
          </w:p>
        </w:tc>
      </w:tr>
      <w:tr w14:paraId="1D19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4" w:type="pct"/>
            <w:vAlign w:val="center"/>
          </w:tcPr>
          <w:p w14:paraId="716228BE">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845" w:type="pct"/>
            <w:vAlign w:val="center"/>
          </w:tcPr>
          <w:p w14:paraId="44BD7EBC">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是否接受联合体投标</w:t>
            </w:r>
          </w:p>
        </w:tc>
        <w:tc>
          <w:tcPr>
            <w:tcW w:w="3760" w:type="pct"/>
            <w:vAlign w:val="center"/>
          </w:tcPr>
          <w:p w14:paraId="629E5A34">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不接受/</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接受</w:t>
            </w:r>
          </w:p>
        </w:tc>
      </w:tr>
      <w:tr w14:paraId="29ABB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4" w:type="pct"/>
            <w:vAlign w:val="center"/>
          </w:tcPr>
          <w:p w14:paraId="325EF0A3">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845" w:type="pct"/>
            <w:vAlign w:val="center"/>
          </w:tcPr>
          <w:p w14:paraId="6C293390">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分包</w:t>
            </w:r>
          </w:p>
        </w:tc>
        <w:tc>
          <w:tcPr>
            <w:tcW w:w="3760" w:type="pct"/>
            <w:vAlign w:val="center"/>
          </w:tcPr>
          <w:p w14:paraId="45DD29DA">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不允许/</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允许</w:t>
            </w:r>
          </w:p>
        </w:tc>
      </w:tr>
      <w:tr w14:paraId="4B07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4" w:type="pct"/>
            <w:vAlign w:val="center"/>
          </w:tcPr>
          <w:p w14:paraId="78413071">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845" w:type="pct"/>
            <w:vAlign w:val="center"/>
          </w:tcPr>
          <w:p w14:paraId="0724279C">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w:t>
            </w:r>
            <w:r>
              <w:rPr>
                <w:rFonts w:hint="eastAsia" w:ascii="宋体" w:hAnsi="宋体" w:cs="宋体"/>
                <w:color w:val="auto"/>
                <w:sz w:val="24"/>
                <w:szCs w:val="24"/>
                <w:highlight w:val="none"/>
                <w:lang w:eastAsia="zh-CN"/>
              </w:rPr>
              <w:t>上传</w:t>
            </w:r>
            <w:r>
              <w:rPr>
                <w:rFonts w:hint="eastAsia" w:ascii="宋体" w:hAnsi="宋体" w:eastAsia="宋体" w:cs="宋体"/>
                <w:color w:val="auto"/>
                <w:sz w:val="24"/>
                <w:szCs w:val="24"/>
                <w:highlight w:val="none"/>
              </w:rPr>
              <w:t>截止时间及地点</w:t>
            </w:r>
          </w:p>
        </w:tc>
        <w:tc>
          <w:tcPr>
            <w:tcW w:w="3760" w:type="pct"/>
            <w:vAlign w:val="center"/>
          </w:tcPr>
          <w:p w14:paraId="68DDFC7F">
            <w:pPr>
              <w:keepNext w:val="0"/>
              <w:keepLines w:val="0"/>
              <w:pageBreakBefore w:val="0"/>
              <w:widowControl w:val="0"/>
              <w:shd w:val="clear" w:color="auto" w:fill="auto"/>
              <w:kinsoku/>
              <w:wordWrap/>
              <w:overflowPunct/>
              <w:topLinePunct w:val="0"/>
              <w:autoSpaceDE/>
              <w:autoSpaceDN/>
              <w:bidi w:val="0"/>
              <w:adjustRightInd/>
              <w:snapToGrid/>
              <w:spacing w:line="300" w:lineRule="exact"/>
              <w:ind w:left="0" w:leftChars="0" w:right="0" w:rightChars="0" w:firstLine="0" w:firstLineChars="0"/>
              <w:textAlignment w:val="auto"/>
              <w:rPr>
                <w:rFonts w:hint="eastAsia" w:asciiTheme="minorEastAsia" w:hAnsiTheme="minorEastAsia" w:eastAsiaTheme="minorEastAsia" w:cstheme="minorEastAsia"/>
                <w:b w:val="0"/>
                <w:bCs/>
                <w:color w:val="auto"/>
                <w:kern w:val="0"/>
                <w:sz w:val="24"/>
                <w:szCs w:val="24"/>
                <w:highlight w:val="none"/>
                <w:u w:val="none"/>
                <w:shd w:val="clear" w:color="auto" w:fill="auto"/>
                <w:lang w:eastAsia="zh-CN"/>
              </w:rPr>
            </w:pPr>
            <w:r>
              <w:rPr>
                <w:rFonts w:hint="eastAsia" w:asciiTheme="minorEastAsia" w:hAnsiTheme="minorEastAsia" w:eastAsiaTheme="minorEastAsia" w:cstheme="minorEastAsia"/>
                <w:b w:val="0"/>
                <w:bCs/>
                <w:color w:val="auto"/>
                <w:sz w:val="24"/>
                <w:szCs w:val="24"/>
                <w:highlight w:val="none"/>
                <w:u w:val="none"/>
                <w:shd w:val="clear" w:color="auto" w:fill="auto"/>
                <w:lang w:val="en-US" w:eastAsia="zh-CN"/>
              </w:rPr>
              <w:t>投标</w:t>
            </w:r>
            <w:r>
              <w:rPr>
                <w:rFonts w:hint="eastAsia" w:asciiTheme="minorEastAsia" w:hAnsiTheme="minorEastAsia" w:eastAsiaTheme="minorEastAsia" w:cstheme="minorEastAsia"/>
                <w:b w:val="0"/>
                <w:bCs/>
                <w:color w:val="auto"/>
                <w:sz w:val="24"/>
                <w:szCs w:val="24"/>
                <w:highlight w:val="none"/>
                <w:u w:val="none"/>
                <w:shd w:val="clear" w:color="auto" w:fill="auto"/>
              </w:rPr>
              <w:t>文件</w:t>
            </w:r>
            <w:r>
              <w:rPr>
                <w:rFonts w:hint="eastAsia" w:asciiTheme="minorEastAsia" w:hAnsiTheme="minorEastAsia" w:eastAsiaTheme="minorEastAsia" w:cstheme="minorEastAsia"/>
                <w:b w:val="0"/>
                <w:bCs/>
                <w:color w:val="auto"/>
                <w:sz w:val="24"/>
                <w:szCs w:val="24"/>
                <w:highlight w:val="none"/>
                <w:u w:val="none"/>
                <w:shd w:val="clear" w:color="auto" w:fill="auto"/>
                <w:lang w:val="en-US" w:eastAsia="zh-CN"/>
              </w:rPr>
              <w:t>上传</w:t>
            </w:r>
            <w:r>
              <w:rPr>
                <w:rFonts w:hint="eastAsia" w:asciiTheme="minorEastAsia" w:hAnsiTheme="minorEastAsia" w:eastAsiaTheme="minorEastAsia" w:cstheme="minorEastAsia"/>
                <w:b w:val="0"/>
                <w:bCs/>
                <w:color w:val="auto"/>
                <w:sz w:val="24"/>
                <w:szCs w:val="24"/>
                <w:highlight w:val="none"/>
                <w:u w:val="none"/>
                <w:shd w:val="clear" w:color="auto" w:fill="auto"/>
              </w:rPr>
              <w:t>截止时间</w:t>
            </w:r>
            <w:r>
              <w:rPr>
                <w:rFonts w:hint="eastAsia" w:asciiTheme="minorEastAsia" w:hAnsiTheme="minorEastAsia" w:eastAsiaTheme="minorEastAsia" w:cstheme="minorEastAsia"/>
                <w:b w:val="0"/>
                <w:bCs/>
                <w:color w:val="auto"/>
                <w:sz w:val="24"/>
                <w:szCs w:val="24"/>
                <w:highlight w:val="none"/>
                <w:u w:val="none"/>
                <w:shd w:val="clear" w:color="auto" w:fill="auto"/>
                <w:lang w:eastAsia="zh-CN"/>
              </w:rPr>
              <w:t>：</w:t>
            </w:r>
            <w:r>
              <w:rPr>
                <w:rFonts w:hint="eastAsia" w:ascii="宋体" w:hAnsi="宋体" w:cs="宋体"/>
                <w:color w:val="auto"/>
                <w:sz w:val="24"/>
                <w:szCs w:val="24"/>
                <w:highlight w:val="none"/>
                <w:lang w:eastAsia="zh-CN"/>
              </w:rPr>
              <w:t>2026年</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月</w:t>
            </w:r>
            <w:r>
              <w:rPr>
                <w:rFonts w:hint="eastAsia" w:ascii="宋体" w:hAnsi="宋体" w:cs="宋体"/>
                <w:color w:val="auto"/>
                <w:sz w:val="24"/>
                <w:szCs w:val="24"/>
                <w:highlight w:val="none"/>
                <w:lang w:val="en-US" w:eastAsia="zh-CN"/>
              </w:rPr>
              <w:t>21</w:t>
            </w:r>
            <w:r>
              <w:rPr>
                <w:rFonts w:hint="eastAsia" w:ascii="宋体" w:hAnsi="宋体" w:eastAsia="宋体" w:cs="宋体"/>
                <w:color w:val="auto"/>
                <w:sz w:val="24"/>
                <w:szCs w:val="24"/>
                <w:highlight w:val="none"/>
                <w:lang w:eastAsia="zh-CN"/>
              </w:rPr>
              <w:t>日</w:t>
            </w:r>
            <w:r>
              <w:rPr>
                <w:rFonts w:hint="eastAsia" w:asciiTheme="minorEastAsia" w:hAnsiTheme="minorEastAsia" w:eastAsiaTheme="minorEastAsia" w:cstheme="minorEastAsia"/>
                <w:b w:val="0"/>
                <w:bCs/>
                <w:color w:val="auto"/>
                <w:sz w:val="24"/>
                <w:szCs w:val="24"/>
                <w:highlight w:val="none"/>
                <w:u w:val="none"/>
                <w:shd w:val="clear" w:color="auto" w:fill="auto"/>
                <w:lang w:val="en-US" w:eastAsia="zh-CN"/>
              </w:rPr>
              <w:t>1</w:t>
            </w:r>
            <w:r>
              <w:rPr>
                <w:rFonts w:hint="eastAsia" w:asciiTheme="minorEastAsia" w:hAnsiTheme="minorEastAsia" w:eastAsiaTheme="minorEastAsia" w:cstheme="minorEastAsia"/>
                <w:b w:val="0"/>
                <w:bCs/>
                <w:color w:val="auto"/>
                <w:sz w:val="24"/>
                <w:szCs w:val="24"/>
                <w:highlight w:val="none"/>
                <w:u w:val="single"/>
                <w:shd w:val="clear" w:color="auto" w:fill="auto"/>
                <w:lang w:val="en-US" w:eastAsia="zh-CN"/>
              </w:rPr>
              <w:t>1</w:t>
            </w:r>
            <w:r>
              <w:rPr>
                <w:rFonts w:hint="eastAsia" w:asciiTheme="minorEastAsia" w:hAnsiTheme="minorEastAsia" w:eastAsiaTheme="minorEastAsia" w:cstheme="minorEastAsia"/>
                <w:b w:val="0"/>
                <w:bCs/>
                <w:color w:val="auto"/>
                <w:sz w:val="24"/>
                <w:szCs w:val="24"/>
                <w:highlight w:val="none"/>
                <w:u w:val="none"/>
                <w:shd w:val="clear" w:color="auto" w:fill="auto"/>
              </w:rPr>
              <w:t>时</w:t>
            </w:r>
            <w:r>
              <w:rPr>
                <w:rFonts w:hint="eastAsia" w:asciiTheme="minorEastAsia" w:hAnsiTheme="minorEastAsia" w:eastAsiaTheme="minorEastAsia" w:cstheme="minorEastAsia"/>
                <w:b w:val="0"/>
                <w:bCs/>
                <w:color w:val="auto"/>
                <w:sz w:val="24"/>
                <w:szCs w:val="24"/>
                <w:highlight w:val="none"/>
                <w:u w:val="single"/>
                <w:shd w:val="clear" w:color="auto" w:fill="auto"/>
              </w:rPr>
              <w:t>00</w:t>
            </w:r>
            <w:r>
              <w:rPr>
                <w:rFonts w:hint="eastAsia" w:asciiTheme="minorEastAsia" w:hAnsiTheme="minorEastAsia" w:eastAsiaTheme="minorEastAsia" w:cstheme="minorEastAsia"/>
                <w:b w:val="0"/>
                <w:bCs/>
                <w:color w:val="auto"/>
                <w:sz w:val="24"/>
                <w:szCs w:val="24"/>
                <w:highlight w:val="none"/>
                <w:u w:val="none"/>
                <w:shd w:val="clear" w:color="auto" w:fill="auto"/>
              </w:rPr>
              <w:t>分</w:t>
            </w:r>
            <w:r>
              <w:rPr>
                <w:rFonts w:hint="eastAsia" w:asciiTheme="minorEastAsia" w:hAnsiTheme="minorEastAsia" w:eastAsiaTheme="minorEastAsia" w:cstheme="minorEastAsia"/>
                <w:b w:val="0"/>
                <w:bCs/>
                <w:color w:val="auto"/>
                <w:kern w:val="0"/>
                <w:sz w:val="24"/>
                <w:szCs w:val="24"/>
                <w:highlight w:val="none"/>
                <w:u w:val="none"/>
                <w:shd w:val="clear" w:color="auto" w:fill="auto"/>
              </w:rPr>
              <w:t>（北京时间）</w:t>
            </w:r>
            <w:r>
              <w:rPr>
                <w:rFonts w:hint="eastAsia" w:asciiTheme="minorEastAsia" w:hAnsiTheme="minorEastAsia" w:eastAsiaTheme="minorEastAsia" w:cstheme="minorEastAsia"/>
                <w:b w:val="0"/>
                <w:bCs/>
                <w:color w:val="auto"/>
                <w:kern w:val="0"/>
                <w:sz w:val="24"/>
                <w:szCs w:val="24"/>
                <w:highlight w:val="none"/>
                <w:u w:val="none"/>
                <w:shd w:val="clear" w:color="auto" w:fill="auto"/>
                <w:lang w:eastAsia="zh-CN"/>
              </w:rPr>
              <w:t>；</w:t>
            </w:r>
          </w:p>
          <w:p w14:paraId="55E81B65">
            <w:pPr>
              <w:keepNext w:val="0"/>
              <w:keepLines w:val="0"/>
              <w:pageBreakBefore w:val="0"/>
              <w:widowControl/>
              <w:kinsoku/>
              <w:wordWrap/>
              <w:overflowPunct/>
              <w:topLinePunct w:val="0"/>
              <w:autoSpaceDE/>
              <w:autoSpaceDN/>
              <w:bidi w:val="0"/>
              <w:spacing w:line="400" w:lineRule="exact"/>
              <w:jc w:val="left"/>
              <w:textAlignment w:val="auto"/>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应在投标截止时间前将“电子加密投标文件”成功</w:t>
            </w:r>
            <w:r>
              <w:rPr>
                <w:rFonts w:hint="eastAsia" w:ascii="宋体" w:hAnsi="宋体" w:cs="宋体"/>
                <w:color w:val="auto"/>
                <w:sz w:val="24"/>
                <w:szCs w:val="24"/>
                <w:highlight w:val="none"/>
                <w:lang w:eastAsia="zh-CN"/>
              </w:rPr>
              <w:t>上传</w:t>
            </w:r>
            <w:r>
              <w:rPr>
                <w:rFonts w:hint="eastAsia" w:ascii="宋体" w:hAnsi="宋体" w:eastAsia="宋体" w:cs="宋体"/>
                <w:color w:val="auto"/>
                <w:sz w:val="24"/>
                <w:szCs w:val="24"/>
                <w:highlight w:val="none"/>
              </w:rPr>
              <w:t>至“政府采购云平台”，否则投标无效。</w:t>
            </w:r>
            <w:r>
              <w:rPr>
                <w:rFonts w:hint="eastAsia" w:ascii="宋体" w:hAnsi="宋体" w:cs="宋体"/>
                <w:color w:val="auto"/>
                <w:sz w:val="24"/>
                <w:szCs w:val="24"/>
                <w:highlight w:val="none"/>
                <w:lang w:val="en-US" w:eastAsia="zh-CN"/>
              </w:rPr>
              <w:t>投多个标项的须按标项分别上传。</w:t>
            </w:r>
          </w:p>
        </w:tc>
      </w:tr>
      <w:tr w14:paraId="29CB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4" w:type="pct"/>
            <w:vAlign w:val="center"/>
          </w:tcPr>
          <w:p w14:paraId="3D070434">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845" w:type="pct"/>
            <w:vAlign w:val="center"/>
          </w:tcPr>
          <w:p w14:paraId="7443CE02">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采用电子招标投标</w:t>
            </w:r>
          </w:p>
        </w:tc>
        <w:tc>
          <w:tcPr>
            <w:tcW w:w="3760" w:type="pct"/>
            <w:vAlign w:val="center"/>
          </w:tcPr>
          <w:p w14:paraId="20F6A9A7">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具体要求：</w:t>
            </w:r>
          </w:p>
          <w:p w14:paraId="1BDABEA5">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1、投标文件解密时间：</w:t>
            </w:r>
            <w:r>
              <w:rPr>
                <w:rFonts w:hint="eastAsia" w:ascii="宋体" w:hAnsi="宋体" w:eastAsia="宋体" w:cs="宋体"/>
                <w:color w:val="auto"/>
                <w:sz w:val="24"/>
                <w:szCs w:val="24"/>
                <w:highlight w:val="none"/>
              </w:rPr>
              <w:t>投标文件解密时间30分钟，开标前需投标单位用CA证书登录政采云平台开标大厅签到，在30分钟解密时间内输入CA证书PIN码解密投标文件。在30分钟解密时间内未进行解密的投标单位将导致</w:t>
            </w:r>
            <w:r>
              <w:rPr>
                <w:rFonts w:hint="eastAsia" w:ascii="宋体" w:hAnsi="宋体" w:cs="宋体"/>
                <w:color w:val="auto"/>
                <w:sz w:val="24"/>
                <w:szCs w:val="24"/>
                <w:highlight w:val="none"/>
                <w:lang w:eastAsia="zh-CN"/>
              </w:rPr>
              <w:t>投标无效</w:t>
            </w:r>
            <w:r>
              <w:rPr>
                <w:rFonts w:hint="eastAsia" w:ascii="宋体" w:hAnsi="宋体" w:eastAsia="宋体" w:cs="宋体"/>
                <w:color w:val="auto"/>
                <w:sz w:val="24"/>
                <w:szCs w:val="24"/>
                <w:highlight w:val="none"/>
              </w:rPr>
              <w:t>。（解密时间开始时政采云平台将以短信形式向</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在政采云平台预留的手机号发送短信通知，请</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及时关注。）</w:t>
            </w:r>
          </w:p>
          <w:p w14:paraId="379725C7">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eastAsia="zh-CN"/>
              </w:rPr>
              <w:t>投标人</w:t>
            </w:r>
            <w:r>
              <w:rPr>
                <w:rFonts w:hint="eastAsia" w:ascii="宋体" w:hAnsi="宋体" w:eastAsia="宋体" w:cs="宋体"/>
                <w:b/>
                <w:bCs/>
                <w:color w:val="auto"/>
                <w:sz w:val="24"/>
                <w:szCs w:val="24"/>
                <w:highlight w:val="none"/>
              </w:rPr>
              <w:t>报价CA签字确认：</w:t>
            </w:r>
            <w:r>
              <w:rPr>
                <w:rFonts w:hint="eastAsia" w:ascii="宋体" w:hAnsi="宋体" w:eastAsia="宋体" w:cs="宋体"/>
                <w:color w:val="auto"/>
                <w:sz w:val="24"/>
                <w:szCs w:val="24"/>
                <w:highlight w:val="none"/>
              </w:rPr>
              <w:t>报价文件开启后将开启签字时段，</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须在20分钟内用CA证书对报价进行签字确认。</w:t>
            </w:r>
          </w:p>
          <w:p w14:paraId="79E1B202">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3、备注:</w:t>
            </w:r>
          </w:p>
          <w:p w14:paraId="44622CCA">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（1）本次采购采用电子交易方式，电子交易平台为“政府采购云平台（www.zcygov.cn）”。</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参与本项目电子交易活动前，应注册成为政府采购平台</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。编制电子投标文件前还需申领CA证书并绑定帐号.</w:t>
            </w:r>
          </w:p>
          <w:p w14:paraId="300794CC">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编制电子投标文件应安装“电子招投标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客户端”软件，并按照本</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和电子招投标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客户端的要求编制并加密投标文件。未按规定加密的投标文件，将被电子招投标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客户端拒收。“电子招投标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客户端”请</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自行前往“新疆政府采购网—下载专区—新疆维吾尔自治区全流程电子招投标项目管理系统--电子招投标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客户端”版块获取。</w:t>
            </w:r>
          </w:p>
          <w:p w14:paraId="5AB65A59">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应当在投标截止时间前，将“电子招投标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客户端”生成的“电子加密投标文件”上传电子交易平台。</w:t>
            </w:r>
          </w:p>
          <w:p w14:paraId="2F42990B">
            <w:pPr>
              <w:keepNext w:val="0"/>
              <w:keepLines w:val="0"/>
              <w:pageBreakBefore w:val="0"/>
              <w:kinsoku/>
              <w:wordWrap/>
              <w:overflowPunct/>
              <w:topLinePunct w:val="0"/>
              <w:autoSpaceDE/>
              <w:autoSpaceDN/>
              <w:bidi w:val="0"/>
              <w:spacing w:line="400" w:lineRule="exact"/>
              <w:jc w:val="left"/>
              <w:textAlignment w:val="auto"/>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t>（5）服务与支持。各政府采购代理机构（含集采机构）及</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对不见面开评标系统的技术操作咨询，可通过</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"https://edu.zcygov.cn/luban/xinjiang-e-biding"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https://edu.zcygov.cn/luban/xinjiang-e-biding</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自助查询，也可在政采云帮助中心常见问题解答和操作流程讲解视频中自助查询，网址为：</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"https://service.zcygov.cn/" \l "/help"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https://service.zcygov.cn/#/help</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，“项目采购—操作流程—电子招投标—政府采购项目电子交易管理操作指南-</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”版面获取操作指南，同时对自助查询无法解决的问题可通过钉钉群及政采云在线客服获取服务支持。政采云热线人工号码：400-881-7190（工作时间：工作日08:00~20：00）</w:t>
            </w:r>
          </w:p>
        </w:tc>
      </w:tr>
      <w:tr w14:paraId="06B3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4" w:type="pct"/>
            <w:vAlign w:val="center"/>
          </w:tcPr>
          <w:p w14:paraId="20DF7B44">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845" w:type="pct"/>
            <w:vAlign w:val="center"/>
          </w:tcPr>
          <w:p w14:paraId="5E6918F1">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w:t>
            </w:r>
          </w:p>
        </w:tc>
        <w:tc>
          <w:tcPr>
            <w:tcW w:w="3760" w:type="pct"/>
            <w:vAlign w:val="center"/>
          </w:tcPr>
          <w:p w14:paraId="691E9404">
            <w:pPr>
              <w:keepNext w:val="0"/>
              <w:keepLines w:val="0"/>
              <w:pageBreakBefore w:val="0"/>
              <w:numPr>
                <w:ilvl w:val="0"/>
                <w:numId w:val="5"/>
              </w:numPr>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投标人的报价明显低于其他通过符合性审查投标人的报价，有可能影响</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rPr>
              <w:t>质量或者不能诚信履约的，应当要求其在评标现场合理的时间内提供书面说明，必要时提交相关证明材料;投标人不能证明其报价合理性的，评标委员会将其作为无效投标处理，自行承担相关责任。</w:t>
            </w:r>
          </w:p>
          <w:p w14:paraId="61AE094E">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2、投标人的报价包含提供的所有服务及相关工作范围内所有费用的总价。</w:t>
            </w:r>
          </w:p>
        </w:tc>
      </w:tr>
      <w:tr w14:paraId="6944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394" w:type="pct"/>
            <w:vAlign w:val="center"/>
          </w:tcPr>
          <w:p w14:paraId="02573889">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w:t>
            </w:r>
          </w:p>
        </w:tc>
        <w:tc>
          <w:tcPr>
            <w:tcW w:w="845" w:type="pct"/>
            <w:vAlign w:val="center"/>
          </w:tcPr>
          <w:p w14:paraId="0478D98B">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踏勘现场</w:t>
            </w:r>
          </w:p>
        </w:tc>
        <w:tc>
          <w:tcPr>
            <w:tcW w:w="3760" w:type="pct"/>
            <w:vAlign w:val="center"/>
          </w:tcPr>
          <w:p w14:paraId="5CBCAA93">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F0FE"/>
            </w:r>
            <w:r>
              <w:rPr>
                <w:rFonts w:hint="eastAsia" w:ascii="宋体" w:hAnsi="宋体" w:eastAsia="宋体" w:cs="宋体"/>
                <w:color w:val="auto"/>
                <w:sz w:val="24"/>
                <w:szCs w:val="24"/>
                <w:highlight w:val="none"/>
              </w:rPr>
              <w:t>不组织，投标人自行踏勘，无论投标人对现场考察与否，都将被视为熟悉履行合同有关的一切情况，投标人现场踏勘发生的费用自理。</w:t>
            </w:r>
          </w:p>
        </w:tc>
      </w:tr>
      <w:tr w14:paraId="28E7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4" w:type="pct"/>
            <w:vAlign w:val="center"/>
          </w:tcPr>
          <w:p w14:paraId="54F801DD">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w:t>
            </w:r>
          </w:p>
        </w:tc>
        <w:tc>
          <w:tcPr>
            <w:tcW w:w="845" w:type="pct"/>
            <w:vAlign w:val="center"/>
          </w:tcPr>
          <w:p w14:paraId="2FA18DC8">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投标答疑会</w:t>
            </w:r>
          </w:p>
        </w:tc>
        <w:tc>
          <w:tcPr>
            <w:tcW w:w="3760" w:type="pct"/>
            <w:vAlign w:val="center"/>
          </w:tcPr>
          <w:p w14:paraId="112F722A">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F0FE"/>
            </w:r>
            <w:r>
              <w:rPr>
                <w:rFonts w:hint="eastAsia" w:ascii="宋体" w:hAnsi="宋体" w:eastAsia="宋体" w:cs="宋体"/>
                <w:color w:val="auto"/>
                <w:sz w:val="24"/>
                <w:szCs w:val="24"/>
                <w:highlight w:val="none"/>
              </w:rPr>
              <w:t xml:space="preserve">不召开  </w:t>
            </w:r>
          </w:p>
        </w:tc>
      </w:tr>
      <w:tr w14:paraId="3D2F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4" w:type="pct"/>
            <w:vAlign w:val="center"/>
          </w:tcPr>
          <w:p w14:paraId="23C3BF00">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845" w:type="pct"/>
            <w:vAlign w:val="center"/>
          </w:tcPr>
          <w:p w14:paraId="46999723">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近年财务状况年份要求</w:t>
            </w:r>
          </w:p>
        </w:tc>
        <w:tc>
          <w:tcPr>
            <w:tcW w:w="3760" w:type="pct"/>
            <w:vAlign w:val="center"/>
          </w:tcPr>
          <w:p w14:paraId="63EA99C8">
            <w:pPr>
              <w:pStyle w:val="25"/>
              <w:keepNext w:val="0"/>
              <w:keepLines w:val="0"/>
              <w:pageBreakBefore w:val="0"/>
              <w:kinsoku/>
              <w:wordWrap/>
              <w:overflowPunct/>
              <w:topLinePunct w:val="0"/>
              <w:autoSpaceDE/>
              <w:autoSpaceDN/>
              <w:bidi w:val="0"/>
              <w:spacing w:line="400" w:lineRule="exact"/>
              <w:ind w:left="0" w:firstLine="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银行出具的近1年内资信证明或2024年度经审计的财务报告</w:t>
            </w:r>
          </w:p>
        </w:tc>
      </w:tr>
      <w:tr w14:paraId="3068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4" w:type="pct"/>
            <w:vAlign w:val="center"/>
          </w:tcPr>
          <w:p w14:paraId="48DC356B">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845" w:type="pct"/>
            <w:vAlign w:val="center"/>
          </w:tcPr>
          <w:p w14:paraId="06F2B5F7">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3760" w:type="pct"/>
            <w:vAlign w:val="center"/>
          </w:tcPr>
          <w:p w14:paraId="0F307F01">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从开标之日起60日历天</w:t>
            </w:r>
          </w:p>
        </w:tc>
      </w:tr>
      <w:tr w14:paraId="7A6E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4" w:type="pct"/>
            <w:vAlign w:val="center"/>
          </w:tcPr>
          <w:p w14:paraId="7EA82FE4">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845" w:type="pct"/>
            <w:vAlign w:val="center"/>
          </w:tcPr>
          <w:p w14:paraId="1983D16D">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评标委员会的组建</w:t>
            </w:r>
          </w:p>
        </w:tc>
        <w:tc>
          <w:tcPr>
            <w:tcW w:w="3760" w:type="pct"/>
            <w:vAlign w:val="center"/>
          </w:tcPr>
          <w:p w14:paraId="6FFAD3CA">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评标委员会构成：5人；</w:t>
            </w:r>
          </w:p>
          <w:p w14:paraId="65F0B53F">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评标专家确定方式：经济、技术专家不少于评标委员会组成人员的三分之二，按相关规定从政府采购专家库中随机抽取。</w:t>
            </w:r>
          </w:p>
        </w:tc>
      </w:tr>
      <w:tr w14:paraId="2DAD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vAlign w:val="center"/>
          </w:tcPr>
          <w:p w14:paraId="0C8E7A4E">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p>
        </w:tc>
        <w:tc>
          <w:tcPr>
            <w:tcW w:w="845" w:type="pct"/>
            <w:vAlign w:val="center"/>
          </w:tcPr>
          <w:p w14:paraId="126242CA">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评标办法</w:t>
            </w:r>
          </w:p>
        </w:tc>
        <w:tc>
          <w:tcPr>
            <w:tcW w:w="3760" w:type="pct"/>
            <w:vAlign w:val="center"/>
          </w:tcPr>
          <w:p w14:paraId="4A475305">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综合评分法</w:t>
            </w:r>
          </w:p>
        </w:tc>
      </w:tr>
      <w:tr w14:paraId="186A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4" w:type="pct"/>
            <w:vAlign w:val="center"/>
          </w:tcPr>
          <w:p w14:paraId="0138B313">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w:t>
            </w:r>
          </w:p>
        </w:tc>
        <w:tc>
          <w:tcPr>
            <w:tcW w:w="845" w:type="pct"/>
            <w:vAlign w:val="center"/>
          </w:tcPr>
          <w:p w14:paraId="0904E5DB">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是否授权评标委员会确定中标人</w:t>
            </w:r>
          </w:p>
        </w:tc>
        <w:tc>
          <w:tcPr>
            <w:tcW w:w="3760" w:type="pct"/>
            <w:vAlign w:val="center"/>
          </w:tcPr>
          <w:p w14:paraId="3D892A9E">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F0FE"/>
            </w:r>
            <w:r>
              <w:rPr>
                <w:rFonts w:hint="eastAsia" w:ascii="宋体" w:hAnsi="宋体" w:eastAsia="宋体" w:cs="宋体"/>
                <w:color w:val="auto"/>
                <w:sz w:val="24"/>
                <w:szCs w:val="24"/>
                <w:highlight w:val="none"/>
              </w:rPr>
              <w:t>否，推荐3名中标候选人。</w:t>
            </w:r>
          </w:p>
        </w:tc>
      </w:tr>
      <w:tr w14:paraId="1B73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4" w:type="pct"/>
            <w:vAlign w:val="center"/>
          </w:tcPr>
          <w:p w14:paraId="297BB386">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w:t>
            </w:r>
          </w:p>
        </w:tc>
        <w:tc>
          <w:tcPr>
            <w:tcW w:w="845" w:type="pct"/>
            <w:vAlign w:val="center"/>
          </w:tcPr>
          <w:p w14:paraId="746C0D16">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3760" w:type="pct"/>
            <w:vAlign w:val="center"/>
          </w:tcPr>
          <w:p w14:paraId="7A361E96">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本项目不要求缴纳履约保证金。 </w:t>
            </w:r>
          </w:p>
        </w:tc>
      </w:tr>
      <w:tr w14:paraId="3FED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4" w:type="pct"/>
            <w:vAlign w:val="center"/>
          </w:tcPr>
          <w:p w14:paraId="0E024BB8">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w:t>
            </w:r>
          </w:p>
        </w:tc>
        <w:tc>
          <w:tcPr>
            <w:tcW w:w="845" w:type="pct"/>
            <w:vAlign w:val="center"/>
          </w:tcPr>
          <w:p w14:paraId="52717448">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代理费用</w:t>
            </w:r>
          </w:p>
        </w:tc>
        <w:tc>
          <w:tcPr>
            <w:tcW w:w="3760" w:type="pct"/>
            <w:vAlign w:val="center"/>
          </w:tcPr>
          <w:p w14:paraId="51561F80">
            <w:pPr>
              <w:keepNext w:val="0"/>
              <w:keepLines w:val="0"/>
              <w:pageBreakBefore w:val="0"/>
              <w:kinsoku/>
              <w:wordWrap/>
              <w:overflowPunct/>
              <w:topLinePunct w:val="0"/>
              <w:autoSpaceDE/>
              <w:autoSpaceDN/>
              <w:bidi w:val="0"/>
              <w:spacing w:line="40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招标代理服务费</w:t>
            </w:r>
            <w:r>
              <w:rPr>
                <w:rFonts w:hint="eastAsia" w:ascii="宋体" w:hAnsi="宋体" w:eastAsia="宋体" w:cs="宋体"/>
                <w:color w:val="auto"/>
                <w:sz w:val="24"/>
                <w:szCs w:val="24"/>
                <w:highlight w:val="none"/>
                <w:lang w:val="en-US" w:eastAsia="zh-CN"/>
              </w:rPr>
              <w:t>参照国家计委关于《招标代理服务收费管理暂行办法》（计价格[2002]1980号）和国家发改价格【2011】534号文件的取费标准，以中标价为基准</w:t>
            </w:r>
            <w:r>
              <w:rPr>
                <w:rFonts w:hint="eastAsia" w:ascii="宋体" w:hAnsi="宋体" w:eastAsia="宋体" w:cs="宋体"/>
                <w:color w:val="auto"/>
                <w:sz w:val="24"/>
                <w:szCs w:val="24"/>
                <w:highlight w:val="none"/>
              </w:rPr>
              <w:t>,由中标单位支付。</w:t>
            </w:r>
          </w:p>
        </w:tc>
      </w:tr>
      <w:tr w14:paraId="090B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4" w:type="pct"/>
            <w:vAlign w:val="center"/>
          </w:tcPr>
          <w:p w14:paraId="621ACEFD">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w:t>
            </w:r>
          </w:p>
        </w:tc>
        <w:tc>
          <w:tcPr>
            <w:tcW w:w="845" w:type="pct"/>
            <w:vAlign w:val="center"/>
          </w:tcPr>
          <w:p w14:paraId="240654DE">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付款方式</w:t>
            </w:r>
          </w:p>
        </w:tc>
        <w:tc>
          <w:tcPr>
            <w:tcW w:w="3760" w:type="pct"/>
            <w:vAlign w:val="center"/>
          </w:tcPr>
          <w:p w14:paraId="7B8187F1">
            <w:pPr>
              <w:pStyle w:val="5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right="0" w:rightChars="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具体以签订合同为准</w:t>
            </w:r>
            <w:r>
              <w:rPr>
                <w:rFonts w:hint="eastAsia" w:ascii="宋体" w:hAnsi="宋体" w:cs="宋体"/>
                <w:color w:val="auto"/>
                <w:sz w:val="24"/>
                <w:szCs w:val="24"/>
                <w:highlight w:val="none"/>
                <w:lang w:eastAsia="zh-CN"/>
              </w:rPr>
              <w:t>。</w:t>
            </w:r>
          </w:p>
          <w:p w14:paraId="177FF231">
            <w:pPr>
              <w:pStyle w:val="5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0" w:beforeAutospacing="0" w:after="0" w:afterAutospacing="0" w:line="400" w:lineRule="exact"/>
              <w:ind w:right="0" w:right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按月(季度)向中标供应商支付费用，具体付款时间以财政经费拨付到位时间为准，因财政拨款延迟支付的采购人不需承担任何违约责任。中标供应商应按规定向采购人开具符合国家规定的增值税专用发票。开具的发票不合法、不合规，采购人有权延迟支付中标供应商应付款项直至开具合法、合规发票之日且不承担违约责任，且中标供应商仍应按合同约定履行各项义务。如果中标供应商无法在合理时间内提供合法合规的增值税专用发票，给采购人造成损失的，中标供应商应赔偿采购人由此造成的损失。采购人有权在应支付的价款中扣除相应的抵扣税款。</w:t>
            </w:r>
          </w:p>
        </w:tc>
      </w:tr>
      <w:tr w14:paraId="2128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394" w:type="pct"/>
            <w:vAlign w:val="center"/>
          </w:tcPr>
          <w:p w14:paraId="522CF8B5">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w:t>
            </w:r>
          </w:p>
        </w:tc>
        <w:tc>
          <w:tcPr>
            <w:tcW w:w="845" w:type="pct"/>
            <w:vAlign w:val="center"/>
          </w:tcPr>
          <w:p w14:paraId="43394C82">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w:t>
            </w:r>
          </w:p>
        </w:tc>
        <w:tc>
          <w:tcPr>
            <w:tcW w:w="3760" w:type="pct"/>
            <w:vAlign w:val="center"/>
          </w:tcPr>
          <w:p w14:paraId="070E771D">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本次招标如有变更、澄清或其他通知将在发布招标公告的网站上公布。</w:t>
            </w:r>
          </w:p>
        </w:tc>
      </w:tr>
      <w:tr w14:paraId="2951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394" w:type="pct"/>
            <w:vAlign w:val="center"/>
          </w:tcPr>
          <w:p w14:paraId="70698947">
            <w:pPr>
              <w:keepNext w:val="0"/>
              <w:keepLines w:val="0"/>
              <w:pageBreakBefore w:val="0"/>
              <w:kinsoku/>
              <w:wordWrap/>
              <w:overflowPunct/>
              <w:topLinePunct w:val="0"/>
              <w:autoSpaceDE/>
              <w:autoSpaceDN/>
              <w:bidi w:val="0"/>
              <w:spacing w:line="40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29</w:t>
            </w:r>
          </w:p>
        </w:tc>
        <w:tc>
          <w:tcPr>
            <w:tcW w:w="845" w:type="pct"/>
            <w:vAlign w:val="center"/>
          </w:tcPr>
          <w:p w14:paraId="0ABBD41A">
            <w:pPr>
              <w:keepNext w:val="0"/>
              <w:keepLines w:val="0"/>
              <w:pageBreakBefore w:val="0"/>
              <w:kinsoku/>
              <w:wordWrap/>
              <w:overflowPunct/>
              <w:topLinePunct w:val="0"/>
              <w:autoSpaceDE/>
              <w:autoSpaceDN/>
              <w:bidi w:val="0"/>
              <w:spacing w:line="40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恶意低价说明</w:t>
            </w:r>
          </w:p>
        </w:tc>
        <w:tc>
          <w:tcPr>
            <w:tcW w:w="3760" w:type="pct"/>
            <w:vAlign w:val="center"/>
          </w:tcPr>
          <w:p w14:paraId="23205167">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政府采购评审中出现下列情形之一的，评审委员会应当启动异常低价投标（响应）审查程序：</w:t>
            </w:r>
          </w:p>
          <w:p w14:paraId="799B6B24">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1.投标（响应）报价低于全部通过符合性审查供应商投标（响应）报价平均值50%的，即投标（响应）报价&lt;全部通过符合性审查供应商投标（响应）报价平均值×50%；</w:t>
            </w:r>
          </w:p>
          <w:p w14:paraId="2A2B9CFF">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2.投标（响应）报价低于通过符合性审查的次低报价供应商投标（响应）报价50%的，即投标（响应）报价&lt;通过符合性审查的次低报价供应商投标（响应）报价×50%；</w:t>
            </w:r>
          </w:p>
          <w:p w14:paraId="14ACE475">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3.投标（响应）报价低于采购项目最高限价45%的，即投标（响应）报价&lt;采购项目最高限价×45%；</w:t>
            </w:r>
          </w:p>
          <w:p w14:paraId="552C8806">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4.评审委员会基于专业判断，认为供应商报价过低，有可能影响产品质量或者不能诚信履约的其他情形。</w:t>
            </w:r>
          </w:p>
          <w:p w14:paraId="3F8D1491">
            <w:pPr>
              <w:keepNext w:val="0"/>
              <w:keepLines w:val="0"/>
              <w:pageBreakBefore w:val="0"/>
              <w:kinsoku/>
              <w:wordWrap/>
              <w:overflowPunct/>
              <w:topLinePunct w:val="0"/>
              <w:autoSpaceDE/>
              <w:autoSpaceDN/>
              <w:bidi w:val="0"/>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详见财库〔2026〕2号文《关于推动解决政府采购异常低价问题的通知》</w:t>
            </w:r>
          </w:p>
        </w:tc>
      </w:tr>
      <w:tr w14:paraId="157E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394" w:type="pct"/>
            <w:vAlign w:val="center"/>
          </w:tcPr>
          <w:p w14:paraId="5415E56D">
            <w:pPr>
              <w:keepNext w:val="0"/>
              <w:keepLines w:val="0"/>
              <w:pageBreakBefore w:val="0"/>
              <w:kinsoku/>
              <w:wordWrap/>
              <w:overflowPunct/>
              <w:topLinePunct w:val="0"/>
              <w:autoSpaceDE/>
              <w:autoSpaceDN/>
              <w:bidi w:val="0"/>
              <w:spacing w:line="40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30</w:t>
            </w:r>
          </w:p>
        </w:tc>
        <w:tc>
          <w:tcPr>
            <w:tcW w:w="845" w:type="pct"/>
            <w:vAlign w:val="center"/>
          </w:tcPr>
          <w:p w14:paraId="3098BD43">
            <w:pPr>
              <w:keepNext w:val="0"/>
              <w:keepLines w:val="0"/>
              <w:pageBreakBefore w:val="0"/>
              <w:kinsoku/>
              <w:wordWrap/>
              <w:overflowPunct/>
              <w:topLinePunct w:val="0"/>
              <w:autoSpaceDE/>
              <w:autoSpaceDN/>
              <w:bidi w:val="0"/>
              <w:spacing w:line="400" w:lineRule="exact"/>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备注</w:t>
            </w:r>
          </w:p>
        </w:tc>
        <w:tc>
          <w:tcPr>
            <w:tcW w:w="3760" w:type="pct"/>
            <w:vAlign w:val="center"/>
          </w:tcPr>
          <w:p w14:paraId="790130B5">
            <w:pPr>
              <w:pStyle w:val="37"/>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shd w:val="clear" w:color="auto" w:fill="auto"/>
                <w:lang w:val="en-US" w:eastAsia="zh-CN"/>
              </w:rPr>
              <w:t>本项目开标及评审顺序为：标项一、标项二、标项三、标项四、标项五、标项六、标项七、标项八</w:t>
            </w:r>
            <w:r>
              <w:rPr>
                <w:rFonts w:hint="eastAsia" w:hAnsi="宋体" w:cs="宋体"/>
                <w:b/>
                <w:bCs/>
                <w:color w:val="auto"/>
                <w:sz w:val="24"/>
                <w:szCs w:val="24"/>
                <w:highlight w:val="none"/>
                <w:shd w:val="clear" w:color="auto" w:fill="auto"/>
                <w:lang w:val="en-US" w:eastAsia="zh-CN"/>
              </w:rPr>
              <w:t>，</w:t>
            </w:r>
            <w:r>
              <w:rPr>
                <w:rFonts w:hint="default" w:ascii="宋体" w:hAnsi="宋体" w:eastAsia="宋体" w:cs="宋体"/>
                <w:b/>
                <w:bCs/>
                <w:color w:val="auto"/>
                <w:sz w:val="24"/>
                <w:szCs w:val="24"/>
                <w:highlight w:val="none"/>
                <w:shd w:val="clear" w:color="auto" w:fill="auto"/>
                <w:lang w:val="en-US" w:eastAsia="zh-CN"/>
              </w:rPr>
              <w:t>参与本项目招标的</w:t>
            </w:r>
            <w:r>
              <w:rPr>
                <w:rFonts w:hint="eastAsia" w:ascii="宋体" w:hAnsi="宋体" w:cs="宋体"/>
                <w:b/>
                <w:bCs/>
                <w:color w:val="auto"/>
                <w:sz w:val="24"/>
                <w:szCs w:val="24"/>
                <w:highlight w:val="none"/>
                <w:lang w:eastAsia="zh-CN"/>
              </w:rPr>
              <w:t>投标人</w:t>
            </w:r>
            <w:r>
              <w:rPr>
                <w:rFonts w:hint="default" w:ascii="宋体" w:hAnsi="宋体" w:eastAsia="宋体" w:cs="宋体"/>
                <w:b/>
                <w:bCs/>
                <w:color w:val="auto"/>
                <w:sz w:val="24"/>
                <w:szCs w:val="24"/>
                <w:highlight w:val="none"/>
                <w:shd w:val="clear" w:color="auto" w:fill="auto"/>
                <w:lang w:val="en-US" w:eastAsia="zh-CN"/>
              </w:rPr>
              <w:t>按</w:t>
            </w:r>
            <w:r>
              <w:rPr>
                <w:rFonts w:hint="eastAsia" w:ascii="宋体" w:hAnsi="宋体" w:eastAsia="宋体" w:cs="宋体"/>
                <w:b/>
                <w:bCs/>
                <w:color w:val="auto"/>
                <w:sz w:val="24"/>
                <w:szCs w:val="24"/>
                <w:highlight w:val="none"/>
                <w:shd w:val="clear" w:color="auto" w:fill="auto"/>
                <w:lang w:val="en-US" w:eastAsia="zh-CN"/>
              </w:rPr>
              <w:t>标项</w:t>
            </w:r>
            <w:r>
              <w:rPr>
                <w:rFonts w:hint="default" w:ascii="宋体" w:hAnsi="宋体" w:eastAsia="宋体" w:cs="宋体"/>
                <w:b/>
                <w:bCs/>
                <w:color w:val="auto"/>
                <w:sz w:val="24"/>
                <w:szCs w:val="24"/>
                <w:highlight w:val="none"/>
                <w:shd w:val="clear" w:color="auto" w:fill="auto"/>
                <w:lang w:val="en-US" w:eastAsia="zh-CN"/>
              </w:rPr>
              <w:t>准备投标材料。每个</w:t>
            </w:r>
            <w:r>
              <w:rPr>
                <w:rFonts w:hint="eastAsia" w:ascii="宋体" w:hAnsi="宋体" w:cs="宋体"/>
                <w:b/>
                <w:bCs/>
                <w:color w:val="auto"/>
                <w:sz w:val="24"/>
                <w:szCs w:val="24"/>
                <w:highlight w:val="none"/>
                <w:lang w:eastAsia="zh-CN"/>
              </w:rPr>
              <w:t>投标人</w:t>
            </w:r>
            <w:r>
              <w:rPr>
                <w:rFonts w:hint="default" w:ascii="宋体" w:hAnsi="宋体" w:eastAsia="宋体" w:cs="宋体"/>
                <w:b/>
                <w:bCs/>
                <w:color w:val="auto"/>
                <w:sz w:val="24"/>
                <w:szCs w:val="24"/>
                <w:highlight w:val="none"/>
                <w:shd w:val="clear" w:color="auto" w:fill="auto"/>
                <w:lang w:val="en-US" w:eastAsia="zh-CN"/>
              </w:rPr>
              <w:t>可同时投多个</w:t>
            </w:r>
            <w:r>
              <w:rPr>
                <w:rFonts w:hint="eastAsia" w:ascii="宋体" w:hAnsi="宋体" w:eastAsia="宋体" w:cs="宋体"/>
                <w:b/>
                <w:bCs/>
                <w:color w:val="auto"/>
                <w:sz w:val="24"/>
                <w:szCs w:val="24"/>
                <w:highlight w:val="none"/>
                <w:shd w:val="clear" w:color="auto" w:fill="auto"/>
                <w:lang w:val="en-US" w:eastAsia="zh-CN"/>
              </w:rPr>
              <w:t>标项</w:t>
            </w:r>
            <w:r>
              <w:rPr>
                <w:rFonts w:hint="default" w:ascii="宋体" w:hAnsi="宋体" w:eastAsia="宋体" w:cs="宋体"/>
                <w:b/>
                <w:bCs/>
                <w:color w:val="auto"/>
                <w:sz w:val="24"/>
                <w:szCs w:val="24"/>
                <w:highlight w:val="none"/>
                <w:shd w:val="clear" w:color="auto" w:fill="auto"/>
                <w:lang w:val="en-US" w:eastAsia="zh-CN"/>
              </w:rPr>
              <w:t>，但只能</w:t>
            </w:r>
            <w:r>
              <w:rPr>
                <w:rFonts w:hint="eastAsia" w:ascii="宋体" w:hAnsi="宋体" w:eastAsia="宋体" w:cs="宋体"/>
                <w:b/>
                <w:bCs/>
                <w:color w:val="auto"/>
                <w:sz w:val="24"/>
                <w:szCs w:val="24"/>
                <w:highlight w:val="none"/>
                <w:shd w:val="clear" w:color="auto" w:fill="auto"/>
                <w:lang w:val="en-US" w:eastAsia="zh-CN"/>
              </w:rPr>
              <w:t>中标</w:t>
            </w:r>
            <w:r>
              <w:rPr>
                <w:rFonts w:hint="default" w:ascii="宋体" w:hAnsi="宋体" w:eastAsia="宋体" w:cs="宋体"/>
                <w:b/>
                <w:bCs/>
                <w:color w:val="auto"/>
                <w:sz w:val="24"/>
                <w:szCs w:val="24"/>
                <w:highlight w:val="none"/>
                <w:shd w:val="clear" w:color="auto" w:fill="auto"/>
                <w:lang w:val="en-US" w:eastAsia="zh-CN"/>
              </w:rPr>
              <w:t>一个</w:t>
            </w:r>
            <w:r>
              <w:rPr>
                <w:rFonts w:hint="eastAsia" w:ascii="宋体" w:hAnsi="宋体" w:eastAsia="宋体" w:cs="宋体"/>
                <w:b/>
                <w:bCs/>
                <w:color w:val="auto"/>
                <w:sz w:val="24"/>
                <w:szCs w:val="24"/>
                <w:highlight w:val="none"/>
                <w:shd w:val="clear" w:color="auto" w:fill="auto"/>
                <w:lang w:val="en-US" w:eastAsia="zh-CN"/>
              </w:rPr>
              <w:t>标项</w:t>
            </w:r>
            <w:r>
              <w:rPr>
                <w:rFonts w:hint="default" w:ascii="宋体" w:hAnsi="宋体" w:eastAsia="宋体" w:cs="宋体"/>
                <w:b/>
                <w:bCs/>
                <w:color w:val="auto"/>
                <w:sz w:val="24"/>
                <w:szCs w:val="24"/>
                <w:highlight w:val="none"/>
                <w:shd w:val="clear" w:color="auto" w:fill="auto"/>
                <w:lang w:val="en-US" w:eastAsia="zh-CN"/>
              </w:rPr>
              <w:t>，如</w:t>
            </w:r>
            <w:r>
              <w:rPr>
                <w:rFonts w:hint="eastAsia" w:ascii="宋体" w:hAnsi="宋体" w:cs="宋体"/>
                <w:b/>
                <w:bCs/>
                <w:color w:val="auto"/>
                <w:sz w:val="24"/>
                <w:szCs w:val="24"/>
                <w:highlight w:val="none"/>
                <w:lang w:eastAsia="zh-CN"/>
              </w:rPr>
              <w:t>投标人</w:t>
            </w:r>
            <w:r>
              <w:rPr>
                <w:rFonts w:hint="default" w:ascii="宋体" w:hAnsi="宋体" w:eastAsia="宋体" w:cs="宋体"/>
                <w:b/>
                <w:bCs/>
                <w:color w:val="auto"/>
                <w:sz w:val="24"/>
                <w:szCs w:val="24"/>
                <w:highlight w:val="none"/>
                <w:shd w:val="clear" w:color="auto" w:fill="auto"/>
                <w:lang w:val="en-US" w:eastAsia="zh-CN"/>
              </w:rPr>
              <w:t>在按</w:t>
            </w:r>
            <w:r>
              <w:rPr>
                <w:rFonts w:hint="eastAsia" w:ascii="宋体" w:hAnsi="宋体" w:eastAsia="宋体" w:cs="宋体"/>
                <w:b/>
                <w:bCs/>
                <w:color w:val="auto"/>
                <w:sz w:val="24"/>
                <w:szCs w:val="24"/>
                <w:highlight w:val="none"/>
                <w:shd w:val="clear" w:color="auto" w:fill="auto"/>
                <w:lang w:val="en-US" w:eastAsia="zh-CN"/>
              </w:rPr>
              <w:t>标项</w:t>
            </w:r>
            <w:r>
              <w:rPr>
                <w:rFonts w:hint="default" w:ascii="宋体" w:hAnsi="宋体" w:eastAsia="宋体" w:cs="宋体"/>
                <w:b/>
                <w:bCs/>
                <w:color w:val="auto"/>
                <w:sz w:val="24"/>
                <w:szCs w:val="24"/>
                <w:highlight w:val="none"/>
                <w:shd w:val="clear" w:color="auto" w:fill="auto"/>
                <w:lang w:val="en-US" w:eastAsia="zh-CN"/>
              </w:rPr>
              <w:t>号顺序评审过程中一旦确定</w:t>
            </w:r>
            <w:r>
              <w:rPr>
                <w:rFonts w:hint="eastAsia" w:ascii="宋体" w:hAnsi="宋体" w:eastAsia="宋体" w:cs="宋体"/>
                <w:b/>
                <w:bCs/>
                <w:color w:val="auto"/>
                <w:sz w:val="24"/>
                <w:szCs w:val="24"/>
                <w:highlight w:val="none"/>
                <w:shd w:val="clear" w:color="auto" w:fill="auto"/>
                <w:lang w:val="en-US" w:eastAsia="zh-CN"/>
              </w:rPr>
              <w:t>中标</w:t>
            </w:r>
            <w:r>
              <w:rPr>
                <w:rFonts w:hint="default" w:ascii="宋体" w:hAnsi="宋体" w:eastAsia="宋体" w:cs="宋体"/>
                <w:b/>
                <w:bCs/>
                <w:color w:val="auto"/>
                <w:sz w:val="24"/>
                <w:szCs w:val="24"/>
                <w:highlight w:val="none"/>
                <w:shd w:val="clear" w:color="auto" w:fill="auto"/>
                <w:lang w:val="en-US" w:eastAsia="zh-CN"/>
              </w:rPr>
              <w:t>，后续</w:t>
            </w:r>
            <w:r>
              <w:rPr>
                <w:rFonts w:hint="eastAsia" w:ascii="宋体" w:hAnsi="宋体" w:eastAsia="宋体" w:cs="宋体"/>
                <w:b/>
                <w:bCs/>
                <w:color w:val="auto"/>
                <w:sz w:val="24"/>
                <w:szCs w:val="24"/>
                <w:highlight w:val="none"/>
                <w:shd w:val="clear" w:color="auto" w:fill="auto"/>
                <w:lang w:val="en-US" w:eastAsia="zh-CN"/>
              </w:rPr>
              <w:t>标项</w:t>
            </w:r>
            <w:r>
              <w:rPr>
                <w:rFonts w:hint="default" w:ascii="宋体" w:hAnsi="宋体" w:eastAsia="宋体" w:cs="宋体"/>
                <w:b/>
                <w:bCs/>
                <w:color w:val="auto"/>
                <w:sz w:val="24"/>
                <w:szCs w:val="24"/>
                <w:highlight w:val="none"/>
                <w:shd w:val="clear" w:color="auto" w:fill="auto"/>
                <w:lang w:val="en-US" w:eastAsia="zh-CN"/>
              </w:rPr>
              <w:t>的</w:t>
            </w:r>
            <w:r>
              <w:rPr>
                <w:rFonts w:hint="eastAsia" w:ascii="宋体" w:hAnsi="宋体" w:eastAsia="宋体" w:cs="宋体"/>
                <w:b/>
                <w:bCs/>
                <w:color w:val="auto"/>
                <w:sz w:val="24"/>
                <w:szCs w:val="24"/>
                <w:highlight w:val="none"/>
                <w:shd w:val="clear" w:color="auto" w:fill="auto"/>
                <w:lang w:val="en-US" w:eastAsia="zh-CN"/>
              </w:rPr>
              <w:t>中标</w:t>
            </w:r>
            <w:r>
              <w:rPr>
                <w:rFonts w:hint="default" w:ascii="宋体" w:hAnsi="宋体" w:eastAsia="宋体" w:cs="宋体"/>
                <w:b/>
                <w:bCs/>
                <w:color w:val="auto"/>
                <w:sz w:val="24"/>
                <w:szCs w:val="24"/>
                <w:highlight w:val="none"/>
                <w:shd w:val="clear" w:color="auto" w:fill="auto"/>
                <w:lang w:val="en-US" w:eastAsia="zh-CN"/>
              </w:rPr>
              <w:t>人则不再考虑该</w:t>
            </w:r>
            <w:r>
              <w:rPr>
                <w:rFonts w:hint="eastAsia" w:ascii="宋体" w:hAnsi="宋体" w:cs="宋体"/>
                <w:b/>
                <w:bCs/>
                <w:color w:val="auto"/>
                <w:sz w:val="24"/>
                <w:szCs w:val="24"/>
                <w:highlight w:val="none"/>
                <w:lang w:eastAsia="zh-CN"/>
              </w:rPr>
              <w:t>投标人</w:t>
            </w:r>
            <w:r>
              <w:rPr>
                <w:rFonts w:hint="default" w:ascii="宋体" w:hAnsi="宋体" w:eastAsia="宋体" w:cs="宋体"/>
                <w:b/>
                <w:bCs/>
                <w:color w:val="auto"/>
                <w:sz w:val="24"/>
                <w:szCs w:val="24"/>
                <w:highlight w:val="none"/>
                <w:shd w:val="clear" w:color="auto" w:fill="auto"/>
                <w:lang w:val="en-US" w:eastAsia="zh-CN"/>
              </w:rPr>
              <w:t>。</w:t>
            </w:r>
          </w:p>
        </w:tc>
      </w:tr>
    </w:tbl>
    <w:p w14:paraId="6AE7FA84">
      <w:pPr>
        <w:pStyle w:val="4"/>
        <w:pageBreakBefore w:val="0"/>
        <w:widowControl w:val="0"/>
        <w:kinsoku/>
        <w:wordWrap/>
        <w:overflowPunct/>
        <w:topLinePunct w:val="0"/>
        <w:autoSpaceDE/>
        <w:autoSpaceDN/>
        <w:bidi w:val="0"/>
        <w:adjustRightInd/>
        <w:spacing w:before="156" w:after="156" w:line="480" w:lineRule="exact"/>
        <w:textAlignment w:val="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br w:type="page"/>
      </w:r>
      <w:r>
        <w:rPr>
          <w:rFonts w:hint="eastAsia" w:ascii="宋体" w:hAnsi="宋体" w:eastAsia="宋体" w:cs="宋体"/>
          <w:bCs w:val="0"/>
          <w:color w:val="auto"/>
          <w:sz w:val="24"/>
          <w:szCs w:val="24"/>
          <w:highlight w:val="none"/>
        </w:rPr>
        <w:t>二、总  则</w:t>
      </w:r>
    </w:p>
    <w:p w14:paraId="362AA786">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40" w:name="_Toc183582205"/>
      <w:bookmarkStart w:id="41" w:name="_Toc183682342"/>
      <w:bookmarkStart w:id="42" w:name="_Toc217446034"/>
      <w:r>
        <w:rPr>
          <w:rFonts w:hint="eastAsia" w:ascii="宋体" w:hAnsi="宋体" w:eastAsia="宋体" w:cs="宋体"/>
          <w:color w:val="auto"/>
          <w:sz w:val="24"/>
          <w:szCs w:val="24"/>
          <w:highlight w:val="none"/>
        </w:rPr>
        <w:t>1.</w:t>
      </w:r>
      <w:bookmarkEnd w:id="40"/>
      <w:bookmarkEnd w:id="41"/>
      <w:r>
        <w:rPr>
          <w:rFonts w:hint="eastAsia" w:ascii="宋体" w:hAnsi="宋体" w:eastAsia="宋体" w:cs="宋体"/>
          <w:color w:val="auto"/>
          <w:sz w:val="24"/>
          <w:szCs w:val="24"/>
          <w:highlight w:val="none"/>
        </w:rPr>
        <w:t xml:space="preserve"> 适用范围</w:t>
      </w:r>
      <w:bookmarkEnd w:id="42"/>
    </w:p>
    <w:p w14:paraId="61ACA0FA">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本招标文件仅适用于本次招标项目。</w:t>
      </w:r>
    </w:p>
    <w:p w14:paraId="2F5FA28B">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43" w:name="_Toc183682343"/>
      <w:bookmarkStart w:id="44" w:name="_Toc183582206"/>
      <w:bookmarkStart w:id="45" w:name="_Toc217446035"/>
      <w:r>
        <w:rPr>
          <w:rFonts w:hint="eastAsia" w:ascii="宋体" w:hAnsi="宋体" w:eastAsia="宋体" w:cs="宋体"/>
          <w:color w:val="auto"/>
          <w:sz w:val="24"/>
          <w:szCs w:val="24"/>
          <w:highlight w:val="none"/>
        </w:rPr>
        <w:t xml:space="preserve">2. </w:t>
      </w:r>
      <w:bookmarkEnd w:id="43"/>
      <w:bookmarkEnd w:id="44"/>
      <w:r>
        <w:rPr>
          <w:rFonts w:hint="eastAsia" w:ascii="宋体" w:hAnsi="宋体" w:eastAsia="宋体" w:cs="宋体"/>
          <w:color w:val="auto"/>
          <w:sz w:val="24"/>
          <w:szCs w:val="24"/>
          <w:highlight w:val="none"/>
        </w:rPr>
        <w:t>有关定义</w:t>
      </w:r>
      <w:bookmarkEnd w:id="45"/>
    </w:p>
    <w:p w14:paraId="79278103">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“采购人”系指依法进行政府采购的国家机关、事业单位、团体组织。本项目采购人是</w:t>
      </w:r>
      <w:r>
        <w:rPr>
          <w:rFonts w:hint="eastAsia" w:ascii="宋体" w:hAnsi="宋体" w:cs="宋体"/>
          <w:color w:val="auto"/>
          <w:sz w:val="24"/>
          <w:szCs w:val="24"/>
          <w:highlight w:val="none"/>
          <w:u w:val="single"/>
          <w:lang w:eastAsia="zh-CN"/>
        </w:rPr>
        <w:t>乌鲁木齐市市场监督管理局</w:t>
      </w:r>
      <w:r>
        <w:rPr>
          <w:rFonts w:hint="eastAsia" w:ascii="宋体" w:hAnsi="宋体" w:eastAsia="宋体" w:cs="宋体"/>
          <w:color w:val="auto"/>
          <w:sz w:val="24"/>
          <w:szCs w:val="24"/>
          <w:highlight w:val="none"/>
        </w:rPr>
        <w:t>。</w:t>
      </w:r>
    </w:p>
    <w:p w14:paraId="1B0E979E">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“采购代理机构”系指根据采购人的委托依法办理招标事宜的采购机构。本次招标的采购代理机构是</w:t>
      </w:r>
      <w:r>
        <w:rPr>
          <w:rFonts w:hint="eastAsia" w:ascii="宋体" w:hAnsi="宋体" w:cs="宋体"/>
          <w:color w:val="auto"/>
          <w:sz w:val="24"/>
          <w:szCs w:val="24"/>
          <w:highlight w:val="none"/>
          <w:u w:val="single"/>
          <w:lang w:eastAsia="zh-CN"/>
        </w:rPr>
        <w:t>新疆志远诚信建设项目管理有限公司</w:t>
      </w:r>
      <w:r>
        <w:rPr>
          <w:rFonts w:hint="eastAsia" w:ascii="宋体" w:hAnsi="宋体" w:eastAsia="宋体" w:cs="宋体"/>
          <w:color w:val="auto"/>
          <w:sz w:val="24"/>
          <w:szCs w:val="24"/>
          <w:highlight w:val="none"/>
        </w:rPr>
        <w:t>。</w:t>
      </w:r>
    </w:p>
    <w:p w14:paraId="6C7CA400">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“采购单位”系指“采购人”和“采购代理机构”的统称。</w:t>
      </w:r>
    </w:p>
    <w:p w14:paraId="599C2810">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“投标人”系指下载了招标文件拟参加投标和向采购人提供货物的投标人。</w:t>
      </w:r>
    </w:p>
    <w:p w14:paraId="4969D5D8">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46" w:name="_Toc183582207"/>
      <w:bookmarkStart w:id="47" w:name="_Toc217390843"/>
      <w:bookmarkStart w:id="48" w:name="_Toc183682344"/>
      <w:bookmarkStart w:id="49" w:name="_Toc217446036"/>
      <w:r>
        <w:rPr>
          <w:rFonts w:hint="eastAsia" w:ascii="宋体" w:hAnsi="宋体" w:eastAsia="宋体" w:cs="宋体"/>
          <w:color w:val="auto"/>
          <w:sz w:val="24"/>
          <w:szCs w:val="24"/>
          <w:highlight w:val="none"/>
        </w:rPr>
        <w:t>3. 合格的</w:t>
      </w:r>
      <w:bookmarkEnd w:id="46"/>
      <w:bookmarkEnd w:id="47"/>
      <w:bookmarkEnd w:id="48"/>
      <w:bookmarkEnd w:id="49"/>
      <w:r>
        <w:rPr>
          <w:rFonts w:hint="eastAsia" w:ascii="宋体" w:hAnsi="宋体" w:eastAsia="宋体" w:cs="宋体"/>
          <w:color w:val="auto"/>
          <w:sz w:val="24"/>
          <w:szCs w:val="24"/>
          <w:highlight w:val="none"/>
        </w:rPr>
        <w:t>投标人</w:t>
      </w:r>
    </w:p>
    <w:p w14:paraId="0C197267">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合格的投标人应具备以下条件：</w:t>
      </w:r>
    </w:p>
    <w:p w14:paraId="1E60EA32">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pacing w:val="-4"/>
          <w:sz w:val="24"/>
          <w:szCs w:val="24"/>
          <w:highlight w:val="none"/>
        </w:rPr>
      </w:pPr>
      <w:r>
        <w:rPr>
          <w:rFonts w:hint="eastAsia" w:ascii="宋体" w:hAnsi="宋体" w:eastAsia="宋体" w:cs="宋体"/>
          <w:color w:val="auto"/>
          <w:sz w:val="24"/>
          <w:szCs w:val="24"/>
          <w:highlight w:val="none"/>
        </w:rPr>
        <w:t>（1）本招标文件“招标公告”第二条规定的条件</w:t>
      </w:r>
      <w:r>
        <w:rPr>
          <w:rFonts w:hint="eastAsia" w:ascii="宋体" w:hAnsi="宋体" w:eastAsia="宋体" w:cs="宋体"/>
          <w:color w:val="auto"/>
          <w:spacing w:val="-4"/>
          <w:sz w:val="24"/>
          <w:szCs w:val="24"/>
          <w:highlight w:val="none"/>
        </w:rPr>
        <w:t>；</w:t>
      </w:r>
    </w:p>
    <w:p w14:paraId="58409FD3">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（2）遵守国家有关的法律、法规、规章和其他政策规定；</w:t>
      </w:r>
    </w:p>
    <w:p w14:paraId="5502700C">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（3）下载招标文件并参与竞争。</w:t>
      </w:r>
    </w:p>
    <w:p w14:paraId="735B7917">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50" w:name="_Toc183582208"/>
      <w:bookmarkStart w:id="51" w:name="_Toc183682345"/>
      <w:bookmarkStart w:id="52" w:name="_Toc217446037"/>
      <w:r>
        <w:rPr>
          <w:rFonts w:hint="eastAsia" w:ascii="宋体" w:hAnsi="宋体" w:eastAsia="宋体" w:cs="宋体"/>
          <w:color w:val="auto"/>
          <w:sz w:val="24"/>
          <w:szCs w:val="24"/>
          <w:highlight w:val="none"/>
        </w:rPr>
        <w:t>4. 投标费用</w:t>
      </w:r>
      <w:bookmarkEnd w:id="50"/>
      <w:bookmarkEnd w:id="51"/>
      <w:bookmarkEnd w:id="52"/>
    </w:p>
    <w:p w14:paraId="4ACE799A">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投标人参加投标的有关费用由投标人自行承担。</w:t>
      </w:r>
    </w:p>
    <w:p w14:paraId="760308AB">
      <w:pPr>
        <w:pStyle w:val="4"/>
        <w:pageBreakBefore w:val="0"/>
        <w:widowControl w:val="0"/>
        <w:kinsoku/>
        <w:wordWrap/>
        <w:overflowPunct/>
        <w:topLinePunct w:val="0"/>
        <w:autoSpaceDE/>
        <w:autoSpaceDN/>
        <w:bidi w:val="0"/>
        <w:adjustRightInd/>
        <w:spacing w:before="156" w:after="156" w:line="480" w:lineRule="exact"/>
        <w:ind w:firstLine="480" w:firstLineChars="200"/>
        <w:textAlignment w:val="auto"/>
        <w:rPr>
          <w:rFonts w:hint="eastAsia" w:ascii="宋体" w:hAnsi="宋体" w:eastAsia="宋体" w:cs="宋体"/>
          <w:bCs w:val="0"/>
          <w:color w:val="auto"/>
          <w:sz w:val="24"/>
          <w:szCs w:val="24"/>
          <w:highlight w:val="none"/>
        </w:rPr>
      </w:pPr>
      <w:bookmarkStart w:id="53" w:name="_Toc183582209"/>
      <w:bookmarkStart w:id="54" w:name="_Toc77400779"/>
      <w:bookmarkStart w:id="55" w:name="_Toc89075875"/>
      <w:bookmarkStart w:id="56" w:name="_Toc183682346"/>
      <w:bookmarkStart w:id="57" w:name="_Toc217446038"/>
      <w:r>
        <w:rPr>
          <w:rFonts w:hint="eastAsia" w:ascii="宋体" w:hAnsi="宋体" w:eastAsia="宋体" w:cs="宋体"/>
          <w:bCs w:val="0"/>
          <w:color w:val="auto"/>
          <w:sz w:val="24"/>
          <w:szCs w:val="24"/>
          <w:highlight w:val="none"/>
        </w:rPr>
        <w:t>三、</w:t>
      </w:r>
      <w:bookmarkEnd w:id="53"/>
      <w:bookmarkEnd w:id="54"/>
      <w:bookmarkEnd w:id="55"/>
      <w:bookmarkEnd w:id="56"/>
      <w:bookmarkEnd w:id="57"/>
      <w:r>
        <w:rPr>
          <w:rFonts w:hint="eastAsia" w:ascii="宋体" w:hAnsi="宋体" w:eastAsia="宋体" w:cs="宋体"/>
          <w:bCs w:val="0"/>
          <w:color w:val="auto"/>
          <w:sz w:val="24"/>
          <w:szCs w:val="24"/>
          <w:highlight w:val="none"/>
        </w:rPr>
        <w:t>招标文件</w:t>
      </w:r>
    </w:p>
    <w:p w14:paraId="5C3FC8A5">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58" w:name="_Toc183682347"/>
      <w:bookmarkStart w:id="59" w:name="_Toc183582210"/>
      <w:bookmarkStart w:id="60" w:name="_Toc217446039"/>
      <w:r>
        <w:rPr>
          <w:rFonts w:hint="eastAsia" w:ascii="宋体" w:hAnsi="宋体" w:eastAsia="宋体" w:cs="宋体"/>
          <w:color w:val="auto"/>
          <w:sz w:val="24"/>
          <w:szCs w:val="24"/>
          <w:highlight w:val="none"/>
        </w:rPr>
        <w:t>5．招标文件的构成</w:t>
      </w:r>
      <w:bookmarkEnd w:id="58"/>
      <w:bookmarkEnd w:id="59"/>
      <w:bookmarkEnd w:id="60"/>
    </w:p>
    <w:p w14:paraId="53E8D088">
      <w:pPr>
        <w:pageBreakBefore w:val="0"/>
        <w:widowControl w:val="0"/>
        <w:tabs>
          <w:tab w:val="left" w:pos="72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1 招标文件是投标人准备投标文件和参加投标的依据，同时也是评标的重要依据，具有准法律文件性质。招标文件用以阐明招标项目所需的资质、技术、报价、招标程序、有关规定和注意事项以及拟签订的合同文本等。本招标文件包括以下内容：</w:t>
      </w:r>
    </w:p>
    <w:p w14:paraId="2348E984">
      <w:pPr>
        <w:pageBreakBefore w:val="0"/>
        <w:widowControl w:val="0"/>
        <w:tabs>
          <w:tab w:val="left" w:pos="0"/>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（1）招标公告</w:t>
      </w:r>
      <w:r>
        <w:rPr>
          <w:rFonts w:hint="eastAsia" w:ascii="宋体" w:hAnsi="宋体" w:eastAsia="宋体" w:cs="宋体"/>
          <w:color w:val="auto"/>
          <w:sz w:val="24"/>
          <w:szCs w:val="24"/>
          <w:highlight w:val="none"/>
        </w:rPr>
        <w:tab/>
      </w:r>
    </w:p>
    <w:p w14:paraId="53358198">
      <w:pPr>
        <w:pageBreakBefore w:val="0"/>
        <w:widowControl w:val="0"/>
        <w:tabs>
          <w:tab w:val="left" w:pos="0"/>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（2）投标人须知</w:t>
      </w:r>
      <w:r>
        <w:rPr>
          <w:rFonts w:hint="eastAsia" w:ascii="宋体" w:hAnsi="宋体" w:eastAsia="宋体" w:cs="宋体"/>
          <w:color w:val="auto"/>
          <w:sz w:val="24"/>
          <w:szCs w:val="24"/>
          <w:highlight w:val="none"/>
        </w:rPr>
        <w:tab/>
      </w:r>
    </w:p>
    <w:p w14:paraId="4ED5C347">
      <w:pPr>
        <w:pageBreakBefore w:val="0"/>
        <w:widowControl w:val="0"/>
        <w:tabs>
          <w:tab w:val="left" w:pos="0"/>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（3）投标文件格式</w:t>
      </w:r>
      <w:r>
        <w:rPr>
          <w:rFonts w:hint="eastAsia" w:ascii="宋体" w:hAnsi="宋体" w:eastAsia="宋体" w:cs="宋体"/>
          <w:color w:val="auto"/>
          <w:sz w:val="24"/>
          <w:szCs w:val="24"/>
          <w:highlight w:val="none"/>
        </w:rPr>
        <w:tab/>
      </w:r>
    </w:p>
    <w:p w14:paraId="103A1C05">
      <w:pPr>
        <w:pageBreakBefore w:val="0"/>
        <w:widowControl w:val="0"/>
        <w:tabs>
          <w:tab w:val="left" w:pos="0"/>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cs="宋体"/>
          <w:color w:val="auto"/>
          <w:sz w:val="24"/>
          <w:szCs w:val="24"/>
          <w:highlight w:val="none"/>
          <w:lang w:eastAsia="zh-CN"/>
        </w:rPr>
        <w:t>项目服务需求</w:t>
      </w:r>
      <w:r>
        <w:rPr>
          <w:rFonts w:hint="eastAsia" w:ascii="宋体" w:hAnsi="宋体" w:eastAsia="宋体" w:cs="宋体"/>
          <w:color w:val="auto"/>
          <w:sz w:val="24"/>
          <w:szCs w:val="24"/>
          <w:highlight w:val="none"/>
        </w:rPr>
        <w:tab/>
      </w:r>
    </w:p>
    <w:p w14:paraId="2F40D684">
      <w:pPr>
        <w:pageBreakBefore w:val="0"/>
        <w:widowControl w:val="0"/>
        <w:tabs>
          <w:tab w:val="left" w:pos="0"/>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（5）评标办法</w:t>
      </w:r>
      <w:r>
        <w:rPr>
          <w:rFonts w:hint="eastAsia" w:ascii="宋体" w:hAnsi="宋体" w:eastAsia="宋体" w:cs="宋体"/>
          <w:color w:val="auto"/>
          <w:sz w:val="24"/>
          <w:szCs w:val="24"/>
          <w:highlight w:val="none"/>
        </w:rPr>
        <w:tab/>
      </w:r>
    </w:p>
    <w:p w14:paraId="43B8F87F">
      <w:pPr>
        <w:pageBreakBefore w:val="0"/>
        <w:widowControl w:val="0"/>
        <w:tabs>
          <w:tab w:val="left" w:pos="0"/>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（6）拟签订的合同文本</w:t>
      </w:r>
      <w:r>
        <w:rPr>
          <w:rFonts w:hint="eastAsia" w:ascii="宋体" w:hAnsi="宋体" w:eastAsia="宋体" w:cs="宋体"/>
          <w:color w:val="auto"/>
          <w:sz w:val="24"/>
          <w:szCs w:val="24"/>
          <w:highlight w:val="none"/>
        </w:rPr>
        <w:tab/>
      </w:r>
    </w:p>
    <w:p w14:paraId="3147BC09">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2 投标人应认真阅读和充分理解招标文件中所有的事项、格式条款和规范要求。投标人没有对招标文件全面做出实质性响应是投标人的风险。没有按照招标文件要求作出实质性响应的投标文件，按</w:t>
      </w:r>
      <w:r>
        <w:rPr>
          <w:rFonts w:hint="eastAsia" w:ascii="宋体" w:hAnsi="宋体" w:eastAsia="宋体" w:cs="宋体"/>
          <w:b/>
          <w:bCs/>
          <w:color w:val="auto"/>
          <w:sz w:val="24"/>
          <w:szCs w:val="24"/>
          <w:highlight w:val="none"/>
        </w:rPr>
        <w:t>无效处理</w:t>
      </w:r>
      <w:r>
        <w:rPr>
          <w:rFonts w:hint="eastAsia" w:ascii="宋体" w:hAnsi="宋体" w:eastAsia="宋体" w:cs="宋体"/>
          <w:color w:val="auto"/>
          <w:sz w:val="24"/>
          <w:szCs w:val="24"/>
          <w:highlight w:val="none"/>
        </w:rPr>
        <w:t>。</w:t>
      </w:r>
    </w:p>
    <w:p w14:paraId="2FD723FA">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61" w:name="_Toc183582211"/>
      <w:bookmarkStart w:id="62" w:name="_Toc183682348"/>
      <w:bookmarkStart w:id="63" w:name="_Toc217446040"/>
      <w:r>
        <w:rPr>
          <w:rFonts w:hint="eastAsia" w:ascii="宋体" w:hAnsi="宋体" w:eastAsia="宋体" w:cs="宋体"/>
          <w:color w:val="auto"/>
          <w:sz w:val="24"/>
          <w:szCs w:val="24"/>
          <w:highlight w:val="none"/>
        </w:rPr>
        <w:t>6. 招标文件的澄清</w:t>
      </w:r>
      <w:bookmarkEnd w:id="61"/>
      <w:bookmarkEnd w:id="62"/>
      <w:r>
        <w:rPr>
          <w:rFonts w:hint="eastAsia" w:ascii="宋体" w:hAnsi="宋体" w:eastAsia="宋体" w:cs="宋体"/>
          <w:color w:val="auto"/>
          <w:sz w:val="24"/>
          <w:szCs w:val="24"/>
          <w:highlight w:val="none"/>
        </w:rPr>
        <w:t>和修改</w:t>
      </w:r>
      <w:bookmarkEnd w:id="63"/>
    </w:p>
    <w:p w14:paraId="442AD0B6">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6.1 </w:t>
      </w:r>
      <w:bookmarkStart w:id="64" w:name="_Toc217446041"/>
      <w:bookmarkStart w:id="65" w:name="_Toc208848971"/>
      <w:r>
        <w:rPr>
          <w:rFonts w:hint="eastAsia" w:ascii="宋体" w:hAnsi="宋体" w:eastAsia="宋体" w:cs="宋体"/>
          <w:color w:val="auto"/>
          <w:sz w:val="24"/>
          <w:szCs w:val="24"/>
          <w:highlight w:val="none"/>
        </w:rPr>
        <w:t>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1F8BC93D">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18B2BDFF">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 答疑会和现场考察</w:t>
      </w:r>
      <w:bookmarkEnd w:id="64"/>
      <w:bookmarkEnd w:id="65"/>
      <w:r>
        <w:rPr>
          <w:rFonts w:hint="eastAsia" w:ascii="宋体" w:hAnsi="宋体" w:eastAsia="宋体" w:cs="宋体"/>
          <w:color w:val="auto"/>
          <w:sz w:val="24"/>
          <w:szCs w:val="24"/>
          <w:highlight w:val="none"/>
        </w:rPr>
        <w:t>。</w:t>
      </w:r>
    </w:p>
    <w:p w14:paraId="256772E2">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66" w:name="_Toc183682351"/>
      <w:bookmarkStart w:id="67" w:name="_Toc183582214"/>
      <w:bookmarkStart w:id="68" w:name="_Toc89075876"/>
      <w:bookmarkStart w:id="69" w:name="_Toc217446042"/>
      <w:bookmarkStart w:id="70" w:name="_Toc77400780"/>
      <w:r>
        <w:rPr>
          <w:rFonts w:hint="eastAsia" w:ascii="宋体" w:hAnsi="宋体" w:eastAsia="宋体" w:cs="宋体"/>
          <w:color w:val="auto"/>
          <w:sz w:val="24"/>
          <w:szCs w:val="24"/>
          <w:highlight w:val="none"/>
        </w:rPr>
        <w:t>7.1 本项目不组织答疑会和现场考察。</w:t>
      </w:r>
    </w:p>
    <w:p w14:paraId="235DFC1C">
      <w:pPr>
        <w:pStyle w:val="4"/>
        <w:pageBreakBefore w:val="0"/>
        <w:widowControl w:val="0"/>
        <w:kinsoku/>
        <w:wordWrap/>
        <w:overflowPunct/>
        <w:topLinePunct w:val="0"/>
        <w:autoSpaceDE/>
        <w:autoSpaceDN/>
        <w:bidi w:val="0"/>
        <w:adjustRightInd/>
        <w:spacing w:before="156" w:after="156" w:line="480" w:lineRule="exact"/>
        <w:ind w:firstLine="480" w:firstLineChars="200"/>
        <w:textAlignment w:val="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四、</w:t>
      </w:r>
      <w:bookmarkEnd w:id="66"/>
      <w:bookmarkEnd w:id="67"/>
      <w:bookmarkEnd w:id="68"/>
      <w:bookmarkEnd w:id="69"/>
      <w:bookmarkEnd w:id="70"/>
      <w:r>
        <w:rPr>
          <w:rFonts w:hint="eastAsia" w:ascii="宋体" w:hAnsi="宋体" w:eastAsia="宋体" w:cs="宋体"/>
          <w:bCs w:val="0"/>
          <w:color w:val="auto"/>
          <w:sz w:val="24"/>
          <w:szCs w:val="24"/>
          <w:highlight w:val="none"/>
        </w:rPr>
        <w:t>投标文件</w:t>
      </w:r>
    </w:p>
    <w:p w14:paraId="1ADDD9C4">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71" w:name="_Toc217446043"/>
      <w:bookmarkStart w:id="72" w:name="_Toc183582215"/>
      <w:bookmarkStart w:id="73" w:name="_Toc183682352"/>
      <w:r>
        <w:rPr>
          <w:rFonts w:hint="eastAsia" w:ascii="宋体" w:hAnsi="宋体" w:eastAsia="宋体" w:cs="宋体"/>
          <w:color w:val="auto"/>
          <w:sz w:val="24"/>
          <w:szCs w:val="24"/>
          <w:highlight w:val="none"/>
        </w:rPr>
        <w:t>8．投标文件的语言</w:t>
      </w:r>
      <w:bookmarkEnd w:id="71"/>
      <w:bookmarkEnd w:id="72"/>
      <w:bookmarkEnd w:id="73"/>
    </w:p>
    <w:p w14:paraId="329D6CCE">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 投标人提交的投标文件以及投标人与采购人就有关投标的所有来往书面文件均须使用中文。投标文件中如附有外文资料，必须逐一对应翻译成中文并加盖投标人公章后附在相关外文资料后面，否则，投标人的投标文件将作为</w:t>
      </w:r>
      <w:r>
        <w:rPr>
          <w:rFonts w:hint="eastAsia" w:ascii="宋体" w:hAnsi="宋体" w:eastAsia="宋体" w:cs="宋体"/>
          <w:b/>
          <w:bCs/>
          <w:color w:val="auto"/>
          <w:sz w:val="24"/>
          <w:szCs w:val="24"/>
          <w:highlight w:val="none"/>
        </w:rPr>
        <w:t>无效投标处理</w:t>
      </w:r>
      <w:r>
        <w:rPr>
          <w:rFonts w:hint="eastAsia" w:ascii="宋体" w:hAnsi="宋体" w:eastAsia="宋体" w:cs="宋体"/>
          <w:color w:val="auto"/>
          <w:sz w:val="24"/>
          <w:szCs w:val="24"/>
          <w:highlight w:val="none"/>
        </w:rPr>
        <w:t>。</w:t>
      </w:r>
    </w:p>
    <w:p w14:paraId="21491242">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 翻译的中文资料与外文资料如果出现差异和矛盾时，以中文为准。但不能故意错误翻译，否则，投标人的投标文件将作为</w:t>
      </w:r>
      <w:r>
        <w:rPr>
          <w:rFonts w:hint="eastAsia" w:ascii="宋体" w:hAnsi="宋体" w:eastAsia="宋体" w:cs="宋体"/>
          <w:b/>
          <w:bCs/>
          <w:color w:val="auto"/>
          <w:sz w:val="24"/>
          <w:szCs w:val="24"/>
          <w:highlight w:val="none"/>
        </w:rPr>
        <w:t>无效投标处理</w:t>
      </w:r>
      <w:r>
        <w:rPr>
          <w:rFonts w:hint="eastAsia" w:ascii="宋体" w:hAnsi="宋体" w:eastAsia="宋体" w:cs="宋体"/>
          <w:color w:val="auto"/>
          <w:sz w:val="24"/>
          <w:szCs w:val="24"/>
          <w:highlight w:val="none"/>
        </w:rPr>
        <w:t>。</w:t>
      </w:r>
    </w:p>
    <w:p w14:paraId="55E87FFE">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74" w:name="_Toc183582216"/>
      <w:bookmarkStart w:id="75" w:name="_Toc217446044"/>
      <w:bookmarkStart w:id="76" w:name="_Toc183682353"/>
      <w:r>
        <w:rPr>
          <w:rFonts w:hint="eastAsia" w:ascii="宋体" w:hAnsi="宋体" w:eastAsia="宋体" w:cs="宋体"/>
          <w:color w:val="auto"/>
          <w:sz w:val="24"/>
          <w:szCs w:val="24"/>
          <w:highlight w:val="none"/>
        </w:rPr>
        <w:t>9．计量单位</w:t>
      </w:r>
      <w:bookmarkEnd w:id="74"/>
      <w:bookmarkEnd w:id="75"/>
      <w:bookmarkEnd w:id="76"/>
    </w:p>
    <w:p w14:paraId="61188EFA">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除招标文件中另有规定外，本招标项下的投标均采用国家法定的计量单位。</w:t>
      </w:r>
    </w:p>
    <w:p w14:paraId="5A65E01A">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77" w:name="_Toc217446045"/>
      <w:r>
        <w:rPr>
          <w:rFonts w:hint="eastAsia" w:ascii="宋体" w:hAnsi="宋体" w:eastAsia="宋体" w:cs="宋体"/>
          <w:color w:val="auto"/>
          <w:sz w:val="24"/>
          <w:szCs w:val="24"/>
          <w:highlight w:val="none"/>
        </w:rPr>
        <w:t>10. 投标货币</w:t>
      </w:r>
      <w:bookmarkEnd w:id="77"/>
    </w:p>
    <w:p w14:paraId="607DF3B4">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本次招标项目的投标均以人民币报价。</w:t>
      </w:r>
    </w:p>
    <w:p w14:paraId="3620352B">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78" w:name="_Toc217446046"/>
      <w:r>
        <w:rPr>
          <w:rFonts w:hint="eastAsia" w:ascii="宋体" w:hAnsi="宋体" w:eastAsia="宋体" w:cs="宋体"/>
          <w:color w:val="auto"/>
          <w:sz w:val="24"/>
          <w:szCs w:val="24"/>
          <w:highlight w:val="none"/>
        </w:rPr>
        <w:t>11. 联合体投标</w:t>
      </w:r>
      <w:bookmarkEnd w:id="78"/>
    </w:p>
    <w:p w14:paraId="6D516DB2">
      <w:pPr>
        <w:pStyle w:val="13"/>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详见“投标人须知前附表”第13条。</w:t>
      </w:r>
    </w:p>
    <w:p w14:paraId="62841C51">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79" w:name="_Toc217446047"/>
      <w:r>
        <w:rPr>
          <w:rFonts w:hint="eastAsia" w:ascii="宋体" w:hAnsi="宋体" w:eastAsia="宋体" w:cs="宋体"/>
          <w:color w:val="auto"/>
          <w:sz w:val="24"/>
          <w:szCs w:val="24"/>
          <w:highlight w:val="none"/>
        </w:rPr>
        <w:t>12. 知识产权</w:t>
      </w:r>
      <w:bookmarkEnd w:id="79"/>
    </w:p>
    <w:p w14:paraId="793D2256">
      <w:pPr>
        <w:pStyle w:val="13"/>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 投标人应保证在本项目使用的任何产品或服务（包括部分使用）时，不会产生因第三方提出侵犯其专利权、商标权或其它知识产权而引起的法律和经济纠纷，如因专利权、商标权或其它知识产权而引起法律和经济纠纷，由投标人承担所有相关责任。</w:t>
      </w:r>
    </w:p>
    <w:p w14:paraId="2F6103D0">
      <w:pPr>
        <w:pStyle w:val="13"/>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 采购人享有本项目实施过程中产生的知识成果及知识产权。</w:t>
      </w:r>
    </w:p>
    <w:p w14:paraId="5D885451">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w:t>
      </w:r>
    </w:p>
    <w:p w14:paraId="17A4EAA9">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12.4 如采用投标人所不拥有的知识产权，则在投标报价中必须包括合法获取该知识产权的相关费用。 </w:t>
      </w:r>
    </w:p>
    <w:p w14:paraId="76F1CF13">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80" w:name="_Toc217446048"/>
      <w:bookmarkStart w:id="81" w:name="_Toc183582217"/>
      <w:bookmarkStart w:id="82" w:name="_Toc183682354"/>
      <w:r>
        <w:rPr>
          <w:rFonts w:hint="eastAsia" w:ascii="宋体" w:hAnsi="宋体" w:eastAsia="宋体" w:cs="宋体"/>
          <w:color w:val="auto"/>
          <w:sz w:val="24"/>
          <w:szCs w:val="24"/>
          <w:highlight w:val="none"/>
        </w:rPr>
        <w:t>13．投标文件的组成</w:t>
      </w:r>
      <w:bookmarkEnd w:id="80"/>
      <w:bookmarkEnd w:id="81"/>
      <w:bookmarkEnd w:id="82"/>
    </w:p>
    <w:p w14:paraId="4705966C">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按照招标文件的规定和要求编制投标文件。招标文件允许分包的，投标人拟在中标后将中标项目的非主体、非关键性工作交由他人完成的，应当在投标文件中载明。投标人编写的投标文件应包括下列部分：</w:t>
      </w:r>
    </w:p>
    <w:p w14:paraId="4573F8AA">
      <w:pPr>
        <w:tabs>
          <w:tab w:val="left" w:pos="3480"/>
        </w:tabs>
        <w:spacing w:line="500" w:lineRule="exact"/>
        <w:ind w:firstLine="480" w:firstLineChars="200"/>
        <w:rPr>
          <w:rFonts w:hint="eastAsia" w:ascii="宋体" w:hAnsi="宋体" w:eastAsia="宋体" w:cs="宋体"/>
          <w:color w:val="auto"/>
          <w:sz w:val="24"/>
          <w:szCs w:val="24"/>
          <w:highlight w:val="none"/>
        </w:rPr>
      </w:pPr>
      <w:bookmarkStart w:id="83" w:name="_Toc183682355"/>
      <w:bookmarkStart w:id="84" w:name="_Toc217446049"/>
      <w:bookmarkStart w:id="85" w:name="_Toc183582218"/>
      <w:r>
        <w:rPr>
          <w:rFonts w:hint="eastAsia" w:ascii="宋体" w:hAnsi="宋体" w:eastAsia="宋体" w:cs="宋体"/>
          <w:color w:val="auto"/>
          <w:sz w:val="24"/>
          <w:szCs w:val="24"/>
          <w:highlight w:val="none"/>
        </w:rPr>
        <w:t>一、投标函</w:t>
      </w:r>
    </w:p>
    <w:p w14:paraId="1581F66D">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二、身份证明书及授权委托书</w:t>
      </w:r>
    </w:p>
    <w:p w14:paraId="4BADB93D">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三、投标人基本情况表</w:t>
      </w:r>
    </w:p>
    <w:p w14:paraId="2B896F0E">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四</w:t>
      </w:r>
      <w:r>
        <w:rPr>
          <w:rFonts w:hint="eastAsia" w:ascii="宋体" w:hAnsi="宋体" w:eastAsia="宋体" w:cs="宋体"/>
          <w:color w:val="auto"/>
          <w:sz w:val="24"/>
          <w:szCs w:val="24"/>
          <w:highlight w:val="none"/>
        </w:rPr>
        <w:t>、投标人类似项目业绩一览表</w:t>
      </w:r>
    </w:p>
    <w:p w14:paraId="75A7E9A9">
      <w:pPr>
        <w:tabs>
          <w:tab w:val="left" w:pos="3480"/>
        </w:tabs>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五</w:t>
      </w:r>
      <w:r>
        <w:rPr>
          <w:rFonts w:hint="eastAsia" w:ascii="宋体" w:hAnsi="宋体" w:eastAsia="宋体" w:cs="宋体"/>
          <w:color w:val="auto"/>
          <w:sz w:val="24"/>
          <w:szCs w:val="24"/>
          <w:highlight w:val="none"/>
        </w:rPr>
        <w:t>、商务、</w:t>
      </w:r>
      <w:r>
        <w:rPr>
          <w:rFonts w:hint="eastAsia" w:ascii="宋体" w:hAnsi="宋体" w:cs="宋体"/>
          <w:color w:val="auto"/>
          <w:sz w:val="24"/>
          <w:szCs w:val="24"/>
          <w:highlight w:val="none"/>
          <w:lang w:eastAsia="zh-CN"/>
        </w:rPr>
        <w:t>项目服务需求偏离表</w:t>
      </w:r>
    </w:p>
    <w:p w14:paraId="53016233">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六</w:t>
      </w:r>
      <w:r>
        <w:rPr>
          <w:rFonts w:hint="eastAsia" w:ascii="宋体" w:hAnsi="宋体" w:eastAsia="宋体" w:cs="宋体"/>
          <w:color w:val="auto"/>
          <w:sz w:val="24"/>
          <w:szCs w:val="24"/>
          <w:highlight w:val="none"/>
        </w:rPr>
        <w:t>、拟配备人员情况</w:t>
      </w:r>
    </w:p>
    <w:p w14:paraId="0245F3E1">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七</w:t>
      </w:r>
      <w:r>
        <w:rPr>
          <w:rFonts w:hint="eastAsia" w:ascii="宋体" w:hAnsi="宋体" w:eastAsia="宋体" w:cs="宋体"/>
          <w:color w:val="auto"/>
          <w:sz w:val="24"/>
          <w:szCs w:val="24"/>
          <w:highlight w:val="none"/>
        </w:rPr>
        <w:t>、实施方案</w:t>
      </w:r>
    </w:p>
    <w:p w14:paraId="1929553A">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八</w:t>
      </w:r>
      <w:r>
        <w:rPr>
          <w:rFonts w:hint="eastAsia" w:ascii="宋体" w:hAnsi="宋体" w:eastAsia="宋体" w:cs="宋体"/>
          <w:color w:val="auto"/>
          <w:sz w:val="24"/>
          <w:szCs w:val="24"/>
          <w:highlight w:val="none"/>
        </w:rPr>
        <w:t>、投标人认为需要提供的其他文件和资料</w:t>
      </w:r>
    </w:p>
    <w:p w14:paraId="18E2B586">
      <w:pPr>
        <w:pageBreakBefore w:val="0"/>
        <w:widowControl w:val="0"/>
        <w:tabs>
          <w:tab w:val="left" w:pos="348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14．投标文件格式</w:t>
      </w:r>
      <w:bookmarkEnd w:id="83"/>
      <w:bookmarkEnd w:id="84"/>
      <w:bookmarkEnd w:id="85"/>
      <w:r>
        <w:rPr>
          <w:rFonts w:hint="eastAsia" w:ascii="宋体" w:hAnsi="宋体" w:eastAsia="宋体" w:cs="宋体"/>
          <w:color w:val="auto"/>
          <w:sz w:val="24"/>
          <w:szCs w:val="24"/>
          <w:highlight w:val="none"/>
        </w:rPr>
        <w:tab/>
      </w:r>
    </w:p>
    <w:p w14:paraId="56EB8E42">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投标人应严格按照招标文件第三章中提供的“投标文件格式”填写相关内容。除明确允许投标人可以自行编写的外，投标人不得以“投标文件格式”规定之外的方式填写相关内容。</w:t>
      </w:r>
    </w:p>
    <w:p w14:paraId="40CE17F8">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 对于没有格式要求的投标文件由投标人自行编写。</w:t>
      </w:r>
    </w:p>
    <w:p w14:paraId="42DC4DC8">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86" w:name="_Toc183582223"/>
      <w:bookmarkStart w:id="87" w:name="_Toc217446050"/>
      <w:bookmarkStart w:id="88" w:name="_Toc183682360"/>
      <w:r>
        <w:rPr>
          <w:rFonts w:hint="eastAsia" w:ascii="宋体" w:hAnsi="宋体" w:eastAsia="宋体" w:cs="宋体"/>
          <w:color w:val="auto"/>
          <w:sz w:val="24"/>
          <w:szCs w:val="24"/>
          <w:highlight w:val="none"/>
        </w:rPr>
        <w:t>15．投标保证金</w:t>
      </w:r>
      <w:bookmarkEnd w:id="86"/>
      <w:bookmarkEnd w:id="87"/>
      <w:bookmarkEnd w:id="88"/>
    </w:p>
    <w:p w14:paraId="18665311">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 投标人投标时，必须按招标文件规定数额和形式缴纳投标保证金，并作为其投标文件的一部分。</w:t>
      </w:r>
    </w:p>
    <w:p w14:paraId="3C73EFF8">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15.2未按招标文件要求在规定时间前缴纳规定数额和形式的投标保证金，将被视为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312111D0">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 投标人所缴纳的投标保证金不计利息。</w:t>
      </w:r>
    </w:p>
    <w:p w14:paraId="4D8FF8CA">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15.4未中标人的投标保证金，将在中标通知书发出后五个工作日内全额退还。中标人的投标保证金，自采购合同签订之日起5个工作日内退还中标人的投标保证金。</w:t>
      </w:r>
    </w:p>
    <w:p w14:paraId="13E47A9D">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15.5发生下列情形之一的，采购代理机构将不予退还投标人缴纳的投标保证金：</w:t>
      </w:r>
    </w:p>
    <w:p w14:paraId="0536A444">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89" w:name="_Toc217446051"/>
      <w:bookmarkStart w:id="90" w:name="_Toc183582224"/>
      <w:bookmarkStart w:id="91" w:name="_Toc183682361"/>
      <w:r>
        <w:rPr>
          <w:rFonts w:hint="eastAsia" w:ascii="宋体" w:hAnsi="宋体" w:eastAsia="宋体" w:cs="宋体"/>
          <w:color w:val="auto"/>
          <w:sz w:val="24"/>
          <w:szCs w:val="24"/>
          <w:highlight w:val="none"/>
        </w:rPr>
        <w:t>（1）投标人在提交投标文件截止时间后撤回投标文件的；</w:t>
      </w:r>
    </w:p>
    <w:p w14:paraId="0D6BF859">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（2）投标人在投标文件中提供虚假材料的；</w:t>
      </w:r>
    </w:p>
    <w:p w14:paraId="51391B00">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（3）投标人不接受按投标文件规定对其投标报价进行修正的；</w:t>
      </w:r>
    </w:p>
    <w:p w14:paraId="72E7E666">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（4）除因不可抗力或投标文件认可的情形以外，中标人不履行与采购人签订合同的，在签订合同时向采购人提出附加条件；</w:t>
      </w:r>
    </w:p>
    <w:p w14:paraId="6F24D7E6">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（5）中标人未能在规定期限内与采购人签署合同协议书或提交履约保证金的；</w:t>
      </w:r>
    </w:p>
    <w:p w14:paraId="38DF8CBD">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（6）投标人与采购人、其他投标人或者采购代理机构恶意串通的；</w:t>
      </w:r>
    </w:p>
    <w:p w14:paraId="18554797">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（7）招标文件规定的其他情形；</w:t>
      </w:r>
    </w:p>
    <w:p w14:paraId="71BC82D0">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（8）符合法律、法规规定的其他情形的。 </w:t>
      </w:r>
    </w:p>
    <w:p w14:paraId="62A7D15E">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16．投标有效期</w:t>
      </w:r>
      <w:bookmarkEnd w:id="89"/>
      <w:bookmarkEnd w:id="90"/>
      <w:bookmarkEnd w:id="91"/>
    </w:p>
    <w:p w14:paraId="696E627C">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 投标有效期详见投标人须知前附表。投标有效期短于此规定期限的，</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0DE0C41A">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 特殊情况下，采购人可于投标有效期满之前要求投标人同意延长有效期，要求与答复均应为书面形式。投标人可以拒绝上述要求，其投标保证金</w:t>
      </w:r>
      <w:r>
        <w:rPr>
          <w:rFonts w:hint="eastAsia" w:ascii="宋体" w:hAnsi="宋体" w:eastAsia="宋体" w:cs="宋体"/>
          <w:color w:val="auto"/>
          <w:spacing w:val="8"/>
          <w:sz w:val="24"/>
          <w:szCs w:val="24"/>
          <w:highlight w:val="none"/>
        </w:rPr>
        <w:t>不被没收。</w:t>
      </w:r>
      <w:r>
        <w:rPr>
          <w:rFonts w:hint="eastAsia" w:ascii="宋体" w:hAnsi="宋体" w:eastAsia="宋体" w:cs="宋体"/>
          <w:color w:val="auto"/>
          <w:sz w:val="24"/>
          <w:szCs w:val="24"/>
          <w:highlight w:val="none"/>
        </w:rPr>
        <w:t>拒绝延长投标有效期的投标人不得再参与该项目后续招标活动。同意延长投标有效期的投标人不能修改其投标文件，关于投标保证金的有关规定在延长的投标有效期内继续有效。</w:t>
      </w:r>
    </w:p>
    <w:p w14:paraId="572294CD">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Theme="minorEastAsia" w:hAnsiTheme="minorEastAsia" w:eastAsiaTheme="minorEastAsia" w:cstheme="minorEastAsia"/>
          <w:b/>
          <w:color w:val="auto"/>
          <w:sz w:val="24"/>
          <w:szCs w:val="24"/>
          <w:highlight w:val="none"/>
        </w:rPr>
      </w:pPr>
      <w:bookmarkStart w:id="92" w:name="_Toc183582225"/>
      <w:bookmarkStart w:id="93" w:name="_Toc217446052"/>
      <w:bookmarkStart w:id="94" w:name="_Toc183682362"/>
      <w:bookmarkStart w:id="95" w:name="_Toc183582228"/>
      <w:bookmarkStart w:id="96" w:name="_Toc183682365"/>
      <w:bookmarkStart w:id="97" w:name="_Toc217446055"/>
      <w:r>
        <w:rPr>
          <w:rFonts w:hint="eastAsia" w:asciiTheme="minorEastAsia" w:hAnsiTheme="minorEastAsia" w:eastAsiaTheme="minorEastAsia" w:cstheme="minorEastAsia"/>
          <w:color w:val="auto"/>
          <w:sz w:val="24"/>
          <w:szCs w:val="24"/>
          <w:highlight w:val="none"/>
        </w:rPr>
        <w:t>17．投标文件的印制和签署</w:t>
      </w:r>
      <w:bookmarkEnd w:id="92"/>
      <w:bookmarkEnd w:id="93"/>
      <w:bookmarkEnd w:id="94"/>
    </w:p>
    <w:p w14:paraId="3D275905">
      <w:pPr>
        <w:pageBreakBefore w:val="0"/>
        <w:widowControl w:val="0"/>
        <w:tabs>
          <w:tab w:val="left" w:pos="1080"/>
        </w:tabs>
        <w:kinsoku/>
        <w:wordWrap/>
        <w:overflowPunct/>
        <w:topLinePunct w:val="0"/>
        <w:autoSpaceDE/>
        <w:autoSpaceDN/>
        <w:bidi w:val="0"/>
        <w:adjustRightInd/>
        <w:spacing w:line="48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17.</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 xml:space="preserve"> </w:t>
      </w:r>
      <w:r>
        <w:rPr>
          <w:rFonts w:ascii="宋体" w:hAnsi="宋体" w:eastAsia="宋体" w:cs="宋体"/>
          <w:color w:val="auto"/>
          <w:sz w:val="24"/>
          <w:szCs w:val="24"/>
          <w:highlight w:val="none"/>
        </w:rPr>
        <w:t>招标文件要求供应商法定代表人或者被授权代表签字处，均须加盖其 个人电子印章，并逐页加盖单位公章的电子印章。</w:t>
      </w:r>
    </w:p>
    <w:p w14:paraId="4A50513B">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Theme="minorEastAsia" w:hAnsiTheme="minorEastAsia" w:eastAsiaTheme="minorEastAsia" w:cstheme="minorEastAsia"/>
          <w:color w:val="auto"/>
          <w:sz w:val="24"/>
          <w:szCs w:val="24"/>
          <w:highlight w:val="none"/>
        </w:rPr>
      </w:pPr>
      <w:bookmarkStart w:id="98" w:name="_Toc183582226"/>
      <w:bookmarkStart w:id="99" w:name="_Toc183682363"/>
      <w:bookmarkStart w:id="100" w:name="_Toc89075877"/>
      <w:bookmarkStart w:id="101" w:name="_Toc77400781"/>
      <w:bookmarkStart w:id="102" w:name="_Toc217446053"/>
      <w:r>
        <w:rPr>
          <w:rFonts w:hint="eastAsia" w:asciiTheme="minorEastAsia" w:hAnsiTheme="minorEastAsia" w:eastAsiaTheme="minorEastAsia" w:cstheme="minorEastAsia"/>
          <w:color w:val="auto"/>
          <w:sz w:val="24"/>
          <w:szCs w:val="24"/>
          <w:highlight w:val="none"/>
        </w:rPr>
        <w:t>18. 投标文件的密封和标</w:t>
      </w:r>
      <w:bookmarkEnd w:id="98"/>
      <w:bookmarkEnd w:id="99"/>
      <w:bookmarkEnd w:id="100"/>
      <w:bookmarkEnd w:id="101"/>
      <w:r>
        <w:rPr>
          <w:rFonts w:hint="eastAsia" w:asciiTheme="minorEastAsia" w:hAnsiTheme="minorEastAsia" w:eastAsiaTheme="minorEastAsia" w:cstheme="minorEastAsia"/>
          <w:color w:val="auto"/>
          <w:sz w:val="24"/>
          <w:szCs w:val="24"/>
          <w:highlight w:val="none"/>
        </w:rPr>
        <w:t>注</w:t>
      </w:r>
      <w:bookmarkEnd w:id="102"/>
    </w:p>
    <w:p w14:paraId="478A6D69">
      <w:pPr>
        <w:pageBreakBefore w:val="0"/>
        <w:widowControl w:val="0"/>
        <w:tabs>
          <w:tab w:val="left" w:pos="1080"/>
        </w:tabs>
        <w:kinsoku/>
        <w:wordWrap/>
        <w:overflowPunct/>
        <w:topLinePunct w:val="0"/>
        <w:autoSpaceDE/>
        <w:autoSpaceDN/>
        <w:bidi w:val="0"/>
        <w:adjustRightInd/>
        <w:spacing w:line="48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ascii="宋体" w:hAnsi="宋体" w:eastAsia="宋体" w:cs="宋体"/>
          <w:color w:val="auto"/>
          <w:sz w:val="24"/>
          <w:szCs w:val="24"/>
          <w:highlight w:val="none"/>
        </w:rPr>
        <w:t>本项目采用不见面开标，供应商须在投标截止时间前，将生成的“电子加密 响应文件”上传递交至“政府采购云平台”，投标截止时间以后上传递交的响应 文件将被“政府采购云平台”拒收。</w:t>
      </w:r>
    </w:p>
    <w:p w14:paraId="6EAA046C">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bookmarkStart w:id="103" w:name="_Toc183582227"/>
      <w:bookmarkStart w:id="104" w:name="_Toc183682364"/>
      <w:bookmarkStart w:id="105" w:name="_Toc217446054"/>
      <w:r>
        <w:rPr>
          <w:rFonts w:hint="eastAsia" w:asciiTheme="minorEastAsia" w:hAnsiTheme="minorEastAsia" w:eastAsiaTheme="minorEastAsia" w:cstheme="minorEastAsia"/>
          <w:color w:val="auto"/>
          <w:sz w:val="24"/>
          <w:szCs w:val="24"/>
          <w:highlight w:val="none"/>
        </w:rPr>
        <w:t>19．投标文件的</w:t>
      </w:r>
      <w:bookmarkEnd w:id="103"/>
      <w:bookmarkEnd w:id="104"/>
      <w:bookmarkEnd w:id="105"/>
      <w:r>
        <w:rPr>
          <w:rFonts w:hint="eastAsia" w:asciiTheme="minorEastAsia" w:hAnsiTheme="minorEastAsia" w:eastAsiaTheme="minorEastAsia" w:cstheme="minorEastAsia"/>
          <w:color w:val="auto"/>
          <w:sz w:val="24"/>
          <w:szCs w:val="24"/>
          <w:highlight w:val="none"/>
          <w:lang w:eastAsia="zh-CN"/>
        </w:rPr>
        <w:t>上传</w:t>
      </w:r>
    </w:p>
    <w:p w14:paraId="3688D400">
      <w:pPr>
        <w:pStyle w:val="6"/>
        <w:pageBreakBefore w:val="0"/>
        <w:widowControl w:val="0"/>
        <w:kinsoku/>
        <w:wordWrap/>
        <w:overflowPunct/>
        <w:topLinePunct w:val="0"/>
        <w:autoSpaceDE/>
        <w:autoSpaceDN/>
        <w:bidi w:val="0"/>
        <w:adjustRightInd/>
        <w:spacing w:line="480" w:lineRule="exact"/>
        <w:ind w:firstLine="480"/>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供应商应在磋商文件规定的磋商截止时间前，将响应文件按供应商须 知第15条规定加密上传，磋商截止时间以后上传递交的响应文件将被“政府采 购云平台”拒收。</w:t>
      </w:r>
    </w:p>
    <w:p w14:paraId="10AFDF46">
      <w:pPr>
        <w:pStyle w:val="6"/>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20．投标文件的修改和撤</w:t>
      </w:r>
      <w:bookmarkEnd w:id="95"/>
      <w:bookmarkEnd w:id="96"/>
      <w:r>
        <w:rPr>
          <w:rFonts w:hint="eastAsia" w:ascii="宋体" w:hAnsi="宋体" w:eastAsia="宋体" w:cs="宋体"/>
          <w:color w:val="auto"/>
          <w:sz w:val="24"/>
          <w:szCs w:val="24"/>
          <w:highlight w:val="none"/>
        </w:rPr>
        <w:t>回</w:t>
      </w:r>
      <w:bookmarkEnd w:id="97"/>
    </w:p>
    <w:p w14:paraId="1BF61DF3">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20.1 投标人在投标截止时间前，可以对所</w:t>
      </w:r>
      <w:r>
        <w:rPr>
          <w:rFonts w:hint="eastAsia" w:ascii="宋体" w:hAnsi="宋体" w:cs="宋体"/>
          <w:color w:val="auto"/>
          <w:sz w:val="24"/>
          <w:szCs w:val="24"/>
          <w:highlight w:val="none"/>
          <w:lang w:eastAsia="zh-CN"/>
        </w:rPr>
        <w:t>上传</w:t>
      </w:r>
      <w:r>
        <w:rPr>
          <w:rFonts w:hint="eastAsia" w:ascii="宋体" w:hAnsi="宋体" w:eastAsia="宋体" w:cs="宋体"/>
          <w:color w:val="auto"/>
          <w:sz w:val="24"/>
          <w:szCs w:val="24"/>
          <w:highlight w:val="none"/>
        </w:rPr>
        <w:t>的投标文件进行补充、修改或者撤回</w:t>
      </w:r>
      <w:r>
        <w:rPr>
          <w:rFonts w:hint="eastAsia" w:ascii="宋体" w:hAnsi="宋体" w:cs="宋体"/>
          <w:color w:val="auto"/>
          <w:sz w:val="24"/>
          <w:szCs w:val="24"/>
          <w:highlight w:val="none"/>
          <w:lang w:eastAsia="zh-CN"/>
        </w:rPr>
        <w:t>。</w:t>
      </w:r>
    </w:p>
    <w:p w14:paraId="31EF3539">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 在投标截止时间之后，投标人不得对其</w:t>
      </w:r>
      <w:r>
        <w:rPr>
          <w:rFonts w:hint="eastAsia" w:ascii="宋体" w:hAnsi="宋体" w:cs="宋体"/>
          <w:color w:val="auto"/>
          <w:sz w:val="24"/>
          <w:szCs w:val="24"/>
          <w:highlight w:val="none"/>
          <w:lang w:eastAsia="zh-CN"/>
        </w:rPr>
        <w:t>上传</w:t>
      </w:r>
      <w:r>
        <w:rPr>
          <w:rFonts w:hint="eastAsia" w:ascii="宋体" w:hAnsi="宋体" w:eastAsia="宋体" w:cs="宋体"/>
          <w:color w:val="auto"/>
          <w:sz w:val="24"/>
          <w:szCs w:val="24"/>
          <w:highlight w:val="none"/>
        </w:rPr>
        <w:t>的投标文件做任何修改或撤回投标。</w:t>
      </w:r>
    </w:p>
    <w:p w14:paraId="4E687AAF">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20.3 投标文件中如果出现计算上或累加上的算术错误，可按以下原则进行修改：</w:t>
      </w:r>
    </w:p>
    <w:p w14:paraId="27D1C288">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（1）投标文件中投标函内容与投标报价明细表不一致的，以投标函为准；</w:t>
      </w:r>
    </w:p>
    <w:p w14:paraId="74C00CED">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（2）用小写金额和大写金额不一致，应以大写金额为准；</w:t>
      </w:r>
    </w:p>
    <w:p w14:paraId="368CECDA">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（3）总价金额与按单价汇总金额不一致的，以单价金额计算结果为准；</w:t>
      </w:r>
    </w:p>
    <w:p w14:paraId="0508EFBA">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（4）单价金额小数点或者百分比有明显错位的，以投标函的总价为准，并修改单价。</w:t>
      </w:r>
    </w:p>
    <w:p w14:paraId="40AE4863">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同时出现两种以上不一致的，按照前款规定的顺序修正。修正后的投标报价经投标人确认后产生约束力，投标人不确认的，其</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659495B0">
      <w:pPr>
        <w:pStyle w:val="4"/>
        <w:pageBreakBefore w:val="0"/>
        <w:widowControl w:val="0"/>
        <w:kinsoku/>
        <w:wordWrap/>
        <w:overflowPunct/>
        <w:topLinePunct w:val="0"/>
        <w:autoSpaceDE/>
        <w:autoSpaceDN/>
        <w:bidi w:val="0"/>
        <w:adjustRightInd/>
        <w:spacing w:before="156" w:after="156" w:line="480" w:lineRule="exact"/>
        <w:ind w:firstLine="480" w:firstLineChars="200"/>
        <w:textAlignment w:val="auto"/>
        <w:rPr>
          <w:rFonts w:hint="eastAsia" w:ascii="宋体" w:hAnsi="宋体" w:eastAsia="宋体" w:cs="宋体"/>
          <w:color w:val="auto"/>
          <w:sz w:val="24"/>
          <w:szCs w:val="24"/>
          <w:highlight w:val="none"/>
        </w:rPr>
      </w:pPr>
      <w:bookmarkStart w:id="106" w:name="_Toc89075878"/>
      <w:bookmarkStart w:id="107" w:name="_Toc217446056"/>
      <w:bookmarkStart w:id="108" w:name="_Toc183682368"/>
      <w:bookmarkStart w:id="109" w:name="_Toc183582231"/>
      <w:bookmarkStart w:id="110" w:name="_Toc77400782"/>
      <w:r>
        <w:rPr>
          <w:rFonts w:hint="eastAsia" w:ascii="宋体" w:hAnsi="宋体" w:eastAsia="宋体" w:cs="宋体"/>
          <w:color w:val="auto"/>
          <w:sz w:val="24"/>
          <w:szCs w:val="24"/>
          <w:highlight w:val="none"/>
        </w:rPr>
        <w:t>五、开标和</w:t>
      </w:r>
      <w:bookmarkEnd w:id="106"/>
      <w:bookmarkEnd w:id="107"/>
      <w:bookmarkEnd w:id="108"/>
      <w:bookmarkEnd w:id="109"/>
      <w:bookmarkEnd w:id="110"/>
      <w:r>
        <w:rPr>
          <w:rFonts w:hint="eastAsia" w:ascii="宋体" w:hAnsi="宋体" w:eastAsia="宋体" w:cs="宋体"/>
          <w:color w:val="auto"/>
          <w:sz w:val="24"/>
          <w:szCs w:val="24"/>
          <w:highlight w:val="none"/>
        </w:rPr>
        <w:t>中标</w:t>
      </w:r>
    </w:p>
    <w:p w14:paraId="1AD3531D">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111" w:name="_Toc183582232"/>
      <w:bookmarkStart w:id="112" w:name="_Toc183682369"/>
      <w:bookmarkStart w:id="113" w:name="_Toc217446057"/>
      <w:r>
        <w:rPr>
          <w:rFonts w:hint="eastAsia" w:ascii="宋体" w:hAnsi="宋体" w:eastAsia="宋体" w:cs="宋体"/>
          <w:color w:val="auto"/>
          <w:sz w:val="24"/>
          <w:szCs w:val="24"/>
          <w:highlight w:val="none"/>
        </w:rPr>
        <w:t>21．开标</w:t>
      </w:r>
      <w:bookmarkEnd w:id="111"/>
      <w:bookmarkEnd w:id="112"/>
      <w:bookmarkEnd w:id="113"/>
    </w:p>
    <w:p w14:paraId="5C112E63">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 采购代理机构在招标文件规定的时间和地点组织招标活动，邀请下载招标文件并参与竞争的投标人参加开标，投标人未参加开标的，视同认可开标结果。</w:t>
      </w:r>
    </w:p>
    <w:p w14:paraId="332B12D4">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投标人不足3家的，不得开标。</w:t>
      </w:r>
    </w:p>
    <w:p w14:paraId="024E687B">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 开标时，采购代理机构可以邀请有关监督管理部门对开标进行现场监督。</w:t>
      </w:r>
    </w:p>
    <w:p w14:paraId="73D08A4B">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 宣布开标会开始。开标时间到，主持人宣布开标会开始并致辞，当众宣布参加开标会的现场监督人员、主持人、唱标、会议记录等招标工作人员，根据“投标人签到表”宣布参加投标的投标人名单</w:t>
      </w:r>
    </w:p>
    <w:p w14:paraId="3D89555C">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21.4宣布会场纪律和有关注意事项。</w:t>
      </w:r>
    </w:p>
    <w:p w14:paraId="0CAE3D55">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rPr>
        <w:t>21.5开标时，</w:t>
      </w:r>
      <w:r>
        <w:rPr>
          <w:rFonts w:hint="eastAsia" w:ascii="宋体" w:hAnsi="宋体" w:cs="宋体"/>
          <w:color w:val="auto"/>
          <w:sz w:val="24"/>
          <w:szCs w:val="24"/>
          <w:highlight w:val="none"/>
          <w:lang w:eastAsia="zh-CN"/>
        </w:rPr>
        <w:t>投标单位完成在线解密后，由工作人员开始唱标</w:t>
      </w:r>
    </w:p>
    <w:p w14:paraId="6C1A4BD2">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21.6</w:t>
      </w:r>
      <w:r>
        <w:rPr>
          <w:rFonts w:hint="eastAsia" w:ascii="宋体" w:hAnsi="宋体" w:cs="宋体"/>
          <w:color w:val="auto"/>
          <w:sz w:val="24"/>
          <w:szCs w:val="24"/>
          <w:highlight w:val="none"/>
          <w:lang w:eastAsia="zh-CN"/>
        </w:rPr>
        <w:t>唱标完毕后，如果投标人对所唱“报价一览表”内容有异议，应当立即提出。经现场监标人员确认，认为有必要重新唱标的，由唱标人员重新唱标。</w:t>
      </w:r>
    </w:p>
    <w:p w14:paraId="34825AD0">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22.资格审查及组建评标委员会</w:t>
      </w:r>
    </w:p>
    <w:p w14:paraId="59AE9F79">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22.1公开招标采购项目开标结束后，采购人或者采购代理机构应当依法对投标人的资格进行审查。合格投标人不足3家的，不得评标。</w:t>
      </w:r>
    </w:p>
    <w:p w14:paraId="3D66B205">
      <w:pPr>
        <w:pStyle w:val="44"/>
        <w:pageBreakBefore w:val="0"/>
        <w:widowControl w:val="0"/>
        <w:kinsoku/>
        <w:wordWrap/>
        <w:overflowPunct/>
        <w:topLinePunct w:val="0"/>
        <w:autoSpaceDE/>
        <w:autoSpaceDN/>
        <w:bidi w:val="0"/>
        <w:adjustRightIn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22.2符合性审查。符合性审查是指依据招标文件的规定，从商务和技术角度对投标文件的有效性和完整性进行审查，以确定是否对招标文件的实质性要求做出响应。</w:t>
      </w:r>
    </w:p>
    <w:p w14:paraId="2F2475FA">
      <w:pPr>
        <w:pStyle w:val="44"/>
        <w:pageBreakBefore w:val="0"/>
        <w:widowControl w:val="0"/>
        <w:kinsoku/>
        <w:wordWrap/>
        <w:overflowPunct/>
        <w:topLinePunct w:val="0"/>
        <w:autoSpaceDE/>
        <w:autoSpaceDN/>
        <w:bidi w:val="0"/>
        <w:adjustRightIn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22.3评标委员会采用综合评分法对满足招标文件全部实质性要求的投标文件和投标报价进行综合评分。</w:t>
      </w:r>
    </w:p>
    <w:p w14:paraId="07ED1D85">
      <w:pPr>
        <w:pStyle w:val="44"/>
        <w:pageBreakBefore w:val="0"/>
        <w:widowControl w:val="0"/>
        <w:kinsoku/>
        <w:wordWrap/>
        <w:overflowPunct/>
        <w:topLinePunct w:val="0"/>
        <w:autoSpaceDE/>
        <w:autoSpaceDN/>
        <w:bidi w:val="0"/>
        <w:adjustRightIn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22.4评标委员会根据综合评分情况，按照评标得分由高到低顺序推荐3名中标候选人，并编写评标报告。得分相同的，按投标报价由低到高顺序排列。得分且投标报价相同的，按照技术指标优劣顺序推荐。</w:t>
      </w:r>
    </w:p>
    <w:p w14:paraId="42103535">
      <w:pPr>
        <w:pStyle w:val="44"/>
        <w:pageBreakBefore w:val="0"/>
        <w:widowControl w:val="0"/>
        <w:kinsoku/>
        <w:wordWrap/>
        <w:overflowPunct/>
        <w:topLinePunct w:val="0"/>
        <w:autoSpaceDE/>
        <w:autoSpaceDN/>
        <w:bidi w:val="0"/>
        <w:adjustRightInd/>
        <w:spacing w:line="48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22.5采购代理机构在评标结果后2个工作日内将评标报告送采购人确认。</w:t>
      </w:r>
    </w:p>
    <w:p w14:paraId="6223AC30">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114" w:name="_Toc183582238"/>
      <w:bookmarkStart w:id="115" w:name="_Toc183682375"/>
      <w:bookmarkStart w:id="116" w:name="_Toc217446063"/>
      <w:r>
        <w:rPr>
          <w:rFonts w:hint="eastAsia" w:ascii="宋体" w:hAnsi="宋体" w:eastAsia="宋体" w:cs="宋体"/>
          <w:color w:val="auto"/>
          <w:sz w:val="24"/>
          <w:szCs w:val="24"/>
          <w:highlight w:val="none"/>
        </w:rPr>
        <w:t>23．中标通知</w:t>
      </w:r>
      <w:bookmarkEnd w:id="114"/>
      <w:bookmarkEnd w:id="115"/>
      <w:r>
        <w:rPr>
          <w:rFonts w:hint="eastAsia" w:ascii="宋体" w:hAnsi="宋体" w:eastAsia="宋体" w:cs="宋体"/>
          <w:color w:val="auto"/>
          <w:sz w:val="24"/>
          <w:szCs w:val="24"/>
          <w:highlight w:val="none"/>
        </w:rPr>
        <w:t>书</w:t>
      </w:r>
      <w:bookmarkEnd w:id="116"/>
    </w:p>
    <w:p w14:paraId="38EC8346">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1 中标通知书为签订中标合同的依据，是合同的有效组成部分。</w:t>
      </w:r>
    </w:p>
    <w:p w14:paraId="423C3921">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 中标通知书对采购人和中标人均具有法律效力。中标通知书发出后，采购人改变中标结果，或者中标人无正当理由放弃中标的，应当承担相应的法律责任。</w:t>
      </w:r>
    </w:p>
    <w:p w14:paraId="14A1DD08">
      <w:pPr>
        <w:pageBreakBefore w:val="0"/>
        <w:widowControl w:val="0"/>
        <w:tabs>
          <w:tab w:val="left" w:pos="7665"/>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3中标人的投标文件本应作为无效投标处理或者有招投标法律法规规章制度规定的中标无效情形的，采购代理机构在取得有权主体的认定以后，应当宣布发出的中标通知书无效，并收回发出的中标通知书（中标人也应当缴回），依法重新确定中标人或者重新开展招标活动。</w:t>
      </w:r>
    </w:p>
    <w:p w14:paraId="3DBEC7B6">
      <w:pPr>
        <w:pStyle w:val="4"/>
        <w:pageBreakBefore w:val="0"/>
        <w:widowControl w:val="0"/>
        <w:kinsoku/>
        <w:wordWrap/>
        <w:overflowPunct/>
        <w:topLinePunct w:val="0"/>
        <w:autoSpaceDE/>
        <w:autoSpaceDN/>
        <w:bidi w:val="0"/>
        <w:adjustRightInd/>
        <w:spacing w:before="156" w:after="156" w:line="480" w:lineRule="exact"/>
        <w:ind w:firstLine="480" w:firstLineChars="200"/>
        <w:textAlignment w:val="auto"/>
        <w:rPr>
          <w:rFonts w:hint="eastAsia" w:ascii="宋体" w:hAnsi="宋体" w:eastAsia="宋体" w:cs="宋体"/>
          <w:color w:val="auto"/>
          <w:sz w:val="24"/>
          <w:szCs w:val="24"/>
          <w:highlight w:val="none"/>
        </w:rPr>
      </w:pPr>
      <w:bookmarkStart w:id="117" w:name="_Toc217446064"/>
      <w:bookmarkStart w:id="118" w:name="_Toc183682377"/>
      <w:bookmarkStart w:id="119" w:name="_Toc183582240"/>
      <w:r>
        <w:rPr>
          <w:rFonts w:hint="eastAsia" w:ascii="宋体" w:hAnsi="宋体" w:eastAsia="宋体" w:cs="宋体"/>
          <w:color w:val="auto"/>
          <w:sz w:val="24"/>
          <w:szCs w:val="24"/>
          <w:highlight w:val="none"/>
        </w:rPr>
        <w:t>六、签订及履行合同和验收</w:t>
      </w:r>
      <w:bookmarkEnd w:id="117"/>
    </w:p>
    <w:p w14:paraId="78928221">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120" w:name="_Toc217446065"/>
      <w:r>
        <w:rPr>
          <w:rFonts w:hint="eastAsia" w:ascii="宋体" w:hAnsi="宋体" w:eastAsia="宋体" w:cs="宋体"/>
          <w:color w:val="auto"/>
          <w:sz w:val="24"/>
          <w:szCs w:val="24"/>
          <w:highlight w:val="none"/>
        </w:rPr>
        <w:t>24. 签订合同</w:t>
      </w:r>
      <w:bookmarkEnd w:id="120"/>
    </w:p>
    <w:p w14:paraId="2943E641">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24.1 中标人在收到采购人发出的《中标通知书》后，应在法律法规规定的时间内与采购人签订采购合同。由于中标人的原因逾期未与采购人签订采购合同的，将视为放弃中标，取消其中标资格并将按相关规定进行处理。</w:t>
      </w:r>
    </w:p>
    <w:p w14:paraId="2F86815E">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24.2 采购人不得向中标人提出任何不合理的要求，作为签订合同的条件，不得与中标人私下订立背离合同实质性内容的任何协议，所签订的合同不得对招标文件和中标人投标文件作实质性修改。</w:t>
      </w:r>
    </w:p>
    <w:p w14:paraId="61016A6E">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24.3 中标人因不可抗力原因不能履行招标合同或放弃中标的，采购人可以与排在中标人之后第一位的中标候选人签订采购合同，以此类推。</w:t>
      </w:r>
    </w:p>
    <w:p w14:paraId="04E24053">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24.4 中标人在合同签订之后三个工作日内，将签订的合同（彩色扫描件）交至采购代理机构。</w:t>
      </w:r>
    </w:p>
    <w:p w14:paraId="3B622D48">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121" w:name="_Toc217446066"/>
      <w:r>
        <w:rPr>
          <w:rFonts w:hint="eastAsia" w:ascii="宋体" w:hAnsi="宋体" w:eastAsia="宋体" w:cs="宋体"/>
          <w:color w:val="auto"/>
          <w:sz w:val="24"/>
          <w:szCs w:val="24"/>
          <w:highlight w:val="none"/>
        </w:rPr>
        <w:t>25. 合同分包</w:t>
      </w:r>
      <w:bookmarkEnd w:id="121"/>
      <w:r>
        <w:rPr>
          <w:rFonts w:hint="eastAsia" w:ascii="宋体" w:hAnsi="宋体" w:eastAsia="宋体" w:cs="宋体"/>
          <w:color w:val="auto"/>
          <w:sz w:val="24"/>
          <w:szCs w:val="24"/>
          <w:highlight w:val="none"/>
        </w:rPr>
        <w:t>（如有）</w:t>
      </w:r>
    </w:p>
    <w:p w14:paraId="7C87DE38">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25.1 若本项目允许分包的，经采购人同意，中标人可以依法采取分包方式履行合同。这种要求应当在合同签订之前征得采购人同意，并且分包人履行分包项目的服务及技术要求等，必须与中标的一致。</w:t>
      </w:r>
    </w:p>
    <w:p w14:paraId="09F7CA1D">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 招标合同实行分包履行的，中标人就招标项目和分包项目向采购人负责，分包人就分包项目承担责任。</w:t>
      </w:r>
    </w:p>
    <w:p w14:paraId="37E5164B">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122" w:name="_Toc217446067"/>
      <w:r>
        <w:rPr>
          <w:rFonts w:hint="eastAsia" w:ascii="宋体" w:hAnsi="宋体" w:eastAsia="宋体" w:cs="宋体"/>
          <w:color w:val="auto"/>
          <w:sz w:val="24"/>
          <w:szCs w:val="24"/>
          <w:highlight w:val="none"/>
        </w:rPr>
        <w:t>26. 采购人增加合同标的权</w:t>
      </w:r>
      <w:bookmarkEnd w:id="122"/>
      <w:r>
        <w:rPr>
          <w:rFonts w:hint="eastAsia" w:ascii="宋体" w:hAnsi="宋体" w:eastAsia="宋体" w:cs="宋体"/>
          <w:color w:val="auto"/>
          <w:sz w:val="24"/>
          <w:szCs w:val="24"/>
          <w:highlight w:val="none"/>
        </w:rPr>
        <w:t>利</w:t>
      </w:r>
    </w:p>
    <w:p w14:paraId="3C60FCDB">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合同履行过程中，采购人需要追加与合同标的相同的货物或者服务的，在不改变合同其他条款的前提下，可以与中标投标人协商签订补充合同，但所有补充合同的招标金额不得超过原合同招标金额的百分之十。</w:t>
      </w:r>
    </w:p>
    <w:p w14:paraId="6AC25E93">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123" w:name="_Toc217446068"/>
      <w:r>
        <w:rPr>
          <w:rFonts w:hint="eastAsia" w:ascii="宋体" w:hAnsi="宋体" w:eastAsia="宋体" w:cs="宋体"/>
          <w:color w:val="auto"/>
          <w:sz w:val="24"/>
          <w:szCs w:val="24"/>
          <w:highlight w:val="none"/>
        </w:rPr>
        <w:t>27. 履约保证金</w:t>
      </w:r>
      <w:bookmarkEnd w:id="123"/>
    </w:p>
    <w:p w14:paraId="32B27FF3">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27.1 本项目不要求缴纳履约保证金。 </w:t>
      </w:r>
    </w:p>
    <w:p w14:paraId="39D1CEC4">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124" w:name="_Toc217446069"/>
      <w:r>
        <w:rPr>
          <w:rFonts w:hint="eastAsia" w:ascii="宋体" w:hAnsi="宋体" w:eastAsia="宋体" w:cs="宋体"/>
          <w:color w:val="auto"/>
          <w:sz w:val="24"/>
          <w:szCs w:val="24"/>
          <w:highlight w:val="none"/>
        </w:rPr>
        <w:t>28. 履行合同</w:t>
      </w:r>
      <w:bookmarkEnd w:id="124"/>
    </w:p>
    <w:p w14:paraId="5C8B66BC">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28.1 中标人与采购人签订合同后，合同双方应严格执行合同条款，履行合同规定的义务，保证合同的顺利完成。</w:t>
      </w:r>
    </w:p>
    <w:p w14:paraId="1D538998">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28.2 在合同履行过程中，如发生合同纠纷，合同双方应按照《中华人民共和国民法典》的有关规定进行处理。</w:t>
      </w:r>
    </w:p>
    <w:p w14:paraId="7D791551">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125" w:name="_Toc217446070"/>
      <w:r>
        <w:rPr>
          <w:rFonts w:hint="eastAsia" w:ascii="宋体" w:hAnsi="宋体" w:eastAsia="宋体" w:cs="宋体"/>
          <w:color w:val="auto"/>
          <w:sz w:val="24"/>
          <w:szCs w:val="24"/>
          <w:highlight w:val="none"/>
        </w:rPr>
        <w:t>29. 验收</w:t>
      </w:r>
      <w:bookmarkEnd w:id="125"/>
    </w:p>
    <w:p w14:paraId="2D8ABD1E">
      <w:pPr>
        <w:pStyle w:val="6"/>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auto"/>
          <w:sz w:val="24"/>
          <w:szCs w:val="24"/>
          <w:highlight w:val="none"/>
        </w:rPr>
      </w:pPr>
      <w:bookmarkStart w:id="126" w:name="_Toc217446071"/>
      <w:r>
        <w:rPr>
          <w:rFonts w:hint="eastAsia" w:ascii="宋体" w:hAnsi="宋体" w:eastAsia="宋体" w:cs="宋体"/>
          <w:color w:val="auto"/>
          <w:sz w:val="24"/>
          <w:szCs w:val="24"/>
          <w:highlight w:val="none"/>
        </w:rPr>
        <w:t>中标人与采购人应严格按照国家财政部《关于进一步加强政府采购需求和履约验收管理的指导意见》（</w:t>
      </w:r>
      <w:r>
        <w:rPr>
          <w:rFonts w:hint="eastAsia" w:ascii="宋体" w:hAnsi="宋体" w:eastAsia="宋体" w:cs="宋体"/>
          <w:color w:val="auto"/>
          <w:sz w:val="24"/>
          <w:szCs w:val="24"/>
          <w:highlight w:val="none"/>
          <w:shd w:val="clear" w:color="auto" w:fill="FFFFFF"/>
        </w:rPr>
        <w:t>财库〔2016〕205号</w:t>
      </w:r>
      <w:r>
        <w:rPr>
          <w:rFonts w:hint="eastAsia" w:ascii="宋体" w:hAnsi="宋体" w:eastAsia="宋体" w:cs="宋体"/>
          <w:color w:val="auto"/>
          <w:sz w:val="24"/>
          <w:szCs w:val="24"/>
          <w:highlight w:val="none"/>
        </w:rPr>
        <w:t>）的要求进行验收。</w:t>
      </w:r>
    </w:p>
    <w:bookmarkEnd w:id="118"/>
    <w:bookmarkEnd w:id="119"/>
    <w:bookmarkEnd w:id="126"/>
    <w:p w14:paraId="6AF435B0">
      <w:pPr>
        <w:pStyle w:val="4"/>
        <w:pageBreakBefore w:val="0"/>
        <w:widowControl w:val="0"/>
        <w:kinsoku/>
        <w:wordWrap/>
        <w:overflowPunct/>
        <w:topLinePunct w:val="0"/>
        <w:autoSpaceDE/>
        <w:autoSpaceDN/>
        <w:bidi w:val="0"/>
        <w:adjustRightInd/>
        <w:spacing w:before="156" w:after="156" w:line="480" w:lineRule="exact"/>
        <w:ind w:firstLine="480" w:firstLineChars="200"/>
        <w:textAlignment w:val="auto"/>
        <w:rPr>
          <w:rFonts w:hint="eastAsia" w:ascii="宋体" w:hAnsi="宋体" w:eastAsia="宋体" w:cs="宋体"/>
          <w:color w:val="auto"/>
          <w:sz w:val="24"/>
          <w:szCs w:val="24"/>
          <w:highlight w:val="none"/>
        </w:rPr>
      </w:pPr>
      <w:bookmarkStart w:id="127" w:name="_Toc217446074"/>
      <w:bookmarkStart w:id="128" w:name="_Toc183582243"/>
      <w:bookmarkStart w:id="129" w:name="_Toc183682380"/>
      <w:r>
        <w:rPr>
          <w:rFonts w:hint="eastAsia" w:ascii="宋体" w:hAnsi="宋体" w:eastAsia="宋体" w:cs="宋体"/>
          <w:color w:val="auto"/>
          <w:sz w:val="24"/>
          <w:szCs w:val="24"/>
          <w:highlight w:val="none"/>
        </w:rPr>
        <w:t>七、投标纪律要求</w:t>
      </w:r>
      <w:bookmarkEnd w:id="127"/>
    </w:p>
    <w:p w14:paraId="36F8EE24">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130" w:name="_Toc217446075"/>
      <w:r>
        <w:rPr>
          <w:rFonts w:hint="eastAsia" w:ascii="宋体" w:hAnsi="宋体" w:eastAsia="宋体" w:cs="宋体"/>
          <w:color w:val="auto"/>
          <w:sz w:val="24"/>
          <w:szCs w:val="24"/>
          <w:highlight w:val="none"/>
        </w:rPr>
        <w:t>30. 投标人不得具有的情形</w:t>
      </w:r>
      <w:bookmarkEnd w:id="130"/>
    </w:p>
    <w:p w14:paraId="25FB309A">
      <w:pPr>
        <w:pStyle w:val="6"/>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投标人参加投标不得有下列情形：</w:t>
      </w:r>
    </w:p>
    <w:p w14:paraId="3BE25A8D">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（1）提供虚假材料谋取中标；</w:t>
      </w:r>
    </w:p>
    <w:p w14:paraId="3B1139B7">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（2）采取不正当手段诋毁、排挤其他投标人；</w:t>
      </w:r>
    </w:p>
    <w:p w14:paraId="12004A70">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（3）与采购人、其他投标人恶意串通；</w:t>
      </w:r>
    </w:p>
    <w:p w14:paraId="3E5B0174">
      <w:pPr>
        <w:pStyle w:val="6"/>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（4）向采购人、评标委员会成员行贿或者提供其他不正当利益；</w:t>
      </w:r>
    </w:p>
    <w:p w14:paraId="5E05AA55">
      <w:pPr>
        <w:pStyle w:val="6"/>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（5）在招标过程中与采购人进行协商谈判；</w:t>
      </w:r>
    </w:p>
    <w:p w14:paraId="032D81DE">
      <w:pPr>
        <w:pStyle w:val="6"/>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（6）拒绝有关部门的监督检查或者向监督检查部门提供虚假情况。</w:t>
      </w:r>
    </w:p>
    <w:p w14:paraId="70E21E36">
      <w:pPr>
        <w:pStyle w:val="6"/>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有上述情形之一的投标人，属于不合格投标人，其投标或中标资格将被取消。</w:t>
      </w:r>
    </w:p>
    <w:p w14:paraId="6E0DAE2D">
      <w:pPr>
        <w:pStyle w:val="4"/>
        <w:pageBreakBefore w:val="0"/>
        <w:widowControl w:val="0"/>
        <w:kinsoku/>
        <w:wordWrap/>
        <w:overflowPunct/>
        <w:topLinePunct w:val="0"/>
        <w:autoSpaceDE/>
        <w:autoSpaceDN/>
        <w:bidi w:val="0"/>
        <w:adjustRightInd/>
        <w:spacing w:before="156" w:after="156" w:line="480" w:lineRule="exact"/>
        <w:ind w:firstLine="480" w:firstLineChars="200"/>
        <w:textAlignment w:val="auto"/>
        <w:rPr>
          <w:rFonts w:hint="eastAsia" w:ascii="宋体" w:hAnsi="宋体" w:eastAsia="宋体" w:cs="宋体"/>
          <w:b w:val="0"/>
          <w:bCs w:val="0"/>
          <w:color w:val="auto"/>
          <w:sz w:val="24"/>
          <w:szCs w:val="24"/>
          <w:highlight w:val="none"/>
        </w:rPr>
      </w:pPr>
      <w:bookmarkStart w:id="131" w:name="_Toc217446076"/>
      <w:r>
        <w:rPr>
          <w:rFonts w:hint="eastAsia" w:ascii="宋体" w:hAnsi="宋体" w:eastAsia="宋体" w:cs="宋体"/>
          <w:color w:val="auto"/>
          <w:sz w:val="24"/>
          <w:szCs w:val="24"/>
          <w:highlight w:val="none"/>
        </w:rPr>
        <w:t>八、</w:t>
      </w:r>
      <w:bookmarkEnd w:id="131"/>
      <w:r>
        <w:rPr>
          <w:rFonts w:hint="eastAsia" w:ascii="宋体" w:hAnsi="宋体" w:eastAsia="宋体" w:cs="宋体"/>
          <w:color w:val="auto"/>
          <w:sz w:val="24"/>
          <w:szCs w:val="24"/>
          <w:highlight w:val="none"/>
        </w:rPr>
        <w:t>合同价款支付</w:t>
      </w:r>
    </w:p>
    <w:p w14:paraId="7A896603">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bookmarkStart w:id="132" w:name="_Toc217446077"/>
      <w:r>
        <w:rPr>
          <w:rFonts w:hint="eastAsia" w:ascii="宋体" w:hAnsi="宋体" w:eastAsia="宋体" w:cs="宋体"/>
          <w:color w:val="auto"/>
          <w:sz w:val="24"/>
          <w:szCs w:val="24"/>
          <w:highlight w:val="none"/>
        </w:rPr>
        <w:t>31. 申请支付</w:t>
      </w:r>
      <w:bookmarkEnd w:id="132"/>
    </w:p>
    <w:p w14:paraId="249E2B92">
      <w:pPr>
        <w:pStyle w:val="6"/>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31.1招标项目验收合格，采购人签署《验收结算书》后，向财政部门提出支付申请。采购人的自有资金，由采购人直接支付给中标人或者按照有关合同规定执行。</w:t>
      </w:r>
    </w:p>
    <w:p w14:paraId="11CA4476">
      <w:pPr>
        <w:pStyle w:val="6"/>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31.2 财政部门根据采购人的支付申请，并对采购合同进行审核后，直接支付给中标人。</w:t>
      </w:r>
      <w:bookmarkStart w:id="133" w:name="_Toc217446078"/>
    </w:p>
    <w:p w14:paraId="0B918F9B">
      <w:pPr>
        <w:pStyle w:val="4"/>
        <w:pageBreakBefore w:val="0"/>
        <w:widowControl w:val="0"/>
        <w:kinsoku/>
        <w:wordWrap/>
        <w:overflowPunct/>
        <w:topLinePunct w:val="0"/>
        <w:autoSpaceDE/>
        <w:autoSpaceDN/>
        <w:bidi w:val="0"/>
        <w:adjustRightInd/>
        <w:spacing w:before="156" w:after="156"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九、质疑和投诉</w:t>
      </w:r>
      <w:bookmarkEnd w:id="133"/>
      <w:bookmarkStart w:id="134" w:name="_Toc217446079"/>
    </w:p>
    <w:p w14:paraId="2D1D278F">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bookmarkEnd w:id="134"/>
      <w:r>
        <w:rPr>
          <w:rFonts w:hint="eastAsia" w:ascii="宋体" w:hAnsi="宋体" w:eastAsia="宋体" w:cs="宋体"/>
          <w:color w:val="auto"/>
          <w:sz w:val="24"/>
          <w:szCs w:val="24"/>
          <w:highlight w:val="none"/>
        </w:rPr>
        <w:t>2．质疑、投诉的接收和处理严格按照《中华人共和国政府采购法</w:t>
      </w:r>
      <w:bookmarkEnd w:id="128"/>
      <w:bookmarkEnd w:id="129"/>
      <w:r>
        <w:rPr>
          <w:rFonts w:hint="eastAsia" w:ascii="宋体" w:hAnsi="宋体" w:eastAsia="宋体" w:cs="宋体"/>
          <w:color w:val="auto"/>
          <w:sz w:val="24"/>
          <w:szCs w:val="24"/>
          <w:highlight w:val="none"/>
        </w:rPr>
        <w:t>》、《政府采购质疑和投诉办法》、《财政部关于加强政府采购投标人投诉受理审查工作的通知》的规定办理。</w:t>
      </w:r>
    </w:p>
    <w:p w14:paraId="16B99993">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rPr>
        <w:t>32.1投标人认为</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采购过程和中标、成交结果使自己的权益受到损害的，可以在知道或者应知其权益受到损害之日起七个工作日内，以书面形式向采购人提出质疑。针对同一采购环节的质疑应一次性提出，提出质疑的投标人应当是参与所质疑项目招标活动的投标人。</w:t>
      </w:r>
    </w:p>
    <w:p w14:paraId="0940832B">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32.2潜在投标人已依法获取其可质疑的</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的，可以对该文件提出质疑。对</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提出质疑的，应当在获取</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或者</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公告期限届满之日起7个工作日内提出。</w:t>
      </w:r>
    </w:p>
    <w:p w14:paraId="791BE115">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32.3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8001C56">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代理人提出质疑和投诉，应当提交投标人签署的授权委托书。</w:t>
      </w:r>
    </w:p>
    <w:p w14:paraId="6499AA07">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32.4投标人提出质疑应当提交质疑函和必要的证明材料。质疑函应当包括下列内容：</w:t>
      </w:r>
    </w:p>
    <w:p w14:paraId="19A2A93A">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（一）投标人的姓名或者名称、地址、邮编、联系人及联系电话；</w:t>
      </w:r>
    </w:p>
    <w:p w14:paraId="4DC3DD16">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（二）质疑项目的名称、编号；</w:t>
      </w:r>
    </w:p>
    <w:p w14:paraId="57916359">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（三）具体、明确的质疑事项和与质疑事项相关的请求；</w:t>
      </w:r>
    </w:p>
    <w:p w14:paraId="486E53CE">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（四）事实依据；</w:t>
      </w:r>
    </w:p>
    <w:p w14:paraId="0A2232FA">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（五）必要的法律依据；</w:t>
      </w:r>
    </w:p>
    <w:p w14:paraId="2E6E3547">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（六）提出质疑的日期。</w:t>
      </w:r>
    </w:p>
    <w:p w14:paraId="592E5F6B">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投标人为自然人的，应当由本人签字；投标人为法人或者其他组织的，应当由法定代表人、主要负责人或者其被授权人签字或盖章，并加盖公章。</w:t>
      </w:r>
    </w:p>
    <w:p w14:paraId="58C5A8BD">
      <w:pPr>
        <w:pageBreakBefore w:val="0"/>
        <w:widowControl w:val="0"/>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接收质疑函的方式：书面形式</w:t>
      </w:r>
    </w:p>
    <w:p w14:paraId="78B1E24B">
      <w:pPr>
        <w:pStyle w:val="6"/>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联系部门：</w:t>
      </w:r>
      <w:r>
        <w:rPr>
          <w:rFonts w:hint="eastAsia" w:ascii="宋体" w:hAnsi="宋体" w:cs="宋体"/>
          <w:color w:val="auto"/>
          <w:sz w:val="24"/>
          <w:szCs w:val="24"/>
          <w:highlight w:val="none"/>
          <w:lang w:eastAsia="zh-CN"/>
        </w:rPr>
        <w:t>新疆志远诚信建设项目管理有限公司</w:t>
      </w:r>
      <w:r>
        <w:rPr>
          <w:rFonts w:hint="eastAsia" w:ascii="宋体" w:hAnsi="宋体" w:eastAsia="宋体" w:cs="宋体"/>
          <w:color w:val="auto"/>
          <w:sz w:val="24"/>
          <w:szCs w:val="24"/>
          <w:highlight w:val="none"/>
        </w:rPr>
        <w:t>招标部</w:t>
      </w:r>
    </w:p>
    <w:p w14:paraId="0C37B181">
      <w:pPr>
        <w:pStyle w:val="6"/>
        <w:pageBreakBefore w:val="0"/>
        <w:widowControl w:val="0"/>
        <w:kinsoku/>
        <w:wordWrap/>
        <w:overflowPunct/>
        <w:topLinePunct w:val="0"/>
        <w:autoSpaceDE/>
        <w:autoSpaceDN/>
        <w:bidi w:val="0"/>
        <w:adjustRightInd/>
        <w:spacing w:line="480" w:lineRule="exact"/>
        <w:ind w:firstLine="480"/>
        <w:textAlignment w:val="auto"/>
        <w:rPr>
          <w:rStyle w:val="40"/>
          <w:rFonts w:hint="eastAsia" w:ascii="宋体" w:hAnsi="宋体"/>
          <w:bCs/>
          <w:color w:val="auto"/>
          <w:sz w:val="24"/>
          <w:highlight w:val="none"/>
        </w:rPr>
      </w:pPr>
      <w:r>
        <w:rPr>
          <w:rFonts w:hint="eastAsia" w:ascii="宋体" w:hAnsi="宋体" w:eastAsia="宋体" w:cs="宋体"/>
          <w:color w:val="auto"/>
          <w:sz w:val="24"/>
          <w:szCs w:val="24"/>
          <w:highlight w:val="none"/>
        </w:rPr>
        <w:t>联系人及联系电话：</w:t>
      </w:r>
      <w:r>
        <w:rPr>
          <w:rFonts w:hint="eastAsia" w:ascii="宋体" w:hAnsi="宋体" w:cs="宋体"/>
          <w:color w:val="auto"/>
          <w:sz w:val="24"/>
          <w:szCs w:val="24"/>
          <w:highlight w:val="none"/>
          <w:lang w:eastAsia="zh-CN"/>
        </w:rPr>
        <w:t>金慧玲、孙培欣</w:t>
      </w:r>
      <w:r>
        <w:rPr>
          <w:rStyle w:val="40"/>
          <w:rFonts w:hint="eastAsia" w:ascii="宋体" w:hAnsi="宋体"/>
          <w:bCs/>
          <w:color w:val="auto"/>
          <w:sz w:val="24"/>
          <w:highlight w:val="none"/>
          <w:lang w:val="en-US" w:eastAsia="zh-CN"/>
        </w:rPr>
        <w:t>18146929703</w:t>
      </w:r>
    </w:p>
    <w:p w14:paraId="3E18D876">
      <w:pPr>
        <w:pStyle w:val="6"/>
        <w:pageBreakBefore w:val="0"/>
        <w:widowControl w:val="0"/>
        <w:kinsoku/>
        <w:wordWrap/>
        <w:overflowPunct/>
        <w:topLinePunct w:val="0"/>
        <w:autoSpaceDE/>
        <w:autoSpaceDN/>
        <w:bidi w:val="0"/>
        <w:adjustRightInd/>
        <w:spacing w:line="480" w:lineRule="exact"/>
        <w:ind w:firstLine="48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通讯地址：</w:t>
      </w:r>
      <w:r>
        <w:rPr>
          <w:rFonts w:hint="eastAsia" w:ascii="宋体" w:hAnsi="宋体" w:cs="宋体"/>
          <w:color w:val="auto"/>
          <w:sz w:val="24"/>
          <w:szCs w:val="24"/>
          <w:highlight w:val="none"/>
          <w:lang w:eastAsia="zh-CN"/>
        </w:rPr>
        <w:t>乌鲁木齐市红光山路2588号绿地商务中心智海楼606室</w:t>
      </w:r>
    </w:p>
    <w:p w14:paraId="4CC654B6">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32.5质疑投标人对采购人、采购代理机构的答复不满意，或者采购人、采购代理机构未在规定时间内作出答复的，可以在答复期满后15个工作日内向本办法第六条规定的财政部门提起投诉。</w:t>
      </w:r>
    </w:p>
    <w:p w14:paraId="3D9962EA">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32.6投诉人投诉时，应当提交投诉书和必要的证明材料，并按照被投诉采购人、采购代理机构（以下简称被投诉人）和与投诉事项有关的投标人数量提供投诉书的副本。投诉书应当包括下列内容：</w:t>
      </w:r>
    </w:p>
    <w:p w14:paraId="21DD1C75">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（一）投诉人和被投诉人的姓名或者名称、通讯地址、邮编、联系人及联系电话；</w:t>
      </w:r>
    </w:p>
    <w:p w14:paraId="4F3A0558">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（二）质疑和质疑答复情况说明及相关证明材料；</w:t>
      </w:r>
    </w:p>
    <w:p w14:paraId="3B23DD2B">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（三）具体、明确的投诉事项和与投诉事项相关的投诉请求；</w:t>
      </w:r>
    </w:p>
    <w:p w14:paraId="2EE30E92">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（四）事实依据；</w:t>
      </w:r>
    </w:p>
    <w:p w14:paraId="2B812DEE">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（五）法律依据；</w:t>
      </w:r>
    </w:p>
    <w:p w14:paraId="1F31D51C">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（六）提起投诉的日期。</w:t>
      </w:r>
    </w:p>
    <w:p w14:paraId="77132CCB">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投诉人为自然人的，应当由本人签字；投诉人为法人或者其他组织的，应当由法定代表人、主要负责人，或者其授权代表签字或者盖章，并加盖公章。</w:t>
      </w:r>
    </w:p>
    <w:p w14:paraId="329CABE1">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32.7投诉人应当根据《政府采购质疑和投诉办法》第七条第二款规定的信息内容，并按照其规定的方式提起投诉。</w:t>
      </w:r>
    </w:p>
    <w:p w14:paraId="0B55AD1C">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投诉人提起投诉应当符合下列条件：</w:t>
      </w:r>
    </w:p>
    <w:p w14:paraId="70DB70C6">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（一）提起投诉前已依法进行质疑；</w:t>
      </w:r>
    </w:p>
    <w:p w14:paraId="1FDBE5CB">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（二）投诉书内容符合本办法的规定；</w:t>
      </w:r>
    </w:p>
    <w:p w14:paraId="007F4A4D">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（三）在投诉有效期限内提起投诉；</w:t>
      </w:r>
    </w:p>
    <w:p w14:paraId="2B3F8FFC">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（四）同一投诉事项未经财政部门投诉处理；</w:t>
      </w:r>
    </w:p>
    <w:p w14:paraId="3E06EA7D">
      <w:pPr>
        <w:pStyle w:val="16"/>
        <w:pageBreakBefore w:val="0"/>
        <w:widowControl w:val="0"/>
        <w:kinsoku/>
        <w:wordWrap/>
        <w:overflowPunct/>
        <w:topLinePunct w:val="0"/>
        <w:autoSpaceDE/>
        <w:autoSpaceDN/>
        <w:bidi w:val="0"/>
        <w:adjustRightInd/>
        <w:spacing w:after="0" w:line="48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（五）财政部规定的其他条件。</w:t>
      </w:r>
    </w:p>
    <w:p w14:paraId="17D78B3D">
      <w:pPr>
        <w:pStyle w:val="29"/>
        <w:rPr>
          <w:rFonts w:hint="eastAsia" w:ascii="宋体" w:hAnsi="宋体" w:eastAsia="宋体" w:cs="宋体"/>
          <w:color w:val="auto"/>
          <w:sz w:val="24"/>
          <w:szCs w:val="24"/>
          <w:highlight w:val="none"/>
        </w:rPr>
      </w:pPr>
    </w:p>
    <w:p w14:paraId="74722237">
      <w:pPr>
        <w:spacing w:line="5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rPr>
        <w:t>质疑函范本</w:t>
      </w:r>
    </w:p>
    <w:p w14:paraId="3665B81A">
      <w:pPr>
        <w:adjustRightInd w:val="0"/>
        <w:snapToGrid w:val="0"/>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一、质疑</w:t>
      </w:r>
      <w:r>
        <w:rPr>
          <w:rFonts w:hint="eastAsia" w:ascii="宋体" w:hAnsi="宋体" w:eastAsia="宋体" w:cs="宋体"/>
          <w:color w:val="auto"/>
          <w:sz w:val="24"/>
          <w:szCs w:val="24"/>
          <w:highlight w:val="none"/>
          <w:shd w:val="clear" w:color="auto" w:fill="FFFFFF"/>
        </w:rPr>
        <w:t>投标人</w:t>
      </w:r>
      <w:r>
        <w:rPr>
          <w:rFonts w:hint="eastAsia" w:ascii="宋体" w:hAnsi="宋体" w:eastAsia="宋体" w:cs="宋体"/>
          <w:bCs/>
          <w:color w:val="auto"/>
          <w:sz w:val="24"/>
          <w:szCs w:val="24"/>
          <w:highlight w:val="none"/>
        </w:rPr>
        <w:t>基本信息</w:t>
      </w:r>
    </w:p>
    <w:p w14:paraId="46AB72B9">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w:t>
      </w:r>
      <w:r>
        <w:rPr>
          <w:rFonts w:hint="eastAsia" w:ascii="宋体" w:hAnsi="宋体" w:eastAsia="宋体" w:cs="宋体"/>
          <w:color w:val="auto"/>
          <w:sz w:val="24"/>
          <w:szCs w:val="24"/>
          <w:highlight w:val="none"/>
          <w:shd w:val="clear" w:color="auto" w:fill="FFFFFF"/>
        </w:rPr>
        <w:t>投标人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dotted"/>
        </w:rPr>
        <w:t xml:space="preserve">                                        </w:t>
      </w:r>
    </w:p>
    <w:p w14:paraId="472301EE">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p>
    <w:p w14:paraId="3CA1D76B">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p>
    <w:p w14:paraId="7372E833">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被授权人：</w:t>
      </w:r>
      <w:r>
        <w:rPr>
          <w:rFonts w:hint="eastAsia" w:ascii="宋体" w:hAnsi="宋体" w:eastAsia="宋体" w:cs="宋体"/>
          <w:color w:val="auto"/>
          <w:sz w:val="24"/>
          <w:szCs w:val="24"/>
          <w:highlight w:val="none"/>
          <w:u w:val="dotted"/>
        </w:rPr>
        <w:t xml:space="preserve">                                          </w:t>
      </w:r>
    </w:p>
    <w:p w14:paraId="102D3902">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14:paraId="12592717">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p>
    <w:p w14:paraId="14A6B83A">
      <w:pPr>
        <w:adjustRightInd w:val="0"/>
        <w:snapToGrid w:val="0"/>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二、质疑项目基本情况</w:t>
      </w:r>
    </w:p>
    <w:p w14:paraId="10CE5723">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w:t>
      </w:r>
      <w:r>
        <w:rPr>
          <w:rFonts w:hint="eastAsia" w:ascii="宋体" w:hAnsi="宋体" w:eastAsia="宋体" w:cs="宋体"/>
          <w:color w:val="auto"/>
          <w:sz w:val="24"/>
          <w:szCs w:val="24"/>
          <w:highlight w:val="none"/>
          <w:u w:val="dotted"/>
        </w:rPr>
        <w:t xml:space="preserve">                                      </w:t>
      </w:r>
    </w:p>
    <w:p w14:paraId="090EB4A0">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质疑项目的编号：</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包号：</w:t>
      </w:r>
      <w:r>
        <w:rPr>
          <w:rFonts w:hint="eastAsia" w:ascii="宋体" w:hAnsi="宋体" w:eastAsia="宋体" w:cs="宋体"/>
          <w:color w:val="auto"/>
          <w:sz w:val="24"/>
          <w:szCs w:val="24"/>
          <w:highlight w:val="none"/>
          <w:u w:val="dotted"/>
        </w:rPr>
        <w:t xml:space="preserve">                 </w:t>
      </w:r>
    </w:p>
    <w:p w14:paraId="0ABBB887">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采购人名称：</w:t>
      </w:r>
      <w:r>
        <w:rPr>
          <w:rFonts w:hint="eastAsia" w:ascii="宋体" w:hAnsi="宋体" w:eastAsia="宋体" w:cs="宋体"/>
          <w:color w:val="auto"/>
          <w:sz w:val="24"/>
          <w:szCs w:val="24"/>
          <w:highlight w:val="none"/>
          <w:u w:val="dotted"/>
        </w:rPr>
        <w:t xml:space="preserve">                                         </w:t>
      </w:r>
    </w:p>
    <w:p w14:paraId="0EB5C8A7">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获取日期：</w:t>
      </w:r>
      <w:r>
        <w:rPr>
          <w:rFonts w:hint="eastAsia" w:ascii="宋体" w:hAnsi="宋体" w:eastAsia="宋体" w:cs="宋体"/>
          <w:color w:val="auto"/>
          <w:sz w:val="24"/>
          <w:szCs w:val="24"/>
          <w:highlight w:val="none"/>
          <w:u w:val="dotted"/>
        </w:rPr>
        <w:t xml:space="preserve">                                           </w:t>
      </w:r>
    </w:p>
    <w:p w14:paraId="2709E717">
      <w:pPr>
        <w:adjustRightInd w:val="0"/>
        <w:snapToGrid w:val="0"/>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三、质疑事项具体内容</w:t>
      </w:r>
    </w:p>
    <w:p w14:paraId="145BACDF">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质疑事项1：</w:t>
      </w:r>
      <w:r>
        <w:rPr>
          <w:rFonts w:hint="eastAsia" w:ascii="宋体" w:hAnsi="宋体" w:eastAsia="宋体" w:cs="宋体"/>
          <w:color w:val="auto"/>
          <w:sz w:val="24"/>
          <w:szCs w:val="24"/>
          <w:highlight w:val="none"/>
          <w:u w:val="dotted"/>
        </w:rPr>
        <w:t xml:space="preserve">                                         </w:t>
      </w:r>
    </w:p>
    <w:p w14:paraId="61246720">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事实依据：</w:t>
      </w:r>
      <w:r>
        <w:rPr>
          <w:rFonts w:hint="eastAsia" w:ascii="宋体" w:hAnsi="宋体" w:eastAsia="宋体" w:cs="宋体"/>
          <w:color w:val="auto"/>
          <w:sz w:val="24"/>
          <w:szCs w:val="24"/>
          <w:highlight w:val="none"/>
          <w:u w:val="dotted"/>
        </w:rPr>
        <w:t xml:space="preserve">                                          </w:t>
      </w:r>
    </w:p>
    <w:p w14:paraId="08A6B72E">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dotted"/>
        </w:rPr>
        <w:t xml:space="preserve">                                                       </w:t>
      </w:r>
    </w:p>
    <w:p w14:paraId="2FB696FB">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dotted"/>
        </w:rPr>
        <w:t xml:space="preserve">                                          </w:t>
      </w:r>
    </w:p>
    <w:p w14:paraId="462C19C4">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dotted"/>
        </w:rPr>
        <w:t xml:space="preserve">                                                     </w:t>
      </w:r>
    </w:p>
    <w:p w14:paraId="0401C299">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质疑事项2</w:t>
      </w:r>
    </w:p>
    <w:p w14:paraId="18045507">
      <w:pPr>
        <w:adjustRightInd w:val="0"/>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568B4CBC">
      <w:pPr>
        <w:adjustRightInd w:val="0"/>
        <w:snapToGrid w:val="0"/>
        <w:spacing w:line="500" w:lineRule="exact"/>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四、与质疑事项相关的质疑请求</w:t>
      </w:r>
    </w:p>
    <w:p w14:paraId="415D399B">
      <w:pPr>
        <w:adjustRightInd w:val="0"/>
        <w:snapToGrid w:val="0"/>
        <w:spacing w:line="500" w:lineRule="exact"/>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请求：</w:t>
      </w:r>
      <w:r>
        <w:rPr>
          <w:rFonts w:hint="eastAsia" w:ascii="宋体" w:hAnsi="宋体" w:eastAsia="宋体" w:cs="宋体"/>
          <w:color w:val="auto"/>
          <w:sz w:val="24"/>
          <w:szCs w:val="24"/>
          <w:highlight w:val="none"/>
          <w:u w:val="dotted"/>
        </w:rPr>
        <w:t xml:space="preserve">                                               </w:t>
      </w:r>
    </w:p>
    <w:p w14:paraId="6DBBAFB5">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公章：                      </w:t>
      </w:r>
    </w:p>
    <w:p w14:paraId="3744EC4D">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日期：    </w:t>
      </w:r>
    </w:p>
    <w:p w14:paraId="1EFC3F35">
      <w:pPr>
        <w:adjustRightInd w:val="0"/>
        <w:snapToGrid w:val="0"/>
        <w:spacing w:line="500" w:lineRule="exact"/>
        <w:ind w:firstLine="480" w:firstLineChars="200"/>
        <w:rPr>
          <w:rFonts w:hint="eastAsia" w:ascii="宋体" w:hAnsi="宋体" w:eastAsia="宋体" w:cs="宋体"/>
          <w:color w:val="auto"/>
          <w:sz w:val="24"/>
          <w:szCs w:val="24"/>
          <w:highlight w:val="none"/>
        </w:rPr>
      </w:pPr>
    </w:p>
    <w:p w14:paraId="682DC33B">
      <w:pPr>
        <w:spacing w:line="500" w:lineRule="exact"/>
        <w:ind w:firstLine="482" w:firstLineChars="200"/>
        <w:jc w:val="center"/>
        <w:rPr>
          <w:rFonts w:hint="eastAsia" w:ascii="宋体" w:hAnsi="宋体" w:eastAsia="宋体" w:cs="宋体"/>
          <w:b/>
          <w:bCs/>
          <w:color w:val="auto"/>
          <w:sz w:val="24"/>
          <w:szCs w:val="24"/>
          <w:highlight w:val="none"/>
        </w:rPr>
      </w:pPr>
    </w:p>
    <w:p w14:paraId="736D46AF">
      <w:pPr>
        <w:spacing w:line="50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质疑函制作说明：</w:t>
      </w:r>
    </w:p>
    <w:p w14:paraId="04A3C200">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shd w:val="clear" w:color="auto" w:fill="FFFFFF"/>
        </w:rPr>
        <w:t>投标人</w:t>
      </w:r>
      <w:r>
        <w:rPr>
          <w:rFonts w:hint="eastAsia" w:ascii="宋体" w:hAnsi="宋体" w:eastAsia="宋体" w:cs="宋体"/>
          <w:color w:val="auto"/>
          <w:sz w:val="24"/>
          <w:szCs w:val="24"/>
          <w:highlight w:val="none"/>
        </w:rPr>
        <w:t>提出质疑时，应提交质疑函和必要的证明材料。</w:t>
      </w:r>
    </w:p>
    <w:p w14:paraId="53B53E78">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w:t>
      </w:r>
      <w:r>
        <w:rPr>
          <w:rFonts w:hint="eastAsia" w:ascii="宋体" w:hAnsi="宋体" w:eastAsia="宋体" w:cs="宋体"/>
          <w:color w:val="auto"/>
          <w:sz w:val="24"/>
          <w:szCs w:val="24"/>
          <w:highlight w:val="none"/>
          <w:shd w:val="clear" w:color="auto" w:fill="FFFFFF"/>
        </w:rPr>
        <w:t>投标人</w:t>
      </w:r>
      <w:r>
        <w:rPr>
          <w:rFonts w:hint="eastAsia" w:ascii="宋体" w:hAnsi="宋体" w:eastAsia="宋体" w:cs="宋体"/>
          <w:color w:val="auto"/>
          <w:sz w:val="24"/>
          <w:szCs w:val="24"/>
          <w:highlight w:val="none"/>
        </w:rPr>
        <w:t>若委托代理人进行质疑的，质疑函应按要求列明“被授权人”的有关内容，并在附件中提交由质疑</w:t>
      </w:r>
      <w:r>
        <w:rPr>
          <w:rFonts w:hint="eastAsia" w:ascii="宋体" w:hAnsi="宋体" w:eastAsia="宋体" w:cs="宋体"/>
          <w:color w:val="auto"/>
          <w:kern w:val="0"/>
          <w:sz w:val="24"/>
          <w:szCs w:val="24"/>
          <w:highlight w:val="none"/>
        </w:rPr>
        <w:t>投标人签署的授权委托书。授权委托书应载明代理人的姓名或者名称、代理事项、具体权限、期限和相关事项。</w:t>
      </w:r>
    </w:p>
    <w:p w14:paraId="0B634461">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w:t>
      </w:r>
      <w:r>
        <w:rPr>
          <w:rFonts w:hint="eastAsia" w:ascii="宋体" w:hAnsi="宋体" w:eastAsia="宋体" w:cs="宋体"/>
          <w:color w:val="auto"/>
          <w:sz w:val="24"/>
          <w:szCs w:val="24"/>
          <w:highlight w:val="none"/>
          <w:shd w:val="clear" w:color="auto" w:fill="FFFFFF"/>
        </w:rPr>
        <w:t>投标人</w:t>
      </w:r>
      <w:r>
        <w:rPr>
          <w:rFonts w:hint="eastAsia" w:ascii="宋体" w:hAnsi="宋体" w:eastAsia="宋体" w:cs="宋体"/>
          <w:color w:val="auto"/>
          <w:sz w:val="24"/>
          <w:szCs w:val="24"/>
          <w:highlight w:val="none"/>
        </w:rPr>
        <w:t>若对项目的某一分包进行质疑，质疑函中应列明具体分包号。</w:t>
      </w:r>
    </w:p>
    <w:p w14:paraId="2885125E">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14:paraId="4E1A147D">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14:paraId="1390270B">
      <w:pPr>
        <w:widowControl/>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6.质疑</w:t>
      </w:r>
      <w:r>
        <w:rPr>
          <w:rFonts w:hint="eastAsia" w:ascii="宋体" w:hAnsi="宋体" w:eastAsia="宋体" w:cs="宋体"/>
          <w:color w:val="auto"/>
          <w:sz w:val="24"/>
          <w:szCs w:val="24"/>
          <w:highlight w:val="none"/>
          <w:shd w:val="clear" w:color="auto" w:fill="FFFFFF"/>
        </w:rPr>
        <w:t>投标人</w:t>
      </w:r>
      <w:r>
        <w:rPr>
          <w:rFonts w:hint="eastAsia" w:ascii="宋体" w:hAnsi="宋体" w:eastAsia="宋体" w:cs="宋体"/>
          <w:color w:val="auto"/>
          <w:sz w:val="24"/>
          <w:szCs w:val="24"/>
          <w:highlight w:val="none"/>
        </w:rPr>
        <w:t>为自然人的，质疑函应由本人签字；质疑</w:t>
      </w:r>
      <w:r>
        <w:rPr>
          <w:rFonts w:hint="eastAsia" w:ascii="宋体" w:hAnsi="宋体" w:eastAsia="宋体" w:cs="宋体"/>
          <w:color w:val="auto"/>
          <w:sz w:val="24"/>
          <w:szCs w:val="24"/>
          <w:highlight w:val="none"/>
          <w:shd w:val="clear" w:color="auto" w:fill="FFFFFF"/>
        </w:rPr>
        <w:t>投标人</w:t>
      </w:r>
      <w:r>
        <w:rPr>
          <w:rFonts w:hint="eastAsia" w:ascii="宋体" w:hAnsi="宋体" w:eastAsia="宋体" w:cs="宋体"/>
          <w:color w:val="auto"/>
          <w:sz w:val="24"/>
          <w:szCs w:val="24"/>
          <w:highlight w:val="none"/>
        </w:rPr>
        <w:t>为法人或者其他组织的，质疑函应由法定代表人、主要负责人或者其被授权人签字或者盖章，并加盖公章。</w:t>
      </w:r>
    </w:p>
    <w:p w14:paraId="39E7A04E">
      <w:pPr>
        <w:pStyle w:val="29"/>
        <w:rPr>
          <w:rFonts w:hint="eastAsia" w:ascii="宋体" w:hAnsi="宋体" w:eastAsia="宋体" w:cs="宋体"/>
          <w:color w:val="auto"/>
          <w:sz w:val="24"/>
          <w:szCs w:val="24"/>
          <w:highlight w:val="none"/>
        </w:rPr>
      </w:pPr>
    </w:p>
    <w:p w14:paraId="38429ACD">
      <w:pPr>
        <w:pStyle w:val="29"/>
        <w:rPr>
          <w:rFonts w:hint="eastAsia" w:ascii="宋体" w:hAnsi="宋体" w:eastAsia="宋体" w:cs="宋体"/>
          <w:color w:val="auto"/>
          <w:sz w:val="24"/>
          <w:szCs w:val="24"/>
          <w:highlight w:val="none"/>
        </w:rPr>
      </w:pPr>
    </w:p>
    <w:p w14:paraId="58FC30D0">
      <w:pPr>
        <w:pStyle w:val="6"/>
        <w:spacing w:line="500" w:lineRule="exact"/>
        <w:ind w:firstLine="480"/>
        <w:rPr>
          <w:rFonts w:hint="eastAsia" w:ascii="宋体" w:hAnsi="宋体" w:eastAsia="宋体" w:cs="宋体"/>
          <w:color w:val="auto"/>
          <w:sz w:val="24"/>
          <w:szCs w:val="24"/>
          <w:highlight w:val="none"/>
        </w:rPr>
      </w:pPr>
    </w:p>
    <w:p w14:paraId="483FC4C6">
      <w:pPr>
        <w:spacing w:after="340" w:line="460" w:lineRule="exact"/>
        <w:jc w:val="center"/>
        <w:outlineLvl w:val="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br w:type="page"/>
      </w:r>
      <w:bookmarkStart w:id="135" w:name="_Toc5850_WPSOffice_Level1"/>
      <w:bookmarkStart w:id="136" w:name="_Toc21780"/>
      <w:r>
        <w:rPr>
          <w:rFonts w:hint="eastAsia" w:ascii="宋体" w:hAnsi="宋体" w:eastAsia="宋体" w:cs="宋体"/>
          <w:b/>
          <w:bCs/>
          <w:color w:val="auto"/>
          <w:sz w:val="24"/>
          <w:szCs w:val="24"/>
          <w:highlight w:val="none"/>
        </w:rPr>
        <w:t>第三章  投标文件格式</w:t>
      </w:r>
      <w:bookmarkEnd w:id="135"/>
      <w:bookmarkEnd w:id="136"/>
    </w:p>
    <w:p w14:paraId="1860A128">
      <w:pPr>
        <w:spacing w:line="46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投标文件封面示例</w:t>
      </w:r>
    </w:p>
    <w:p w14:paraId="44E88FBD">
      <w:pPr>
        <w:spacing w:line="460" w:lineRule="exact"/>
        <w:rPr>
          <w:rFonts w:hint="eastAsia" w:ascii="宋体" w:hAnsi="宋体" w:eastAsia="宋体" w:cs="宋体"/>
          <w:b/>
          <w:color w:val="auto"/>
          <w:sz w:val="24"/>
          <w:szCs w:val="24"/>
          <w:highlight w:val="none"/>
        </w:rPr>
      </w:pPr>
    </w:p>
    <w:p w14:paraId="16827F32">
      <w:pPr>
        <w:spacing w:line="460" w:lineRule="exact"/>
        <w:jc w:val="center"/>
        <w:rPr>
          <w:rFonts w:hint="eastAsia" w:ascii="宋体" w:hAnsi="宋体" w:eastAsia="宋体" w:cs="宋体"/>
          <w:b/>
          <w:color w:val="auto"/>
          <w:sz w:val="24"/>
          <w:szCs w:val="24"/>
          <w:highlight w:val="none"/>
        </w:rPr>
      </w:pPr>
    </w:p>
    <w:p w14:paraId="2F8A4AC6">
      <w:pPr>
        <w:spacing w:line="4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投标文件</w:t>
      </w:r>
    </w:p>
    <w:p w14:paraId="18361388">
      <w:pPr>
        <w:spacing w:line="460" w:lineRule="exact"/>
        <w:rPr>
          <w:rFonts w:hint="eastAsia" w:ascii="宋体" w:hAnsi="宋体" w:eastAsia="宋体" w:cs="宋体"/>
          <w:b/>
          <w:color w:val="auto"/>
          <w:sz w:val="24"/>
          <w:szCs w:val="24"/>
          <w:highlight w:val="none"/>
        </w:rPr>
      </w:pPr>
    </w:p>
    <w:p w14:paraId="55EB99A3">
      <w:pPr>
        <w:spacing w:line="460" w:lineRule="exact"/>
        <w:ind w:firstLine="504"/>
        <w:rPr>
          <w:rFonts w:hint="eastAsia" w:ascii="宋体" w:hAnsi="宋体" w:eastAsia="宋体" w:cs="宋体"/>
          <w:b/>
          <w:color w:val="auto"/>
          <w:sz w:val="24"/>
          <w:szCs w:val="24"/>
          <w:highlight w:val="none"/>
        </w:rPr>
      </w:pPr>
    </w:p>
    <w:p w14:paraId="788926E3">
      <w:pPr>
        <w:spacing w:line="460" w:lineRule="exact"/>
        <w:ind w:firstLine="504"/>
        <w:rPr>
          <w:rFonts w:hint="eastAsia" w:ascii="宋体" w:hAnsi="宋体" w:eastAsia="宋体" w:cs="宋体"/>
          <w:b/>
          <w:color w:val="auto"/>
          <w:sz w:val="24"/>
          <w:szCs w:val="24"/>
          <w:highlight w:val="none"/>
        </w:rPr>
      </w:pPr>
    </w:p>
    <w:p w14:paraId="3CBFDCB5">
      <w:pPr>
        <w:spacing w:line="460" w:lineRule="exact"/>
        <w:ind w:firstLine="504"/>
        <w:rPr>
          <w:rFonts w:hint="eastAsia" w:ascii="宋体" w:hAnsi="宋体" w:eastAsia="宋体" w:cs="宋体"/>
          <w:b/>
          <w:color w:val="auto"/>
          <w:sz w:val="24"/>
          <w:szCs w:val="24"/>
          <w:highlight w:val="none"/>
        </w:rPr>
      </w:pPr>
    </w:p>
    <w:p w14:paraId="287FD411">
      <w:pPr>
        <w:spacing w:line="460" w:lineRule="exact"/>
        <w:ind w:firstLine="504"/>
        <w:rPr>
          <w:rFonts w:hint="eastAsia" w:ascii="宋体" w:hAnsi="宋体" w:eastAsia="宋体" w:cs="宋体"/>
          <w:b/>
          <w:color w:val="auto"/>
          <w:sz w:val="24"/>
          <w:szCs w:val="24"/>
          <w:highlight w:val="none"/>
        </w:rPr>
      </w:pPr>
    </w:p>
    <w:p w14:paraId="3E6E3520">
      <w:pPr>
        <w:spacing w:line="460" w:lineRule="exact"/>
        <w:ind w:firstLine="504"/>
        <w:rPr>
          <w:rFonts w:hint="eastAsia" w:ascii="宋体" w:hAnsi="宋体" w:eastAsia="宋体" w:cs="宋体"/>
          <w:b/>
          <w:color w:val="auto"/>
          <w:sz w:val="24"/>
          <w:szCs w:val="24"/>
          <w:highlight w:val="none"/>
        </w:rPr>
      </w:pPr>
    </w:p>
    <w:p w14:paraId="2F259541">
      <w:pPr>
        <w:spacing w:line="460" w:lineRule="exact"/>
        <w:rPr>
          <w:rFonts w:hint="eastAsia" w:ascii="宋体" w:hAnsi="宋体" w:eastAsia="宋体" w:cs="宋体"/>
          <w:b/>
          <w:color w:val="auto"/>
          <w:sz w:val="24"/>
          <w:szCs w:val="24"/>
          <w:highlight w:val="none"/>
        </w:rPr>
      </w:pPr>
    </w:p>
    <w:p w14:paraId="76C04C8D">
      <w:pPr>
        <w:spacing w:line="460" w:lineRule="exact"/>
        <w:ind w:firstLine="482" w:firstLineChars="200"/>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标项</w:t>
      </w:r>
      <w:r>
        <w:rPr>
          <w:rFonts w:hint="eastAsia" w:ascii="宋体" w:hAnsi="宋体" w:eastAsia="宋体" w:cs="宋体"/>
          <w:b/>
          <w:color w:val="auto"/>
          <w:sz w:val="24"/>
          <w:szCs w:val="24"/>
          <w:highlight w:val="none"/>
        </w:rPr>
        <w:t>名称：</w:t>
      </w:r>
    </w:p>
    <w:p w14:paraId="24BFB3FE">
      <w:pPr>
        <w:pStyle w:val="29"/>
        <w:rPr>
          <w:rFonts w:hint="eastAsia" w:ascii="宋体" w:hAnsi="宋体" w:eastAsia="宋体" w:cs="宋体"/>
          <w:color w:val="auto"/>
          <w:sz w:val="24"/>
          <w:szCs w:val="24"/>
          <w:highlight w:val="none"/>
        </w:rPr>
      </w:pPr>
    </w:p>
    <w:p w14:paraId="3E9C8267">
      <w:pPr>
        <w:spacing w:line="460" w:lineRule="exact"/>
        <w:ind w:firstLine="482" w:firstLineChars="200"/>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标项</w:t>
      </w:r>
      <w:r>
        <w:rPr>
          <w:rFonts w:hint="eastAsia" w:ascii="宋体" w:hAnsi="宋体" w:eastAsia="宋体" w:cs="宋体"/>
          <w:b/>
          <w:color w:val="auto"/>
          <w:sz w:val="24"/>
          <w:szCs w:val="24"/>
          <w:highlight w:val="none"/>
        </w:rPr>
        <w:t>编号：</w:t>
      </w:r>
    </w:p>
    <w:p w14:paraId="253DD32B">
      <w:pPr>
        <w:spacing w:line="460" w:lineRule="exact"/>
        <w:ind w:firstLine="50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14:paraId="7B5D00D2">
      <w:pPr>
        <w:spacing w:line="460" w:lineRule="exact"/>
        <w:ind w:firstLine="50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投标人名称（盖章）：</w:t>
      </w:r>
    </w:p>
    <w:p w14:paraId="356CB1E8">
      <w:pPr>
        <w:spacing w:line="460" w:lineRule="exact"/>
        <w:ind w:firstLine="504"/>
        <w:rPr>
          <w:rFonts w:hint="eastAsia" w:ascii="宋体" w:hAnsi="宋体" w:eastAsia="宋体" w:cs="宋体"/>
          <w:b/>
          <w:color w:val="auto"/>
          <w:sz w:val="24"/>
          <w:szCs w:val="24"/>
          <w:highlight w:val="none"/>
        </w:rPr>
      </w:pPr>
    </w:p>
    <w:p w14:paraId="274CD9C6">
      <w:pPr>
        <w:spacing w:line="460" w:lineRule="exact"/>
        <w:ind w:firstLine="50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被授权人（签字或盖章）：</w:t>
      </w:r>
    </w:p>
    <w:p w14:paraId="39F77855">
      <w:pPr>
        <w:spacing w:line="460" w:lineRule="exact"/>
        <w:ind w:firstLine="504"/>
        <w:rPr>
          <w:rFonts w:hint="eastAsia" w:ascii="宋体" w:hAnsi="宋体" w:eastAsia="宋体" w:cs="宋体"/>
          <w:b/>
          <w:color w:val="auto"/>
          <w:sz w:val="24"/>
          <w:szCs w:val="24"/>
          <w:highlight w:val="none"/>
        </w:rPr>
      </w:pPr>
    </w:p>
    <w:p w14:paraId="41AF9321">
      <w:pPr>
        <w:spacing w:line="460" w:lineRule="exact"/>
        <w:ind w:firstLine="50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项目联系人： </w:t>
      </w:r>
    </w:p>
    <w:p w14:paraId="0EEA70D6">
      <w:pPr>
        <w:spacing w:line="460" w:lineRule="exact"/>
        <w:ind w:firstLine="504"/>
        <w:rPr>
          <w:rFonts w:hint="eastAsia" w:ascii="宋体" w:hAnsi="宋体" w:eastAsia="宋体" w:cs="宋体"/>
          <w:b/>
          <w:color w:val="auto"/>
          <w:sz w:val="24"/>
          <w:szCs w:val="24"/>
          <w:highlight w:val="none"/>
        </w:rPr>
      </w:pPr>
    </w:p>
    <w:p w14:paraId="5C4AF42F">
      <w:pPr>
        <w:spacing w:line="460" w:lineRule="exact"/>
        <w:ind w:firstLine="50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联系电话：</w:t>
      </w:r>
    </w:p>
    <w:p w14:paraId="747CB5FA">
      <w:pPr>
        <w:spacing w:line="460" w:lineRule="exact"/>
        <w:ind w:firstLine="504"/>
        <w:rPr>
          <w:rFonts w:hint="eastAsia" w:ascii="宋体" w:hAnsi="宋体" w:eastAsia="宋体" w:cs="宋体"/>
          <w:b/>
          <w:color w:val="auto"/>
          <w:sz w:val="24"/>
          <w:szCs w:val="24"/>
          <w:highlight w:val="none"/>
        </w:rPr>
      </w:pPr>
    </w:p>
    <w:p w14:paraId="262ADCC4">
      <w:pPr>
        <w:spacing w:line="460" w:lineRule="exact"/>
        <w:ind w:firstLine="504"/>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编制时间：</w:t>
      </w:r>
    </w:p>
    <w:p w14:paraId="3CCE04BD">
      <w:pPr>
        <w:spacing w:line="4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rPr>
        <w:t>目录</w:t>
      </w:r>
    </w:p>
    <w:p w14:paraId="541F2315">
      <w:pPr>
        <w:tabs>
          <w:tab w:val="left" w:pos="3480"/>
        </w:tabs>
        <w:spacing w:line="500" w:lineRule="exact"/>
        <w:ind w:firstLine="480" w:firstLineChars="200"/>
        <w:rPr>
          <w:rFonts w:hint="eastAsia" w:ascii="宋体" w:hAnsi="宋体" w:eastAsia="宋体" w:cs="宋体"/>
          <w:color w:val="auto"/>
          <w:sz w:val="24"/>
          <w:szCs w:val="24"/>
          <w:highlight w:val="none"/>
        </w:rPr>
      </w:pPr>
      <w:bookmarkStart w:id="137" w:name="_Toc217446082"/>
    </w:p>
    <w:p w14:paraId="6BA97860">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一、投标函</w:t>
      </w:r>
    </w:p>
    <w:p w14:paraId="66D41595">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二、身份证明书及授权委托书</w:t>
      </w:r>
    </w:p>
    <w:p w14:paraId="5BBE7D1B">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三、投标人基本情况表</w:t>
      </w:r>
    </w:p>
    <w:p w14:paraId="671CBAAD">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四</w:t>
      </w:r>
      <w:r>
        <w:rPr>
          <w:rFonts w:hint="eastAsia" w:ascii="宋体" w:hAnsi="宋体" w:eastAsia="宋体" w:cs="宋体"/>
          <w:color w:val="auto"/>
          <w:sz w:val="24"/>
          <w:szCs w:val="24"/>
          <w:highlight w:val="none"/>
        </w:rPr>
        <w:t>、投标人类似项目业绩一览表</w:t>
      </w:r>
    </w:p>
    <w:p w14:paraId="02546634">
      <w:pPr>
        <w:tabs>
          <w:tab w:val="left" w:pos="3480"/>
        </w:tabs>
        <w:spacing w:line="5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五</w:t>
      </w:r>
      <w:r>
        <w:rPr>
          <w:rFonts w:hint="eastAsia" w:ascii="宋体" w:hAnsi="宋体" w:eastAsia="宋体" w:cs="宋体"/>
          <w:color w:val="auto"/>
          <w:sz w:val="24"/>
          <w:szCs w:val="24"/>
          <w:highlight w:val="none"/>
        </w:rPr>
        <w:t>、商务、</w:t>
      </w:r>
      <w:r>
        <w:rPr>
          <w:rFonts w:hint="eastAsia" w:ascii="宋体" w:hAnsi="宋体" w:cs="宋体"/>
          <w:color w:val="auto"/>
          <w:sz w:val="24"/>
          <w:szCs w:val="24"/>
          <w:highlight w:val="none"/>
          <w:lang w:eastAsia="zh-CN"/>
        </w:rPr>
        <w:t>项目服务需求偏离表</w:t>
      </w:r>
    </w:p>
    <w:p w14:paraId="3D3DC5A6">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六</w:t>
      </w:r>
      <w:r>
        <w:rPr>
          <w:rFonts w:hint="eastAsia" w:ascii="宋体" w:hAnsi="宋体" w:eastAsia="宋体" w:cs="宋体"/>
          <w:color w:val="auto"/>
          <w:sz w:val="24"/>
          <w:szCs w:val="24"/>
          <w:highlight w:val="none"/>
        </w:rPr>
        <w:t>、拟配备人员情况</w:t>
      </w:r>
    </w:p>
    <w:p w14:paraId="75E4DC88">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七</w:t>
      </w:r>
      <w:r>
        <w:rPr>
          <w:rFonts w:hint="eastAsia" w:ascii="宋体" w:hAnsi="宋体" w:eastAsia="宋体" w:cs="宋体"/>
          <w:color w:val="auto"/>
          <w:sz w:val="24"/>
          <w:szCs w:val="24"/>
          <w:highlight w:val="none"/>
        </w:rPr>
        <w:t>、实施方案</w:t>
      </w:r>
    </w:p>
    <w:p w14:paraId="0CCB6F88">
      <w:pPr>
        <w:tabs>
          <w:tab w:val="left" w:pos="3480"/>
        </w:tabs>
        <w:spacing w:line="500"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八</w:t>
      </w:r>
      <w:r>
        <w:rPr>
          <w:rFonts w:hint="eastAsia" w:ascii="宋体" w:hAnsi="宋体" w:eastAsia="宋体" w:cs="宋体"/>
          <w:color w:val="auto"/>
          <w:sz w:val="24"/>
          <w:szCs w:val="24"/>
          <w:highlight w:val="none"/>
        </w:rPr>
        <w:t>、投标人认为需要提供的其他文件和资料</w:t>
      </w:r>
    </w:p>
    <w:p w14:paraId="37E79640">
      <w:pPr>
        <w:tabs>
          <w:tab w:val="left" w:pos="3480"/>
        </w:tabs>
        <w:spacing w:line="500" w:lineRule="exact"/>
        <w:ind w:firstLine="480" w:firstLineChars="200"/>
        <w:rPr>
          <w:rFonts w:hint="eastAsia" w:ascii="宋体" w:hAnsi="宋体" w:eastAsia="宋体" w:cs="宋体"/>
          <w:color w:val="auto"/>
          <w:sz w:val="24"/>
          <w:szCs w:val="24"/>
          <w:highlight w:val="none"/>
        </w:rPr>
      </w:pPr>
    </w:p>
    <w:p w14:paraId="66BB294B">
      <w:pPr>
        <w:pStyle w:val="6"/>
        <w:spacing w:line="500" w:lineRule="exact"/>
        <w:ind w:firstLine="480"/>
        <w:rPr>
          <w:rFonts w:hint="eastAsia" w:ascii="宋体" w:hAnsi="宋体" w:eastAsia="宋体" w:cs="宋体"/>
          <w:color w:val="auto"/>
          <w:sz w:val="24"/>
          <w:szCs w:val="24"/>
          <w:highlight w:val="none"/>
        </w:rPr>
      </w:pPr>
    </w:p>
    <w:p w14:paraId="02CCFC53">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备注</w:t>
      </w:r>
      <w:r>
        <w:rPr>
          <w:rFonts w:hint="eastAsia" w:ascii="宋体" w:hAnsi="宋体" w:eastAsia="宋体" w:cs="宋体"/>
          <w:color w:val="auto"/>
          <w:sz w:val="24"/>
          <w:szCs w:val="24"/>
          <w:highlight w:val="none"/>
        </w:rPr>
        <w:t>：投标人应按以上目录顺序编排投标文件，并标注相应页码。）</w:t>
      </w:r>
    </w:p>
    <w:p w14:paraId="341FF648">
      <w:pPr>
        <w:rPr>
          <w:rFonts w:hint="eastAsia" w:ascii="宋体" w:hAnsi="宋体" w:eastAsia="宋体" w:cs="宋体"/>
          <w:color w:val="auto"/>
          <w:sz w:val="24"/>
          <w:szCs w:val="24"/>
          <w:highlight w:val="none"/>
        </w:rPr>
      </w:pPr>
    </w:p>
    <w:p w14:paraId="25A2FE0F">
      <w:pPr>
        <w:pStyle w:val="29"/>
        <w:rPr>
          <w:rFonts w:hint="eastAsia" w:ascii="宋体" w:hAnsi="宋体" w:eastAsia="宋体" w:cs="宋体"/>
          <w:color w:val="auto"/>
          <w:sz w:val="24"/>
          <w:szCs w:val="24"/>
          <w:highlight w:val="none"/>
        </w:rPr>
      </w:pPr>
    </w:p>
    <w:p w14:paraId="63639192">
      <w:pPr>
        <w:rPr>
          <w:rFonts w:hint="eastAsia" w:ascii="宋体" w:hAnsi="宋体" w:eastAsia="宋体" w:cs="宋体"/>
          <w:color w:val="auto"/>
          <w:sz w:val="24"/>
          <w:szCs w:val="24"/>
          <w:highlight w:val="none"/>
        </w:rPr>
      </w:pPr>
    </w:p>
    <w:p w14:paraId="2BDD1496">
      <w:pPr>
        <w:pStyle w:val="29"/>
        <w:rPr>
          <w:rFonts w:hint="eastAsia" w:ascii="宋体" w:hAnsi="宋体" w:eastAsia="宋体" w:cs="宋体"/>
          <w:color w:val="auto"/>
          <w:sz w:val="24"/>
          <w:szCs w:val="24"/>
          <w:highlight w:val="none"/>
        </w:rPr>
      </w:pPr>
    </w:p>
    <w:p w14:paraId="49981F28">
      <w:pPr>
        <w:rPr>
          <w:rFonts w:hint="eastAsia" w:ascii="宋体" w:hAnsi="宋体" w:eastAsia="宋体" w:cs="宋体"/>
          <w:color w:val="auto"/>
          <w:sz w:val="24"/>
          <w:szCs w:val="24"/>
          <w:highlight w:val="none"/>
        </w:rPr>
      </w:pPr>
    </w:p>
    <w:p w14:paraId="4EB0C66C">
      <w:pPr>
        <w:spacing w:line="500" w:lineRule="exact"/>
        <w:rPr>
          <w:rFonts w:hint="eastAsia" w:ascii="宋体" w:hAnsi="宋体" w:eastAsia="宋体" w:cs="宋体"/>
          <w:color w:val="auto"/>
          <w:sz w:val="24"/>
          <w:szCs w:val="24"/>
          <w:highlight w:val="none"/>
        </w:rPr>
      </w:pPr>
    </w:p>
    <w:p w14:paraId="4991B63B">
      <w:pPr>
        <w:spacing w:line="500" w:lineRule="exact"/>
        <w:jc w:val="center"/>
        <w:rPr>
          <w:rFonts w:hint="eastAsia" w:ascii="宋体" w:hAnsi="宋体" w:eastAsia="宋体" w:cs="宋体"/>
          <w:color w:val="auto"/>
          <w:sz w:val="24"/>
          <w:szCs w:val="24"/>
          <w:highlight w:val="none"/>
        </w:rPr>
      </w:pPr>
    </w:p>
    <w:p w14:paraId="7D7C1480">
      <w:pPr>
        <w:rPr>
          <w:rFonts w:hint="eastAsia" w:ascii="宋体" w:hAnsi="宋体" w:eastAsia="宋体" w:cs="宋体"/>
          <w:color w:val="auto"/>
          <w:sz w:val="24"/>
          <w:szCs w:val="24"/>
          <w:highlight w:val="none"/>
        </w:rPr>
      </w:pPr>
    </w:p>
    <w:p w14:paraId="6BC906D2">
      <w:pPr>
        <w:pStyle w:val="29"/>
        <w:rPr>
          <w:rFonts w:hint="eastAsia" w:ascii="宋体" w:hAnsi="宋体" w:eastAsia="宋体" w:cs="宋体"/>
          <w:color w:val="auto"/>
          <w:sz w:val="24"/>
          <w:szCs w:val="24"/>
          <w:highlight w:val="none"/>
        </w:rPr>
      </w:pPr>
    </w:p>
    <w:p w14:paraId="2116B30F">
      <w:pPr>
        <w:rPr>
          <w:rFonts w:hint="eastAsia" w:ascii="宋体" w:hAnsi="宋体" w:eastAsia="宋体" w:cs="宋体"/>
          <w:color w:val="auto"/>
          <w:sz w:val="24"/>
          <w:szCs w:val="24"/>
          <w:highlight w:val="none"/>
        </w:rPr>
      </w:pPr>
    </w:p>
    <w:p w14:paraId="51FD6E0C">
      <w:pPr>
        <w:pStyle w:val="29"/>
        <w:rPr>
          <w:rFonts w:hint="eastAsia" w:ascii="宋体" w:hAnsi="宋体" w:eastAsia="宋体" w:cs="宋体"/>
          <w:color w:val="auto"/>
          <w:sz w:val="24"/>
          <w:szCs w:val="24"/>
          <w:highlight w:val="none"/>
        </w:rPr>
      </w:pPr>
    </w:p>
    <w:p w14:paraId="7856136F">
      <w:pPr>
        <w:rPr>
          <w:rFonts w:hint="eastAsia" w:ascii="宋体" w:hAnsi="宋体" w:eastAsia="宋体" w:cs="宋体"/>
          <w:color w:val="auto"/>
          <w:sz w:val="24"/>
          <w:szCs w:val="24"/>
          <w:highlight w:val="none"/>
        </w:rPr>
      </w:pPr>
    </w:p>
    <w:p w14:paraId="0E1D711F">
      <w:pPr>
        <w:pStyle w:val="29"/>
        <w:rPr>
          <w:rFonts w:hint="eastAsia" w:ascii="宋体" w:hAnsi="宋体" w:eastAsia="宋体" w:cs="宋体"/>
          <w:color w:val="auto"/>
          <w:sz w:val="24"/>
          <w:szCs w:val="24"/>
          <w:highlight w:val="none"/>
        </w:rPr>
      </w:pPr>
    </w:p>
    <w:p w14:paraId="33A0D43B">
      <w:pPr>
        <w:spacing w:line="500" w:lineRule="exact"/>
        <w:jc w:val="center"/>
        <w:rPr>
          <w:rFonts w:hint="eastAsia" w:ascii="宋体" w:hAnsi="宋体" w:eastAsia="宋体" w:cs="宋体"/>
          <w:color w:val="auto"/>
          <w:sz w:val="24"/>
          <w:szCs w:val="24"/>
          <w:highlight w:val="none"/>
        </w:rPr>
      </w:pPr>
    </w:p>
    <w:p w14:paraId="5FF8812C">
      <w:pPr>
        <w:spacing w:line="500" w:lineRule="exact"/>
        <w:jc w:val="center"/>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b/>
          <w:bCs/>
          <w:color w:val="auto"/>
          <w:sz w:val="24"/>
          <w:szCs w:val="24"/>
          <w:highlight w:val="none"/>
        </w:rPr>
        <w:t>一、</w:t>
      </w:r>
      <w:bookmarkEnd w:id="137"/>
      <w:r>
        <w:rPr>
          <w:rFonts w:hint="eastAsia" w:ascii="宋体" w:hAnsi="宋体" w:eastAsia="宋体" w:cs="宋体"/>
          <w:b/>
          <w:bCs/>
          <w:color w:val="auto"/>
          <w:sz w:val="24"/>
          <w:szCs w:val="24"/>
          <w:highlight w:val="none"/>
        </w:rPr>
        <w:t>投标函</w:t>
      </w:r>
    </w:p>
    <w:p w14:paraId="783EEF08">
      <w:pPr>
        <w:pStyle w:val="16"/>
        <w:spacing w:after="0" w:line="500" w:lineRule="exact"/>
        <w:ind w:left="0" w:leftChars="0" w:firstLine="480" w:firstLineChars="200"/>
        <w:rPr>
          <w:rFonts w:hint="eastAsia" w:ascii="宋体" w:hAnsi="宋体" w:eastAsia="宋体" w:cs="宋体"/>
          <w:bCs/>
          <w:color w:val="auto"/>
          <w:sz w:val="24"/>
          <w:szCs w:val="24"/>
          <w:highlight w:val="none"/>
        </w:rPr>
      </w:pPr>
      <w:bookmarkStart w:id="138" w:name="_Toc217446083"/>
      <w:r>
        <w:rPr>
          <w:rFonts w:hint="eastAsia" w:ascii="宋体" w:hAnsi="宋体" w:eastAsia="宋体" w:cs="宋体"/>
          <w:bCs/>
          <w:color w:val="auto"/>
          <w:sz w:val="24"/>
          <w:szCs w:val="24"/>
          <w:highlight w:val="none"/>
        </w:rPr>
        <w:t>__________（采购人）：</w:t>
      </w:r>
    </w:p>
    <w:p w14:paraId="78B30AB0">
      <w:pPr>
        <w:pStyle w:val="16"/>
        <w:spacing w:after="0" w:line="500" w:lineRule="exact"/>
        <w:ind w:left="0" w:lef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我方全面研究了 “</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（项目名称</w:t>
      </w:r>
      <w:r>
        <w:rPr>
          <w:rFonts w:hint="eastAsia" w:ascii="宋体" w:hAnsi="宋体" w:cs="宋体"/>
          <w:bCs/>
          <w:color w:val="auto"/>
          <w:sz w:val="24"/>
          <w:szCs w:val="24"/>
          <w:highlight w:val="none"/>
          <w:lang w:val="en-US" w:eastAsia="zh-CN"/>
        </w:rPr>
        <w:t>+标项</w:t>
      </w:r>
      <w:r>
        <w:rPr>
          <w:rFonts w:hint="eastAsia" w:ascii="宋体" w:hAnsi="宋体" w:eastAsia="宋体" w:cs="宋体"/>
          <w:bCs/>
          <w:color w:val="auto"/>
          <w:sz w:val="24"/>
          <w:szCs w:val="24"/>
          <w:highlight w:val="none"/>
        </w:rPr>
        <w:t>、项目编号）”项目招标文件，决定参加贵单位组织的本项目投标。我方授权</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（姓名、职务）代表我方</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（投标人的名称）全权处理本项目投标的有关事宜。</w:t>
      </w:r>
    </w:p>
    <w:p w14:paraId="69397A8D">
      <w:pPr>
        <w:pStyle w:val="16"/>
        <w:spacing w:after="0" w:line="500" w:lineRule="exact"/>
        <w:ind w:left="0" w:lef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1、我方自愿按照招标文件规定的各项要求向采购人提供所需</w:t>
      </w:r>
      <w:r>
        <w:rPr>
          <w:rFonts w:hint="eastAsia" w:ascii="宋体" w:hAnsi="宋体" w:cs="宋体"/>
          <w:bCs/>
          <w:color w:val="auto"/>
          <w:sz w:val="24"/>
          <w:szCs w:val="24"/>
          <w:highlight w:val="none"/>
          <w:lang w:val="en-US" w:eastAsia="zh-CN"/>
        </w:rPr>
        <w:t>服务</w:t>
      </w:r>
      <w:r>
        <w:rPr>
          <w:rFonts w:hint="eastAsia" w:ascii="宋体" w:hAnsi="宋体" w:eastAsia="宋体" w:cs="宋体"/>
          <w:bCs/>
          <w:color w:val="auto"/>
          <w:sz w:val="24"/>
          <w:szCs w:val="24"/>
          <w:highlight w:val="none"/>
        </w:rPr>
        <w:t>，总投标价为人民币</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元（大写：</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），投标有效期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日历天。</w:t>
      </w:r>
    </w:p>
    <w:p w14:paraId="5F18BC1E">
      <w:pPr>
        <w:pStyle w:val="16"/>
        <w:spacing w:after="0" w:line="500" w:lineRule="exact"/>
        <w:ind w:left="0" w:lef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2、一旦我方成交，我方将严格履行合同规定的责任和义务，</w:t>
      </w:r>
      <w:r>
        <w:rPr>
          <w:rFonts w:hint="eastAsia" w:ascii="宋体" w:hAnsi="宋体" w:cs="宋体"/>
          <w:bCs/>
          <w:color w:val="auto"/>
          <w:sz w:val="24"/>
          <w:szCs w:val="24"/>
          <w:highlight w:val="none"/>
          <w:lang w:val="en-US" w:eastAsia="zh-CN"/>
        </w:rPr>
        <w:t>服务</w:t>
      </w:r>
      <w:r>
        <w:rPr>
          <w:rFonts w:hint="eastAsia" w:ascii="宋体" w:hAnsi="宋体" w:eastAsia="宋体" w:cs="宋体"/>
          <w:bCs/>
          <w:color w:val="auto"/>
          <w:sz w:val="24"/>
          <w:szCs w:val="24"/>
          <w:highlight w:val="none"/>
        </w:rPr>
        <w:t>期为：</w:t>
      </w:r>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4093F6E0">
      <w:pPr>
        <w:pStyle w:val="16"/>
        <w:spacing w:after="0" w:line="500" w:lineRule="exact"/>
        <w:ind w:left="0" w:leftChars="0"/>
        <w:rPr>
          <w:rFonts w:hint="eastAsia" w:ascii="宋体" w:hAnsi="宋体" w:eastAsia="宋体" w:cs="宋体"/>
          <w:bCs/>
          <w:color w:val="auto"/>
          <w:sz w:val="24"/>
          <w:szCs w:val="24"/>
          <w:highlight w:val="none"/>
          <w:lang w:eastAsia="zh-CN"/>
        </w:rPr>
      </w:pP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并达到采购人要求</w:t>
      </w:r>
      <w:r>
        <w:rPr>
          <w:rFonts w:hint="eastAsia" w:ascii="宋体" w:hAnsi="宋体" w:cs="宋体"/>
          <w:bCs/>
          <w:color w:val="auto"/>
          <w:sz w:val="24"/>
          <w:szCs w:val="24"/>
          <w:highlight w:val="none"/>
          <w:lang w:eastAsia="zh-CN"/>
        </w:rPr>
        <w:t>。</w:t>
      </w:r>
    </w:p>
    <w:p w14:paraId="793C0F95">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3、我方同意按照招标文件的要求，向贵单位缴纳人民币</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元（大写：</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）的投标保证金，并承诺如发生符合“第二章投标人须知”第15.5条的任何情况时，我方将不要求退还投标保证金。</w:t>
      </w:r>
    </w:p>
    <w:p w14:paraId="6E13EADA">
      <w:pPr>
        <w:pStyle w:val="16"/>
        <w:spacing w:after="0" w:line="500" w:lineRule="exact"/>
        <w:ind w:left="0" w:lef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4、我方提交的投标文件满足招标文件实质性要求。</w:t>
      </w:r>
    </w:p>
    <w:p w14:paraId="2E7AF119">
      <w:pPr>
        <w:pStyle w:val="16"/>
        <w:spacing w:after="0" w:line="500" w:lineRule="exact"/>
        <w:ind w:left="0" w:lef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5、我方愿意提供采购人可能另外要求的，与投标有关的文件资料，并保证我方已提供和将要提供的文件资料是真实、准确的。</w:t>
      </w:r>
    </w:p>
    <w:p w14:paraId="3AC1DD9E">
      <w:pPr>
        <w:pStyle w:val="16"/>
        <w:spacing w:after="0" w:line="500" w:lineRule="exact"/>
        <w:ind w:left="0" w:leftChars="0"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6、我方完全理解采购人不一定将合同授予最低报价的投标人。</w:t>
      </w:r>
    </w:p>
    <w:p w14:paraId="40688DD1">
      <w:pPr>
        <w:pStyle w:val="16"/>
        <w:spacing w:after="0" w:line="500" w:lineRule="exact"/>
        <w:ind w:left="0" w:leftChars="0" w:firstLine="480" w:firstLineChars="200"/>
        <w:jc w:val="center"/>
        <w:rPr>
          <w:rFonts w:hint="eastAsia" w:ascii="宋体" w:hAnsi="宋体" w:eastAsia="宋体" w:cs="宋体"/>
          <w:bCs/>
          <w:color w:val="auto"/>
          <w:sz w:val="24"/>
          <w:szCs w:val="24"/>
          <w:highlight w:val="none"/>
        </w:rPr>
      </w:pPr>
    </w:p>
    <w:p w14:paraId="72621A75">
      <w:pPr>
        <w:pStyle w:val="16"/>
        <w:spacing w:after="0" w:line="500" w:lineRule="exact"/>
        <w:ind w:firstLine="3360" w:firstLineChars="1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投标人名称（盖章）：</w:t>
      </w:r>
    </w:p>
    <w:p w14:paraId="0A6A0B13">
      <w:pPr>
        <w:pStyle w:val="16"/>
        <w:spacing w:after="0" w:line="500" w:lineRule="exact"/>
        <w:ind w:left="0" w:leftChars="0" w:firstLine="480" w:firstLineChars="20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r>
        <w:rPr>
          <w:rFonts w:hint="eastAsia" w:ascii="宋体" w:hAnsi="宋体" w:eastAsia="宋体" w:cs="宋体"/>
          <w:color w:val="auto"/>
          <w:sz w:val="24"/>
          <w:szCs w:val="24"/>
          <w:highlight w:val="none"/>
        </w:rPr>
        <w:t>授权人或被授权人（签字或盖章）</w:t>
      </w:r>
      <w:r>
        <w:rPr>
          <w:rFonts w:hint="eastAsia" w:ascii="宋体" w:hAnsi="宋体" w:eastAsia="宋体" w:cs="宋体"/>
          <w:bCs/>
          <w:color w:val="auto"/>
          <w:sz w:val="24"/>
          <w:szCs w:val="24"/>
          <w:highlight w:val="none"/>
        </w:rPr>
        <w:t>：</w:t>
      </w:r>
    </w:p>
    <w:p w14:paraId="5FBC788E">
      <w:pPr>
        <w:pStyle w:val="16"/>
        <w:spacing w:after="0" w:line="500" w:lineRule="exact"/>
        <w:ind w:firstLine="3360" w:firstLineChars="1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通讯地址：</w:t>
      </w:r>
    </w:p>
    <w:p w14:paraId="24F52E70">
      <w:pPr>
        <w:pStyle w:val="16"/>
        <w:spacing w:after="0" w:line="500" w:lineRule="exact"/>
        <w:ind w:firstLine="3360" w:firstLineChars="1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p>
    <w:p w14:paraId="67F9D5C2">
      <w:pPr>
        <w:pStyle w:val="16"/>
        <w:spacing w:after="0" w:line="500" w:lineRule="exact"/>
        <w:ind w:firstLine="3360" w:firstLineChars="14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日    期：</w:t>
      </w:r>
    </w:p>
    <w:p w14:paraId="253FE4C3">
      <w:pPr>
        <w:pStyle w:val="44"/>
        <w:spacing w:line="460" w:lineRule="exact"/>
        <w:ind w:firstLine="3360" w:firstLineChars="1400"/>
        <w:rPr>
          <w:rFonts w:hint="eastAsia" w:ascii="宋体" w:hAnsi="宋体" w:eastAsia="宋体" w:cs="宋体"/>
          <w:bCs/>
          <w:color w:val="auto"/>
          <w:sz w:val="24"/>
          <w:szCs w:val="24"/>
          <w:highlight w:val="none"/>
        </w:rPr>
      </w:pPr>
    </w:p>
    <w:p w14:paraId="25C2D8AC">
      <w:pPr>
        <w:pStyle w:val="44"/>
        <w:spacing w:line="460" w:lineRule="exact"/>
        <w:ind w:firstLine="3360" w:firstLineChars="1400"/>
        <w:rPr>
          <w:rFonts w:hint="eastAsia" w:ascii="宋体" w:hAnsi="宋体" w:eastAsia="宋体" w:cs="宋体"/>
          <w:bCs/>
          <w:color w:val="auto"/>
          <w:sz w:val="24"/>
          <w:szCs w:val="24"/>
          <w:highlight w:val="none"/>
        </w:rPr>
      </w:pPr>
    </w:p>
    <w:p w14:paraId="35933E10">
      <w:pPr>
        <w:pStyle w:val="44"/>
        <w:spacing w:line="460" w:lineRule="exact"/>
        <w:ind w:firstLine="3360" w:firstLineChars="1400"/>
        <w:rPr>
          <w:rFonts w:hint="eastAsia" w:ascii="宋体" w:hAnsi="宋体" w:eastAsia="宋体" w:cs="宋体"/>
          <w:bCs/>
          <w:color w:val="auto"/>
          <w:sz w:val="24"/>
          <w:szCs w:val="24"/>
          <w:highlight w:val="none"/>
        </w:rPr>
      </w:pPr>
    </w:p>
    <w:p w14:paraId="12FA8D6C">
      <w:pPr>
        <w:pStyle w:val="44"/>
        <w:spacing w:line="460" w:lineRule="exact"/>
        <w:ind w:firstLine="3360" w:firstLineChars="1400"/>
        <w:rPr>
          <w:rFonts w:hint="eastAsia" w:ascii="宋体" w:hAnsi="宋体" w:eastAsia="宋体" w:cs="宋体"/>
          <w:bCs/>
          <w:color w:val="auto"/>
          <w:sz w:val="24"/>
          <w:szCs w:val="24"/>
          <w:highlight w:val="none"/>
        </w:rPr>
      </w:pPr>
    </w:p>
    <w:p w14:paraId="1E5D0EDD">
      <w:pPr>
        <w:pStyle w:val="44"/>
        <w:spacing w:line="460" w:lineRule="exact"/>
        <w:ind w:firstLine="3360" w:firstLineChars="1400"/>
        <w:rPr>
          <w:rFonts w:hint="eastAsia" w:ascii="宋体" w:hAnsi="宋体" w:eastAsia="宋体" w:cs="宋体"/>
          <w:bCs/>
          <w:color w:val="auto"/>
          <w:sz w:val="24"/>
          <w:szCs w:val="24"/>
          <w:highlight w:val="none"/>
        </w:rPr>
      </w:pPr>
    </w:p>
    <w:p w14:paraId="7FEA292C">
      <w:pPr>
        <w:pStyle w:val="44"/>
        <w:spacing w:line="460" w:lineRule="exact"/>
        <w:ind w:firstLine="3360" w:firstLineChars="1400"/>
        <w:rPr>
          <w:rFonts w:hint="eastAsia" w:ascii="宋体" w:hAnsi="宋体" w:eastAsia="宋体" w:cs="宋体"/>
          <w:bCs/>
          <w:color w:val="auto"/>
          <w:sz w:val="24"/>
          <w:szCs w:val="24"/>
          <w:highlight w:val="none"/>
        </w:rPr>
      </w:pPr>
    </w:p>
    <w:p w14:paraId="4838629F">
      <w:pPr>
        <w:pStyle w:val="4"/>
        <w:numPr>
          <w:ilvl w:val="0"/>
          <w:numId w:val="6"/>
        </w:numPr>
        <w:spacing w:before="156" w:after="156"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身份证明书及授权委托书</w:t>
      </w:r>
    </w:p>
    <w:p w14:paraId="01CED351">
      <w:pPr>
        <w:spacing w:line="500" w:lineRule="exact"/>
        <w:ind w:firstLine="482" w:firstLineChars="200"/>
        <w:jc w:val="center"/>
        <w:rPr>
          <w:rFonts w:hint="eastAsia" w:ascii="宋体" w:hAnsi="宋体" w:eastAsia="宋体" w:cs="宋体"/>
          <w:b/>
          <w:bCs/>
          <w:color w:val="auto"/>
          <w:sz w:val="24"/>
          <w:szCs w:val="24"/>
          <w:highlight w:val="none"/>
        </w:rPr>
      </w:pPr>
    </w:p>
    <w:p w14:paraId="11F20EAD">
      <w:pPr>
        <w:spacing w:line="500" w:lineRule="exact"/>
        <w:ind w:firstLine="482" w:firstLineChars="2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身份证明书（投标人为法人）</w:t>
      </w:r>
    </w:p>
    <w:p w14:paraId="6AB57082">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r>
        <w:rPr>
          <w:rFonts w:hint="eastAsia" w:ascii="宋体" w:hAnsi="宋体" w:eastAsia="宋体" w:cs="宋体"/>
          <w:color w:val="auto"/>
          <w:sz w:val="24"/>
          <w:szCs w:val="24"/>
          <w:highlight w:val="none"/>
          <w:u w:val="single"/>
        </w:rPr>
        <w:t xml:space="preserve">                                                                       </w:t>
      </w:r>
    </w:p>
    <w:p w14:paraId="1EFDA69C">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p>
    <w:p w14:paraId="7A2690E3">
      <w:pPr>
        <w:spacing w:line="50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5BE8FE8C">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14:paraId="5BB12516">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的法定代表人，为具有参加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（项目名称）的投标、签署上述投标文件、进行合同谈判、签署合同和处理与之有关的一切事务权利的投标人。 </w:t>
      </w:r>
    </w:p>
    <w:p w14:paraId="4B473B2F">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1CFBC7C0">
      <w:pPr>
        <w:spacing w:line="5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73C38419">
      <w:pPr>
        <w:spacing w:line="500" w:lineRule="exact"/>
        <w:ind w:firstLine="482" w:firstLineChars="200"/>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sz w:val="24"/>
          <w:szCs w:val="24"/>
          <w:highlight w:val="none"/>
        </w:rPr>
        <w:t>附</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法定代表人身份证正反面彩色扫描件</w:t>
      </w:r>
      <w:r>
        <w:rPr>
          <w:rFonts w:hint="eastAsia" w:ascii="宋体" w:hAnsi="宋体" w:eastAsia="宋体" w:cs="宋体"/>
          <w:b/>
          <w:bCs/>
          <w:color w:val="auto"/>
          <w:sz w:val="24"/>
          <w:szCs w:val="24"/>
          <w:highlight w:val="none"/>
          <w:lang w:eastAsia="zh-CN"/>
        </w:rPr>
        <w:t>。</w:t>
      </w:r>
    </w:p>
    <w:p w14:paraId="06997BFF">
      <w:pPr>
        <w:spacing w:line="500" w:lineRule="exact"/>
        <w:ind w:firstLine="480" w:firstLineChars="200"/>
        <w:jc w:val="center"/>
        <w:rPr>
          <w:rFonts w:hint="eastAsia" w:ascii="宋体" w:hAnsi="宋体" w:eastAsia="宋体" w:cs="宋体"/>
          <w:color w:val="auto"/>
          <w:sz w:val="24"/>
          <w:szCs w:val="24"/>
          <w:highlight w:val="none"/>
        </w:rPr>
      </w:pPr>
    </w:p>
    <w:p w14:paraId="1C3E4972">
      <w:pPr>
        <w:spacing w:line="500" w:lineRule="exact"/>
        <w:ind w:firstLine="480" w:firstLineChars="200"/>
        <w:jc w:val="center"/>
        <w:rPr>
          <w:rFonts w:hint="eastAsia" w:ascii="宋体" w:hAnsi="宋体" w:eastAsia="宋体" w:cs="宋体"/>
          <w:color w:val="auto"/>
          <w:sz w:val="24"/>
          <w:szCs w:val="24"/>
          <w:highlight w:val="none"/>
        </w:rPr>
      </w:pPr>
    </w:p>
    <w:p w14:paraId="021A2D43">
      <w:pPr>
        <w:spacing w:line="500" w:lineRule="exact"/>
        <w:ind w:firstLine="480" w:firstLineChars="200"/>
        <w:jc w:val="center"/>
        <w:rPr>
          <w:rFonts w:hint="eastAsia" w:ascii="宋体" w:hAnsi="宋体" w:eastAsia="宋体" w:cs="宋体"/>
          <w:color w:val="auto"/>
          <w:sz w:val="24"/>
          <w:szCs w:val="24"/>
          <w:highlight w:val="none"/>
        </w:rPr>
      </w:pPr>
    </w:p>
    <w:p w14:paraId="0E691370">
      <w:pPr>
        <w:spacing w:line="5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                       投标人名称（盖章）：</w:t>
      </w:r>
      <w:r>
        <w:rPr>
          <w:rFonts w:hint="eastAsia" w:ascii="宋体" w:hAnsi="宋体" w:eastAsia="宋体" w:cs="宋体"/>
          <w:color w:val="auto"/>
          <w:sz w:val="24"/>
          <w:szCs w:val="24"/>
          <w:highlight w:val="none"/>
          <w:u w:val="single"/>
        </w:rPr>
        <w:t xml:space="preserve">                  </w:t>
      </w:r>
    </w:p>
    <w:p w14:paraId="16D0DFFC">
      <w:pPr>
        <w:spacing w:line="5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   期：  </w:t>
      </w:r>
      <w:r>
        <w:rPr>
          <w:rFonts w:hint="eastAsia" w:ascii="宋体" w:hAnsi="宋体" w:eastAsia="宋体" w:cs="宋体"/>
          <w:bCs/>
          <w:color w:val="auto"/>
          <w:sz w:val="24"/>
          <w:szCs w:val="24"/>
          <w:highlight w:val="none"/>
        </w:rPr>
        <w:t>年   月   日</w:t>
      </w:r>
    </w:p>
    <w:p w14:paraId="3EEBDF8A">
      <w:pPr>
        <w:snapToGrid w:val="0"/>
        <w:spacing w:line="500" w:lineRule="exact"/>
        <w:ind w:firstLine="482" w:firstLineChars="200"/>
        <w:jc w:val="center"/>
        <w:rPr>
          <w:rFonts w:hint="eastAsia" w:ascii="宋体" w:hAnsi="宋体" w:eastAsia="宋体" w:cs="宋体"/>
          <w:b/>
          <w:bCs/>
          <w:color w:val="auto"/>
          <w:sz w:val="24"/>
          <w:szCs w:val="24"/>
          <w:highlight w:val="none"/>
        </w:rPr>
      </w:pPr>
    </w:p>
    <w:p w14:paraId="5C4CD005">
      <w:pPr>
        <w:pStyle w:val="2"/>
        <w:rPr>
          <w:rFonts w:hint="eastAsia" w:ascii="宋体" w:hAnsi="宋体" w:eastAsia="宋体" w:cs="宋体"/>
          <w:b/>
          <w:bCs/>
          <w:color w:val="auto"/>
          <w:sz w:val="24"/>
          <w:szCs w:val="24"/>
          <w:highlight w:val="none"/>
        </w:rPr>
      </w:pPr>
    </w:p>
    <w:p w14:paraId="68CC5C1F">
      <w:pPr>
        <w:spacing w:line="500" w:lineRule="exact"/>
        <w:ind w:firstLine="482" w:firstLineChars="200"/>
        <w:jc w:val="center"/>
        <w:rPr>
          <w:rFonts w:hint="eastAsia" w:ascii="宋体" w:hAnsi="宋体" w:eastAsia="宋体" w:cs="宋体"/>
          <w:b/>
          <w:bCs/>
          <w:color w:val="auto"/>
          <w:sz w:val="24"/>
          <w:szCs w:val="24"/>
          <w:highlight w:val="none"/>
        </w:rPr>
      </w:pPr>
    </w:p>
    <w:p w14:paraId="54E5A1D9">
      <w:pPr>
        <w:snapToGrid w:val="0"/>
        <w:spacing w:line="500" w:lineRule="exact"/>
        <w:ind w:firstLine="482" w:firstLineChars="2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rPr>
        <w:t>身份证明书（投标人为非法人）</w:t>
      </w:r>
    </w:p>
    <w:p w14:paraId="78EBA94E">
      <w:pPr>
        <w:keepNext/>
        <w:keepLines/>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宋体" w:hAnsi="宋体" w:eastAsia="宋体" w:cs="宋体"/>
          <w:color w:val="auto"/>
          <w:sz w:val="24"/>
          <w:szCs w:val="24"/>
          <w:highlight w:val="none"/>
        </w:rPr>
      </w:pPr>
    </w:p>
    <w:p w14:paraId="66449103">
      <w:pPr>
        <w:snapToGrid w:val="0"/>
        <w:spacing w:line="50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0E965452">
      <w:pPr>
        <w:snapToGrid w:val="0"/>
        <w:spacing w:line="50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p>
    <w:p w14:paraId="3EAD7B8A">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14:paraId="11FF7194">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为具有参加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（项目名称）的投标、签署上述投标文件、进行合同谈判、签署合同和处理与之有关的一切事务权利的投标人。 </w:t>
      </w:r>
    </w:p>
    <w:p w14:paraId="17C70992">
      <w:pPr>
        <w:snapToGrid w:val="0"/>
        <w:spacing w:line="500" w:lineRule="exact"/>
        <w:ind w:firstLine="480" w:firstLineChars="200"/>
        <w:rPr>
          <w:rFonts w:hint="eastAsia" w:ascii="宋体" w:hAnsi="宋体" w:eastAsia="宋体" w:cs="宋体"/>
          <w:color w:val="auto"/>
          <w:sz w:val="24"/>
          <w:szCs w:val="24"/>
          <w:highlight w:val="none"/>
        </w:rPr>
      </w:pPr>
    </w:p>
    <w:p w14:paraId="522645E7">
      <w:pPr>
        <w:snapToGri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406936DB">
      <w:pPr>
        <w:spacing w:line="5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5F8E9035">
      <w:pPr>
        <w:snapToGrid w:val="0"/>
        <w:spacing w:line="500" w:lineRule="exact"/>
        <w:ind w:firstLine="482" w:firstLineChars="200"/>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sz w:val="24"/>
          <w:szCs w:val="24"/>
          <w:highlight w:val="none"/>
        </w:rPr>
        <w:t>附</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身份证正反面彩色扫描件</w:t>
      </w:r>
      <w:r>
        <w:rPr>
          <w:rFonts w:hint="eastAsia" w:ascii="宋体" w:hAnsi="宋体" w:eastAsia="宋体" w:cs="宋体"/>
          <w:b/>
          <w:bCs/>
          <w:color w:val="auto"/>
          <w:sz w:val="24"/>
          <w:szCs w:val="24"/>
          <w:highlight w:val="none"/>
          <w:lang w:eastAsia="zh-CN"/>
        </w:rPr>
        <w:t>。</w:t>
      </w:r>
    </w:p>
    <w:p w14:paraId="6F5F033C">
      <w:pPr>
        <w:spacing w:line="500" w:lineRule="exact"/>
        <w:ind w:firstLine="480" w:firstLineChars="200"/>
        <w:jc w:val="center"/>
        <w:rPr>
          <w:rFonts w:hint="eastAsia" w:ascii="宋体" w:hAnsi="宋体" w:eastAsia="宋体" w:cs="宋体"/>
          <w:color w:val="auto"/>
          <w:sz w:val="24"/>
          <w:szCs w:val="24"/>
          <w:highlight w:val="none"/>
        </w:rPr>
      </w:pPr>
    </w:p>
    <w:p w14:paraId="0E349BC3">
      <w:pPr>
        <w:spacing w:line="500" w:lineRule="exact"/>
        <w:ind w:firstLine="480" w:firstLineChars="200"/>
        <w:jc w:val="center"/>
        <w:rPr>
          <w:rFonts w:hint="eastAsia" w:ascii="宋体" w:hAnsi="宋体" w:eastAsia="宋体" w:cs="宋体"/>
          <w:color w:val="auto"/>
          <w:sz w:val="24"/>
          <w:szCs w:val="24"/>
          <w:highlight w:val="none"/>
        </w:rPr>
      </w:pPr>
    </w:p>
    <w:p w14:paraId="1866227B">
      <w:pPr>
        <w:spacing w:line="500" w:lineRule="exact"/>
        <w:ind w:firstLine="480" w:firstLineChars="200"/>
        <w:jc w:val="center"/>
        <w:rPr>
          <w:rFonts w:hint="eastAsia" w:ascii="宋体" w:hAnsi="宋体" w:eastAsia="宋体" w:cs="宋体"/>
          <w:color w:val="auto"/>
          <w:sz w:val="24"/>
          <w:szCs w:val="24"/>
          <w:highlight w:val="none"/>
        </w:rPr>
      </w:pPr>
    </w:p>
    <w:p w14:paraId="795CE2A9">
      <w:pPr>
        <w:spacing w:line="500" w:lineRule="exact"/>
        <w:ind w:firstLine="480" w:firstLineChars="200"/>
        <w:jc w:val="center"/>
        <w:rPr>
          <w:rFonts w:hint="eastAsia" w:ascii="宋体" w:hAnsi="宋体" w:eastAsia="宋体" w:cs="宋体"/>
          <w:color w:val="auto"/>
          <w:sz w:val="24"/>
          <w:szCs w:val="24"/>
          <w:highlight w:val="none"/>
        </w:rPr>
      </w:pPr>
    </w:p>
    <w:p w14:paraId="162C2390">
      <w:pPr>
        <w:spacing w:line="5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rPr>
        <w:t>投标人（签字或盖章）：</w:t>
      </w:r>
      <w:r>
        <w:rPr>
          <w:rFonts w:hint="eastAsia" w:ascii="宋体" w:hAnsi="宋体" w:eastAsia="宋体" w:cs="宋体"/>
          <w:color w:val="auto"/>
          <w:sz w:val="24"/>
          <w:szCs w:val="24"/>
          <w:highlight w:val="none"/>
          <w:u w:val="single"/>
        </w:rPr>
        <w:t xml:space="preserve">                  </w:t>
      </w:r>
    </w:p>
    <w:p w14:paraId="47209359">
      <w:pPr>
        <w:spacing w:line="5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   期：  </w:t>
      </w:r>
      <w:r>
        <w:rPr>
          <w:rFonts w:hint="eastAsia" w:ascii="宋体" w:hAnsi="宋体" w:eastAsia="宋体" w:cs="宋体"/>
          <w:bCs/>
          <w:color w:val="auto"/>
          <w:sz w:val="24"/>
          <w:szCs w:val="24"/>
          <w:highlight w:val="none"/>
        </w:rPr>
        <w:t>年   月   日</w:t>
      </w:r>
    </w:p>
    <w:p w14:paraId="0EF2953D">
      <w:pPr>
        <w:pStyle w:val="2"/>
        <w:rPr>
          <w:rFonts w:hint="eastAsia" w:ascii="宋体" w:hAnsi="宋体" w:eastAsia="宋体" w:cs="宋体"/>
          <w:b/>
          <w:bCs/>
          <w:color w:val="auto"/>
          <w:sz w:val="24"/>
          <w:szCs w:val="24"/>
          <w:highlight w:val="none"/>
        </w:rPr>
      </w:pPr>
    </w:p>
    <w:p w14:paraId="3C53FD74">
      <w:pPr>
        <w:pStyle w:val="2"/>
        <w:rPr>
          <w:rFonts w:hint="eastAsia" w:ascii="宋体" w:hAnsi="宋体" w:eastAsia="宋体" w:cs="宋体"/>
          <w:b/>
          <w:bCs/>
          <w:color w:val="auto"/>
          <w:sz w:val="24"/>
          <w:szCs w:val="24"/>
          <w:highlight w:val="none"/>
        </w:rPr>
      </w:pPr>
    </w:p>
    <w:p w14:paraId="60AC3F96">
      <w:pPr>
        <w:pStyle w:val="2"/>
        <w:rPr>
          <w:rFonts w:hint="eastAsia" w:ascii="宋体" w:hAnsi="宋体" w:eastAsia="宋体" w:cs="宋体"/>
          <w:b/>
          <w:bCs/>
          <w:color w:val="auto"/>
          <w:sz w:val="24"/>
          <w:szCs w:val="24"/>
          <w:highlight w:val="none"/>
        </w:rPr>
      </w:pPr>
    </w:p>
    <w:p w14:paraId="59192928">
      <w:pPr>
        <w:pStyle w:val="2"/>
        <w:rPr>
          <w:rFonts w:hint="eastAsia" w:ascii="宋体" w:hAnsi="宋体" w:eastAsia="宋体" w:cs="宋体"/>
          <w:b/>
          <w:bCs/>
          <w:color w:val="auto"/>
          <w:sz w:val="24"/>
          <w:szCs w:val="24"/>
          <w:highlight w:val="none"/>
        </w:rPr>
      </w:pPr>
    </w:p>
    <w:p w14:paraId="0C59E317">
      <w:pPr>
        <w:pStyle w:val="2"/>
        <w:rPr>
          <w:rFonts w:hint="eastAsia" w:ascii="宋体" w:hAnsi="宋体" w:eastAsia="宋体" w:cs="宋体"/>
          <w:b/>
          <w:bCs/>
          <w:color w:val="auto"/>
          <w:sz w:val="24"/>
          <w:szCs w:val="24"/>
          <w:highlight w:val="none"/>
        </w:rPr>
      </w:pPr>
    </w:p>
    <w:p w14:paraId="28C507C9">
      <w:pPr>
        <w:spacing w:line="500" w:lineRule="exact"/>
        <w:ind w:firstLine="482" w:firstLineChars="20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rPr>
        <w:t>法定代表人授权委托书（投标人为法人）</w:t>
      </w:r>
    </w:p>
    <w:p w14:paraId="5D310BC6">
      <w:pPr>
        <w:pStyle w:val="29"/>
        <w:spacing w:line="500" w:lineRule="exact"/>
        <w:ind w:firstLine="480" w:firstLineChars="200"/>
        <w:rPr>
          <w:rFonts w:hint="eastAsia" w:ascii="宋体" w:hAnsi="宋体" w:eastAsia="宋体" w:cs="宋体"/>
          <w:color w:val="auto"/>
          <w:sz w:val="24"/>
          <w:szCs w:val="24"/>
          <w:highlight w:val="none"/>
        </w:rPr>
      </w:pPr>
    </w:p>
    <w:p w14:paraId="30205BE4">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__________________（</w:t>
      </w:r>
      <w:r>
        <w:rPr>
          <w:rFonts w:hint="eastAsia" w:ascii="宋体" w:hAnsi="宋体" w:eastAsia="宋体" w:cs="宋体"/>
          <w:bCs/>
          <w:color w:val="auto"/>
          <w:sz w:val="24"/>
          <w:szCs w:val="24"/>
          <w:highlight w:val="none"/>
        </w:rPr>
        <w:t>采购人</w:t>
      </w:r>
      <w:r>
        <w:rPr>
          <w:rFonts w:hint="eastAsia" w:ascii="宋体" w:hAnsi="宋体" w:eastAsia="宋体" w:cs="宋体"/>
          <w:color w:val="auto"/>
          <w:sz w:val="24"/>
          <w:szCs w:val="24"/>
          <w:highlight w:val="none"/>
        </w:rPr>
        <w:t>）：</w:t>
      </w:r>
    </w:p>
    <w:p w14:paraId="26662801">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本授权声明：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（投标人名称）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（法定代表人姓名、职务）授权</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（被授权人姓名、职务）为我方 “ </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（项目名称、</w:t>
      </w:r>
      <w:r>
        <w:rPr>
          <w:rFonts w:hint="eastAsia" w:ascii="宋体" w:hAnsi="宋体" w:cs="宋体"/>
          <w:bCs/>
          <w:color w:val="auto"/>
          <w:sz w:val="24"/>
          <w:szCs w:val="24"/>
          <w:highlight w:val="none"/>
          <w:lang w:val="en-US" w:eastAsia="zh-CN"/>
        </w:rPr>
        <w:t>标项号、</w:t>
      </w:r>
      <w:r>
        <w:rPr>
          <w:rFonts w:hint="eastAsia" w:ascii="宋体" w:hAnsi="宋体" w:eastAsia="宋体" w:cs="宋体"/>
          <w:bCs/>
          <w:color w:val="auto"/>
          <w:sz w:val="24"/>
          <w:szCs w:val="24"/>
          <w:highlight w:val="none"/>
        </w:rPr>
        <w:t>项目编号）</w:t>
      </w:r>
      <w:r>
        <w:rPr>
          <w:rFonts w:hint="eastAsia" w:ascii="宋体" w:hAnsi="宋体" w:eastAsia="宋体" w:cs="宋体"/>
          <w:color w:val="auto"/>
          <w:sz w:val="24"/>
          <w:szCs w:val="24"/>
          <w:highlight w:val="none"/>
        </w:rPr>
        <w:t>” 项目投标活动的合法代表，以我方名义全权处理该项目有关投标、签订合同以及执行合同等一切事宜。</w:t>
      </w:r>
    </w:p>
    <w:p w14:paraId="493E546C">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被授权人</w:t>
      </w:r>
      <w:r>
        <w:rPr>
          <w:rFonts w:hint="eastAsia" w:ascii="宋体" w:hAnsi="宋体" w:eastAsia="宋体" w:cs="宋体"/>
          <w:color w:val="auto"/>
          <w:sz w:val="24"/>
          <w:szCs w:val="24"/>
          <w:highlight w:val="none"/>
        </w:rPr>
        <w:t>无权转让本授权，特此声明。</w:t>
      </w:r>
    </w:p>
    <w:p w14:paraId="4F9F0E20">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附：法定代表人及被授权人身份证正反面彩色扫描件</w:t>
      </w:r>
    </w:p>
    <w:p w14:paraId="52E222CF">
      <w:pPr>
        <w:pStyle w:val="29"/>
        <w:spacing w:line="500" w:lineRule="exact"/>
        <w:ind w:firstLine="480" w:firstLineChars="200"/>
        <w:rPr>
          <w:rFonts w:hint="eastAsia" w:ascii="宋体" w:hAnsi="宋体" w:eastAsia="宋体" w:cs="宋体"/>
          <w:color w:val="auto"/>
          <w:sz w:val="24"/>
          <w:szCs w:val="24"/>
          <w:highlight w:val="none"/>
        </w:rPr>
      </w:pPr>
    </w:p>
    <w:p w14:paraId="30C6E010">
      <w:pPr>
        <w:spacing w:line="500" w:lineRule="exact"/>
        <w:ind w:firstLine="480" w:firstLineChars="200"/>
        <w:rPr>
          <w:rFonts w:hint="eastAsia" w:ascii="宋体" w:hAnsi="宋体" w:eastAsia="宋体" w:cs="宋体"/>
          <w:color w:val="auto"/>
          <w:sz w:val="24"/>
          <w:szCs w:val="24"/>
          <w:highlight w:val="none"/>
        </w:rPr>
      </w:pPr>
    </w:p>
    <w:p w14:paraId="49ACC720">
      <w:pPr>
        <w:spacing w:line="5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法定代表人（签字或盖章）：</w:t>
      </w:r>
    </w:p>
    <w:p w14:paraId="52B4ED9D">
      <w:pPr>
        <w:spacing w:line="5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被授权人（签字）：</w:t>
      </w:r>
    </w:p>
    <w:p w14:paraId="4CE05082">
      <w:pPr>
        <w:spacing w:line="5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投标人名称（盖章）：   </w:t>
      </w:r>
    </w:p>
    <w:p w14:paraId="52069E50">
      <w:pPr>
        <w:spacing w:line="5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    期：  年   月   日</w:t>
      </w:r>
    </w:p>
    <w:p w14:paraId="1186A20C">
      <w:pPr>
        <w:spacing w:line="500" w:lineRule="exact"/>
        <w:ind w:firstLine="480" w:firstLineChars="200"/>
        <w:jc w:val="center"/>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b/>
          <w:bCs/>
          <w:color w:val="auto"/>
          <w:sz w:val="24"/>
          <w:szCs w:val="24"/>
          <w:highlight w:val="none"/>
        </w:rPr>
        <w:t>授权委托书（投标人为非法人）</w:t>
      </w:r>
    </w:p>
    <w:p w14:paraId="7A871106">
      <w:pPr>
        <w:spacing w:line="500" w:lineRule="exact"/>
        <w:ind w:firstLine="480" w:firstLineChars="200"/>
        <w:rPr>
          <w:rFonts w:hint="eastAsia" w:ascii="宋体" w:hAnsi="宋体" w:eastAsia="宋体" w:cs="宋体"/>
          <w:color w:val="auto"/>
          <w:sz w:val="24"/>
          <w:szCs w:val="24"/>
          <w:highlight w:val="none"/>
        </w:rPr>
      </w:pPr>
    </w:p>
    <w:p w14:paraId="4FE9FD97">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__________________（</w:t>
      </w:r>
      <w:r>
        <w:rPr>
          <w:rFonts w:hint="eastAsia" w:ascii="宋体" w:hAnsi="宋体" w:eastAsia="宋体" w:cs="宋体"/>
          <w:bCs/>
          <w:color w:val="auto"/>
          <w:sz w:val="24"/>
          <w:szCs w:val="24"/>
          <w:highlight w:val="none"/>
        </w:rPr>
        <w:t>采购人</w:t>
      </w:r>
      <w:r>
        <w:rPr>
          <w:rFonts w:hint="eastAsia" w:ascii="宋体" w:hAnsi="宋体" w:eastAsia="宋体" w:cs="宋体"/>
          <w:color w:val="auto"/>
          <w:sz w:val="24"/>
          <w:szCs w:val="24"/>
          <w:highlight w:val="none"/>
        </w:rPr>
        <w:t>）：</w:t>
      </w:r>
    </w:p>
    <w:p w14:paraId="15124DFF">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本授权声明：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（投标人名称）授权</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（被授权人姓名、职务）</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为我方 “ </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rPr>
        <w:t>（项目名称、</w:t>
      </w:r>
      <w:r>
        <w:rPr>
          <w:rFonts w:hint="eastAsia" w:ascii="宋体" w:hAnsi="宋体" w:cs="宋体"/>
          <w:bCs/>
          <w:color w:val="auto"/>
          <w:sz w:val="24"/>
          <w:szCs w:val="24"/>
          <w:highlight w:val="none"/>
          <w:lang w:val="en-US" w:eastAsia="zh-CN"/>
        </w:rPr>
        <w:t>标项号、</w:t>
      </w:r>
      <w:r>
        <w:rPr>
          <w:rFonts w:hint="eastAsia" w:ascii="宋体" w:hAnsi="宋体" w:eastAsia="宋体" w:cs="宋体"/>
          <w:bCs/>
          <w:color w:val="auto"/>
          <w:sz w:val="24"/>
          <w:szCs w:val="24"/>
          <w:highlight w:val="none"/>
        </w:rPr>
        <w:t>项目编号）</w:t>
      </w:r>
      <w:r>
        <w:rPr>
          <w:rFonts w:hint="eastAsia" w:ascii="宋体" w:hAnsi="宋体" w:eastAsia="宋体" w:cs="宋体"/>
          <w:color w:val="auto"/>
          <w:sz w:val="24"/>
          <w:szCs w:val="24"/>
          <w:highlight w:val="none"/>
        </w:rPr>
        <w:t>” 项目投标活动的合法代表，以我方名义全权处理该项目有关投标、签订合同以及执行合同等一切事宜。</w:t>
      </w:r>
    </w:p>
    <w:p w14:paraId="3C062770">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被授权人</w:t>
      </w:r>
      <w:r>
        <w:rPr>
          <w:rFonts w:hint="eastAsia" w:ascii="宋体" w:hAnsi="宋体" w:eastAsia="宋体" w:cs="宋体"/>
          <w:color w:val="auto"/>
          <w:sz w:val="24"/>
          <w:szCs w:val="24"/>
          <w:highlight w:val="none"/>
        </w:rPr>
        <w:t>无权转让本授权，特此声明。</w:t>
      </w:r>
    </w:p>
    <w:p w14:paraId="3BBDE08E">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附：授权人及被授权人身份证正反面彩色扫描件</w:t>
      </w:r>
    </w:p>
    <w:p w14:paraId="08E078B9">
      <w:pPr>
        <w:pStyle w:val="29"/>
        <w:spacing w:line="500" w:lineRule="exact"/>
        <w:ind w:firstLine="480" w:firstLineChars="200"/>
        <w:rPr>
          <w:rFonts w:hint="eastAsia" w:ascii="宋体" w:hAnsi="宋体" w:eastAsia="宋体" w:cs="宋体"/>
          <w:color w:val="auto"/>
          <w:sz w:val="24"/>
          <w:szCs w:val="24"/>
          <w:highlight w:val="none"/>
        </w:rPr>
      </w:pPr>
    </w:p>
    <w:p w14:paraId="24FEF3FF">
      <w:pPr>
        <w:spacing w:line="500" w:lineRule="exact"/>
        <w:ind w:firstLine="480" w:firstLineChars="200"/>
        <w:rPr>
          <w:rFonts w:hint="eastAsia" w:ascii="宋体" w:hAnsi="宋体" w:eastAsia="宋体" w:cs="宋体"/>
          <w:color w:val="auto"/>
          <w:sz w:val="24"/>
          <w:szCs w:val="24"/>
          <w:highlight w:val="none"/>
        </w:rPr>
      </w:pPr>
    </w:p>
    <w:p w14:paraId="79C0034D">
      <w:pPr>
        <w:spacing w:line="5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授权人（签字或盖章）：</w:t>
      </w:r>
    </w:p>
    <w:p w14:paraId="355BABCF">
      <w:pPr>
        <w:spacing w:line="5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被授权人（签字）：   </w:t>
      </w:r>
    </w:p>
    <w:p w14:paraId="3C21C41F">
      <w:pPr>
        <w:pStyle w:val="2"/>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    期：   年   月   日</w:t>
      </w:r>
    </w:p>
    <w:p w14:paraId="225D9950">
      <w:pPr>
        <w:keepNext/>
        <w:keepLines/>
        <w:spacing w:line="500" w:lineRule="exact"/>
        <w:ind w:firstLine="480" w:firstLineChars="200"/>
        <w:jc w:val="center"/>
        <w:rPr>
          <w:rFonts w:hint="eastAsia" w:ascii="宋体" w:hAnsi="宋体" w:eastAsia="宋体" w:cs="宋体"/>
          <w:color w:val="auto"/>
          <w:sz w:val="24"/>
          <w:szCs w:val="24"/>
          <w:highlight w:val="none"/>
        </w:rPr>
      </w:pPr>
    </w:p>
    <w:p w14:paraId="3442D175">
      <w:pPr>
        <w:pStyle w:val="4"/>
        <w:numPr>
          <w:ilvl w:val="0"/>
          <w:numId w:val="6"/>
        </w:numPr>
        <w:spacing w:before="156" w:after="156" w:line="320" w:lineRule="exact"/>
        <w:ind w:left="0" w:leftChars="0" w:firstLine="482" w:firstLineChars="20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sz w:val="24"/>
          <w:szCs w:val="24"/>
          <w:highlight w:val="none"/>
        </w:rPr>
        <w:br w:type="page"/>
      </w:r>
      <w:bookmarkStart w:id="139" w:name="_Toc217446088"/>
      <w:r>
        <w:rPr>
          <w:rFonts w:hint="eastAsia" w:ascii="宋体" w:hAnsi="宋体" w:eastAsia="宋体" w:cs="宋体"/>
          <w:b/>
          <w:bCs/>
          <w:color w:val="auto"/>
          <w:kern w:val="0"/>
          <w:sz w:val="24"/>
          <w:szCs w:val="24"/>
          <w:highlight w:val="none"/>
        </w:rPr>
        <w:t>投标人基本情况表</w:t>
      </w:r>
      <w:bookmarkEnd w:id="139"/>
    </w:p>
    <w:p w14:paraId="5173439B">
      <w:pPr>
        <w:numPr>
          <w:ilvl w:val="0"/>
          <w:numId w:val="0"/>
        </w:numPr>
        <w:ind w:leftChars="200"/>
        <w:rPr>
          <w:rFonts w:hint="eastAsia"/>
          <w:color w:val="auto"/>
          <w:highlight w:val="none"/>
        </w:rPr>
      </w:pPr>
    </w:p>
    <w:tbl>
      <w:tblPr>
        <w:tblStyle w:val="30"/>
        <w:tblW w:w="9104" w:type="dxa"/>
        <w:jc w:val="center"/>
        <w:tblLayout w:type="fixed"/>
        <w:tblCellMar>
          <w:top w:w="0" w:type="dxa"/>
          <w:left w:w="108" w:type="dxa"/>
          <w:bottom w:w="0" w:type="dxa"/>
          <w:right w:w="108" w:type="dxa"/>
        </w:tblCellMar>
      </w:tblPr>
      <w:tblGrid>
        <w:gridCol w:w="1853"/>
        <w:gridCol w:w="1050"/>
        <w:gridCol w:w="2525"/>
        <w:gridCol w:w="1537"/>
        <w:gridCol w:w="2139"/>
      </w:tblGrid>
      <w:tr w14:paraId="00BD0892">
        <w:tblPrEx>
          <w:tblCellMar>
            <w:top w:w="0" w:type="dxa"/>
            <w:left w:w="108" w:type="dxa"/>
            <w:bottom w:w="0" w:type="dxa"/>
            <w:right w:w="108" w:type="dxa"/>
          </w:tblCellMar>
        </w:tblPrEx>
        <w:trPr>
          <w:trHeight w:val="1080" w:hRule="atLeast"/>
          <w:jc w:val="center"/>
        </w:trPr>
        <w:tc>
          <w:tcPr>
            <w:tcW w:w="1853" w:type="dxa"/>
            <w:tcBorders>
              <w:top w:val="single" w:color="auto" w:sz="4" w:space="0"/>
              <w:left w:val="single" w:color="auto" w:sz="4" w:space="0"/>
              <w:bottom w:val="single" w:color="auto" w:sz="4" w:space="0"/>
              <w:right w:val="single" w:color="auto" w:sz="4" w:space="0"/>
            </w:tcBorders>
            <w:vAlign w:val="center"/>
          </w:tcPr>
          <w:p w14:paraId="3256D02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p>
        </w:tc>
        <w:tc>
          <w:tcPr>
            <w:tcW w:w="7251" w:type="dxa"/>
            <w:gridSpan w:val="4"/>
            <w:tcBorders>
              <w:top w:val="single" w:color="auto" w:sz="4" w:space="0"/>
              <w:left w:val="nil"/>
              <w:bottom w:val="single" w:color="auto" w:sz="4" w:space="0"/>
              <w:right w:val="single" w:color="auto" w:sz="4" w:space="0"/>
            </w:tcBorders>
            <w:vAlign w:val="center"/>
          </w:tcPr>
          <w:p w14:paraId="08CCAE97">
            <w:pPr>
              <w:jc w:val="center"/>
              <w:rPr>
                <w:rFonts w:hint="eastAsia" w:ascii="宋体" w:hAnsi="宋体" w:eastAsia="宋体" w:cs="宋体"/>
                <w:strike/>
                <w:color w:val="auto"/>
                <w:sz w:val="24"/>
                <w:szCs w:val="24"/>
                <w:highlight w:val="none"/>
              </w:rPr>
            </w:pPr>
          </w:p>
        </w:tc>
      </w:tr>
      <w:tr w14:paraId="239690AC">
        <w:tblPrEx>
          <w:tblCellMar>
            <w:top w:w="0" w:type="dxa"/>
            <w:left w:w="108" w:type="dxa"/>
            <w:bottom w:w="0" w:type="dxa"/>
            <w:right w:w="108" w:type="dxa"/>
          </w:tblCellMar>
        </w:tblPrEx>
        <w:trPr>
          <w:trHeight w:val="930" w:hRule="atLeast"/>
          <w:jc w:val="center"/>
        </w:trPr>
        <w:tc>
          <w:tcPr>
            <w:tcW w:w="1853" w:type="dxa"/>
            <w:tcBorders>
              <w:top w:val="nil"/>
              <w:left w:val="single" w:color="auto" w:sz="4" w:space="0"/>
              <w:bottom w:val="single" w:color="auto" w:sz="4" w:space="0"/>
              <w:right w:val="single" w:color="auto" w:sz="4" w:space="0"/>
            </w:tcBorders>
            <w:vAlign w:val="center"/>
          </w:tcPr>
          <w:p w14:paraId="2DF0198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注册地址</w:t>
            </w:r>
          </w:p>
        </w:tc>
        <w:tc>
          <w:tcPr>
            <w:tcW w:w="3575" w:type="dxa"/>
            <w:gridSpan w:val="2"/>
            <w:tcBorders>
              <w:top w:val="single" w:color="auto" w:sz="4" w:space="0"/>
              <w:left w:val="nil"/>
              <w:bottom w:val="single" w:color="auto" w:sz="4" w:space="0"/>
              <w:right w:val="single" w:color="000000" w:sz="4" w:space="0"/>
            </w:tcBorders>
            <w:vAlign w:val="center"/>
          </w:tcPr>
          <w:p w14:paraId="2BC4C9F3">
            <w:pPr>
              <w:jc w:val="center"/>
              <w:rPr>
                <w:rFonts w:hint="eastAsia" w:ascii="宋体" w:hAnsi="宋体" w:eastAsia="宋体" w:cs="宋体"/>
                <w:color w:val="auto"/>
                <w:sz w:val="24"/>
                <w:szCs w:val="24"/>
                <w:highlight w:val="none"/>
              </w:rPr>
            </w:pPr>
          </w:p>
        </w:tc>
        <w:tc>
          <w:tcPr>
            <w:tcW w:w="1537" w:type="dxa"/>
            <w:tcBorders>
              <w:top w:val="nil"/>
              <w:left w:val="nil"/>
              <w:bottom w:val="single" w:color="auto" w:sz="4" w:space="0"/>
              <w:right w:val="single" w:color="auto" w:sz="4" w:space="0"/>
            </w:tcBorders>
            <w:vAlign w:val="center"/>
          </w:tcPr>
          <w:p w14:paraId="3793105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2139" w:type="dxa"/>
            <w:tcBorders>
              <w:top w:val="nil"/>
              <w:left w:val="nil"/>
              <w:bottom w:val="single" w:color="auto" w:sz="4" w:space="0"/>
              <w:right w:val="single" w:color="auto" w:sz="4" w:space="0"/>
            </w:tcBorders>
            <w:vAlign w:val="center"/>
          </w:tcPr>
          <w:p w14:paraId="44FA5A13">
            <w:pPr>
              <w:jc w:val="center"/>
              <w:rPr>
                <w:rFonts w:hint="eastAsia" w:ascii="宋体" w:hAnsi="宋体" w:eastAsia="宋体" w:cs="宋体"/>
                <w:color w:val="auto"/>
                <w:sz w:val="24"/>
                <w:szCs w:val="24"/>
                <w:highlight w:val="none"/>
              </w:rPr>
            </w:pPr>
          </w:p>
        </w:tc>
      </w:tr>
      <w:tr w14:paraId="32214EAC">
        <w:tblPrEx>
          <w:tblCellMar>
            <w:top w:w="0" w:type="dxa"/>
            <w:left w:w="108" w:type="dxa"/>
            <w:bottom w:w="0" w:type="dxa"/>
            <w:right w:w="108" w:type="dxa"/>
          </w:tblCellMar>
        </w:tblPrEx>
        <w:trPr>
          <w:trHeight w:val="930" w:hRule="atLeast"/>
          <w:jc w:val="center"/>
        </w:trPr>
        <w:tc>
          <w:tcPr>
            <w:tcW w:w="1853" w:type="dxa"/>
            <w:tcBorders>
              <w:top w:val="nil"/>
              <w:left w:val="single" w:color="auto" w:sz="4" w:space="0"/>
              <w:bottom w:val="single" w:color="auto" w:sz="4" w:space="0"/>
              <w:right w:val="single" w:color="auto" w:sz="4" w:space="0"/>
            </w:tcBorders>
            <w:vAlign w:val="center"/>
          </w:tcPr>
          <w:p w14:paraId="234C76F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p>
        </w:tc>
        <w:tc>
          <w:tcPr>
            <w:tcW w:w="3575" w:type="dxa"/>
            <w:gridSpan w:val="2"/>
            <w:tcBorders>
              <w:top w:val="single" w:color="auto" w:sz="4" w:space="0"/>
              <w:left w:val="nil"/>
              <w:bottom w:val="single" w:color="auto" w:sz="4" w:space="0"/>
              <w:right w:val="single" w:color="000000" w:sz="4" w:space="0"/>
            </w:tcBorders>
            <w:vAlign w:val="center"/>
          </w:tcPr>
          <w:p w14:paraId="60F556A0">
            <w:pPr>
              <w:jc w:val="center"/>
              <w:rPr>
                <w:rFonts w:hint="eastAsia" w:ascii="宋体" w:hAnsi="宋体" w:eastAsia="宋体" w:cs="宋体"/>
                <w:color w:val="auto"/>
                <w:sz w:val="24"/>
                <w:szCs w:val="24"/>
                <w:highlight w:val="none"/>
              </w:rPr>
            </w:pPr>
          </w:p>
        </w:tc>
        <w:tc>
          <w:tcPr>
            <w:tcW w:w="1537" w:type="dxa"/>
            <w:tcBorders>
              <w:top w:val="nil"/>
              <w:left w:val="nil"/>
              <w:bottom w:val="single" w:color="auto" w:sz="4" w:space="0"/>
              <w:right w:val="single" w:color="auto" w:sz="4" w:space="0"/>
            </w:tcBorders>
            <w:vAlign w:val="center"/>
          </w:tcPr>
          <w:p w14:paraId="2FE884E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企业性质</w:t>
            </w:r>
          </w:p>
        </w:tc>
        <w:tc>
          <w:tcPr>
            <w:tcW w:w="2139" w:type="dxa"/>
            <w:tcBorders>
              <w:top w:val="nil"/>
              <w:left w:val="nil"/>
              <w:bottom w:val="single" w:color="auto" w:sz="4" w:space="0"/>
              <w:right w:val="single" w:color="auto" w:sz="4" w:space="0"/>
            </w:tcBorders>
            <w:vAlign w:val="center"/>
          </w:tcPr>
          <w:p w14:paraId="4E33A26F">
            <w:pPr>
              <w:jc w:val="center"/>
              <w:rPr>
                <w:rFonts w:hint="eastAsia" w:ascii="宋体" w:hAnsi="宋体" w:eastAsia="宋体" w:cs="宋体"/>
                <w:color w:val="auto"/>
                <w:sz w:val="24"/>
                <w:szCs w:val="24"/>
                <w:highlight w:val="none"/>
              </w:rPr>
            </w:pPr>
          </w:p>
        </w:tc>
      </w:tr>
      <w:tr w14:paraId="1651CD8D">
        <w:tblPrEx>
          <w:tblCellMar>
            <w:top w:w="0" w:type="dxa"/>
            <w:left w:w="108" w:type="dxa"/>
            <w:bottom w:w="0" w:type="dxa"/>
            <w:right w:w="108" w:type="dxa"/>
          </w:tblCellMar>
        </w:tblPrEx>
        <w:trPr>
          <w:trHeight w:val="930" w:hRule="atLeast"/>
          <w:jc w:val="center"/>
        </w:trPr>
        <w:tc>
          <w:tcPr>
            <w:tcW w:w="1853" w:type="dxa"/>
            <w:tcBorders>
              <w:top w:val="nil"/>
              <w:left w:val="single" w:color="auto" w:sz="4" w:space="0"/>
              <w:bottom w:val="single" w:color="auto" w:sz="4" w:space="0"/>
              <w:right w:val="single" w:color="auto" w:sz="4" w:space="0"/>
            </w:tcBorders>
            <w:vAlign w:val="center"/>
          </w:tcPr>
          <w:p w14:paraId="1B60C1A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社会统一信用代码</w:t>
            </w:r>
          </w:p>
        </w:tc>
        <w:tc>
          <w:tcPr>
            <w:tcW w:w="3575" w:type="dxa"/>
            <w:gridSpan w:val="2"/>
            <w:tcBorders>
              <w:top w:val="single" w:color="auto" w:sz="4" w:space="0"/>
              <w:left w:val="nil"/>
              <w:bottom w:val="single" w:color="auto" w:sz="4" w:space="0"/>
              <w:right w:val="single" w:color="000000" w:sz="4" w:space="0"/>
            </w:tcBorders>
            <w:vAlign w:val="center"/>
          </w:tcPr>
          <w:p w14:paraId="539340A7">
            <w:pPr>
              <w:jc w:val="center"/>
              <w:rPr>
                <w:rFonts w:hint="eastAsia" w:ascii="宋体" w:hAnsi="宋体" w:eastAsia="宋体" w:cs="宋体"/>
                <w:color w:val="auto"/>
                <w:sz w:val="24"/>
                <w:szCs w:val="24"/>
                <w:highlight w:val="none"/>
              </w:rPr>
            </w:pPr>
          </w:p>
        </w:tc>
        <w:tc>
          <w:tcPr>
            <w:tcW w:w="1537" w:type="dxa"/>
            <w:tcBorders>
              <w:top w:val="nil"/>
              <w:left w:val="nil"/>
              <w:bottom w:val="single" w:color="auto" w:sz="4" w:space="0"/>
              <w:right w:val="single" w:color="auto" w:sz="4" w:space="0"/>
            </w:tcBorders>
            <w:vAlign w:val="center"/>
          </w:tcPr>
          <w:p w14:paraId="799750D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注册资金</w:t>
            </w:r>
          </w:p>
        </w:tc>
        <w:tc>
          <w:tcPr>
            <w:tcW w:w="2139" w:type="dxa"/>
            <w:tcBorders>
              <w:top w:val="nil"/>
              <w:left w:val="nil"/>
              <w:bottom w:val="single" w:color="auto" w:sz="4" w:space="0"/>
              <w:right w:val="single" w:color="auto" w:sz="4" w:space="0"/>
            </w:tcBorders>
            <w:vAlign w:val="center"/>
          </w:tcPr>
          <w:p w14:paraId="7E26A168">
            <w:pPr>
              <w:jc w:val="center"/>
              <w:rPr>
                <w:rFonts w:hint="eastAsia" w:ascii="宋体" w:hAnsi="宋体" w:eastAsia="宋体" w:cs="宋体"/>
                <w:color w:val="auto"/>
                <w:sz w:val="24"/>
                <w:szCs w:val="24"/>
                <w:highlight w:val="none"/>
              </w:rPr>
            </w:pPr>
          </w:p>
        </w:tc>
      </w:tr>
      <w:tr w14:paraId="2C7A0DED">
        <w:tblPrEx>
          <w:tblCellMar>
            <w:top w:w="0" w:type="dxa"/>
            <w:left w:w="108" w:type="dxa"/>
            <w:bottom w:w="0" w:type="dxa"/>
            <w:right w:w="108" w:type="dxa"/>
          </w:tblCellMar>
        </w:tblPrEx>
        <w:trPr>
          <w:trHeight w:val="930" w:hRule="atLeast"/>
          <w:jc w:val="center"/>
        </w:trPr>
        <w:tc>
          <w:tcPr>
            <w:tcW w:w="1853" w:type="dxa"/>
            <w:tcBorders>
              <w:top w:val="nil"/>
              <w:left w:val="single" w:color="auto" w:sz="4" w:space="0"/>
              <w:bottom w:val="single" w:color="auto" w:sz="4" w:space="0"/>
              <w:right w:val="single" w:color="auto" w:sz="4" w:space="0"/>
            </w:tcBorders>
            <w:vAlign w:val="center"/>
          </w:tcPr>
          <w:p w14:paraId="5EE38C1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1050" w:type="dxa"/>
            <w:tcBorders>
              <w:top w:val="nil"/>
              <w:left w:val="nil"/>
              <w:bottom w:val="single" w:color="auto" w:sz="4" w:space="0"/>
              <w:right w:val="single" w:color="auto" w:sz="4" w:space="0"/>
            </w:tcBorders>
            <w:vAlign w:val="center"/>
          </w:tcPr>
          <w:p w14:paraId="034DAAE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2525" w:type="dxa"/>
            <w:tcBorders>
              <w:top w:val="nil"/>
              <w:left w:val="nil"/>
              <w:bottom w:val="single" w:color="auto" w:sz="4" w:space="0"/>
              <w:right w:val="single" w:color="auto" w:sz="4" w:space="0"/>
            </w:tcBorders>
            <w:vAlign w:val="center"/>
          </w:tcPr>
          <w:p w14:paraId="1002C514">
            <w:pPr>
              <w:jc w:val="center"/>
              <w:rPr>
                <w:rFonts w:hint="eastAsia" w:ascii="宋体" w:hAnsi="宋体" w:eastAsia="宋体" w:cs="宋体"/>
                <w:color w:val="auto"/>
                <w:sz w:val="24"/>
                <w:szCs w:val="24"/>
                <w:highlight w:val="none"/>
              </w:rPr>
            </w:pPr>
          </w:p>
        </w:tc>
        <w:tc>
          <w:tcPr>
            <w:tcW w:w="1537" w:type="dxa"/>
            <w:tcBorders>
              <w:top w:val="nil"/>
              <w:left w:val="nil"/>
              <w:bottom w:val="single" w:color="auto" w:sz="4" w:space="0"/>
              <w:right w:val="single" w:color="auto" w:sz="4" w:space="0"/>
            </w:tcBorders>
            <w:vAlign w:val="center"/>
          </w:tcPr>
          <w:p w14:paraId="693D897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2139" w:type="dxa"/>
            <w:tcBorders>
              <w:top w:val="nil"/>
              <w:left w:val="nil"/>
              <w:bottom w:val="single" w:color="auto" w:sz="4" w:space="0"/>
              <w:right w:val="single" w:color="auto" w:sz="4" w:space="0"/>
            </w:tcBorders>
            <w:vAlign w:val="center"/>
          </w:tcPr>
          <w:p w14:paraId="69DB7713">
            <w:pPr>
              <w:jc w:val="center"/>
              <w:rPr>
                <w:rFonts w:hint="eastAsia" w:ascii="宋体" w:hAnsi="宋体" w:eastAsia="宋体" w:cs="宋体"/>
                <w:color w:val="auto"/>
                <w:sz w:val="24"/>
                <w:szCs w:val="24"/>
                <w:highlight w:val="none"/>
              </w:rPr>
            </w:pPr>
          </w:p>
        </w:tc>
      </w:tr>
      <w:tr w14:paraId="30F84186">
        <w:tblPrEx>
          <w:tblCellMar>
            <w:top w:w="0" w:type="dxa"/>
            <w:left w:w="108" w:type="dxa"/>
            <w:bottom w:w="0" w:type="dxa"/>
            <w:right w:w="108" w:type="dxa"/>
          </w:tblCellMar>
        </w:tblPrEx>
        <w:trPr>
          <w:trHeight w:val="930" w:hRule="atLeast"/>
          <w:jc w:val="center"/>
        </w:trPr>
        <w:tc>
          <w:tcPr>
            <w:tcW w:w="1853" w:type="dxa"/>
            <w:vMerge w:val="restart"/>
            <w:tcBorders>
              <w:top w:val="nil"/>
              <w:left w:val="single" w:color="auto" w:sz="4" w:space="0"/>
              <w:bottom w:val="single" w:color="auto" w:sz="4" w:space="0"/>
              <w:right w:val="single" w:color="auto" w:sz="4" w:space="0"/>
            </w:tcBorders>
            <w:vAlign w:val="center"/>
          </w:tcPr>
          <w:p w14:paraId="5DF6DA4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tc>
        <w:tc>
          <w:tcPr>
            <w:tcW w:w="1050" w:type="dxa"/>
            <w:tcBorders>
              <w:top w:val="nil"/>
              <w:left w:val="nil"/>
              <w:bottom w:val="single" w:color="auto" w:sz="4" w:space="0"/>
              <w:right w:val="single" w:color="auto" w:sz="4" w:space="0"/>
            </w:tcBorders>
            <w:vAlign w:val="center"/>
          </w:tcPr>
          <w:p w14:paraId="5B3EF60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p>
        </w:tc>
        <w:tc>
          <w:tcPr>
            <w:tcW w:w="2525" w:type="dxa"/>
            <w:tcBorders>
              <w:top w:val="single" w:color="auto" w:sz="4" w:space="0"/>
              <w:left w:val="nil"/>
              <w:bottom w:val="single" w:color="auto" w:sz="4" w:space="0"/>
              <w:right w:val="single" w:color="000000" w:sz="4" w:space="0"/>
            </w:tcBorders>
            <w:vAlign w:val="center"/>
          </w:tcPr>
          <w:p w14:paraId="1399C3CF">
            <w:pPr>
              <w:jc w:val="center"/>
              <w:rPr>
                <w:rFonts w:hint="eastAsia" w:ascii="宋体" w:hAnsi="宋体" w:eastAsia="宋体" w:cs="宋体"/>
                <w:color w:val="auto"/>
                <w:sz w:val="24"/>
                <w:szCs w:val="24"/>
                <w:highlight w:val="none"/>
              </w:rPr>
            </w:pPr>
          </w:p>
        </w:tc>
        <w:tc>
          <w:tcPr>
            <w:tcW w:w="1537" w:type="dxa"/>
            <w:tcBorders>
              <w:top w:val="nil"/>
              <w:left w:val="nil"/>
              <w:bottom w:val="single" w:color="auto" w:sz="4" w:space="0"/>
              <w:right w:val="single" w:color="auto" w:sz="4" w:space="0"/>
            </w:tcBorders>
            <w:vAlign w:val="center"/>
          </w:tcPr>
          <w:p w14:paraId="67B39EF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2139" w:type="dxa"/>
            <w:tcBorders>
              <w:top w:val="nil"/>
              <w:left w:val="nil"/>
              <w:bottom w:val="single" w:color="auto" w:sz="4" w:space="0"/>
              <w:right w:val="single" w:color="auto" w:sz="4" w:space="0"/>
            </w:tcBorders>
            <w:vAlign w:val="center"/>
          </w:tcPr>
          <w:p w14:paraId="0217A553">
            <w:pPr>
              <w:jc w:val="center"/>
              <w:rPr>
                <w:rFonts w:hint="eastAsia" w:ascii="宋体" w:hAnsi="宋体" w:eastAsia="宋体" w:cs="宋体"/>
                <w:color w:val="auto"/>
                <w:sz w:val="24"/>
                <w:szCs w:val="24"/>
                <w:highlight w:val="none"/>
              </w:rPr>
            </w:pPr>
          </w:p>
        </w:tc>
      </w:tr>
      <w:tr w14:paraId="48837EAC">
        <w:tblPrEx>
          <w:tblCellMar>
            <w:top w:w="0" w:type="dxa"/>
            <w:left w:w="108" w:type="dxa"/>
            <w:bottom w:w="0" w:type="dxa"/>
            <w:right w:w="108" w:type="dxa"/>
          </w:tblCellMar>
        </w:tblPrEx>
        <w:trPr>
          <w:trHeight w:val="930" w:hRule="atLeast"/>
          <w:jc w:val="center"/>
        </w:trPr>
        <w:tc>
          <w:tcPr>
            <w:tcW w:w="1853" w:type="dxa"/>
            <w:vMerge w:val="continue"/>
            <w:tcBorders>
              <w:top w:val="nil"/>
              <w:left w:val="single" w:color="auto" w:sz="4" w:space="0"/>
              <w:bottom w:val="single" w:color="auto" w:sz="4" w:space="0"/>
              <w:right w:val="single" w:color="auto" w:sz="4" w:space="0"/>
            </w:tcBorders>
            <w:vAlign w:val="center"/>
          </w:tcPr>
          <w:p w14:paraId="08833A10">
            <w:pPr>
              <w:jc w:val="center"/>
              <w:rPr>
                <w:rFonts w:hint="eastAsia" w:ascii="宋体" w:hAnsi="宋体" w:eastAsia="宋体" w:cs="宋体"/>
                <w:color w:val="auto"/>
                <w:sz w:val="24"/>
                <w:szCs w:val="24"/>
                <w:highlight w:val="none"/>
              </w:rPr>
            </w:pPr>
          </w:p>
        </w:tc>
        <w:tc>
          <w:tcPr>
            <w:tcW w:w="1050" w:type="dxa"/>
            <w:tcBorders>
              <w:top w:val="nil"/>
              <w:left w:val="nil"/>
              <w:bottom w:val="single" w:color="auto" w:sz="4" w:space="0"/>
              <w:right w:val="single" w:color="auto" w:sz="4" w:space="0"/>
            </w:tcBorders>
            <w:vAlign w:val="center"/>
          </w:tcPr>
          <w:p w14:paraId="30B73ED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邮箱</w:t>
            </w:r>
          </w:p>
        </w:tc>
        <w:tc>
          <w:tcPr>
            <w:tcW w:w="2525" w:type="dxa"/>
            <w:tcBorders>
              <w:top w:val="single" w:color="auto" w:sz="4" w:space="0"/>
              <w:left w:val="nil"/>
              <w:bottom w:val="single" w:color="auto" w:sz="4" w:space="0"/>
              <w:right w:val="single" w:color="000000" w:sz="4" w:space="0"/>
            </w:tcBorders>
            <w:vAlign w:val="center"/>
          </w:tcPr>
          <w:p w14:paraId="0E199171">
            <w:pPr>
              <w:jc w:val="center"/>
              <w:rPr>
                <w:rFonts w:hint="eastAsia" w:ascii="宋体" w:hAnsi="宋体" w:eastAsia="宋体" w:cs="宋体"/>
                <w:color w:val="auto"/>
                <w:sz w:val="24"/>
                <w:szCs w:val="24"/>
                <w:highlight w:val="none"/>
              </w:rPr>
            </w:pPr>
          </w:p>
        </w:tc>
        <w:tc>
          <w:tcPr>
            <w:tcW w:w="1537" w:type="dxa"/>
            <w:tcBorders>
              <w:top w:val="nil"/>
              <w:left w:val="nil"/>
              <w:bottom w:val="single" w:color="auto" w:sz="4" w:space="0"/>
              <w:right w:val="single" w:color="auto" w:sz="4" w:space="0"/>
            </w:tcBorders>
            <w:vAlign w:val="center"/>
          </w:tcPr>
          <w:p w14:paraId="334FF5E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网址</w:t>
            </w:r>
          </w:p>
        </w:tc>
        <w:tc>
          <w:tcPr>
            <w:tcW w:w="2139" w:type="dxa"/>
            <w:tcBorders>
              <w:top w:val="nil"/>
              <w:left w:val="nil"/>
              <w:bottom w:val="single" w:color="auto" w:sz="4" w:space="0"/>
              <w:right w:val="single" w:color="auto" w:sz="4" w:space="0"/>
            </w:tcBorders>
            <w:vAlign w:val="center"/>
          </w:tcPr>
          <w:p w14:paraId="0E1E3F9A">
            <w:pPr>
              <w:jc w:val="center"/>
              <w:rPr>
                <w:rFonts w:hint="eastAsia" w:ascii="宋体" w:hAnsi="宋体" w:eastAsia="宋体" w:cs="宋体"/>
                <w:color w:val="auto"/>
                <w:sz w:val="24"/>
                <w:szCs w:val="24"/>
                <w:highlight w:val="none"/>
              </w:rPr>
            </w:pPr>
          </w:p>
        </w:tc>
      </w:tr>
      <w:tr w14:paraId="52087430">
        <w:tblPrEx>
          <w:tblCellMar>
            <w:top w:w="0" w:type="dxa"/>
            <w:left w:w="108" w:type="dxa"/>
            <w:bottom w:w="0" w:type="dxa"/>
            <w:right w:w="108" w:type="dxa"/>
          </w:tblCellMar>
        </w:tblPrEx>
        <w:trPr>
          <w:trHeight w:val="930" w:hRule="atLeast"/>
          <w:jc w:val="center"/>
        </w:trPr>
        <w:tc>
          <w:tcPr>
            <w:tcW w:w="1853" w:type="dxa"/>
            <w:tcBorders>
              <w:top w:val="nil"/>
              <w:left w:val="single" w:color="auto" w:sz="4" w:space="0"/>
              <w:bottom w:val="single" w:color="auto" w:sz="4" w:space="0"/>
              <w:right w:val="single" w:color="auto" w:sz="4" w:space="0"/>
            </w:tcBorders>
            <w:vAlign w:val="center"/>
          </w:tcPr>
          <w:p w14:paraId="6FA213A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c>
          <w:tcPr>
            <w:tcW w:w="3575" w:type="dxa"/>
            <w:gridSpan w:val="2"/>
            <w:tcBorders>
              <w:top w:val="single" w:color="auto" w:sz="4" w:space="0"/>
              <w:left w:val="nil"/>
              <w:bottom w:val="single" w:color="auto" w:sz="4" w:space="0"/>
              <w:right w:val="single" w:color="000000" w:sz="4" w:space="0"/>
            </w:tcBorders>
            <w:vAlign w:val="center"/>
          </w:tcPr>
          <w:p w14:paraId="3972B2D7">
            <w:pPr>
              <w:jc w:val="center"/>
              <w:rPr>
                <w:rFonts w:hint="eastAsia" w:ascii="宋体" w:hAnsi="宋体" w:eastAsia="宋体" w:cs="宋体"/>
                <w:color w:val="auto"/>
                <w:sz w:val="24"/>
                <w:szCs w:val="24"/>
                <w:highlight w:val="none"/>
              </w:rPr>
            </w:pPr>
          </w:p>
        </w:tc>
        <w:tc>
          <w:tcPr>
            <w:tcW w:w="1537" w:type="dxa"/>
            <w:tcBorders>
              <w:top w:val="nil"/>
              <w:left w:val="nil"/>
              <w:bottom w:val="single" w:color="auto" w:sz="4" w:space="0"/>
              <w:right w:val="single" w:color="auto" w:sz="4" w:space="0"/>
            </w:tcBorders>
            <w:vAlign w:val="center"/>
          </w:tcPr>
          <w:p w14:paraId="6009403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c>
          <w:tcPr>
            <w:tcW w:w="2139" w:type="dxa"/>
            <w:tcBorders>
              <w:top w:val="nil"/>
              <w:left w:val="nil"/>
              <w:bottom w:val="single" w:color="auto" w:sz="4" w:space="0"/>
              <w:right w:val="single" w:color="auto" w:sz="4" w:space="0"/>
            </w:tcBorders>
            <w:vAlign w:val="center"/>
          </w:tcPr>
          <w:p w14:paraId="5D05A2D5">
            <w:pPr>
              <w:jc w:val="center"/>
              <w:rPr>
                <w:rFonts w:hint="eastAsia" w:ascii="宋体" w:hAnsi="宋体" w:eastAsia="宋体" w:cs="宋体"/>
                <w:color w:val="auto"/>
                <w:sz w:val="24"/>
                <w:szCs w:val="24"/>
                <w:highlight w:val="none"/>
              </w:rPr>
            </w:pPr>
          </w:p>
        </w:tc>
      </w:tr>
      <w:tr w14:paraId="65991890">
        <w:tblPrEx>
          <w:tblCellMar>
            <w:top w:w="0" w:type="dxa"/>
            <w:left w:w="108" w:type="dxa"/>
            <w:bottom w:w="0" w:type="dxa"/>
            <w:right w:w="108" w:type="dxa"/>
          </w:tblCellMar>
        </w:tblPrEx>
        <w:trPr>
          <w:trHeight w:val="930" w:hRule="atLeast"/>
          <w:jc w:val="center"/>
        </w:trPr>
        <w:tc>
          <w:tcPr>
            <w:tcW w:w="1853" w:type="dxa"/>
            <w:tcBorders>
              <w:top w:val="nil"/>
              <w:left w:val="single" w:color="auto" w:sz="4" w:space="0"/>
              <w:bottom w:val="single" w:color="auto" w:sz="4" w:space="0"/>
              <w:right w:val="single" w:color="auto" w:sz="4" w:space="0"/>
            </w:tcBorders>
            <w:vAlign w:val="center"/>
          </w:tcPr>
          <w:p w14:paraId="16616A1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经营范围</w:t>
            </w:r>
          </w:p>
        </w:tc>
        <w:tc>
          <w:tcPr>
            <w:tcW w:w="7251" w:type="dxa"/>
            <w:gridSpan w:val="4"/>
            <w:tcBorders>
              <w:top w:val="single" w:color="auto" w:sz="4" w:space="0"/>
              <w:left w:val="nil"/>
              <w:bottom w:val="single" w:color="auto" w:sz="4" w:space="0"/>
              <w:right w:val="single" w:color="000000" w:sz="4" w:space="0"/>
            </w:tcBorders>
            <w:vAlign w:val="center"/>
          </w:tcPr>
          <w:p w14:paraId="4E3A1CAF">
            <w:pPr>
              <w:jc w:val="center"/>
              <w:rPr>
                <w:rFonts w:hint="eastAsia" w:ascii="宋体" w:hAnsi="宋体" w:eastAsia="宋体" w:cs="宋体"/>
                <w:color w:val="auto"/>
                <w:sz w:val="24"/>
                <w:szCs w:val="24"/>
                <w:highlight w:val="none"/>
              </w:rPr>
            </w:pPr>
          </w:p>
        </w:tc>
      </w:tr>
      <w:tr w14:paraId="04BEC694">
        <w:tblPrEx>
          <w:tblCellMar>
            <w:top w:w="0" w:type="dxa"/>
            <w:left w:w="108" w:type="dxa"/>
            <w:bottom w:w="0" w:type="dxa"/>
            <w:right w:w="108" w:type="dxa"/>
          </w:tblCellMar>
        </w:tblPrEx>
        <w:trPr>
          <w:trHeight w:val="930" w:hRule="atLeast"/>
          <w:jc w:val="center"/>
        </w:trPr>
        <w:tc>
          <w:tcPr>
            <w:tcW w:w="1853" w:type="dxa"/>
            <w:tcBorders>
              <w:top w:val="nil"/>
              <w:left w:val="single" w:color="auto" w:sz="4" w:space="0"/>
              <w:bottom w:val="single" w:color="auto" w:sz="4" w:space="0"/>
              <w:right w:val="single" w:color="auto" w:sz="4" w:space="0"/>
            </w:tcBorders>
            <w:vAlign w:val="center"/>
          </w:tcPr>
          <w:p w14:paraId="42204A3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c>
          <w:tcPr>
            <w:tcW w:w="7251" w:type="dxa"/>
            <w:gridSpan w:val="4"/>
            <w:tcBorders>
              <w:top w:val="single" w:color="auto" w:sz="4" w:space="0"/>
              <w:left w:val="nil"/>
              <w:bottom w:val="single" w:color="auto" w:sz="4" w:space="0"/>
              <w:right w:val="single" w:color="000000" w:sz="4" w:space="0"/>
            </w:tcBorders>
            <w:vAlign w:val="center"/>
          </w:tcPr>
          <w:p w14:paraId="2316A4FD">
            <w:pPr>
              <w:jc w:val="center"/>
              <w:rPr>
                <w:rFonts w:hint="eastAsia" w:ascii="宋体" w:hAnsi="宋体" w:eastAsia="宋体" w:cs="宋体"/>
                <w:color w:val="auto"/>
                <w:sz w:val="24"/>
                <w:szCs w:val="24"/>
                <w:highlight w:val="none"/>
              </w:rPr>
            </w:pPr>
          </w:p>
        </w:tc>
      </w:tr>
    </w:tbl>
    <w:p w14:paraId="6340FED7">
      <w:pPr>
        <w:adjustRightInd w:val="0"/>
        <w:spacing w:line="320" w:lineRule="exact"/>
        <w:ind w:firstLine="480" w:firstLineChars="200"/>
        <w:jc w:val="left"/>
        <w:rPr>
          <w:rFonts w:hint="eastAsia" w:ascii="宋体" w:hAnsi="宋体" w:eastAsia="宋体" w:cs="宋体"/>
          <w:bCs/>
          <w:color w:val="auto"/>
          <w:sz w:val="24"/>
          <w:szCs w:val="24"/>
          <w:highlight w:val="none"/>
        </w:rPr>
      </w:pPr>
    </w:p>
    <w:p w14:paraId="64F12EDE">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p w14:paraId="5F9AF387">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1、投标人为法人时，后附营业执照等相关资料彩色扫描件；    </w:t>
      </w:r>
    </w:p>
    <w:p w14:paraId="7AE68DCE">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2、投标人为非法人时，格式自拟，后附相关资料彩色扫描件。</w:t>
      </w:r>
    </w:p>
    <w:p w14:paraId="3D8A09D1">
      <w:pPr>
        <w:adjustRightInd w:val="0"/>
        <w:spacing w:line="500" w:lineRule="exact"/>
        <w:ind w:firstLine="480" w:firstLineChars="200"/>
        <w:jc w:val="center"/>
        <w:rPr>
          <w:rFonts w:hint="eastAsia" w:ascii="宋体" w:hAnsi="宋体" w:eastAsia="宋体" w:cs="宋体"/>
          <w:bCs/>
          <w:color w:val="auto"/>
          <w:sz w:val="24"/>
          <w:szCs w:val="24"/>
          <w:highlight w:val="none"/>
        </w:rPr>
      </w:pPr>
      <w:bookmarkStart w:id="140" w:name="_Toc217446089"/>
    </w:p>
    <w:p w14:paraId="16FBEBD6">
      <w:pPr>
        <w:adjustRightInd w:val="0"/>
        <w:spacing w:line="500" w:lineRule="exact"/>
        <w:ind w:firstLine="480" w:firstLineChars="200"/>
        <w:jc w:val="center"/>
        <w:rPr>
          <w:rFonts w:hint="eastAsia" w:ascii="宋体" w:hAnsi="宋体" w:eastAsia="宋体" w:cs="宋体"/>
          <w:bCs/>
          <w:color w:val="auto"/>
          <w:sz w:val="24"/>
          <w:szCs w:val="24"/>
          <w:highlight w:val="none"/>
        </w:rPr>
      </w:pPr>
    </w:p>
    <w:p w14:paraId="12F2913A">
      <w:pPr>
        <w:adjustRightInd w:val="0"/>
        <w:spacing w:line="500" w:lineRule="exact"/>
        <w:ind w:firstLine="480" w:firstLineChars="200"/>
        <w:jc w:val="center"/>
        <w:outlineLvl w:val="1"/>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br w:type="page"/>
      </w:r>
      <w:r>
        <w:rPr>
          <w:rFonts w:hint="eastAsia" w:ascii="宋体" w:hAnsi="宋体" w:cs="宋体"/>
          <w:b/>
          <w:color w:val="auto"/>
          <w:sz w:val="24"/>
          <w:szCs w:val="24"/>
          <w:highlight w:val="none"/>
          <w:lang w:val="en-US" w:eastAsia="zh-CN"/>
        </w:rPr>
        <w:t>四</w:t>
      </w:r>
      <w:r>
        <w:rPr>
          <w:rFonts w:hint="eastAsia" w:ascii="宋体" w:hAnsi="宋体" w:eastAsia="宋体" w:cs="宋体"/>
          <w:b/>
          <w:color w:val="auto"/>
          <w:sz w:val="24"/>
          <w:szCs w:val="24"/>
          <w:highlight w:val="none"/>
        </w:rPr>
        <w:t>、投标人类似项目业绩一览表</w:t>
      </w:r>
      <w:bookmarkEnd w:id="140"/>
    </w:p>
    <w:p w14:paraId="4C89155E">
      <w:pPr>
        <w:spacing w:line="400" w:lineRule="exact"/>
        <w:rPr>
          <w:rFonts w:hint="eastAsia" w:ascii="宋体" w:hAnsi="宋体" w:eastAsia="宋体" w:cs="宋体"/>
          <w:color w:val="auto"/>
          <w:sz w:val="24"/>
          <w:szCs w:val="24"/>
          <w:highlight w:val="none"/>
        </w:rPr>
      </w:pP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606"/>
        <w:gridCol w:w="960"/>
        <w:gridCol w:w="1113"/>
        <w:gridCol w:w="1151"/>
        <w:gridCol w:w="1162"/>
        <w:gridCol w:w="1180"/>
        <w:gridCol w:w="1158"/>
        <w:gridCol w:w="1069"/>
        <w:gridCol w:w="10"/>
      </w:tblGrid>
      <w:tr w14:paraId="038273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360" w:type="pct"/>
            <w:tcBorders>
              <w:top w:val="single" w:color="auto" w:sz="4" w:space="0"/>
            </w:tcBorders>
            <w:vAlign w:val="center"/>
          </w:tcPr>
          <w:p w14:paraId="119F6E2F">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570" w:type="pct"/>
            <w:vAlign w:val="center"/>
          </w:tcPr>
          <w:p w14:paraId="4D8CF837">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采购人</w:t>
            </w:r>
          </w:p>
        </w:tc>
        <w:tc>
          <w:tcPr>
            <w:tcW w:w="661" w:type="pct"/>
            <w:vAlign w:val="center"/>
          </w:tcPr>
          <w:p w14:paraId="233A6DB3">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联系人</w:t>
            </w:r>
          </w:p>
        </w:tc>
        <w:tc>
          <w:tcPr>
            <w:tcW w:w="684" w:type="pct"/>
            <w:vAlign w:val="center"/>
          </w:tcPr>
          <w:p w14:paraId="087F1DFA">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联系电话</w:t>
            </w:r>
          </w:p>
        </w:tc>
        <w:tc>
          <w:tcPr>
            <w:tcW w:w="690" w:type="pct"/>
            <w:vAlign w:val="center"/>
          </w:tcPr>
          <w:p w14:paraId="68A56AFF">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项目名称</w:t>
            </w:r>
          </w:p>
        </w:tc>
        <w:tc>
          <w:tcPr>
            <w:tcW w:w="701" w:type="pct"/>
            <w:vAlign w:val="center"/>
          </w:tcPr>
          <w:p w14:paraId="085A5581">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完成时间</w:t>
            </w:r>
          </w:p>
        </w:tc>
        <w:tc>
          <w:tcPr>
            <w:tcW w:w="688" w:type="pct"/>
            <w:vAlign w:val="center"/>
          </w:tcPr>
          <w:p w14:paraId="6D7D4EE2">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合同金额</w:t>
            </w:r>
          </w:p>
        </w:tc>
        <w:tc>
          <w:tcPr>
            <w:tcW w:w="641" w:type="pct"/>
            <w:gridSpan w:val="2"/>
            <w:tcBorders>
              <w:right w:val="single" w:color="auto" w:sz="4" w:space="0"/>
            </w:tcBorders>
            <w:vAlign w:val="center"/>
          </w:tcPr>
          <w:p w14:paraId="09945737">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项目描述</w:t>
            </w:r>
          </w:p>
        </w:tc>
      </w:tr>
      <w:tr w14:paraId="471C18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360" w:type="pct"/>
            <w:vAlign w:val="center"/>
          </w:tcPr>
          <w:p w14:paraId="5306BB75">
            <w:pPr>
              <w:spacing w:line="400" w:lineRule="exact"/>
              <w:jc w:val="center"/>
              <w:rPr>
                <w:rFonts w:hint="eastAsia" w:ascii="宋体" w:hAnsi="宋体" w:eastAsia="宋体" w:cs="宋体"/>
                <w:color w:val="auto"/>
                <w:sz w:val="24"/>
                <w:szCs w:val="24"/>
                <w:highlight w:val="none"/>
              </w:rPr>
            </w:pPr>
          </w:p>
        </w:tc>
        <w:tc>
          <w:tcPr>
            <w:tcW w:w="570" w:type="pct"/>
            <w:vAlign w:val="center"/>
          </w:tcPr>
          <w:p w14:paraId="453059E1">
            <w:pPr>
              <w:spacing w:line="400" w:lineRule="exact"/>
              <w:jc w:val="center"/>
              <w:rPr>
                <w:rFonts w:hint="eastAsia" w:ascii="宋体" w:hAnsi="宋体" w:eastAsia="宋体" w:cs="宋体"/>
                <w:color w:val="auto"/>
                <w:sz w:val="24"/>
                <w:szCs w:val="24"/>
                <w:highlight w:val="none"/>
              </w:rPr>
            </w:pPr>
          </w:p>
        </w:tc>
        <w:tc>
          <w:tcPr>
            <w:tcW w:w="661" w:type="pct"/>
            <w:vAlign w:val="center"/>
          </w:tcPr>
          <w:p w14:paraId="2FC1E444">
            <w:pPr>
              <w:spacing w:line="400" w:lineRule="exact"/>
              <w:jc w:val="center"/>
              <w:rPr>
                <w:rFonts w:hint="eastAsia" w:ascii="宋体" w:hAnsi="宋体" w:eastAsia="宋体" w:cs="宋体"/>
                <w:color w:val="auto"/>
                <w:sz w:val="24"/>
                <w:szCs w:val="24"/>
                <w:highlight w:val="none"/>
              </w:rPr>
            </w:pPr>
          </w:p>
        </w:tc>
        <w:tc>
          <w:tcPr>
            <w:tcW w:w="684" w:type="pct"/>
            <w:vAlign w:val="center"/>
          </w:tcPr>
          <w:p w14:paraId="33DA65E4">
            <w:pPr>
              <w:spacing w:line="400" w:lineRule="exact"/>
              <w:jc w:val="center"/>
              <w:rPr>
                <w:rFonts w:hint="eastAsia" w:ascii="宋体" w:hAnsi="宋体" w:eastAsia="宋体" w:cs="宋体"/>
                <w:color w:val="auto"/>
                <w:sz w:val="24"/>
                <w:szCs w:val="24"/>
                <w:highlight w:val="none"/>
              </w:rPr>
            </w:pPr>
          </w:p>
        </w:tc>
        <w:tc>
          <w:tcPr>
            <w:tcW w:w="690" w:type="pct"/>
            <w:vAlign w:val="center"/>
          </w:tcPr>
          <w:p w14:paraId="43C7E660">
            <w:pPr>
              <w:spacing w:line="400" w:lineRule="exact"/>
              <w:jc w:val="center"/>
              <w:rPr>
                <w:rFonts w:hint="eastAsia" w:ascii="宋体" w:hAnsi="宋体" w:eastAsia="宋体" w:cs="宋体"/>
                <w:color w:val="auto"/>
                <w:sz w:val="24"/>
                <w:szCs w:val="24"/>
                <w:highlight w:val="none"/>
              </w:rPr>
            </w:pPr>
          </w:p>
        </w:tc>
        <w:tc>
          <w:tcPr>
            <w:tcW w:w="701" w:type="pct"/>
            <w:vAlign w:val="center"/>
          </w:tcPr>
          <w:p w14:paraId="0D4A3F3A">
            <w:pPr>
              <w:spacing w:line="400" w:lineRule="exact"/>
              <w:jc w:val="center"/>
              <w:rPr>
                <w:rFonts w:hint="eastAsia" w:ascii="宋体" w:hAnsi="宋体" w:eastAsia="宋体" w:cs="宋体"/>
                <w:color w:val="auto"/>
                <w:sz w:val="24"/>
                <w:szCs w:val="24"/>
                <w:highlight w:val="none"/>
              </w:rPr>
            </w:pPr>
          </w:p>
        </w:tc>
        <w:tc>
          <w:tcPr>
            <w:tcW w:w="688" w:type="pct"/>
            <w:vAlign w:val="center"/>
          </w:tcPr>
          <w:p w14:paraId="65779433">
            <w:pPr>
              <w:spacing w:line="400" w:lineRule="exact"/>
              <w:jc w:val="center"/>
              <w:rPr>
                <w:rFonts w:hint="eastAsia" w:ascii="宋体" w:hAnsi="宋体" w:eastAsia="宋体" w:cs="宋体"/>
                <w:color w:val="auto"/>
                <w:sz w:val="24"/>
                <w:szCs w:val="24"/>
                <w:highlight w:val="none"/>
              </w:rPr>
            </w:pPr>
          </w:p>
        </w:tc>
        <w:tc>
          <w:tcPr>
            <w:tcW w:w="641" w:type="pct"/>
            <w:gridSpan w:val="2"/>
            <w:tcBorders>
              <w:right w:val="single" w:color="auto" w:sz="4" w:space="0"/>
            </w:tcBorders>
            <w:vAlign w:val="center"/>
          </w:tcPr>
          <w:p w14:paraId="6F54229F">
            <w:pPr>
              <w:spacing w:line="400" w:lineRule="exact"/>
              <w:jc w:val="center"/>
              <w:rPr>
                <w:rFonts w:hint="eastAsia" w:ascii="宋体" w:hAnsi="宋体" w:eastAsia="宋体" w:cs="宋体"/>
                <w:color w:val="auto"/>
                <w:sz w:val="24"/>
                <w:szCs w:val="24"/>
                <w:highlight w:val="none"/>
              </w:rPr>
            </w:pPr>
          </w:p>
        </w:tc>
      </w:tr>
      <w:tr w14:paraId="346CC8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360" w:type="pct"/>
            <w:vAlign w:val="center"/>
          </w:tcPr>
          <w:p w14:paraId="157187CC">
            <w:pPr>
              <w:spacing w:line="400" w:lineRule="exact"/>
              <w:jc w:val="center"/>
              <w:rPr>
                <w:rFonts w:hint="eastAsia" w:ascii="宋体" w:hAnsi="宋体" w:eastAsia="宋体" w:cs="宋体"/>
                <w:color w:val="auto"/>
                <w:sz w:val="24"/>
                <w:szCs w:val="24"/>
                <w:highlight w:val="none"/>
              </w:rPr>
            </w:pPr>
          </w:p>
        </w:tc>
        <w:tc>
          <w:tcPr>
            <w:tcW w:w="570" w:type="pct"/>
            <w:vAlign w:val="center"/>
          </w:tcPr>
          <w:p w14:paraId="18768BA1">
            <w:pPr>
              <w:spacing w:line="400" w:lineRule="exact"/>
              <w:jc w:val="center"/>
              <w:rPr>
                <w:rFonts w:hint="eastAsia" w:ascii="宋体" w:hAnsi="宋体" w:eastAsia="宋体" w:cs="宋体"/>
                <w:color w:val="auto"/>
                <w:sz w:val="24"/>
                <w:szCs w:val="24"/>
                <w:highlight w:val="none"/>
              </w:rPr>
            </w:pPr>
          </w:p>
        </w:tc>
        <w:tc>
          <w:tcPr>
            <w:tcW w:w="661" w:type="pct"/>
            <w:vAlign w:val="center"/>
          </w:tcPr>
          <w:p w14:paraId="78904867">
            <w:pPr>
              <w:spacing w:line="400" w:lineRule="exact"/>
              <w:jc w:val="center"/>
              <w:rPr>
                <w:rFonts w:hint="eastAsia" w:ascii="宋体" w:hAnsi="宋体" w:eastAsia="宋体" w:cs="宋体"/>
                <w:color w:val="auto"/>
                <w:sz w:val="24"/>
                <w:szCs w:val="24"/>
                <w:highlight w:val="none"/>
              </w:rPr>
            </w:pPr>
          </w:p>
        </w:tc>
        <w:tc>
          <w:tcPr>
            <w:tcW w:w="684" w:type="pct"/>
            <w:vAlign w:val="center"/>
          </w:tcPr>
          <w:p w14:paraId="202D7319">
            <w:pPr>
              <w:spacing w:line="400" w:lineRule="exact"/>
              <w:jc w:val="center"/>
              <w:rPr>
                <w:rFonts w:hint="eastAsia" w:ascii="宋体" w:hAnsi="宋体" w:eastAsia="宋体" w:cs="宋体"/>
                <w:color w:val="auto"/>
                <w:sz w:val="24"/>
                <w:szCs w:val="24"/>
                <w:highlight w:val="none"/>
              </w:rPr>
            </w:pPr>
          </w:p>
        </w:tc>
        <w:tc>
          <w:tcPr>
            <w:tcW w:w="690" w:type="pct"/>
            <w:vAlign w:val="center"/>
          </w:tcPr>
          <w:p w14:paraId="753CE69A">
            <w:pPr>
              <w:spacing w:line="400" w:lineRule="exact"/>
              <w:jc w:val="center"/>
              <w:rPr>
                <w:rFonts w:hint="eastAsia" w:ascii="宋体" w:hAnsi="宋体" w:eastAsia="宋体" w:cs="宋体"/>
                <w:color w:val="auto"/>
                <w:sz w:val="24"/>
                <w:szCs w:val="24"/>
                <w:highlight w:val="none"/>
              </w:rPr>
            </w:pPr>
          </w:p>
        </w:tc>
        <w:tc>
          <w:tcPr>
            <w:tcW w:w="701" w:type="pct"/>
            <w:vAlign w:val="center"/>
          </w:tcPr>
          <w:p w14:paraId="4C936DC9">
            <w:pPr>
              <w:spacing w:line="400" w:lineRule="exact"/>
              <w:jc w:val="center"/>
              <w:rPr>
                <w:rFonts w:hint="eastAsia" w:ascii="宋体" w:hAnsi="宋体" w:eastAsia="宋体" w:cs="宋体"/>
                <w:color w:val="auto"/>
                <w:sz w:val="24"/>
                <w:szCs w:val="24"/>
                <w:highlight w:val="none"/>
              </w:rPr>
            </w:pPr>
          </w:p>
        </w:tc>
        <w:tc>
          <w:tcPr>
            <w:tcW w:w="688" w:type="pct"/>
            <w:vAlign w:val="center"/>
          </w:tcPr>
          <w:p w14:paraId="7767F6F6">
            <w:pPr>
              <w:spacing w:line="400" w:lineRule="exact"/>
              <w:jc w:val="center"/>
              <w:rPr>
                <w:rFonts w:hint="eastAsia" w:ascii="宋体" w:hAnsi="宋体" w:eastAsia="宋体" w:cs="宋体"/>
                <w:color w:val="auto"/>
                <w:sz w:val="24"/>
                <w:szCs w:val="24"/>
                <w:highlight w:val="none"/>
              </w:rPr>
            </w:pPr>
          </w:p>
        </w:tc>
        <w:tc>
          <w:tcPr>
            <w:tcW w:w="641" w:type="pct"/>
            <w:gridSpan w:val="2"/>
            <w:tcBorders>
              <w:right w:val="single" w:color="auto" w:sz="4" w:space="0"/>
            </w:tcBorders>
            <w:vAlign w:val="center"/>
          </w:tcPr>
          <w:p w14:paraId="275CE16E">
            <w:pPr>
              <w:spacing w:line="400" w:lineRule="exact"/>
              <w:jc w:val="center"/>
              <w:rPr>
                <w:rFonts w:hint="eastAsia" w:ascii="宋体" w:hAnsi="宋体" w:eastAsia="宋体" w:cs="宋体"/>
                <w:color w:val="auto"/>
                <w:sz w:val="24"/>
                <w:szCs w:val="24"/>
                <w:highlight w:val="none"/>
              </w:rPr>
            </w:pPr>
          </w:p>
        </w:tc>
      </w:tr>
      <w:tr w14:paraId="6D5D18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360" w:type="pct"/>
            <w:vAlign w:val="center"/>
          </w:tcPr>
          <w:p w14:paraId="4FF0F7A6">
            <w:pPr>
              <w:spacing w:line="400" w:lineRule="exact"/>
              <w:jc w:val="center"/>
              <w:rPr>
                <w:rFonts w:hint="eastAsia" w:ascii="宋体" w:hAnsi="宋体" w:eastAsia="宋体" w:cs="宋体"/>
                <w:color w:val="auto"/>
                <w:sz w:val="24"/>
                <w:szCs w:val="24"/>
                <w:highlight w:val="none"/>
              </w:rPr>
            </w:pPr>
          </w:p>
        </w:tc>
        <w:tc>
          <w:tcPr>
            <w:tcW w:w="570" w:type="pct"/>
            <w:vAlign w:val="center"/>
          </w:tcPr>
          <w:p w14:paraId="0EA66CDE">
            <w:pPr>
              <w:spacing w:line="400" w:lineRule="exact"/>
              <w:jc w:val="center"/>
              <w:rPr>
                <w:rFonts w:hint="eastAsia" w:ascii="宋体" w:hAnsi="宋体" w:eastAsia="宋体" w:cs="宋体"/>
                <w:color w:val="auto"/>
                <w:sz w:val="24"/>
                <w:szCs w:val="24"/>
                <w:highlight w:val="none"/>
              </w:rPr>
            </w:pPr>
          </w:p>
        </w:tc>
        <w:tc>
          <w:tcPr>
            <w:tcW w:w="661" w:type="pct"/>
            <w:vAlign w:val="center"/>
          </w:tcPr>
          <w:p w14:paraId="697C14E5">
            <w:pPr>
              <w:spacing w:line="400" w:lineRule="exact"/>
              <w:jc w:val="center"/>
              <w:rPr>
                <w:rFonts w:hint="eastAsia" w:ascii="宋体" w:hAnsi="宋体" w:eastAsia="宋体" w:cs="宋体"/>
                <w:color w:val="auto"/>
                <w:sz w:val="24"/>
                <w:szCs w:val="24"/>
                <w:highlight w:val="none"/>
              </w:rPr>
            </w:pPr>
          </w:p>
        </w:tc>
        <w:tc>
          <w:tcPr>
            <w:tcW w:w="684" w:type="pct"/>
            <w:vAlign w:val="center"/>
          </w:tcPr>
          <w:p w14:paraId="031905A6">
            <w:pPr>
              <w:spacing w:line="400" w:lineRule="exact"/>
              <w:jc w:val="center"/>
              <w:rPr>
                <w:rFonts w:hint="eastAsia" w:ascii="宋体" w:hAnsi="宋体" w:eastAsia="宋体" w:cs="宋体"/>
                <w:color w:val="auto"/>
                <w:sz w:val="24"/>
                <w:szCs w:val="24"/>
                <w:highlight w:val="none"/>
              </w:rPr>
            </w:pPr>
          </w:p>
        </w:tc>
        <w:tc>
          <w:tcPr>
            <w:tcW w:w="690" w:type="pct"/>
            <w:vAlign w:val="center"/>
          </w:tcPr>
          <w:p w14:paraId="11845950">
            <w:pPr>
              <w:spacing w:line="400" w:lineRule="exact"/>
              <w:jc w:val="center"/>
              <w:rPr>
                <w:rFonts w:hint="eastAsia" w:ascii="宋体" w:hAnsi="宋体" w:eastAsia="宋体" w:cs="宋体"/>
                <w:color w:val="auto"/>
                <w:sz w:val="24"/>
                <w:szCs w:val="24"/>
                <w:highlight w:val="none"/>
              </w:rPr>
            </w:pPr>
          </w:p>
        </w:tc>
        <w:tc>
          <w:tcPr>
            <w:tcW w:w="701" w:type="pct"/>
            <w:vAlign w:val="center"/>
          </w:tcPr>
          <w:p w14:paraId="3B199A02">
            <w:pPr>
              <w:spacing w:line="400" w:lineRule="exact"/>
              <w:jc w:val="center"/>
              <w:rPr>
                <w:rFonts w:hint="eastAsia" w:ascii="宋体" w:hAnsi="宋体" w:eastAsia="宋体" w:cs="宋体"/>
                <w:color w:val="auto"/>
                <w:sz w:val="24"/>
                <w:szCs w:val="24"/>
                <w:highlight w:val="none"/>
              </w:rPr>
            </w:pPr>
          </w:p>
        </w:tc>
        <w:tc>
          <w:tcPr>
            <w:tcW w:w="688" w:type="pct"/>
            <w:vAlign w:val="center"/>
          </w:tcPr>
          <w:p w14:paraId="1B6BF6D0">
            <w:pPr>
              <w:spacing w:line="400" w:lineRule="exact"/>
              <w:jc w:val="center"/>
              <w:rPr>
                <w:rFonts w:hint="eastAsia" w:ascii="宋体" w:hAnsi="宋体" w:eastAsia="宋体" w:cs="宋体"/>
                <w:color w:val="auto"/>
                <w:sz w:val="24"/>
                <w:szCs w:val="24"/>
                <w:highlight w:val="none"/>
              </w:rPr>
            </w:pPr>
          </w:p>
        </w:tc>
        <w:tc>
          <w:tcPr>
            <w:tcW w:w="641" w:type="pct"/>
            <w:gridSpan w:val="2"/>
            <w:tcBorders>
              <w:right w:val="single" w:color="auto" w:sz="4" w:space="0"/>
            </w:tcBorders>
            <w:vAlign w:val="center"/>
          </w:tcPr>
          <w:p w14:paraId="5DB92BFB">
            <w:pPr>
              <w:spacing w:line="400" w:lineRule="exact"/>
              <w:jc w:val="center"/>
              <w:rPr>
                <w:rFonts w:hint="eastAsia" w:ascii="宋体" w:hAnsi="宋体" w:eastAsia="宋体" w:cs="宋体"/>
                <w:color w:val="auto"/>
                <w:sz w:val="24"/>
                <w:szCs w:val="24"/>
                <w:highlight w:val="none"/>
              </w:rPr>
            </w:pPr>
          </w:p>
        </w:tc>
      </w:tr>
      <w:tr w14:paraId="068056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360" w:type="pct"/>
            <w:vAlign w:val="center"/>
          </w:tcPr>
          <w:p w14:paraId="263509D3">
            <w:pPr>
              <w:spacing w:line="400" w:lineRule="exact"/>
              <w:jc w:val="center"/>
              <w:rPr>
                <w:rFonts w:hint="eastAsia" w:ascii="宋体" w:hAnsi="宋体" w:eastAsia="宋体" w:cs="宋体"/>
                <w:color w:val="auto"/>
                <w:sz w:val="24"/>
                <w:szCs w:val="24"/>
                <w:highlight w:val="none"/>
              </w:rPr>
            </w:pPr>
          </w:p>
        </w:tc>
        <w:tc>
          <w:tcPr>
            <w:tcW w:w="570" w:type="pct"/>
            <w:tcBorders>
              <w:right w:val="single" w:color="auto" w:sz="4" w:space="0"/>
            </w:tcBorders>
            <w:vAlign w:val="center"/>
          </w:tcPr>
          <w:p w14:paraId="7E6CC7C2">
            <w:pPr>
              <w:spacing w:line="400" w:lineRule="exact"/>
              <w:jc w:val="center"/>
              <w:rPr>
                <w:rFonts w:hint="eastAsia" w:ascii="宋体" w:hAnsi="宋体" w:eastAsia="宋体" w:cs="宋体"/>
                <w:color w:val="auto"/>
                <w:sz w:val="24"/>
                <w:szCs w:val="24"/>
                <w:highlight w:val="none"/>
              </w:rPr>
            </w:pPr>
          </w:p>
        </w:tc>
        <w:tc>
          <w:tcPr>
            <w:tcW w:w="661" w:type="pct"/>
            <w:tcBorders>
              <w:left w:val="single" w:color="auto" w:sz="4" w:space="0"/>
            </w:tcBorders>
            <w:vAlign w:val="center"/>
          </w:tcPr>
          <w:p w14:paraId="3C196ADD">
            <w:pPr>
              <w:spacing w:line="400" w:lineRule="exact"/>
              <w:jc w:val="center"/>
              <w:rPr>
                <w:rFonts w:hint="eastAsia" w:ascii="宋体" w:hAnsi="宋体" w:eastAsia="宋体" w:cs="宋体"/>
                <w:color w:val="auto"/>
                <w:sz w:val="24"/>
                <w:szCs w:val="24"/>
                <w:highlight w:val="none"/>
              </w:rPr>
            </w:pPr>
          </w:p>
        </w:tc>
        <w:tc>
          <w:tcPr>
            <w:tcW w:w="684" w:type="pct"/>
            <w:tcBorders>
              <w:left w:val="single" w:color="auto" w:sz="4" w:space="0"/>
            </w:tcBorders>
            <w:vAlign w:val="center"/>
          </w:tcPr>
          <w:p w14:paraId="74511919">
            <w:pPr>
              <w:spacing w:line="400" w:lineRule="exact"/>
              <w:jc w:val="center"/>
              <w:rPr>
                <w:rFonts w:hint="eastAsia" w:ascii="宋体" w:hAnsi="宋体" w:eastAsia="宋体" w:cs="宋体"/>
                <w:color w:val="auto"/>
                <w:sz w:val="24"/>
                <w:szCs w:val="24"/>
                <w:highlight w:val="none"/>
              </w:rPr>
            </w:pPr>
          </w:p>
        </w:tc>
        <w:tc>
          <w:tcPr>
            <w:tcW w:w="690" w:type="pct"/>
            <w:tcBorders>
              <w:left w:val="single" w:color="auto" w:sz="4" w:space="0"/>
            </w:tcBorders>
            <w:vAlign w:val="center"/>
          </w:tcPr>
          <w:p w14:paraId="6DB8BCCE">
            <w:pPr>
              <w:spacing w:line="400" w:lineRule="exact"/>
              <w:jc w:val="center"/>
              <w:rPr>
                <w:rFonts w:hint="eastAsia" w:ascii="宋体" w:hAnsi="宋体" w:eastAsia="宋体" w:cs="宋体"/>
                <w:color w:val="auto"/>
                <w:sz w:val="24"/>
                <w:szCs w:val="24"/>
                <w:highlight w:val="none"/>
              </w:rPr>
            </w:pPr>
          </w:p>
        </w:tc>
        <w:tc>
          <w:tcPr>
            <w:tcW w:w="701" w:type="pct"/>
            <w:vAlign w:val="center"/>
          </w:tcPr>
          <w:p w14:paraId="24C4D78E">
            <w:pPr>
              <w:spacing w:line="400" w:lineRule="exact"/>
              <w:jc w:val="center"/>
              <w:rPr>
                <w:rFonts w:hint="eastAsia" w:ascii="宋体" w:hAnsi="宋体" w:eastAsia="宋体" w:cs="宋体"/>
                <w:color w:val="auto"/>
                <w:sz w:val="24"/>
                <w:szCs w:val="24"/>
                <w:highlight w:val="none"/>
              </w:rPr>
            </w:pPr>
          </w:p>
        </w:tc>
        <w:tc>
          <w:tcPr>
            <w:tcW w:w="688" w:type="pct"/>
            <w:vAlign w:val="center"/>
          </w:tcPr>
          <w:p w14:paraId="01D7BA8B">
            <w:pPr>
              <w:spacing w:line="400" w:lineRule="exact"/>
              <w:jc w:val="center"/>
              <w:rPr>
                <w:rFonts w:hint="eastAsia" w:ascii="宋体" w:hAnsi="宋体" w:eastAsia="宋体" w:cs="宋体"/>
                <w:color w:val="auto"/>
                <w:sz w:val="24"/>
                <w:szCs w:val="24"/>
                <w:highlight w:val="none"/>
              </w:rPr>
            </w:pPr>
          </w:p>
        </w:tc>
        <w:tc>
          <w:tcPr>
            <w:tcW w:w="641" w:type="pct"/>
            <w:gridSpan w:val="2"/>
            <w:tcBorders>
              <w:right w:val="single" w:color="auto" w:sz="4" w:space="0"/>
            </w:tcBorders>
            <w:vAlign w:val="center"/>
          </w:tcPr>
          <w:p w14:paraId="2678EAD4">
            <w:pPr>
              <w:spacing w:line="400" w:lineRule="exact"/>
              <w:jc w:val="center"/>
              <w:rPr>
                <w:rFonts w:hint="eastAsia" w:ascii="宋体" w:hAnsi="宋体" w:eastAsia="宋体" w:cs="宋体"/>
                <w:color w:val="auto"/>
                <w:sz w:val="24"/>
                <w:szCs w:val="24"/>
                <w:highlight w:val="none"/>
              </w:rPr>
            </w:pPr>
          </w:p>
        </w:tc>
      </w:tr>
      <w:tr w14:paraId="229BA3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360" w:type="pct"/>
            <w:tcBorders>
              <w:right w:val="single" w:color="auto" w:sz="4" w:space="0"/>
            </w:tcBorders>
            <w:vAlign w:val="center"/>
          </w:tcPr>
          <w:p w14:paraId="49E066A5">
            <w:pPr>
              <w:spacing w:line="400" w:lineRule="exact"/>
              <w:rPr>
                <w:rFonts w:hint="eastAsia" w:ascii="宋体" w:hAnsi="宋体" w:eastAsia="宋体" w:cs="宋体"/>
                <w:color w:val="auto"/>
                <w:sz w:val="24"/>
                <w:szCs w:val="24"/>
                <w:highlight w:val="none"/>
              </w:rPr>
            </w:pPr>
          </w:p>
        </w:tc>
        <w:tc>
          <w:tcPr>
            <w:tcW w:w="570" w:type="pct"/>
            <w:tcBorders>
              <w:left w:val="single" w:color="auto" w:sz="4" w:space="0"/>
              <w:right w:val="single" w:color="auto" w:sz="4" w:space="0"/>
            </w:tcBorders>
            <w:vAlign w:val="center"/>
          </w:tcPr>
          <w:p w14:paraId="2E81B283">
            <w:pPr>
              <w:spacing w:line="400" w:lineRule="exact"/>
              <w:rPr>
                <w:rFonts w:hint="eastAsia" w:ascii="宋体" w:hAnsi="宋体" w:eastAsia="宋体" w:cs="宋体"/>
                <w:color w:val="auto"/>
                <w:sz w:val="24"/>
                <w:szCs w:val="24"/>
                <w:highlight w:val="none"/>
              </w:rPr>
            </w:pPr>
          </w:p>
        </w:tc>
        <w:tc>
          <w:tcPr>
            <w:tcW w:w="661" w:type="pct"/>
            <w:tcBorders>
              <w:left w:val="single" w:color="auto" w:sz="4" w:space="0"/>
              <w:right w:val="single" w:color="auto" w:sz="4" w:space="0"/>
            </w:tcBorders>
            <w:vAlign w:val="center"/>
          </w:tcPr>
          <w:p w14:paraId="37831495">
            <w:pPr>
              <w:spacing w:line="400" w:lineRule="exact"/>
              <w:rPr>
                <w:rFonts w:hint="eastAsia" w:ascii="宋体" w:hAnsi="宋体" w:eastAsia="宋体" w:cs="宋体"/>
                <w:color w:val="auto"/>
                <w:sz w:val="24"/>
                <w:szCs w:val="24"/>
                <w:highlight w:val="none"/>
              </w:rPr>
            </w:pPr>
          </w:p>
        </w:tc>
        <w:tc>
          <w:tcPr>
            <w:tcW w:w="684" w:type="pct"/>
            <w:tcBorders>
              <w:left w:val="single" w:color="auto" w:sz="4" w:space="0"/>
              <w:right w:val="single" w:color="auto" w:sz="4" w:space="0"/>
            </w:tcBorders>
            <w:vAlign w:val="center"/>
          </w:tcPr>
          <w:p w14:paraId="4D490888">
            <w:pPr>
              <w:spacing w:line="400" w:lineRule="exact"/>
              <w:rPr>
                <w:rFonts w:hint="eastAsia" w:ascii="宋体" w:hAnsi="宋体" w:eastAsia="宋体" w:cs="宋体"/>
                <w:color w:val="auto"/>
                <w:sz w:val="24"/>
                <w:szCs w:val="24"/>
                <w:highlight w:val="none"/>
              </w:rPr>
            </w:pPr>
          </w:p>
        </w:tc>
        <w:tc>
          <w:tcPr>
            <w:tcW w:w="690" w:type="pct"/>
            <w:tcBorders>
              <w:left w:val="single" w:color="auto" w:sz="4" w:space="0"/>
              <w:right w:val="single" w:color="auto" w:sz="4" w:space="0"/>
            </w:tcBorders>
            <w:vAlign w:val="center"/>
          </w:tcPr>
          <w:p w14:paraId="65FB7D2F">
            <w:pPr>
              <w:spacing w:line="400" w:lineRule="exact"/>
              <w:rPr>
                <w:rFonts w:hint="eastAsia" w:ascii="宋体" w:hAnsi="宋体" w:eastAsia="宋体" w:cs="宋体"/>
                <w:color w:val="auto"/>
                <w:sz w:val="24"/>
                <w:szCs w:val="24"/>
                <w:highlight w:val="none"/>
              </w:rPr>
            </w:pPr>
          </w:p>
        </w:tc>
        <w:tc>
          <w:tcPr>
            <w:tcW w:w="701" w:type="pct"/>
            <w:tcBorders>
              <w:left w:val="single" w:color="auto" w:sz="4" w:space="0"/>
              <w:right w:val="single" w:color="auto" w:sz="4" w:space="0"/>
            </w:tcBorders>
            <w:vAlign w:val="center"/>
          </w:tcPr>
          <w:p w14:paraId="10279D12">
            <w:pPr>
              <w:spacing w:line="400" w:lineRule="exact"/>
              <w:rPr>
                <w:rFonts w:hint="eastAsia" w:ascii="宋体" w:hAnsi="宋体" w:eastAsia="宋体" w:cs="宋体"/>
                <w:color w:val="auto"/>
                <w:sz w:val="24"/>
                <w:szCs w:val="24"/>
                <w:highlight w:val="none"/>
              </w:rPr>
            </w:pPr>
          </w:p>
        </w:tc>
        <w:tc>
          <w:tcPr>
            <w:tcW w:w="688" w:type="pct"/>
            <w:tcBorders>
              <w:left w:val="single" w:color="auto" w:sz="4" w:space="0"/>
              <w:right w:val="single" w:color="auto" w:sz="4" w:space="0"/>
            </w:tcBorders>
            <w:vAlign w:val="center"/>
          </w:tcPr>
          <w:p w14:paraId="6E916E60">
            <w:pPr>
              <w:spacing w:line="400" w:lineRule="exact"/>
              <w:rPr>
                <w:rFonts w:hint="eastAsia" w:ascii="宋体" w:hAnsi="宋体" w:eastAsia="宋体" w:cs="宋体"/>
                <w:color w:val="auto"/>
                <w:sz w:val="24"/>
                <w:szCs w:val="24"/>
                <w:highlight w:val="none"/>
              </w:rPr>
            </w:pPr>
          </w:p>
        </w:tc>
        <w:tc>
          <w:tcPr>
            <w:tcW w:w="641" w:type="pct"/>
            <w:gridSpan w:val="2"/>
            <w:tcBorders>
              <w:left w:val="single" w:color="auto" w:sz="4" w:space="0"/>
              <w:right w:val="single" w:color="auto" w:sz="4" w:space="0"/>
            </w:tcBorders>
            <w:vAlign w:val="center"/>
          </w:tcPr>
          <w:p w14:paraId="208080BE">
            <w:pPr>
              <w:spacing w:line="400" w:lineRule="exact"/>
              <w:rPr>
                <w:rFonts w:hint="eastAsia" w:ascii="宋体" w:hAnsi="宋体" w:eastAsia="宋体" w:cs="宋体"/>
                <w:color w:val="auto"/>
                <w:sz w:val="24"/>
                <w:szCs w:val="24"/>
                <w:highlight w:val="none"/>
              </w:rPr>
            </w:pPr>
          </w:p>
        </w:tc>
      </w:tr>
      <w:tr w14:paraId="614E05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600" w:hRule="atLeast"/>
          <w:jc w:val="center"/>
        </w:trPr>
        <w:tc>
          <w:tcPr>
            <w:tcW w:w="360" w:type="pct"/>
            <w:vAlign w:val="center"/>
          </w:tcPr>
          <w:p w14:paraId="1CC7D517">
            <w:pPr>
              <w:spacing w:line="400" w:lineRule="exact"/>
              <w:rPr>
                <w:rFonts w:hint="eastAsia" w:ascii="宋体" w:hAnsi="宋体" w:eastAsia="宋体" w:cs="宋体"/>
                <w:color w:val="auto"/>
                <w:sz w:val="24"/>
                <w:szCs w:val="24"/>
                <w:highlight w:val="none"/>
              </w:rPr>
            </w:pPr>
          </w:p>
        </w:tc>
        <w:tc>
          <w:tcPr>
            <w:tcW w:w="570" w:type="pct"/>
            <w:vAlign w:val="center"/>
          </w:tcPr>
          <w:p w14:paraId="704909A0">
            <w:pPr>
              <w:spacing w:line="400" w:lineRule="exact"/>
              <w:rPr>
                <w:rFonts w:hint="eastAsia" w:ascii="宋体" w:hAnsi="宋体" w:eastAsia="宋体" w:cs="宋体"/>
                <w:color w:val="auto"/>
                <w:sz w:val="24"/>
                <w:szCs w:val="24"/>
                <w:highlight w:val="none"/>
              </w:rPr>
            </w:pPr>
          </w:p>
        </w:tc>
        <w:tc>
          <w:tcPr>
            <w:tcW w:w="661" w:type="pct"/>
            <w:vAlign w:val="center"/>
          </w:tcPr>
          <w:p w14:paraId="1B4D3400">
            <w:pPr>
              <w:spacing w:line="400" w:lineRule="exact"/>
              <w:rPr>
                <w:rFonts w:hint="eastAsia" w:ascii="宋体" w:hAnsi="宋体" w:eastAsia="宋体" w:cs="宋体"/>
                <w:color w:val="auto"/>
                <w:sz w:val="24"/>
                <w:szCs w:val="24"/>
                <w:highlight w:val="none"/>
              </w:rPr>
            </w:pPr>
          </w:p>
        </w:tc>
        <w:tc>
          <w:tcPr>
            <w:tcW w:w="684" w:type="pct"/>
            <w:vAlign w:val="center"/>
          </w:tcPr>
          <w:p w14:paraId="1E770E54">
            <w:pPr>
              <w:spacing w:line="400" w:lineRule="exact"/>
              <w:rPr>
                <w:rFonts w:hint="eastAsia" w:ascii="宋体" w:hAnsi="宋体" w:eastAsia="宋体" w:cs="宋体"/>
                <w:color w:val="auto"/>
                <w:sz w:val="24"/>
                <w:szCs w:val="24"/>
                <w:highlight w:val="none"/>
              </w:rPr>
            </w:pPr>
          </w:p>
        </w:tc>
        <w:tc>
          <w:tcPr>
            <w:tcW w:w="690" w:type="pct"/>
            <w:vAlign w:val="center"/>
          </w:tcPr>
          <w:p w14:paraId="53C195A6">
            <w:pPr>
              <w:spacing w:line="400" w:lineRule="exact"/>
              <w:rPr>
                <w:rFonts w:hint="eastAsia" w:ascii="宋体" w:hAnsi="宋体" w:eastAsia="宋体" w:cs="宋体"/>
                <w:color w:val="auto"/>
                <w:sz w:val="24"/>
                <w:szCs w:val="24"/>
                <w:highlight w:val="none"/>
              </w:rPr>
            </w:pPr>
          </w:p>
        </w:tc>
        <w:tc>
          <w:tcPr>
            <w:tcW w:w="701" w:type="pct"/>
            <w:vAlign w:val="center"/>
          </w:tcPr>
          <w:p w14:paraId="3A12FAF2">
            <w:pPr>
              <w:spacing w:line="400" w:lineRule="exact"/>
              <w:rPr>
                <w:rFonts w:hint="eastAsia" w:ascii="宋体" w:hAnsi="宋体" w:eastAsia="宋体" w:cs="宋体"/>
                <w:color w:val="auto"/>
                <w:sz w:val="24"/>
                <w:szCs w:val="24"/>
                <w:highlight w:val="none"/>
              </w:rPr>
            </w:pPr>
          </w:p>
        </w:tc>
        <w:tc>
          <w:tcPr>
            <w:tcW w:w="688" w:type="pct"/>
            <w:tcBorders>
              <w:right w:val="single" w:color="auto" w:sz="4" w:space="0"/>
            </w:tcBorders>
            <w:vAlign w:val="center"/>
          </w:tcPr>
          <w:p w14:paraId="758C47D4">
            <w:pPr>
              <w:spacing w:line="400" w:lineRule="exact"/>
              <w:rPr>
                <w:rFonts w:hint="eastAsia" w:ascii="宋体" w:hAnsi="宋体" w:eastAsia="宋体" w:cs="宋体"/>
                <w:color w:val="auto"/>
                <w:sz w:val="24"/>
                <w:szCs w:val="24"/>
                <w:highlight w:val="none"/>
              </w:rPr>
            </w:pPr>
          </w:p>
        </w:tc>
        <w:tc>
          <w:tcPr>
            <w:tcW w:w="635" w:type="pct"/>
            <w:tcBorders>
              <w:left w:val="single" w:color="auto" w:sz="4" w:space="0"/>
              <w:right w:val="single" w:color="auto" w:sz="4" w:space="0"/>
            </w:tcBorders>
            <w:vAlign w:val="center"/>
          </w:tcPr>
          <w:p w14:paraId="5F1E00B7">
            <w:pPr>
              <w:spacing w:line="400" w:lineRule="exact"/>
              <w:rPr>
                <w:rFonts w:hint="eastAsia" w:ascii="宋体" w:hAnsi="宋体" w:eastAsia="宋体" w:cs="宋体"/>
                <w:color w:val="auto"/>
                <w:sz w:val="24"/>
                <w:szCs w:val="24"/>
                <w:highlight w:val="none"/>
              </w:rPr>
            </w:pPr>
          </w:p>
        </w:tc>
      </w:tr>
      <w:tr w14:paraId="25D099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600" w:hRule="atLeast"/>
          <w:jc w:val="center"/>
        </w:trPr>
        <w:tc>
          <w:tcPr>
            <w:tcW w:w="360" w:type="pct"/>
            <w:vAlign w:val="center"/>
          </w:tcPr>
          <w:p w14:paraId="49239E6E">
            <w:pPr>
              <w:spacing w:line="400" w:lineRule="exact"/>
              <w:jc w:val="center"/>
              <w:rPr>
                <w:rFonts w:hint="eastAsia" w:ascii="宋体" w:hAnsi="宋体" w:eastAsia="宋体" w:cs="宋体"/>
                <w:color w:val="auto"/>
                <w:sz w:val="24"/>
                <w:szCs w:val="24"/>
                <w:highlight w:val="none"/>
              </w:rPr>
            </w:pPr>
          </w:p>
        </w:tc>
        <w:tc>
          <w:tcPr>
            <w:tcW w:w="570" w:type="pct"/>
            <w:vAlign w:val="center"/>
          </w:tcPr>
          <w:p w14:paraId="07C98EAF">
            <w:pPr>
              <w:spacing w:line="400" w:lineRule="exact"/>
              <w:jc w:val="center"/>
              <w:rPr>
                <w:rFonts w:hint="eastAsia" w:ascii="宋体" w:hAnsi="宋体" w:eastAsia="宋体" w:cs="宋体"/>
                <w:color w:val="auto"/>
                <w:sz w:val="24"/>
                <w:szCs w:val="24"/>
                <w:highlight w:val="none"/>
              </w:rPr>
            </w:pPr>
          </w:p>
        </w:tc>
        <w:tc>
          <w:tcPr>
            <w:tcW w:w="661" w:type="pct"/>
            <w:vAlign w:val="center"/>
          </w:tcPr>
          <w:p w14:paraId="2E5C65A4">
            <w:pPr>
              <w:spacing w:line="400" w:lineRule="exact"/>
              <w:jc w:val="center"/>
              <w:rPr>
                <w:rFonts w:hint="eastAsia" w:ascii="宋体" w:hAnsi="宋体" w:eastAsia="宋体" w:cs="宋体"/>
                <w:color w:val="auto"/>
                <w:sz w:val="24"/>
                <w:szCs w:val="24"/>
                <w:highlight w:val="none"/>
              </w:rPr>
            </w:pPr>
          </w:p>
        </w:tc>
        <w:tc>
          <w:tcPr>
            <w:tcW w:w="684" w:type="pct"/>
            <w:vAlign w:val="center"/>
          </w:tcPr>
          <w:p w14:paraId="0740CEBE">
            <w:pPr>
              <w:spacing w:line="400" w:lineRule="exact"/>
              <w:jc w:val="center"/>
              <w:rPr>
                <w:rFonts w:hint="eastAsia" w:ascii="宋体" w:hAnsi="宋体" w:eastAsia="宋体" w:cs="宋体"/>
                <w:color w:val="auto"/>
                <w:sz w:val="24"/>
                <w:szCs w:val="24"/>
                <w:highlight w:val="none"/>
              </w:rPr>
            </w:pPr>
          </w:p>
        </w:tc>
        <w:tc>
          <w:tcPr>
            <w:tcW w:w="690" w:type="pct"/>
            <w:vAlign w:val="center"/>
          </w:tcPr>
          <w:p w14:paraId="2F2EEC81">
            <w:pPr>
              <w:spacing w:line="400" w:lineRule="exact"/>
              <w:jc w:val="center"/>
              <w:rPr>
                <w:rFonts w:hint="eastAsia" w:ascii="宋体" w:hAnsi="宋体" w:eastAsia="宋体" w:cs="宋体"/>
                <w:color w:val="auto"/>
                <w:sz w:val="24"/>
                <w:szCs w:val="24"/>
                <w:highlight w:val="none"/>
              </w:rPr>
            </w:pPr>
          </w:p>
        </w:tc>
        <w:tc>
          <w:tcPr>
            <w:tcW w:w="701" w:type="pct"/>
            <w:vAlign w:val="center"/>
          </w:tcPr>
          <w:p w14:paraId="5C4FBBD4">
            <w:pPr>
              <w:spacing w:line="400" w:lineRule="exact"/>
              <w:jc w:val="center"/>
              <w:rPr>
                <w:rFonts w:hint="eastAsia" w:ascii="宋体" w:hAnsi="宋体" w:eastAsia="宋体" w:cs="宋体"/>
                <w:color w:val="auto"/>
                <w:sz w:val="24"/>
                <w:szCs w:val="24"/>
                <w:highlight w:val="none"/>
              </w:rPr>
            </w:pPr>
          </w:p>
        </w:tc>
        <w:tc>
          <w:tcPr>
            <w:tcW w:w="688" w:type="pct"/>
            <w:tcBorders>
              <w:right w:val="single" w:color="auto" w:sz="4" w:space="0"/>
            </w:tcBorders>
            <w:vAlign w:val="center"/>
          </w:tcPr>
          <w:p w14:paraId="4CA676B1">
            <w:pPr>
              <w:spacing w:line="400" w:lineRule="exact"/>
              <w:jc w:val="center"/>
              <w:rPr>
                <w:rFonts w:hint="eastAsia" w:ascii="宋体" w:hAnsi="宋体" w:eastAsia="宋体" w:cs="宋体"/>
                <w:color w:val="auto"/>
                <w:sz w:val="24"/>
                <w:szCs w:val="24"/>
                <w:highlight w:val="none"/>
              </w:rPr>
            </w:pPr>
          </w:p>
        </w:tc>
        <w:tc>
          <w:tcPr>
            <w:tcW w:w="635" w:type="pct"/>
            <w:tcBorders>
              <w:left w:val="single" w:color="auto" w:sz="4" w:space="0"/>
              <w:right w:val="single" w:color="auto" w:sz="4" w:space="0"/>
            </w:tcBorders>
            <w:vAlign w:val="center"/>
          </w:tcPr>
          <w:p w14:paraId="5E2D767C">
            <w:pPr>
              <w:spacing w:line="400" w:lineRule="exact"/>
              <w:jc w:val="center"/>
              <w:rPr>
                <w:rFonts w:hint="eastAsia" w:ascii="宋体" w:hAnsi="宋体" w:eastAsia="宋体" w:cs="宋体"/>
                <w:color w:val="auto"/>
                <w:sz w:val="24"/>
                <w:szCs w:val="24"/>
                <w:highlight w:val="none"/>
              </w:rPr>
            </w:pPr>
          </w:p>
        </w:tc>
      </w:tr>
      <w:tr w14:paraId="2B45FF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600" w:hRule="atLeast"/>
          <w:jc w:val="center"/>
        </w:trPr>
        <w:tc>
          <w:tcPr>
            <w:tcW w:w="360" w:type="pct"/>
            <w:vAlign w:val="center"/>
          </w:tcPr>
          <w:p w14:paraId="7D58DDDA">
            <w:pPr>
              <w:spacing w:line="400" w:lineRule="exact"/>
              <w:jc w:val="center"/>
              <w:rPr>
                <w:rFonts w:hint="eastAsia" w:ascii="宋体" w:hAnsi="宋体" w:eastAsia="宋体" w:cs="宋体"/>
                <w:color w:val="auto"/>
                <w:sz w:val="24"/>
                <w:szCs w:val="24"/>
                <w:highlight w:val="none"/>
              </w:rPr>
            </w:pPr>
          </w:p>
        </w:tc>
        <w:tc>
          <w:tcPr>
            <w:tcW w:w="570" w:type="pct"/>
            <w:vAlign w:val="center"/>
          </w:tcPr>
          <w:p w14:paraId="67948C4C">
            <w:pPr>
              <w:spacing w:line="400" w:lineRule="exact"/>
              <w:jc w:val="center"/>
              <w:rPr>
                <w:rFonts w:hint="eastAsia" w:ascii="宋体" w:hAnsi="宋体" w:eastAsia="宋体" w:cs="宋体"/>
                <w:color w:val="auto"/>
                <w:sz w:val="24"/>
                <w:szCs w:val="24"/>
                <w:highlight w:val="none"/>
              </w:rPr>
            </w:pPr>
          </w:p>
        </w:tc>
        <w:tc>
          <w:tcPr>
            <w:tcW w:w="661" w:type="pct"/>
            <w:vAlign w:val="center"/>
          </w:tcPr>
          <w:p w14:paraId="27CF542B">
            <w:pPr>
              <w:spacing w:line="400" w:lineRule="exact"/>
              <w:jc w:val="center"/>
              <w:rPr>
                <w:rFonts w:hint="eastAsia" w:ascii="宋体" w:hAnsi="宋体" w:eastAsia="宋体" w:cs="宋体"/>
                <w:color w:val="auto"/>
                <w:sz w:val="24"/>
                <w:szCs w:val="24"/>
                <w:highlight w:val="none"/>
              </w:rPr>
            </w:pPr>
          </w:p>
        </w:tc>
        <w:tc>
          <w:tcPr>
            <w:tcW w:w="684" w:type="pct"/>
            <w:vAlign w:val="center"/>
          </w:tcPr>
          <w:p w14:paraId="3EE688F7">
            <w:pPr>
              <w:spacing w:line="400" w:lineRule="exact"/>
              <w:jc w:val="center"/>
              <w:rPr>
                <w:rFonts w:hint="eastAsia" w:ascii="宋体" w:hAnsi="宋体" w:eastAsia="宋体" w:cs="宋体"/>
                <w:color w:val="auto"/>
                <w:sz w:val="24"/>
                <w:szCs w:val="24"/>
                <w:highlight w:val="none"/>
              </w:rPr>
            </w:pPr>
          </w:p>
        </w:tc>
        <w:tc>
          <w:tcPr>
            <w:tcW w:w="690" w:type="pct"/>
            <w:vAlign w:val="center"/>
          </w:tcPr>
          <w:p w14:paraId="532B2F31">
            <w:pPr>
              <w:spacing w:line="400" w:lineRule="exact"/>
              <w:jc w:val="center"/>
              <w:rPr>
                <w:rFonts w:hint="eastAsia" w:ascii="宋体" w:hAnsi="宋体" w:eastAsia="宋体" w:cs="宋体"/>
                <w:color w:val="auto"/>
                <w:sz w:val="24"/>
                <w:szCs w:val="24"/>
                <w:highlight w:val="none"/>
              </w:rPr>
            </w:pPr>
          </w:p>
        </w:tc>
        <w:tc>
          <w:tcPr>
            <w:tcW w:w="701" w:type="pct"/>
            <w:vAlign w:val="center"/>
          </w:tcPr>
          <w:p w14:paraId="4AD29297">
            <w:pPr>
              <w:spacing w:line="400" w:lineRule="exact"/>
              <w:jc w:val="center"/>
              <w:rPr>
                <w:rFonts w:hint="eastAsia" w:ascii="宋体" w:hAnsi="宋体" w:eastAsia="宋体" w:cs="宋体"/>
                <w:color w:val="auto"/>
                <w:sz w:val="24"/>
                <w:szCs w:val="24"/>
                <w:highlight w:val="none"/>
              </w:rPr>
            </w:pPr>
          </w:p>
        </w:tc>
        <w:tc>
          <w:tcPr>
            <w:tcW w:w="688" w:type="pct"/>
            <w:tcBorders>
              <w:right w:val="single" w:color="auto" w:sz="4" w:space="0"/>
            </w:tcBorders>
            <w:vAlign w:val="center"/>
          </w:tcPr>
          <w:p w14:paraId="2F183C8D">
            <w:pPr>
              <w:spacing w:line="400" w:lineRule="exact"/>
              <w:jc w:val="center"/>
              <w:rPr>
                <w:rFonts w:hint="eastAsia" w:ascii="宋体" w:hAnsi="宋体" w:eastAsia="宋体" w:cs="宋体"/>
                <w:color w:val="auto"/>
                <w:sz w:val="24"/>
                <w:szCs w:val="24"/>
                <w:highlight w:val="none"/>
              </w:rPr>
            </w:pPr>
          </w:p>
        </w:tc>
        <w:tc>
          <w:tcPr>
            <w:tcW w:w="635" w:type="pct"/>
            <w:tcBorders>
              <w:left w:val="single" w:color="auto" w:sz="4" w:space="0"/>
              <w:right w:val="single" w:color="auto" w:sz="4" w:space="0"/>
            </w:tcBorders>
            <w:vAlign w:val="center"/>
          </w:tcPr>
          <w:p w14:paraId="29B8C500">
            <w:pPr>
              <w:spacing w:line="400" w:lineRule="exact"/>
              <w:jc w:val="center"/>
              <w:rPr>
                <w:rFonts w:hint="eastAsia" w:ascii="宋体" w:hAnsi="宋体" w:eastAsia="宋体" w:cs="宋体"/>
                <w:color w:val="auto"/>
                <w:sz w:val="24"/>
                <w:szCs w:val="24"/>
                <w:highlight w:val="none"/>
              </w:rPr>
            </w:pPr>
          </w:p>
        </w:tc>
      </w:tr>
      <w:tr w14:paraId="4C908C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510" w:hRule="atLeast"/>
          <w:jc w:val="center"/>
        </w:trPr>
        <w:tc>
          <w:tcPr>
            <w:tcW w:w="360" w:type="pct"/>
            <w:tcBorders>
              <w:bottom w:val="single" w:color="auto" w:sz="4" w:space="0"/>
            </w:tcBorders>
            <w:vAlign w:val="center"/>
          </w:tcPr>
          <w:p w14:paraId="0DCA1246">
            <w:pPr>
              <w:spacing w:line="400" w:lineRule="exact"/>
              <w:jc w:val="center"/>
              <w:rPr>
                <w:rFonts w:hint="eastAsia" w:ascii="宋体" w:hAnsi="宋体" w:eastAsia="宋体" w:cs="宋体"/>
                <w:color w:val="auto"/>
                <w:sz w:val="24"/>
                <w:szCs w:val="24"/>
                <w:highlight w:val="none"/>
              </w:rPr>
            </w:pPr>
          </w:p>
        </w:tc>
        <w:tc>
          <w:tcPr>
            <w:tcW w:w="570" w:type="pct"/>
            <w:tcBorders>
              <w:bottom w:val="single" w:color="auto" w:sz="4" w:space="0"/>
            </w:tcBorders>
            <w:vAlign w:val="center"/>
          </w:tcPr>
          <w:p w14:paraId="3A5E3442">
            <w:pPr>
              <w:spacing w:line="400" w:lineRule="exact"/>
              <w:jc w:val="center"/>
              <w:rPr>
                <w:rFonts w:hint="eastAsia" w:ascii="宋体" w:hAnsi="宋体" w:eastAsia="宋体" w:cs="宋体"/>
                <w:color w:val="auto"/>
                <w:sz w:val="24"/>
                <w:szCs w:val="24"/>
                <w:highlight w:val="none"/>
              </w:rPr>
            </w:pPr>
          </w:p>
        </w:tc>
        <w:tc>
          <w:tcPr>
            <w:tcW w:w="661" w:type="pct"/>
            <w:tcBorders>
              <w:bottom w:val="single" w:color="auto" w:sz="4" w:space="0"/>
            </w:tcBorders>
            <w:vAlign w:val="center"/>
          </w:tcPr>
          <w:p w14:paraId="0C826FAA">
            <w:pPr>
              <w:spacing w:line="400" w:lineRule="exact"/>
              <w:jc w:val="center"/>
              <w:rPr>
                <w:rFonts w:hint="eastAsia" w:ascii="宋体" w:hAnsi="宋体" w:eastAsia="宋体" w:cs="宋体"/>
                <w:color w:val="auto"/>
                <w:sz w:val="24"/>
                <w:szCs w:val="24"/>
                <w:highlight w:val="none"/>
              </w:rPr>
            </w:pPr>
          </w:p>
        </w:tc>
        <w:tc>
          <w:tcPr>
            <w:tcW w:w="684" w:type="pct"/>
            <w:tcBorders>
              <w:bottom w:val="single" w:color="auto" w:sz="4" w:space="0"/>
            </w:tcBorders>
            <w:vAlign w:val="center"/>
          </w:tcPr>
          <w:p w14:paraId="7A514BD6">
            <w:pPr>
              <w:spacing w:line="400" w:lineRule="exact"/>
              <w:jc w:val="center"/>
              <w:rPr>
                <w:rFonts w:hint="eastAsia" w:ascii="宋体" w:hAnsi="宋体" w:eastAsia="宋体" w:cs="宋体"/>
                <w:color w:val="auto"/>
                <w:sz w:val="24"/>
                <w:szCs w:val="24"/>
                <w:highlight w:val="none"/>
              </w:rPr>
            </w:pPr>
          </w:p>
        </w:tc>
        <w:tc>
          <w:tcPr>
            <w:tcW w:w="690" w:type="pct"/>
            <w:tcBorders>
              <w:bottom w:val="single" w:color="auto" w:sz="4" w:space="0"/>
            </w:tcBorders>
            <w:vAlign w:val="center"/>
          </w:tcPr>
          <w:p w14:paraId="18C99EDE">
            <w:pPr>
              <w:spacing w:line="400" w:lineRule="exact"/>
              <w:jc w:val="center"/>
              <w:rPr>
                <w:rFonts w:hint="eastAsia" w:ascii="宋体" w:hAnsi="宋体" w:eastAsia="宋体" w:cs="宋体"/>
                <w:color w:val="auto"/>
                <w:sz w:val="24"/>
                <w:szCs w:val="24"/>
                <w:highlight w:val="none"/>
              </w:rPr>
            </w:pPr>
          </w:p>
        </w:tc>
        <w:tc>
          <w:tcPr>
            <w:tcW w:w="701" w:type="pct"/>
            <w:tcBorders>
              <w:bottom w:val="single" w:color="auto" w:sz="4" w:space="0"/>
            </w:tcBorders>
            <w:vAlign w:val="center"/>
          </w:tcPr>
          <w:p w14:paraId="605E97DA">
            <w:pPr>
              <w:spacing w:line="400" w:lineRule="exact"/>
              <w:jc w:val="center"/>
              <w:rPr>
                <w:rFonts w:hint="eastAsia" w:ascii="宋体" w:hAnsi="宋体" w:eastAsia="宋体" w:cs="宋体"/>
                <w:color w:val="auto"/>
                <w:sz w:val="24"/>
                <w:szCs w:val="24"/>
                <w:highlight w:val="none"/>
              </w:rPr>
            </w:pPr>
          </w:p>
        </w:tc>
        <w:tc>
          <w:tcPr>
            <w:tcW w:w="688" w:type="pct"/>
            <w:tcBorders>
              <w:bottom w:val="single" w:color="auto" w:sz="4" w:space="0"/>
              <w:right w:val="single" w:color="auto" w:sz="4" w:space="0"/>
            </w:tcBorders>
            <w:vAlign w:val="center"/>
          </w:tcPr>
          <w:p w14:paraId="09B83344">
            <w:pPr>
              <w:spacing w:line="400" w:lineRule="exact"/>
              <w:jc w:val="center"/>
              <w:rPr>
                <w:rFonts w:hint="eastAsia" w:ascii="宋体" w:hAnsi="宋体" w:eastAsia="宋体" w:cs="宋体"/>
                <w:color w:val="auto"/>
                <w:sz w:val="24"/>
                <w:szCs w:val="24"/>
                <w:highlight w:val="none"/>
              </w:rPr>
            </w:pPr>
          </w:p>
        </w:tc>
        <w:tc>
          <w:tcPr>
            <w:tcW w:w="635" w:type="pct"/>
            <w:tcBorders>
              <w:left w:val="single" w:color="auto" w:sz="4" w:space="0"/>
              <w:bottom w:val="single" w:color="auto" w:sz="4" w:space="0"/>
              <w:right w:val="single" w:color="auto" w:sz="4" w:space="0"/>
            </w:tcBorders>
            <w:vAlign w:val="center"/>
          </w:tcPr>
          <w:p w14:paraId="694E9ABB">
            <w:pPr>
              <w:spacing w:line="400" w:lineRule="exact"/>
              <w:jc w:val="center"/>
              <w:rPr>
                <w:rFonts w:hint="eastAsia" w:ascii="宋体" w:hAnsi="宋体" w:eastAsia="宋体" w:cs="宋体"/>
                <w:color w:val="auto"/>
                <w:sz w:val="24"/>
                <w:szCs w:val="24"/>
                <w:highlight w:val="none"/>
              </w:rPr>
            </w:pPr>
          </w:p>
        </w:tc>
      </w:tr>
      <w:tr w14:paraId="505CC6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615" w:hRule="atLeast"/>
          <w:jc w:val="center"/>
        </w:trPr>
        <w:tc>
          <w:tcPr>
            <w:tcW w:w="360" w:type="pct"/>
            <w:tcBorders>
              <w:top w:val="single" w:color="auto" w:sz="4" w:space="0"/>
              <w:bottom w:val="single" w:color="auto" w:sz="4" w:space="0"/>
            </w:tcBorders>
            <w:vAlign w:val="center"/>
          </w:tcPr>
          <w:p w14:paraId="7E473381">
            <w:pPr>
              <w:spacing w:line="400" w:lineRule="exact"/>
              <w:jc w:val="center"/>
              <w:rPr>
                <w:rFonts w:hint="eastAsia" w:ascii="宋体" w:hAnsi="宋体" w:eastAsia="宋体" w:cs="宋体"/>
                <w:color w:val="auto"/>
                <w:sz w:val="24"/>
                <w:szCs w:val="24"/>
                <w:highlight w:val="none"/>
              </w:rPr>
            </w:pPr>
          </w:p>
        </w:tc>
        <w:tc>
          <w:tcPr>
            <w:tcW w:w="570" w:type="pct"/>
            <w:tcBorders>
              <w:top w:val="single" w:color="auto" w:sz="4" w:space="0"/>
              <w:bottom w:val="single" w:color="auto" w:sz="4" w:space="0"/>
            </w:tcBorders>
            <w:vAlign w:val="center"/>
          </w:tcPr>
          <w:p w14:paraId="49B71A50">
            <w:pPr>
              <w:spacing w:line="400" w:lineRule="exact"/>
              <w:jc w:val="center"/>
              <w:rPr>
                <w:rFonts w:hint="eastAsia" w:ascii="宋体" w:hAnsi="宋体" w:eastAsia="宋体" w:cs="宋体"/>
                <w:color w:val="auto"/>
                <w:sz w:val="24"/>
                <w:szCs w:val="24"/>
                <w:highlight w:val="none"/>
              </w:rPr>
            </w:pPr>
          </w:p>
        </w:tc>
        <w:tc>
          <w:tcPr>
            <w:tcW w:w="661" w:type="pct"/>
            <w:tcBorders>
              <w:top w:val="single" w:color="auto" w:sz="4" w:space="0"/>
              <w:bottom w:val="single" w:color="auto" w:sz="4" w:space="0"/>
            </w:tcBorders>
            <w:vAlign w:val="center"/>
          </w:tcPr>
          <w:p w14:paraId="149EEEF5">
            <w:pPr>
              <w:spacing w:line="400" w:lineRule="exact"/>
              <w:jc w:val="center"/>
              <w:rPr>
                <w:rFonts w:hint="eastAsia" w:ascii="宋体" w:hAnsi="宋体" w:eastAsia="宋体" w:cs="宋体"/>
                <w:color w:val="auto"/>
                <w:sz w:val="24"/>
                <w:szCs w:val="24"/>
                <w:highlight w:val="none"/>
              </w:rPr>
            </w:pPr>
          </w:p>
        </w:tc>
        <w:tc>
          <w:tcPr>
            <w:tcW w:w="684" w:type="pct"/>
            <w:tcBorders>
              <w:top w:val="single" w:color="auto" w:sz="4" w:space="0"/>
              <w:bottom w:val="single" w:color="auto" w:sz="4" w:space="0"/>
            </w:tcBorders>
            <w:vAlign w:val="center"/>
          </w:tcPr>
          <w:p w14:paraId="6B78236E">
            <w:pPr>
              <w:spacing w:line="400" w:lineRule="exact"/>
              <w:jc w:val="center"/>
              <w:rPr>
                <w:rFonts w:hint="eastAsia" w:ascii="宋体" w:hAnsi="宋体" w:eastAsia="宋体" w:cs="宋体"/>
                <w:color w:val="auto"/>
                <w:sz w:val="24"/>
                <w:szCs w:val="24"/>
                <w:highlight w:val="none"/>
              </w:rPr>
            </w:pPr>
          </w:p>
        </w:tc>
        <w:tc>
          <w:tcPr>
            <w:tcW w:w="690" w:type="pct"/>
            <w:tcBorders>
              <w:top w:val="single" w:color="auto" w:sz="4" w:space="0"/>
              <w:bottom w:val="single" w:color="auto" w:sz="4" w:space="0"/>
            </w:tcBorders>
            <w:vAlign w:val="center"/>
          </w:tcPr>
          <w:p w14:paraId="6FE3AAEA">
            <w:pPr>
              <w:spacing w:line="400" w:lineRule="exact"/>
              <w:jc w:val="center"/>
              <w:rPr>
                <w:rFonts w:hint="eastAsia" w:ascii="宋体" w:hAnsi="宋体" w:eastAsia="宋体" w:cs="宋体"/>
                <w:color w:val="auto"/>
                <w:sz w:val="24"/>
                <w:szCs w:val="24"/>
                <w:highlight w:val="none"/>
              </w:rPr>
            </w:pPr>
          </w:p>
        </w:tc>
        <w:tc>
          <w:tcPr>
            <w:tcW w:w="701" w:type="pct"/>
            <w:tcBorders>
              <w:top w:val="single" w:color="auto" w:sz="4" w:space="0"/>
              <w:bottom w:val="single" w:color="auto" w:sz="4" w:space="0"/>
            </w:tcBorders>
            <w:vAlign w:val="center"/>
          </w:tcPr>
          <w:p w14:paraId="66AD6E09">
            <w:pPr>
              <w:spacing w:line="400" w:lineRule="exact"/>
              <w:jc w:val="center"/>
              <w:rPr>
                <w:rFonts w:hint="eastAsia" w:ascii="宋体" w:hAnsi="宋体" w:eastAsia="宋体" w:cs="宋体"/>
                <w:color w:val="auto"/>
                <w:sz w:val="24"/>
                <w:szCs w:val="24"/>
                <w:highlight w:val="none"/>
              </w:rPr>
            </w:pPr>
          </w:p>
        </w:tc>
        <w:tc>
          <w:tcPr>
            <w:tcW w:w="688" w:type="pct"/>
            <w:tcBorders>
              <w:top w:val="single" w:color="auto" w:sz="4" w:space="0"/>
              <w:bottom w:val="single" w:color="auto" w:sz="4" w:space="0"/>
              <w:right w:val="single" w:color="auto" w:sz="4" w:space="0"/>
            </w:tcBorders>
            <w:vAlign w:val="center"/>
          </w:tcPr>
          <w:p w14:paraId="7E5F9AEC">
            <w:pPr>
              <w:spacing w:line="400" w:lineRule="exact"/>
              <w:jc w:val="center"/>
              <w:rPr>
                <w:rFonts w:hint="eastAsia" w:ascii="宋体" w:hAnsi="宋体" w:eastAsia="宋体" w:cs="宋体"/>
                <w:color w:val="auto"/>
                <w:sz w:val="24"/>
                <w:szCs w:val="24"/>
                <w:highlight w:val="none"/>
              </w:rPr>
            </w:pPr>
          </w:p>
        </w:tc>
        <w:tc>
          <w:tcPr>
            <w:tcW w:w="635" w:type="pct"/>
            <w:tcBorders>
              <w:top w:val="single" w:color="auto" w:sz="4" w:space="0"/>
              <w:left w:val="single" w:color="auto" w:sz="4" w:space="0"/>
              <w:bottom w:val="single" w:color="auto" w:sz="4" w:space="0"/>
              <w:right w:val="single" w:color="auto" w:sz="4" w:space="0"/>
            </w:tcBorders>
            <w:vAlign w:val="center"/>
          </w:tcPr>
          <w:p w14:paraId="0B916765">
            <w:pPr>
              <w:spacing w:line="400" w:lineRule="exact"/>
              <w:jc w:val="center"/>
              <w:rPr>
                <w:rFonts w:hint="eastAsia" w:ascii="宋体" w:hAnsi="宋体" w:eastAsia="宋体" w:cs="宋体"/>
                <w:color w:val="auto"/>
                <w:sz w:val="24"/>
                <w:szCs w:val="24"/>
                <w:highlight w:val="none"/>
              </w:rPr>
            </w:pPr>
          </w:p>
        </w:tc>
      </w:tr>
      <w:tr w14:paraId="5E271C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615" w:hRule="atLeast"/>
          <w:jc w:val="center"/>
        </w:trPr>
        <w:tc>
          <w:tcPr>
            <w:tcW w:w="360" w:type="pct"/>
            <w:tcBorders>
              <w:top w:val="single" w:color="auto" w:sz="4" w:space="0"/>
              <w:bottom w:val="single" w:color="auto" w:sz="4" w:space="0"/>
            </w:tcBorders>
            <w:vAlign w:val="center"/>
          </w:tcPr>
          <w:p w14:paraId="5EA7D87D">
            <w:pPr>
              <w:spacing w:line="400" w:lineRule="exact"/>
              <w:jc w:val="center"/>
              <w:rPr>
                <w:rFonts w:hint="eastAsia" w:ascii="宋体" w:hAnsi="宋体" w:eastAsia="宋体" w:cs="宋体"/>
                <w:color w:val="auto"/>
                <w:sz w:val="24"/>
                <w:szCs w:val="24"/>
                <w:highlight w:val="none"/>
              </w:rPr>
            </w:pPr>
          </w:p>
        </w:tc>
        <w:tc>
          <w:tcPr>
            <w:tcW w:w="570" w:type="pct"/>
            <w:tcBorders>
              <w:top w:val="single" w:color="auto" w:sz="4" w:space="0"/>
              <w:bottom w:val="single" w:color="auto" w:sz="4" w:space="0"/>
            </w:tcBorders>
            <w:vAlign w:val="center"/>
          </w:tcPr>
          <w:p w14:paraId="57365543">
            <w:pPr>
              <w:spacing w:line="400" w:lineRule="exact"/>
              <w:jc w:val="center"/>
              <w:rPr>
                <w:rFonts w:hint="eastAsia" w:ascii="宋体" w:hAnsi="宋体" w:eastAsia="宋体" w:cs="宋体"/>
                <w:color w:val="auto"/>
                <w:sz w:val="24"/>
                <w:szCs w:val="24"/>
                <w:highlight w:val="none"/>
              </w:rPr>
            </w:pPr>
          </w:p>
        </w:tc>
        <w:tc>
          <w:tcPr>
            <w:tcW w:w="661" w:type="pct"/>
            <w:tcBorders>
              <w:top w:val="single" w:color="auto" w:sz="4" w:space="0"/>
              <w:bottom w:val="single" w:color="auto" w:sz="4" w:space="0"/>
            </w:tcBorders>
            <w:vAlign w:val="center"/>
          </w:tcPr>
          <w:p w14:paraId="0E6B164B">
            <w:pPr>
              <w:spacing w:line="400" w:lineRule="exact"/>
              <w:jc w:val="center"/>
              <w:rPr>
                <w:rFonts w:hint="eastAsia" w:ascii="宋体" w:hAnsi="宋体" w:eastAsia="宋体" w:cs="宋体"/>
                <w:color w:val="auto"/>
                <w:sz w:val="24"/>
                <w:szCs w:val="24"/>
                <w:highlight w:val="none"/>
              </w:rPr>
            </w:pPr>
          </w:p>
        </w:tc>
        <w:tc>
          <w:tcPr>
            <w:tcW w:w="684" w:type="pct"/>
            <w:tcBorders>
              <w:top w:val="single" w:color="auto" w:sz="4" w:space="0"/>
              <w:bottom w:val="single" w:color="auto" w:sz="4" w:space="0"/>
            </w:tcBorders>
            <w:vAlign w:val="center"/>
          </w:tcPr>
          <w:p w14:paraId="1079257B">
            <w:pPr>
              <w:spacing w:line="400" w:lineRule="exact"/>
              <w:jc w:val="center"/>
              <w:rPr>
                <w:rFonts w:hint="eastAsia" w:ascii="宋体" w:hAnsi="宋体" w:eastAsia="宋体" w:cs="宋体"/>
                <w:color w:val="auto"/>
                <w:sz w:val="24"/>
                <w:szCs w:val="24"/>
                <w:highlight w:val="none"/>
              </w:rPr>
            </w:pPr>
          </w:p>
        </w:tc>
        <w:tc>
          <w:tcPr>
            <w:tcW w:w="690" w:type="pct"/>
            <w:tcBorders>
              <w:top w:val="single" w:color="auto" w:sz="4" w:space="0"/>
              <w:bottom w:val="single" w:color="auto" w:sz="4" w:space="0"/>
            </w:tcBorders>
            <w:vAlign w:val="center"/>
          </w:tcPr>
          <w:p w14:paraId="4E547397">
            <w:pPr>
              <w:spacing w:line="400" w:lineRule="exact"/>
              <w:jc w:val="center"/>
              <w:rPr>
                <w:rFonts w:hint="eastAsia" w:ascii="宋体" w:hAnsi="宋体" w:eastAsia="宋体" w:cs="宋体"/>
                <w:color w:val="auto"/>
                <w:sz w:val="24"/>
                <w:szCs w:val="24"/>
                <w:highlight w:val="none"/>
              </w:rPr>
            </w:pPr>
          </w:p>
        </w:tc>
        <w:tc>
          <w:tcPr>
            <w:tcW w:w="701" w:type="pct"/>
            <w:tcBorders>
              <w:top w:val="single" w:color="auto" w:sz="4" w:space="0"/>
              <w:bottom w:val="single" w:color="auto" w:sz="4" w:space="0"/>
            </w:tcBorders>
            <w:vAlign w:val="center"/>
          </w:tcPr>
          <w:p w14:paraId="6930B868">
            <w:pPr>
              <w:spacing w:line="400" w:lineRule="exact"/>
              <w:jc w:val="center"/>
              <w:rPr>
                <w:rFonts w:hint="eastAsia" w:ascii="宋体" w:hAnsi="宋体" w:eastAsia="宋体" w:cs="宋体"/>
                <w:color w:val="auto"/>
                <w:sz w:val="24"/>
                <w:szCs w:val="24"/>
                <w:highlight w:val="none"/>
              </w:rPr>
            </w:pPr>
          </w:p>
        </w:tc>
        <w:tc>
          <w:tcPr>
            <w:tcW w:w="688" w:type="pct"/>
            <w:tcBorders>
              <w:top w:val="single" w:color="auto" w:sz="4" w:space="0"/>
              <w:bottom w:val="single" w:color="auto" w:sz="4" w:space="0"/>
              <w:right w:val="single" w:color="auto" w:sz="4" w:space="0"/>
            </w:tcBorders>
            <w:vAlign w:val="center"/>
          </w:tcPr>
          <w:p w14:paraId="711016D6">
            <w:pPr>
              <w:spacing w:line="400" w:lineRule="exact"/>
              <w:jc w:val="center"/>
              <w:rPr>
                <w:rFonts w:hint="eastAsia" w:ascii="宋体" w:hAnsi="宋体" w:eastAsia="宋体" w:cs="宋体"/>
                <w:color w:val="auto"/>
                <w:sz w:val="24"/>
                <w:szCs w:val="24"/>
                <w:highlight w:val="none"/>
              </w:rPr>
            </w:pPr>
          </w:p>
        </w:tc>
        <w:tc>
          <w:tcPr>
            <w:tcW w:w="635" w:type="pct"/>
            <w:tcBorders>
              <w:top w:val="single" w:color="auto" w:sz="4" w:space="0"/>
              <w:left w:val="single" w:color="auto" w:sz="4" w:space="0"/>
              <w:bottom w:val="single" w:color="auto" w:sz="4" w:space="0"/>
              <w:right w:val="single" w:color="auto" w:sz="4" w:space="0"/>
            </w:tcBorders>
            <w:vAlign w:val="center"/>
          </w:tcPr>
          <w:p w14:paraId="05B11AD8">
            <w:pPr>
              <w:spacing w:line="400" w:lineRule="exact"/>
              <w:jc w:val="center"/>
              <w:rPr>
                <w:rFonts w:hint="eastAsia" w:ascii="宋体" w:hAnsi="宋体" w:eastAsia="宋体" w:cs="宋体"/>
                <w:color w:val="auto"/>
                <w:sz w:val="24"/>
                <w:szCs w:val="24"/>
                <w:highlight w:val="none"/>
              </w:rPr>
            </w:pPr>
          </w:p>
        </w:tc>
      </w:tr>
      <w:tr w14:paraId="587E77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450" w:hRule="atLeast"/>
          <w:jc w:val="center"/>
        </w:trPr>
        <w:tc>
          <w:tcPr>
            <w:tcW w:w="360" w:type="pct"/>
            <w:tcBorders>
              <w:top w:val="single" w:color="auto" w:sz="4" w:space="0"/>
              <w:bottom w:val="single" w:color="auto" w:sz="4" w:space="0"/>
            </w:tcBorders>
            <w:vAlign w:val="center"/>
          </w:tcPr>
          <w:p w14:paraId="05558B65">
            <w:pPr>
              <w:spacing w:line="400" w:lineRule="exact"/>
              <w:jc w:val="center"/>
              <w:rPr>
                <w:rFonts w:hint="eastAsia" w:ascii="宋体" w:hAnsi="宋体" w:eastAsia="宋体" w:cs="宋体"/>
                <w:color w:val="auto"/>
                <w:sz w:val="24"/>
                <w:szCs w:val="24"/>
                <w:highlight w:val="none"/>
              </w:rPr>
            </w:pPr>
          </w:p>
        </w:tc>
        <w:tc>
          <w:tcPr>
            <w:tcW w:w="570" w:type="pct"/>
            <w:tcBorders>
              <w:top w:val="single" w:color="auto" w:sz="4" w:space="0"/>
              <w:bottom w:val="single" w:color="auto" w:sz="4" w:space="0"/>
            </w:tcBorders>
            <w:vAlign w:val="center"/>
          </w:tcPr>
          <w:p w14:paraId="0061B883">
            <w:pPr>
              <w:spacing w:line="400" w:lineRule="exact"/>
              <w:jc w:val="center"/>
              <w:rPr>
                <w:rFonts w:hint="eastAsia" w:ascii="宋体" w:hAnsi="宋体" w:eastAsia="宋体" w:cs="宋体"/>
                <w:color w:val="auto"/>
                <w:sz w:val="24"/>
                <w:szCs w:val="24"/>
                <w:highlight w:val="none"/>
              </w:rPr>
            </w:pPr>
          </w:p>
        </w:tc>
        <w:tc>
          <w:tcPr>
            <w:tcW w:w="661" w:type="pct"/>
            <w:tcBorders>
              <w:top w:val="single" w:color="auto" w:sz="4" w:space="0"/>
              <w:bottom w:val="single" w:color="auto" w:sz="4" w:space="0"/>
            </w:tcBorders>
            <w:vAlign w:val="center"/>
          </w:tcPr>
          <w:p w14:paraId="2DDE864A">
            <w:pPr>
              <w:spacing w:line="400" w:lineRule="exact"/>
              <w:jc w:val="center"/>
              <w:rPr>
                <w:rFonts w:hint="eastAsia" w:ascii="宋体" w:hAnsi="宋体" w:eastAsia="宋体" w:cs="宋体"/>
                <w:color w:val="auto"/>
                <w:sz w:val="24"/>
                <w:szCs w:val="24"/>
                <w:highlight w:val="none"/>
              </w:rPr>
            </w:pPr>
          </w:p>
        </w:tc>
        <w:tc>
          <w:tcPr>
            <w:tcW w:w="684" w:type="pct"/>
            <w:tcBorders>
              <w:top w:val="single" w:color="auto" w:sz="4" w:space="0"/>
              <w:bottom w:val="single" w:color="auto" w:sz="4" w:space="0"/>
            </w:tcBorders>
            <w:vAlign w:val="center"/>
          </w:tcPr>
          <w:p w14:paraId="279BD4CD">
            <w:pPr>
              <w:spacing w:line="400" w:lineRule="exact"/>
              <w:jc w:val="center"/>
              <w:rPr>
                <w:rFonts w:hint="eastAsia" w:ascii="宋体" w:hAnsi="宋体" w:eastAsia="宋体" w:cs="宋体"/>
                <w:color w:val="auto"/>
                <w:sz w:val="24"/>
                <w:szCs w:val="24"/>
                <w:highlight w:val="none"/>
              </w:rPr>
            </w:pPr>
          </w:p>
        </w:tc>
        <w:tc>
          <w:tcPr>
            <w:tcW w:w="690" w:type="pct"/>
            <w:tcBorders>
              <w:top w:val="single" w:color="auto" w:sz="4" w:space="0"/>
              <w:bottom w:val="single" w:color="auto" w:sz="4" w:space="0"/>
            </w:tcBorders>
            <w:vAlign w:val="center"/>
          </w:tcPr>
          <w:p w14:paraId="6A1B1122">
            <w:pPr>
              <w:spacing w:line="400" w:lineRule="exact"/>
              <w:jc w:val="center"/>
              <w:rPr>
                <w:rFonts w:hint="eastAsia" w:ascii="宋体" w:hAnsi="宋体" w:eastAsia="宋体" w:cs="宋体"/>
                <w:color w:val="auto"/>
                <w:sz w:val="24"/>
                <w:szCs w:val="24"/>
                <w:highlight w:val="none"/>
              </w:rPr>
            </w:pPr>
          </w:p>
        </w:tc>
        <w:tc>
          <w:tcPr>
            <w:tcW w:w="701" w:type="pct"/>
            <w:tcBorders>
              <w:top w:val="single" w:color="auto" w:sz="4" w:space="0"/>
              <w:bottom w:val="single" w:color="auto" w:sz="4" w:space="0"/>
            </w:tcBorders>
            <w:vAlign w:val="center"/>
          </w:tcPr>
          <w:p w14:paraId="1BDB5AE9">
            <w:pPr>
              <w:spacing w:line="400" w:lineRule="exact"/>
              <w:jc w:val="center"/>
              <w:rPr>
                <w:rFonts w:hint="eastAsia" w:ascii="宋体" w:hAnsi="宋体" w:eastAsia="宋体" w:cs="宋体"/>
                <w:color w:val="auto"/>
                <w:sz w:val="24"/>
                <w:szCs w:val="24"/>
                <w:highlight w:val="none"/>
              </w:rPr>
            </w:pPr>
          </w:p>
        </w:tc>
        <w:tc>
          <w:tcPr>
            <w:tcW w:w="688" w:type="pct"/>
            <w:tcBorders>
              <w:top w:val="single" w:color="auto" w:sz="4" w:space="0"/>
              <w:bottom w:val="single" w:color="auto" w:sz="4" w:space="0"/>
              <w:right w:val="single" w:color="auto" w:sz="4" w:space="0"/>
            </w:tcBorders>
            <w:vAlign w:val="center"/>
          </w:tcPr>
          <w:p w14:paraId="19F62354">
            <w:pPr>
              <w:spacing w:line="400" w:lineRule="exact"/>
              <w:jc w:val="center"/>
              <w:rPr>
                <w:rFonts w:hint="eastAsia" w:ascii="宋体" w:hAnsi="宋体" w:eastAsia="宋体" w:cs="宋体"/>
                <w:color w:val="auto"/>
                <w:sz w:val="24"/>
                <w:szCs w:val="24"/>
                <w:highlight w:val="none"/>
              </w:rPr>
            </w:pPr>
          </w:p>
        </w:tc>
        <w:tc>
          <w:tcPr>
            <w:tcW w:w="635" w:type="pct"/>
            <w:tcBorders>
              <w:top w:val="single" w:color="auto" w:sz="4" w:space="0"/>
              <w:left w:val="single" w:color="auto" w:sz="4" w:space="0"/>
              <w:bottom w:val="single" w:color="auto" w:sz="4" w:space="0"/>
              <w:right w:val="single" w:color="auto" w:sz="4" w:space="0"/>
            </w:tcBorders>
            <w:vAlign w:val="center"/>
          </w:tcPr>
          <w:p w14:paraId="5AFA60AF">
            <w:pPr>
              <w:spacing w:line="400" w:lineRule="exact"/>
              <w:jc w:val="center"/>
              <w:rPr>
                <w:rFonts w:hint="eastAsia" w:ascii="宋体" w:hAnsi="宋体" w:eastAsia="宋体" w:cs="宋体"/>
                <w:color w:val="auto"/>
                <w:sz w:val="24"/>
                <w:szCs w:val="24"/>
                <w:highlight w:val="none"/>
              </w:rPr>
            </w:pPr>
          </w:p>
        </w:tc>
      </w:tr>
      <w:tr w14:paraId="14535D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5" w:type="pct"/>
          <w:cantSplit/>
          <w:trHeight w:val="435" w:hRule="atLeast"/>
          <w:jc w:val="center"/>
        </w:trPr>
        <w:tc>
          <w:tcPr>
            <w:tcW w:w="360" w:type="pct"/>
            <w:tcBorders>
              <w:top w:val="single" w:color="auto" w:sz="4" w:space="0"/>
            </w:tcBorders>
            <w:vAlign w:val="center"/>
          </w:tcPr>
          <w:p w14:paraId="0BEE012D">
            <w:pPr>
              <w:spacing w:line="400" w:lineRule="exact"/>
              <w:jc w:val="center"/>
              <w:rPr>
                <w:rFonts w:hint="eastAsia" w:ascii="宋体" w:hAnsi="宋体" w:eastAsia="宋体" w:cs="宋体"/>
                <w:color w:val="auto"/>
                <w:sz w:val="24"/>
                <w:szCs w:val="24"/>
                <w:highlight w:val="none"/>
              </w:rPr>
            </w:pPr>
          </w:p>
        </w:tc>
        <w:tc>
          <w:tcPr>
            <w:tcW w:w="570" w:type="pct"/>
            <w:tcBorders>
              <w:top w:val="single" w:color="auto" w:sz="4" w:space="0"/>
            </w:tcBorders>
            <w:vAlign w:val="center"/>
          </w:tcPr>
          <w:p w14:paraId="3905AF2C">
            <w:pPr>
              <w:spacing w:line="400" w:lineRule="exact"/>
              <w:jc w:val="center"/>
              <w:rPr>
                <w:rFonts w:hint="eastAsia" w:ascii="宋体" w:hAnsi="宋体" w:eastAsia="宋体" w:cs="宋体"/>
                <w:color w:val="auto"/>
                <w:sz w:val="24"/>
                <w:szCs w:val="24"/>
                <w:highlight w:val="none"/>
              </w:rPr>
            </w:pPr>
          </w:p>
        </w:tc>
        <w:tc>
          <w:tcPr>
            <w:tcW w:w="661" w:type="pct"/>
            <w:tcBorders>
              <w:top w:val="single" w:color="auto" w:sz="4" w:space="0"/>
            </w:tcBorders>
            <w:vAlign w:val="center"/>
          </w:tcPr>
          <w:p w14:paraId="53A7D945">
            <w:pPr>
              <w:spacing w:line="400" w:lineRule="exact"/>
              <w:jc w:val="center"/>
              <w:rPr>
                <w:rFonts w:hint="eastAsia" w:ascii="宋体" w:hAnsi="宋体" w:eastAsia="宋体" w:cs="宋体"/>
                <w:color w:val="auto"/>
                <w:sz w:val="24"/>
                <w:szCs w:val="24"/>
                <w:highlight w:val="none"/>
              </w:rPr>
            </w:pPr>
          </w:p>
        </w:tc>
        <w:tc>
          <w:tcPr>
            <w:tcW w:w="684" w:type="pct"/>
            <w:tcBorders>
              <w:top w:val="single" w:color="auto" w:sz="4" w:space="0"/>
            </w:tcBorders>
            <w:vAlign w:val="center"/>
          </w:tcPr>
          <w:p w14:paraId="703DFD43">
            <w:pPr>
              <w:spacing w:line="400" w:lineRule="exact"/>
              <w:jc w:val="center"/>
              <w:rPr>
                <w:rFonts w:hint="eastAsia" w:ascii="宋体" w:hAnsi="宋体" w:eastAsia="宋体" w:cs="宋体"/>
                <w:color w:val="auto"/>
                <w:sz w:val="24"/>
                <w:szCs w:val="24"/>
                <w:highlight w:val="none"/>
              </w:rPr>
            </w:pPr>
          </w:p>
        </w:tc>
        <w:tc>
          <w:tcPr>
            <w:tcW w:w="690" w:type="pct"/>
            <w:tcBorders>
              <w:top w:val="single" w:color="auto" w:sz="4" w:space="0"/>
            </w:tcBorders>
            <w:vAlign w:val="center"/>
          </w:tcPr>
          <w:p w14:paraId="3607DD62">
            <w:pPr>
              <w:spacing w:line="400" w:lineRule="exact"/>
              <w:jc w:val="center"/>
              <w:rPr>
                <w:rFonts w:hint="eastAsia" w:ascii="宋体" w:hAnsi="宋体" w:eastAsia="宋体" w:cs="宋体"/>
                <w:color w:val="auto"/>
                <w:sz w:val="24"/>
                <w:szCs w:val="24"/>
                <w:highlight w:val="none"/>
              </w:rPr>
            </w:pPr>
          </w:p>
        </w:tc>
        <w:tc>
          <w:tcPr>
            <w:tcW w:w="701" w:type="pct"/>
            <w:tcBorders>
              <w:top w:val="single" w:color="auto" w:sz="4" w:space="0"/>
            </w:tcBorders>
            <w:vAlign w:val="center"/>
          </w:tcPr>
          <w:p w14:paraId="102CB253">
            <w:pPr>
              <w:spacing w:line="400" w:lineRule="exact"/>
              <w:jc w:val="center"/>
              <w:rPr>
                <w:rFonts w:hint="eastAsia" w:ascii="宋体" w:hAnsi="宋体" w:eastAsia="宋体" w:cs="宋体"/>
                <w:color w:val="auto"/>
                <w:sz w:val="24"/>
                <w:szCs w:val="24"/>
                <w:highlight w:val="none"/>
              </w:rPr>
            </w:pPr>
          </w:p>
        </w:tc>
        <w:tc>
          <w:tcPr>
            <w:tcW w:w="688" w:type="pct"/>
            <w:tcBorders>
              <w:top w:val="single" w:color="auto" w:sz="4" w:space="0"/>
              <w:right w:val="single" w:color="auto" w:sz="4" w:space="0"/>
            </w:tcBorders>
            <w:vAlign w:val="center"/>
          </w:tcPr>
          <w:p w14:paraId="634AD70A">
            <w:pPr>
              <w:spacing w:line="400" w:lineRule="exact"/>
              <w:jc w:val="center"/>
              <w:rPr>
                <w:rFonts w:hint="eastAsia" w:ascii="宋体" w:hAnsi="宋体" w:eastAsia="宋体" w:cs="宋体"/>
                <w:color w:val="auto"/>
                <w:sz w:val="24"/>
                <w:szCs w:val="24"/>
                <w:highlight w:val="none"/>
              </w:rPr>
            </w:pPr>
          </w:p>
        </w:tc>
        <w:tc>
          <w:tcPr>
            <w:tcW w:w="635" w:type="pct"/>
            <w:tcBorders>
              <w:top w:val="single" w:color="auto" w:sz="4" w:space="0"/>
              <w:left w:val="single" w:color="auto" w:sz="4" w:space="0"/>
              <w:right w:val="single" w:color="auto" w:sz="4" w:space="0"/>
            </w:tcBorders>
            <w:vAlign w:val="center"/>
          </w:tcPr>
          <w:p w14:paraId="064AFDD3">
            <w:pPr>
              <w:spacing w:line="400" w:lineRule="exact"/>
              <w:jc w:val="center"/>
              <w:rPr>
                <w:rFonts w:hint="eastAsia" w:ascii="宋体" w:hAnsi="宋体" w:eastAsia="宋体" w:cs="宋体"/>
                <w:color w:val="auto"/>
                <w:sz w:val="24"/>
                <w:szCs w:val="24"/>
                <w:highlight w:val="none"/>
              </w:rPr>
            </w:pPr>
          </w:p>
        </w:tc>
      </w:tr>
    </w:tbl>
    <w:p w14:paraId="606C147E">
      <w:pPr>
        <w:spacing w:line="360" w:lineRule="auto"/>
        <w:jc w:val="left"/>
        <w:rPr>
          <w:rFonts w:hint="eastAsia" w:ascii="宋体" w:hAnsi="宋体" w:eastAsia="宋体" w:cs="宋体"/>
          <w:bCs/>
          <w:color w:val="auto"/>
          <w:sz w:val="24"/>
          <w:szCs w:val="24"/>
          <w:highlight w:val="none"/>
        </w:rPr>
      </w:pPr>
    </w:p>
    <w:p w14:paraId="24611934">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p w14:paraId="443805E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1.本表后附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近三年完成的类似业绩</w:t>
      </w:r>
      <w:r>
        <w:rPr>
          <w:rFonts w:hint="eastAsia" w:ascii="宋体" w:hAnsi="宋体" w:eastAsia="宋体" w:cs="宋体"/>
          <w:bCs/>
          <w:color w:val="auto"/>
          <w:sz w:val="24"/>
          <w:szCs w:val="24"/>
          <w:highlight w:val="none"/>
        </w:rPr>
        <w:t>，</w:t>
      </w:r>
      <w:r>
        <w:rPr>
          <w:rFonts w:hint="eastAsia" w:ascii="宋体" w:hAnsi="宋体" w:cs="宋体"/>
          <w:color w:val="auto"/>
          <w:sz w:val="24"/>
          <w:szCs w:val="24"/>
          <w:highlight w:val="none"/>
        </w:rPr>
        <w:t>须提供</w:t>
      </w:r>
      <w:r>
        <w:rPr>
          <w:rFonts w:hint="eastAsia" w:ascii="宋体" w:hAnsi="宋体" w:eastAsia="宋体" w:cs="宋体"/>
          <w:color w:val="auto"/>
          <w:sz w:val="24"/>
          <w:szCs w:val="24"/>
          <w:highlight w:val="none"/>
          <w:lang w:val="en-US" w:eastAsia="zh-CN"/>
        </w:rPr>
        <w:t>委托检验合同或委托书或中标通知书</w:t>
      </w:r>
      <w:r>
        <w:rPr>
          <w:rFonts w:hint="eastAsia" w:ascii="宋体" w:hAnsi="宋体" w:cs="宋体"/>
          <w:color w:val="auto"/>
          <w:sz w:val="24"/>
          <w:szCs w:val="24"/>
          <w:highlight w:val="none"/>
        </w:rPr>
        <w:t>彩色扫描件等证明材料</w:t>
      </w:r>
      <w:r>
        <w:rPr>
          <w:rFonts w:hint="eastAsia" w:ascii="宋体" w:hAnsi="宋体" w:eastAsia="宋体" w:cs="宋体"/>
          <w:color w:val="auto"/>
          <w:sz w:val="24"/>
          <w:szCs w:val="24"/>
          <w:highlight w:val="none"/>
        </w:rPr>
        <w:t>；</w:t>
      </w:r>
    </w:p>
    <w:p w14:paraId="72F70E8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2.具体年份要求：</w:t>
      </w:r>
      <w:r>
        <w:rPr>
          <w:rFonts w:hint="eastAsia" w:ascii="宋体" w:hAnsi="宋体" w:eastAsia="宋体" w:cs="宋体"/>
          <w:color w:val="auto"/>
          <w:sz w:val="24"/>
          <w:szCs w:val="24"/>
          <w:highlight w:val="none"/>
          <w:lang w:val="en-US" w:eastAsia="zh-CN"/>
        </w:rPr>
        <w:t>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年-至今，业绩认定时间以委托检验合同或委托书或中标通知书为准</w:t>
      </w:r>
      <w:r>
        <w:rPr>
          <w:rFonts w:hint="eastAsia" w:ascii="宋体" w:hAnsi="宋体" w:eastAsia="宋体" w:cs="宋体"/>
          <w:color w:val="auto"/>
          <w:sz w:val="24"/>
          <w:szCs w:val="24"/>
          <w:highlight w:val="none"/>
        </w:rPr>
        <w:t>。</w:t>
      </w:r>
    </w:p>
    <w:p w14:paraId="66A381A8">
      <w:pPr>
        <w:spacing w:line="400" w:lineRule="exact"/>
        <w:ind w:left="360"/>
        <w:jc w:val="center"/>
        <w:rPr>
          <w:rFonts w:hint="eastAsia" w:ascii="宋体" w:hAnsi="宋体" w:eastAsia="宋体" w:cs="宋体"/>
          <w:color w:val="auto"/>
          <w:sz w:val="24"/>
          <w:szCs w:val="24"/>
          <w:highlight w:val="none"/>
        </w:rPr>
      </w:pPr>
    </w:p>
    <w:p w14:paraId="26EE7A76">
      <w:pPr>
        <w:adjustRightInd w:val="0"/>
        <w:spacing w:line="4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投标人名称（盖章）：         </w:t>
      </w:r>
    </w:p>
    <w:p w14:paraId="52C27CFC">
      <w:pPr>
        <w:adjustRightInd w:val="0"/>
        <w:spacing w:line="4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授权人或被授权人（签字或盖章）</w:t>
      </w:r>
      <w:r>
        <w:rPr>
          <w:rFonts w:hint="eastAsia" w:ascii="宋体" w:hAnsi="宋体" w:eastAsia="宋体" w:cs="宋体"/>
          <w:bCs/>
          <w:color w:val="auto"/>
          <w:sz w:val="24"/>
          <w:szCs w:val="24"/>
          <w:highlight w:val="none"/>
        </w:rPr>
        <w:t>：</w:t>
      </w:r>
    </w:p>
    <w:p w14:paraId="4757A439">
      <w:pPr>
        <w:adjustRightInd w:val="0"/>
        <w:spacing w:line="400" w:lineRule="exact"/>
        <w:ind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p w14:paraId="434EEA20">
      <w:pPr>
        <w:pStyle w:val="4"/>
        <w:numPr>
          <w:ilvl w:val="0"/>
          <w:numId w:val="0"/>
        </w:numPr>
        <w:spacing w:before="156" w:after="156" w:line="400" w:lineRule="exact"/>
        <w:jc w:val="center"/>
        <w:rPr>
          <w:rFonts w:hint="eastAsia" w:ascii="宋体" w:hAnsi="宋体" w:eastAsia="宋体" w:cs="宋体"/>
          <w:color w:val="auto"/>
          <w:sz w:val="24"/>
          <w:szCs w:val="24"/>
          <w:highlight w:val="none"/>
          <w:lang w:eastAsia="zh-CN"/>
        </w:rPr>
      </w:pPr>
      <w:bookmarkStart w:id="141" w:name="_Toc217446090"/>
      <w:bookmarkStart w:id="142" w:name="_Toc217446091"/>
      <w:r>
        <w:rPr>
          <w:rFonts w:hint="eastAsia" w:ascii="宋体" w:hAnsi="宋体" w:eastAsia="宋体" w:cs="宋体"/>
          <w:bCs w:val="0"/>
          <w:color w:val="auto"/>
          <w:kern w:val="0"/>
          <w:sz w:val="24"/>
          <w:szCs w:val="24"/>
          <w:highlight w:val="none"/>
        </w:rPr>
        <w:br w:type="page"/>
      </w:r>
      <w:bookmarkEnd w:id="141"/>
      <w:r>
        <w:rPr>
          <w:rFonts w:hint="eastAsia" w:ascii="宋体" w:hAnsi="宋体" w:eastAsia="宋体" w:cs="宋体"/>
          <w:bCs w:val="0"/>
          <w:color w:val="auto"/>
          <w:kern w:val="0"/>
          <w:sz w:val="24"/>
          <w:szCs w:val="24"/>
          <w:highlight w:val="none"/>
          <w:lang w:val="en-US" w:eastAsia="zh-CN"/>
        </w:rPr>
        <w:t>五、</w:t>
      </w:r>
      <w:r>
        <w:rPr>
          <w:rFonts w:hint="eastAsia" w:ascii="宋体" w:hAnsi="宋体" w:eastAsia="宋体" w:cs="宋体"/>
          <w:color w:val="auto"/>
          <w:sz w:val="24"/>
          <w:szCs w:val="24"/>
          <w:highlight w:val="none"/>
        </w:rPr>
        <w:t>商务、</w:t>
      </w:r>
      <w:r>
        <w:rPr>
          <w:rFonts w:hint="eastAsia" w:ascii="宋体" w:hAnsi="宋体" w:eastAsia="宋体" w:cs="宋体"/>
          <w:color w:val="auto"/>
          <w:sz w:val="24"/>
          <w:szCs w:val="24"/>
          <w:highlight w:val="none"/>
          <w:lang w:eastAsia="zh-CN"/>
        </w:rPr>
        <w:t>项目服务需求偏离表</w:t>
      </w:r>
    </w:p>
    <w:p w14:paraId="45077819">
      <w:pPr>
        <w:numPr>
          <w:ilvl w:val="0"/>
          <w:numId w:val="0"/>
        </w:numPr>
        <w:jc w:val="center"/>
        <w:rPr>
          <w:rFonts w:hint="default" w:eastAsia="宋体"/>
          <w:b/>
          <w:bCs/>
          <w:color w:val="auto"/>
          <w:highlight w:val="none"/>
          <w:lang w:val="en-US" w:eastAsia="zh-CN"/>
        </w:rPr>
      </w:pPr>
      <w:r>
        <w:rPr>
          <w:rFonts w:hint="eastAsia" w:ascii="宋体" w:hAnsi="宋体" w:eastAsia="宋体" w:cs="宋体"/>
          <w:b/>
          <w:bCs/>
          <w:color w:val="auto"/>
          <w:sz w:val="24"/>
          <w:szCs w:val="24"/>
          <w:highlight w:val="none"/>
        </w:rPr>
        <w:t>商务</w:t>
      </w:r>
      <w:r>
        <w:rPr>
          <w:rFonts w:hint="eastAsia" w:ascii="宋体" w:hAnsi="宋体" w:cs="宋体"/>
          <w:b/>
          <w:bCs/>
          <w:color w:val="auto"/>
          <w:sz w:val="24"/>
          <w:szCs w:val="24"/>
          <w:highlight w:val="none"/>
          <w:lang w:val="en-US" w:eastAsia="zh-CN"/>
        </w:rPr>
        <w:t>条款偏离表</w:t>
      </w:r>
    </w:p>
    <w:p w14:paraId="740F9ED7">
      <w:pPr>
        <w:rPr>
          <w:rFonts w:hint="eastAsia" w:ascii="宋体" w:hAnsi="宋体" w:eastAsia="宋体" w:cs="宋体"/>
          <w:b w:val="0"/>
          <w:bCs/>
          <w:color w:val="auto"/>
          <w:sz w:val="24"/>
          <w:highlight w:val="none"/>
          <w:lang w:val="en-US" w:eastAsia="zh-CN"/>
        </w:rPr>
      </w:pPr>
    </w:p>
    <w:tbl>
      <w:tblPr>
        <w:tblStyle w:val="30"/>
        <w:tblW w:w="8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5850"/>
        <w:gridCol w:w="1008"/>
        <w:gridCol w:w="1164"/>
      </w:tblGrid>
      <w:tr w14:paraId="75B5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shd w:val="clear" w:color="auto" w:fill="FFFFFF"/>
            <w:noWrap w:val="0"/>
            <w:vAlign w:val="center"/>
          </w:tcPr>
          <w:p w14:paraId="4C1C2A42">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5850" w:type="dxa"/>
            <w:shd w:val="clear" w:color="auto" w:fill="FFFFFF"/>
            <w:noWrap w:val="0"/>
            <w:vAlign w:val="center"/>
          </w:tcPr>
          <w:p w14:paraId="742DD575">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主要商务条款</w:t>
            </w:r>
          </w:p>
        </w:tc>
        <w:tc>
          <w:tcPr>
            <w:tcW w:w="1008" w:type="dxa"/>
            <w:shd w:val="clear" w:color="auto" w:fill="FFFFFF"/>
            <w:noWrap w:val="0"/>
            <w:vAlign w:val="center"/>
          </w:tcPr>
          <w:p w14:paraId="6593DAEB">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是否</w:t>
            </w:r>
          </w:p>
          <w:p w14:paraId="46E143CF">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响应</w:t>
            </w:r>
          </w:p>
        </w:tc>
        <w:tc>
          <w:tcPr>
            <w:tcW w:w="1164" w:type="dxa"/>
            <w:shd w:val="clear" w:color="auto" w:fill="FFFFFF"/>
            <w:noWrap w:val="0"/>
            <w:vAlign w:val="center"/>
          </w:tcPr>
          <w:p w14:paraId="12BB4137">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偏离说明</w:t>
            </w:r>
          </w:p>
        </w:tc>
      </w:tr>
      <w:tr w14:paraId="19FD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14:paraId="21BE3C76">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850" w:type="dxa"/>
            <w:noWrap w:val="0"/>
            <w:vAlign w:val="center"/>
          </w:tcPr>
          <w:p w14:paraId="5855BC2E">
            <w:pPr>
              <w:keepNext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完全理解并接受对合格</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、合格的</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质量和服务要求；</w:t>
            </w:r>
          </w:p>
        </w:tc>
        <w:tc>
          <w:tcPr>
            <w:tcW w:w="1008" w:type="dxa"/>
            <w:noWrap w:val="0"/>
            <w:vAlign w:val="center"/>
          </w:tcPr>
          <w:p w14:paraId="7A6E2046">
            <w:pPr>
              <w:pStyle w:val="60"/>
              <w:keepNext w:val="0"/>
              <w:pageBreakBefore w:val="0"/>
              <w:widowControl w:val="0"/>
              <w:kinsoku/>
              <w:wordWrap/>
              <w:overflowPunct/>
              <w:topLinePunct w:val="0"/>
              <w:autoSpaceDE/>
              <w:autoSpaceDN/>
              <w:bidi w:val="0"/>
              <w:adjustRightInd/>
              <w:snapToGrid/>
              <w:spacing w:before="0" w:after="0" w:line="400" w:lineRule="exact"/>
              <w:ind w:left="0" w:leftChars="0" w:right="0" w:rightChars="0"/>
              <w:textAlignment w:val="auto"/>
              <w:rPr>
                <w:rFonts w:hint="eastAsia" w:ascii="宋体" w:hAnsi="宋体" w:eastAsia="宋体" w:cs="宋体"/>
                <w:color w:val="auto"/>
                <w:spacing w:val="0"/>
                <w:kern w:val="2"/>
                <w:sz w:val="24"/>
                <w:szCs w:val="24"/>
                <w:highlight w:val="none"/>
              </w:rPr>
            </w:pPr>
          </w:p>
        </w:tc>
        <w:tc>
          <w:tcPr>
            <w:tcW w:w="1164" w:type="dxa"/>
            <w:noWrap w:val="0"/>
            <w:vAlign w:val="center"/>
          </w:tcPr>
          <w:p w14:paraId="40C05DA9">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p>
        </w:tc>
      </w:tr>
      <w:tr w14:paraId="2D76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14:paraId="3913E667">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850" w:type="dxa"/>
            <w:noWrap w:val="0"/>
            <w:vAlign w:val="center"/>
          </w:tcPr>
          <w:p w14:paraId="7FC16776">
            <w:pPr>
              <w:keepNext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完全理解并接受对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的各项须知、规约要求和责任义务；</w:t>
            </w:r>
          </w:p>
        </w:tc>
        <w:tc>
          <w:tcPr>
            <w:tcW w:w="1008" w:type="dxa"/>
            <w:noWrap w:val="0"/>
            <w:vAlign w:val="center"/>
          </w:tcPr>
          <w:p w14:paraId="1823DEEE">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p>
        </w:tc>
        <w:tc>
          <w:tcPr>
            <w:tcW w:w="1164" w:type="dxa"/>
            <w:noWrap w:val="0"/>
            <w:vAlign w:val="center"/>
          </w:tcPr>
          <w:p w14:paraId="716236E8">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p>
        </w:tc>
      </w:tr>
      <w:tr w14:paraId="7B32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14:paraId="023F592C">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850" w:type="dxa"/>
            <w:noWrap w:val="0"/>
            <w:vAlign w:val="center"/>
          </w:tcPr>
          <w:p w14:paraId="28693C2A">
            <w:pPr>
              <w:keepNext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同意接受拟签订的合同文本所列述的各项条款；</w:t>
            </w:r>
          </w:p>
        </w:tc>
        <w:tc>
          <w:tcPr>
            <w:tcW w:w="1008" w:type="dxa"/>
            <w:noWrap w:val="0"/>
            <w:vAlign w:val="center"/>
          </w:tcPr>
          <w:p w14:paraId="7A4B5EBA">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p>
        </w:tc>
        <w:tc>
          <w:tcPr>
            <w:tcW w:w="1164" w:type="dxa"/>
            <w:noWrap w:val="0"/>
            <w:vAlign w:val="center"/>
          </w:tcPr>
          <w:p w14:paraId="4B5CFCF6">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p>
        </w:tc>
      </w:tr>
      <w:tr w14:paraId="2C42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14:paraId="5478CDFB">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5850" w:type="dxa"/>
            <w:noWrap w:val="0"/>
            <w:vAlign w:val="center"/>
          </w:tcPr>
          <w:p w14:paraId="0AEFB358">
            <w:pPr>
              <w:keepNext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同意按本项目要求缴付相关款项；</w:t>
            </w:r>
          </w:p>
        </w:tc>
        <w:tc>
          <w:tcPr>
            <w:tcW w:w="1008" w:type="dxa"/>
            <w:noWrap w:val="0"/>
            <w:vAlign w:val="center"/>
          </w:tcPr>
          <w:p w14:paraId="4FAA277F">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p>
        </w:tc>
        <w:tc>
          <w:tcPr>
            <w:tcW w:w="1164" w:type="dxa"/>
            <w:noWrap w:val="0"/>
            <w:vAlign w:val="center"/>
          </w:tcPr>
          <w:p w14:paraId="21DF7914">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p>
        </w:tc>
      </w:tr>
      <w:tr w14:paraId="23F3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673" w:type="dxa"/>
            <w:noWrap w:val="0"/>
            <w:vAlign w:val="center"/>
          </w:tcPr>
          <w:p w14:paraId="7BEE5D6B">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5850" w:type="dxa"/>
            <w:noWrap w:val="0"/>
            <w:vAlign w:val="center"/>
          </w:tcPr>
          <w:p w14:paraId="77C1E532">
            <w:pPr>
              <w:keepNext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可提供</w:t>
            </w:r>
            <w:r>
              <w:rPr>
                <w:rFonts w:hint="eastAsia" w:ascii="宋体" w:hAnsi="宋体" w:eastAsia="宋体" w:cs="宋体"/>
                <w:color w:val="auto"/>
                <w:sz w:val="24"/>
                <w:szCs w:val="24"/>
                <w:highlight w:val="none"/>
                <w:lang w:val="en-US" w:eastAsia="zh-CN"/>
              </w:rPr>
              <w:t>成果文件</w:t>
            </w:r>
            <w:r>
              <w:rPr>
                <w:rFonts w:hint="eastAsia" w:ascii="宋体" w:hAnsi="宋体" w:eastAsia="宋体" w:cs="宋体"/>
                <w:color w:val="auto"/>
                <w:sz w:val="24"/>
                <w:szCs w:val="24"/>
                <w:highlight w:val="none"/>
              </w:rPr>
              <w:t>来源证明或合法性证明；</w:t>
            </w:r>
          </w:p>
        </w:tc>
        <w:tc>
          <w:tcPr>
            <w:tcW w:w="1008" w:type="dxa"/>
            <w:noWrap w:val="0"/>
            <w:vAlign w:val="center"/>
          </w:tcPr>
          <w:p w14:paraId="0076E35C">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p>
        </w:tc>
        <w:tc>
          <w:tcPr>
            <w:tcW w:w="1164" w:type="dxa"/>
            <w:noWrap w:val="0"/>
            <w:vAlign w:val="center"/>
          </w:tcPr>
          <w:p w14:paraId="360644BF">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p>
        </w:tc>
      </w:tr>
      <w:tr w14:paraId="3694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73" w:type="dxa"/>
            <w:noWrap w:val="0"/>
            <w:vAlign w:val="center"/>
          </w:tcPr>
          <w:p w14:paraId="490C4ABF">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5850" w:type="dxa"/>
            <w:noWrap w:val="0"/>
            <w:vAlign w:val="center"/>
          </w:tcPr>
          <w:p w14:paraId="5BB27E48">
            <w:pPr>
              <w:keepNext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有效期</w:t>
            </w:r>
            <w:r>
              <w:rPr>
                <w:rFonts w:hint="eastAsia" w:ascii="宋体" w:hAnsi="宋体" w:eastAsia="宋体" w:cs="宋体"/>
                <w:color w:val="auto"/>
                <w:sz w:val="24"/>
                <w:szCs w:val="24"/>
                <w:highlight w:val="none"/>
                <w:lang w:eastAsia="zh-CN"/>
              </w:rPr>
              <w:t>；</w:t>
            </w:r>
          </w:p>
        </w:tc>
        <w:tc>
          <w:tcPr>
            <w:tcW w:w="1008" w:type="dxa"/>
            <w:noWrap w:val="0"/>
            <w:vAlign w:val="center"/>
          </w:tcPr>
          <w:p w14:paraId="0D8CC930">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p>
        </w:tc>
        <w:tc>
          <w:tcPr>
            <w:tcW w:w="1164" w:type="dxa"/>
            <w:noWrap w:val="0"/>
            <w:vAlign w:val="center"/>
          </w:tcPr>
          <w:p w14:paraId="785408C3">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p>
        </w:tc>
      </w:tr>
      <w:tr w14:paraId="7A37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14:paraId="73B91254">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5850" w:type="dxa"/>
            <w:noWrap w:val="0"/>
            <w:vAlign w:val="center"/>
          </w:tcPr>
          <w:p w14:paraId="044AA983">
            <w:pPr>
              <w:keepNext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投标内容均涵盖招标要求及一切费用和伴随服务；</w:t>
            </w:r>
          </w:p>
        </w:tc>
        <w:tc>
          <w:tcPr>
            <w:tcW w:w="1008" w:type="dxa"/>
            <w:noWrap w:val="0"/>
            <w:vAlign w:val="center"/>
          </w:tcPr>
          <w:p w14:paraId="4FD1DEF3">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p>
        </w:tc>
        <w:tc>
          <w:tcPr>
            <w:tcW w:w="1164" w:type="dxa"/>
            <w:noWrap w:val="0"/>
            <w:vAlign w:val="center"/>
          </w:tcPr>
          <w:p w14:paraId="2009346C">
            <w:pPr>
              <w:pStyle w:val="60"/>
              <w:keepNext w:val="0"/>
              <w:pageBreakBefore w:val="0"/>
              <w:widowControl w:val="0"/>
              <w:kinsoku/>
              <w:wordWrap/>
              <w:overflowPunct/>
              <w:topLinePunct w:val="0"/>
              <w:autoSpaceDE/>
              <w:autoSpaceDN/>
              <w:bidi w:val="0"/>
              <w:adjustRightInd/>
              <w:snapToGrid/>
              <w:spacing w:before="0" w:after="0" w:line="400" w:lineRule="exact"/>
              <w:ind w:left="0" w:leftChars="0" w:right="0" w:rightChars="0"/>
              <w:textAlignment w:val="auto"/>
              <w:rPr>
                <w:rFonts w:hint="eastAsia" w:ascii="宋体" w:hAnsi="宋体" w:eastAsia="宋体" w:cs="宋体"/>
                <w:color w:val="auto"/>
                <w:spacing w:val="0"/>
                <w:kern w:val="2"/>
                <w:sz w:val="24"/>
                <w:szCs w:val="24"/>
                <w:highlight w:val="none"/>
              </w:rPr>
            </w:pPr>
          </w:p>
        </w:tc>
      </w:tr>
      <w:tr w14:paraId="14B8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14:paraId="33DA5614">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5850" w:type="dxa"/>
            <w:noWrap w:val="0"/>
            <w:vAlign w:val="center"/>
          </w:tcPr>
          <w:p w14:paraId="28DE9E4D">
            <w:pPr>
              <w:keepNext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同意接受本项目</w:t>
            </w:r>
            <w:r>
              <w:rPr>
                <w:rFonts w:hint="eastAsia" w:ascii="宋体" w:hAnsi="宋体" w:eastAsia="宋体" w:cs="宋体"/>
                <w:color w:val="auto"/>
                <w:sz w:val="24"/>
                <w:szCs w:val="24"/>
                <w:highlight w:val="none"/>
                <w:lang w:val="en-US" w:eastAsia="zh-CN"/>
              </w:rPr>
              <w:t>服务期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相关进度安排要求；</w:t>
            </w:r>
          </w:p>
        </w:tc>
        <w:tc>
          <w:tcPr>
            <w:tcW w:w="1008" w:type="dxa"/>
            <w:noWrap w:val="0"/>
            <w:vAlign w:val="center"/>
          </w:tcPr>
          <w:p w14:paraId="368C34FA">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p>
        </w:tc>
        <w:tc>
          <w:tcPr>
            <w:tcW w:w="1164" w:type="dxa"/>
            <w:noWrap w:val="0"/>
            <w:vAlign w:val="center"/>
          </w:tcPr>
          <w:p w14:paraId="12DEF154">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p>
        </w:tc>
      </w:tr>
      <w:tr w14:paraId="6947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14:paraId="7DBEE3CF">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5850" w:type="dxa"/>
            <w:noWrap w:val="0"/>
            <w:vAlign w:val="center"/>
          </w:tcPr>
          <w:p w14:paraId="46545C62">
            <w:pPr>
              <w:keepNext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同意接受本项目的验收要求及验收标准；</w:t>
            </w:r>
          </w:p>
        </w:tc>
        <w:tc>
          <w:tcPr>
            <w:tcW w:w="1008" w:type="dxa"/>
            <w:noWrap w:val="0"/>
            <w:vAlign w:val="center"/>
          </w:tcPr>
          <w:p w14:paraId="7A5BED2D">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p>
        </w:tc>
        <w:tc>
          <w:tcPr>
            <w:tcW w:w="1164" w:type="dxa"/>
            <w:noWrap w:val="0"/>
            <w:vAlign w:val="center"/>
          </w:tcPr>
          <w:p w14:paraId="3AA58C89">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p>
        </w:tc>
      </w:tr>
      <w:tr w14:paraId="0F26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3" w:type="dxa"/>
            <w:noWrap w:val="0"/>
            <w:vAlign w:val="center"/>
          </w:tcPr>
          <w:p w14:paraId="594442DF">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5850" w:type="dxa"/>
            <w:noWrap w:val="0"/>
            <w:vAlign w:val="center"/>
          </w:tcPr>
          <w:p w14:paraId="07782E7B">
            <w:pPr>
              <w:pStyle w:val="22"/>
              <w:keepNext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rPr>
              <w:t>同意采购人以任何形式对我方的投标文件内容的真实性和有效性进行审查、验证；</w:t>
            </w:r>
          </w:p>
        </w:tc>
        <w:tc>
          <w:tcPr>
            <w:tcW w:w="1008" w:type="dxa"/>
            <w:noWrap w:val="0"/>
            <w:vAlign w:val="center"/>
          </w:tcPr>
          <w:p w14:paraId="282812C8">
            <w:pPr>
              <w:pStyle w:val="61"/>
              <w:keepNext w:val="0"/>
              <w:pageBreakBefore w:val="0"/>
              <w:widowControl w:val="0"/>
              <w:numPr>
                <w:ilvl w:val="0"/>
                <w:numId w:val="0"/>
              </w:numPr>
              <w:kinsoku/>
              <w:wordWrap/>
              <w:overflowPunct/>
              <w:topLinePunct w:val="0"/>
              <w:autoSpaceDE/>
              <w:autoSpaceDN/>
              <w:bidi w:val="0"/>
              <w:snapToGrid/>
              <w:spacing w:line="400" w:lineRule="exact"/>
              <w:ind w:left="0" w:leftChars="0" w:right="0" w:rightChars="0"/>
              <w:rPr>
                <w:rFonts w:hint="eastAsia" w:ascii="宋体" w:hAnsi="宋体" w:eastAsia="宋体" w:cs="宋体"/>
                <w:color w:val="auto"/>
                <w:sz w:val="24"/>
                <w:szCs w:val="24"/>
                <w:highlight w:val="none"/>
              </w:rPr>
            </w:pPr>
          </w:p>
        </w:tc>
        <w:tc>
          <w:tcPr>
            <w:tcW w:w="1164" w:type="dxa"/>
            <w:noWrap w:val="0"/>
            <w:vAlign w:val="center"/>
          </w:tcPr>
          <w:p w14:paraId="011B7E09">
            <w:pPr>
              <w:pStyle w:val="60"/>
              <w:keepNext w:val="0"/>
              <w:pageBreakBefore w:val="0"/>
              <w:widowControl w:val="0"/>
              <w:kinsoku/>
              <w:wordWrap/>
              <w:overflowPunct/>
              <w:topLinePunct w:val="0"/>
              <w:autoSpaceDE/>
              <w:autoSpaceDN/>
              <w:bidi w:val="0"/>
              <w:adjustRightInd/>
              <w:snapToGrid/>
              <w:spacing w:before="0" w:after="0" w:line="400" w:lineRule="exact"/>
              <w:ind w:left="0" w:leftChars="0" w:right="0" w:rightChars="0"/>
              <w:jc w:val="both"/>
              <w:textAlignment w:val="auto"/>
              <w:rPr>
                <w:rFonts w:hint="eastAsia" w:ascii="宋体" w:hAnsi="宋体" w:eastAsia="宋体" w:cs="宋体"/>
                <w:color w:val="auto"/>
                <w:spacing w:val="0"/>
                <w:kern w:val="2"/>
                <w:sz w:val="24"/>
                <w:szCs w:val="24"/>
                <w:highlight w:val="none"/>
              </w:rPr>
            </w:pPr>
          </w:p>
        </w:tc>
      </w:tr>
      <w:tr w14:paraId="5CE7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3" w:type="dxa"/>
            <w:noWrap w:val="0"/>
            <w:vAlign w:val="center"/>
          </w:tcPr>
          <w:p w14:paraId="069426DD">
            <w:pPr>
              <w:keepNext w:val="0"/>
              <w:pageBreakBefore w:val="0"/>
              <w:widowControl w:val="0"/>
              <w:kinsoku/>
              <w:wordWrap/>
              <w:overflowPunct/>
              <w:topLinePunct w:val="0"/>
              <w:autoSpaceDE/>
              <w:autoSpaceDN/>
              <w:bidi w:val="0"/>
              <w:snapToGrid/>
              <w:spacing w:line="400" w:lineRule="exact"/>
              <w:ind w:left="0" w:leftChars="0" w:right="0" w:right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5850" w:type="dxa"/>
            <w:noWrap w:val="0"/>
            <w:vAlign w:val="center"/>
          </w:tcPr>
          <w:p w14:paraId="7DAA10F5">
            <w:pPr>
              <w:pStyle w:val="22"/>
              <w:keepNext w:val="0"/>
              <w:pageBreakBefore w:val="0"/>
              <w:widowControl w:val="0"/>
              <w:kinsoku/>
              <w:wordWrap/>
              <w:overflowPunct/>
              <w:topLinePunct w:val="0"/>
              <w:autoSpaceDE/>
              <w:autoSpaceDN/>
              <w:bidi w:val="0"/>
              <w:snapToGrid/>
              <w:spacing w:line="400" w:lineRule="exact"/>
              <w:ind w:left="0" w:leftChars="0" w:right="0" w:rightChars="0"/>
              <w:rPr>
                <w:rFonts w:hint="eastAsia" w:ascii="宋体" w:hAnsi="宋体" w:eastAsia="宋体" w:cs="宋体"/>
                <w:b w:val="0"/>
                <w:bCs w:val="0"/>
                <w:color w:val="auto"/>
                <w:kern w:val="2"/>
                <w:sz w:val="24"/>
                <w:szCs w:val="24"/>
                <w:highlight w:val="none"/>
              </w:rPr>
            </w:pPr>
            <w:r>
              <w:rPr>
                <w:rFonts w:hint="eastAsia" w:ascii="宋体" w:hAnsi="宋体" w:eastAsia="宋体" w:cs="宋体"/>
                <w:b w:val="0"/>
                <w:bCs w:val="0"/>
                <w:color w:val="auto"/>
                <w:kern w:val="2"/>
                <w:sz w:val="24"/>
                <w:szCs w:val="24"/>
                <w:highlight w:val="none"/>
              </w:rPr>
              <w:t>同意接受本项目付款的各项要求。</w:t>
            </w:r>
          </w:p>
        </w:tc>
        <w:tc>
          <w:tcPr>
            <w:tcW w:w="1008" w:type="dxa"/>
            <w:noWrap w:val="0"/>
            <w:vAlign w:val="center"/>
          </w:tcPr>
          <w:p w14:paraId="294D8E53">
            <w:pPr>
              <w:pStyle w:val="61"/>
              <w:keepNext w:val="0"/>
              <w:pageBreakBefore w:val="0"/>
              <w:widowControl w:val="0"/>
              <w:numPr>
                <w:ilvl w:val="0"/>
                <w:numId w:val="0"/>
              </w:numPr>
              <w:kinsoku/>
              <w:wordWrap/>
              <w:overflowPunct/>
              <w:topLinePunct w:val="0"/>
              <w:autoSpaceDE/>
              <w:autoSpaceDN/>
              <w:bidi w:val="0"/>
              <w:snapToGrid/>
              <w:spacing w:line="400" w:lineRule="exact"/>
              <w:ind w:left="0" w:leftChars="0" w:right="0" w:rightChars="0"/>
              <w:rPr>
                <w:rFonts w:hint="eastAsia" w:ascii="宋体" w:hAnsi="宋体" w:eastAsia="宋体" w:cs="宋体"/>
                <w:color w:val="auto"/>
                <w:sz w:val="24"/>
                <w:szCs w:val="24"/>
                <w:highlight w:val="none"/>
              </w:rPr>
            </w:pPr>
          </w:p>
        </w:tc>
        <w:tc>
          <w:tcPr>
            <w:tcW w:w="1164" w:type="dxa"/>
            <w:noWrap w:val="0"/>
            <w:vAlign w:val="center"/>
          </w:tcPr>
          <w:p w14:paraId="27F9F07B">
            <w:pPr>
              <w:pStyle w:val="60"/>
              <w:keepNext w:val="0"/>
              <w:pageBreakBefore w:val="0"/>
              <w:widowControl w:val="0"/>
              <w:kinsoku/>
              <w:wordWrap/>
              <w:overflowPunct/>
              <w:topLinePunct w:val="0"/>
              <w:autoSpaceDE/>
              <w:autoSpaceDN/>
              <w:bidi w:val="0"/>
              <w:adjustRightInd/>
              <w:snapToGrid/>
              <w:spacing w:before="0" w:after="0" w:line="400" w:lineRule="exact"/>
              <w:ind w:left="0" w:leftChars="0" w:right="0" w:rightChars="0"/>
              <w:jc w:val="both"/>
              <w:textAlignment w:val="auto"/>
              <w:rPr>
                <w:rFonts w:hint="eastAsia" w:ascii="宋体" w:hAnsi="宋体" w:eastAsia="宋体" w:cs="宋体"/>
                <w:color w:val="auto"/>
                <w:spacing w:val="0"/>
                <w:kern w:val="2"/>
                <w:sz w:val="24"/>
                <w:szCs w:val="24"/>
                <w:highlight w:val="none"/>
              </w:rPr>
            </w:pPr>
          </w:p>
        </w:tc>
      </w:tr>
    </w:tbl>
    <w:p w14:paraId="26F6065E">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p w14:paraId="5B80158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hanging="432" w:firstLineChars="0"/>
        <w:textAlignment w:val="auto"/>
        <w:rPr>
          <w:rFonts w:hint="eastAsia" w:ascii="宋体" w:hAnsi="宋体" w:eastAsia="宋体" w:cs="宋体"/>
          <w:color w:val="auto"/>
          <w:sz w:val="24"/>
          <w:szCs w:val="24"/>
          <w:highlight w:val="none"/>
          <w:lang w:val="en-GB"/>
        </w:rPr>
      </w:pPr>
      <w:r>
        <w:rPr>
          <w:rFonts w:hint="eastAsia" w:ascii="宋体" w:hAnsi="宋体" w:eastAsia="宋体" w:cs="宋体"/>
          <w:color w:val="auto"/>
          <w:kern w:val="2"/>
          <w:sz w:val="24"/>
          <w:szCs w:val="24"/>
          <w:highlight w:val="none"/>
          <w:lang w:val="en-GB" w:eastAsia="zh-CN" w:bidi="ar-SA"/>
        </w:rPr>
        <w:t>1</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val="en-GB"/>
        </w:rPr>
        <w:t>于上述要求，如</w:t>
      </w:r>
      <w:r>
        <w:rPr>
          <w:rFonts w:hint="eastAsia" w:ascii="宋体" w:hAnsi="宋体" w:eastAsia="宋体" w:cs="宋体"/>
          <w:color w:val="auto"/>
          <w:sz w:val="24"/>
          <w:szCs w:val="24"/>
          <w:highlight w:val="none"/>
          <w:lang w:val="en-GB" w:eastAsia="zh-CN"/>
        </w:rPr>
        <w:t>供应商</w:t>
      </w:r>
      <w:r>
        <w:rPr>
          <w:rFonts w:hint="eastAsia" w:ascii="宋体" w:hAnsi="宋体" w:eastAsia="宋体" w:cs="宋体"/>
          <w:color w:val="auto"/>
          <w:sz w:val="24"/>
          <w:szCs w:val="24"/>
          <w:highlight w:val="none"/>
          <w:lang w:val="en-GB"/>
        </w:rPr>
        <w:t>完全响应，则请在“是否响应”栏内打“√”，对打“×”视为偏离，请在“偏离说明”栏内扼要说明偏离情况；</w:t>
      </w:r>
    </w:p>
    <w:p w14:paraId="32862D8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hanging="432" w:firstLineChars="0"/>
        <w:textAlignment w:val="auto"/>
        <w:rPr>
          <w:rFonts w:hint="eastAsia" w:ascii="宋体" w:hAnsi="宋体" w:eastAsia="宋体" w:cs="宋体"/>
          <w:color w:val="auto"/>
          <w:sz w:val="24"/>
          <w:szCs w:val="24"/>
          <w:highlight w:val="none"/>
          <w:lang w:val="en-GB"/>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szCs w:val="24"/>
          <w:highlight w:val="none"/>
          <w:lang w:val="en-GB" w:eastAsia="zh-CN"/>
        </w:rPr>
        <w:t>供应商</w:t>
      </w:r>
      <w:r>
        <w:rPr>
          <w:rFonts w:hint="eastAsia" w:ascii="宋体" w:hAnsi="宋体" w:eastAsia="宋体" w:cs="宋体"/>
          <w:color w:val="auto"/>
          <w:sz w:val="24"/>
          <w:szCs w:val="24"/>
          <w:highlight w:val="none"/>
          <w:lang w:val="en-GB"/>
        </w:rPr>
        <w:t>应认真填写本响应表，若</w:t>
      </w:r>
      <w:r>
        <w:rPr>
          <w:rFonts w:hint="eastAsia" w:ascii="宋体" w:hAnsi="宋体" w:eastAsia="宋体" w:cs="宋体"/>
          <w:color w:val="auto"/>
          <w:sz w:val="24"/>
          <w:szCs w:val="24"/>
          <w:highlight w:val="none"/>
          <w:lang w:val="en-GB" w:eastAsia="zh-CN"/>
        </w:rPr>
        <w:t>磋商小组</w:t>
      </w:r>
      <w:r>
        <w:rPr>
          <w:rFonts w:hint="eastAsia" w:ascii="宋体" w:hAnsi="宋体" w:eastAsia="宋体" w:cs="宋体"/>
          <w:color w:val="auto"/>
          <w:sz w:val="24"/>
          <w:szCs w:val="24"/>
          <w:highlight w:val="none"/>
          <w:lang w:val="en-GB"/>
        </w:rPr>
        <w:t>在</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val="en-GB"/>
        </w:rPr>
        <w:t>期间，发现有虚假填写本响应表的，则将可能被视为存在两个</w:t>
      </w: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val="en-GB"/>
        </w:rPr>
        <w:t>方案，</w:t>
      </w:r>
      <w:r>
        <w:rPr>
          <w:rFonts w:hint="eastAsia" w:ascii="宋体" w:hAnsi="宋体" w:eastAsia="宋体" w:cs="宋体"/>
          <w:color w:val="auto"/>
          <w:sz w:val="24"/>
          <w:szCs w:val="24"/>
          <w:highlight w:val="none"/>
          <w:lang w:val="en-GB" w:eastAsia="zh-CN"/>
        </w:rPr>
        <w:t>磋商小组</w:t>
      </w:r>
      <w:r>
        <w:rPr>
          <w:rFonts w:hint="eastAsia" w:ascii="宋体" w:hAnsi="宋体" w:eastAsia="宋体" w:cs="宋体"/>
          <w:color w:val="auto"/>
          <w:sz w:val="24"/>
          <w:szCs w:val="24"/>
          <w:highlight w:val="none"/>
          <w:lang w:val="en-GB"/>
        </w:rPr>
        <w:t>将按本招标文件相关规定执行；</w:t>
      </w:r>
    </w:p>
    <w:p w14:paraId="0DE503C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hanging="432" w:firstLineChars="0"/>
        <w:textAlignment w:val="auto"/>
        <w:rPr>
          <w:rFonts w:hint="eastAsia" w:ascii="宋体" w:hAnsi="宋体" w:eastAsia="宋体" w:cs="宋体"/>
          <w:color w:val="auto"/>
          <w:sz w:val="24"/>
          <w:szCs w:val="24"/>
          <w:highlight w:val="none"/>
          <w:lang w:val="en-GB"/>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szCs w:val="24"/>
          <w:highlight w:val="none"/>
          <w:lang w:val="en-GB"/>
        </w:rPr>
        <w:t>本表内容不得擅自修改。</w:t>
      </w:r>
    </w:p>
    <w:p w14:paraId="334DBF17">
      <w:pPr>
        <w:rPr>
          <w:rFonts w:hint="eastAsia" w:ascii="宋体" w:hAnsi="宋体" w:eastAsia="宋体" w:cs="宋体"/>
          <w:b w:val="0"/>
          <w:bCs/>
          <w:color w:val="auto"/>
          <w:sz w:val="24"/>
          <w:highlight w:val="none"/>
          <w:lang w:val="en-US" w:eastAsia="zh-CN"/>
        </w:rPr>
      </w:pPr>
    </w:p>
    <w:p w14:paraId="4D88028A">
      <w:pP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lang w:val="en-US" w:eastAsia="zh-CN"/>
        </w:rPr>
        <w:t>备注</w:t>
      </w:r>
      <w:r>
        <w:rPr>
          <w:rFonts w:hint="eastAsia" w:ascii="宋体" w:hAnsi="宋体" w:eastAsia="宋体" w:cs="宋体"/>
          <w:b w:val="0"/>
          <w:bCs/>
          <w:color w:val="auto"/>
          <w:sz w:val="24"/>
          <w:highlight w:val="none"/>
        </w:rPr>
        <w:t>：与</w:t>
      </w:r>
      <w:r>
        <w:rPr>
          <w:rFonts w:hint="eastAsia" w:ascii="宋体" w:hAnsi="宋体" w:cs="宋体"/>
          <w:b w:val="0"/>
          <w:bCs/>
          <w:color w:val="auto"/>
          <w:sz w:val="24"/>
          <w:highlight w:val="none"/>
          <w:lang w:eastAsia="zh-CN"/>
        </w:rPr>
        <w:t>招标</w:t>
      </w:r>
      <w:r>
        <w:rPr>
          <w:rFonts w:hint="eastAsia" w:ascii="宋体" w:hAnsi="宋体" w:eastAsia="宋体" w:cs="宋体"/>
          <w:b w:val="0"/>
          <w:bCs/>
          <w:color w:val="auto"/>
          <w:sz w:val="24"/>
          <w:highlight w:val="none"/>
          <w:lang w:eastAsia="zh-CN"/>
        </w:rPr>
        <w:t>文件</w:t>
      </w:r>
      <w:r>
        <w:rPr>
          <w:rFonts w:hint="eastAsia" w:ascii="宋体" w:hAnsi="宋体" w:eastAsia="宋体" w:cs="宋体"/>
          <w:b w:val="0"/>
          <w:bCs/>
          <w:color w:val="auto"/>
          <w:sz w:val="24"/>
          <w:highlight w:val="none"/>
        </w:rPr>
        <w:t>中“第五章</w:t>
      </w:r>
      <w:r>
        <w:rPr>
          <w:rFonts w:hint="eastAsia" w:ascii="宋体" w:hAnsi="宋体" w:eastAsia="宋体" w:cs="宋体"/>
          <w:b w:val="0"/>
          <w:bCs/>
          <w:color w:val="auto"/>
          <w:sz w:val="24"/>
          <w:highlight w:val="none"/>
          <w:lang w:eastAsia="zh-CN"/>
        </w:rPr>
        <w:t>评审办法</w:t>
      </w:r>
      <w:r>
        <w:rPr>
          <w:rFonts w:hint="eastAsia" w:ascii="宋体" w:hAnsi="宋体" w:eastAsia="宋体" w:cs="宋体"/>
          <w:b w:val="0"/>
          <w:bCs/>
          <w:color w:val="auto"/>
          <w:sz w:val="24"/>
          <w:highlight w:val="none"/>
        </w:rPr>
        <w:t>”逐条对应填写（除</w:t>
      </w:r>
      <w:r>
        <w:rPr>
          <w:rFonts w:hint="eastAsia" w:ascii="宋体" w:hAnsi="宋体" w:eastAsia="宋体" w:cs="宋体"/>
          <w:b w:val="0"/>
          <w:bCs/>
          <w:color w:val="auto"/>
          <w:sz w:val="24"/>
          <w:highlight w:val="none"/>
          <w:lang w:eastAsia="zh-CN"/>
        </w:rPr>
        <w:t>“</w:t>
      </w:r>
      <w:r>
        <w:rPr>
          <w:rFonts w:hint="eastAsia" w:ascii="宋体" w:hAnsi="宋体" w:cs="宋体"/>
          <w:b w:val="0"/>
          <w:bCs/>
          <w:color w:val="auto"/>
          <w:sz w:val="24"/>
          <w:highlight w:val="none"/>
          <w:lang w:val="en-US" w:eastAsia="zh-CN"/>
        </w:rPr>
        <w:t>项目服务需求偏离表</w:t>
      </w:r>
      <w:r>
        <w:rPr>
          <w:rFonts w:hint="eastAsia" w:ascii="宋体" w:hAnsi="宋体" w:eastAsia="宋体" w:cs="宋体"/>
          <w:b w:val="0"/>
          <w:bCs/>
          <w:color w:val="auto"/>
          <w:sz w:val="24"/>
          <w:highlight w:val="none"/>
          <w:lang w:eastAsia="zh-CN"/>
        </w:rPr>
        <w:t>”</w:t>
      </w:r>
      <w:r>
        <w:rPr>
          <w:rFonts w:hint="eastAsia" w:ascii="宋体" w:hAnsi="宋体" w:eastAsia="宋体" w:cs="宋体"/>
          <w:b w:val="0"/>
          <w:bCs/>
          <w:color w:val="auto"/>
          <w:sz w:val="24"/>
          <w:highlight w:val="none"/>
        </w:rPr>
        <w:t>内容）。</w:t>
      </w:r>
    </w:p>
    <w:p w14:paraId="53F6F676">
      <w:pPr>
        <w:rPr>
          <w:rFonts w:hint="eastAsia" w:ascii="宋体" w:hAnsi="宋体" w:eastAsia="宋体" w:cs="宋体"/>
          <w:color w:val="auto"/>
          <w:sz w:val="24"/>
          <w:szCs w:val="24"/>
          <w:highlight w:val="none"/>
        </w:rPr>
      </w:pPr>
    </w:p>
    <w:p w14:paraId="259C8FE0">
      <w:pPr>
        <w:pStyle w:val="16"/>
        <w:spacing w:line="360" w:lineRule="auto"/>
        <w:ind w:left="0" w:left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投标人名称（盖章）：</w:t>
      </w:r>
    </w:p>
    <w:p w14:paraId="5D30BFE6">
      <w:pPr>
        <w:pStyle w:val="16"/>
        <w:spacing w:line="360" w:lineRule="auto"/>
        <w:ind w:left="0" w:left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授权人和被授权人（签字或盖章）：</w:t>
      </w:r>
    </w:p>
    <w:p w14:paraId="4CAA2384">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日期： 年 月 日</w:t>
      </w:r>
    </w:p>
    <w:p w14:paraId="63C49E0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1497F6DA">
      <w:pPr>
        <w:pStyle w:val="29"/>
        <w:rPr>
          <w:rFonts w:hint="eastAsia" w:ascii="宋体" w:hAnsi="宋体" w:eastAsia="宋体" w:cs="宋体"/>
          <w:color w:val="auto"/>
          <w:sz w:val="24"/>
          <w:szCs w:val="24"/>
          <w:highlight w:val="none"/>
        </w:rPr>
      </w:pPr>
    </w:p>
    <w:p w14:paraId="32CABBE8">
      <w:pPr>
        <w:jc w:val="center"/>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eastAsia="zh-CN"/>
        </w:rPr>
        <w:t>项目服务需求偏离表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1062"/>
        <w:gridCol w:w="1229"/>
        <w:gridCol w:w="1575"/>
        <w:gridCol w:w="1500"/>
        <w:gridCol w:w="1055"/>
        <w:gridCol w:w="1036"/>
      </w:tblGrid>
      <w:tr w14:paraId="1D26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2" w:hRule="atLeast"/>
          <w:jc w:val="center"/>
        </w:trPr>
        <w:tc>
          <w:tcPr>
            <w:tcW w:w="623" w:type="pct"/>
            <w:noWrap w:val="0"/>
            <w:vAlign w:val="center"/>
          </w:tcPr>
          <w:p w14:paraId="22E41C63">
            <w:pPr>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序号</w:t>
            </w:r>
          </w:p>
        </w:tc>
        <w:tc>
          <w:tcPr>
            <w:tcW w:w="623" w:type="pct"/>
            <w:noWrap w:val="0"/>
            <w:vAlign w:val="center"/>
          </w:tcPr>
          <w:p w14:paraId="2C58013A">
            <w:pPr>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服务名称</w:t>
            </w:r>
          </w:p>
        </w:tc>
        <w:tc>
          <w:tcPr>
            <w:tcW w:w="721" w:type="pct"/>
            <w:noWrap w:val="0"/>
            <w:vAlign w:val="center"/>
          </w:tcPr>
          <w:p w14:paraId="26ABCF17">
            <w:pPr>
              <w:jc w:val="center"/>
              <w:rPr>
                <w:rFonts w:hint="eastAsia" w:ascii="宋体" w:hAnsi="宋体" w:eastAsia="宋体" w:cs="宋体"/>
                <w:b w:val="0"/>
                <w:bCs/>
                <w:color w:val="auto"/>
                <w:sz w:val="24"/>
                <w:highlight w:val="none"/>
              </w:rPr>
            </w:pPr>
            <w:r>
              <w:rPr>
                <w:rFonts w:hint="eastAsia" w:ascii="宋体" w:hAnsi="宋体" w:cs="宋体"/>
                <w:b w:val="0"/>
                <w:bCs/>
                <w:color w:val="auto"/>
                <w:sz w:val="24"/>
                <w:highlight w:val="none"/>
                <w:lang w:eastAsia="zh-CN"/>
              </w:rPr>
              <w:t>招标</w:t>
            </w:r>
            <w:r>
              <w:rPr>
                <w:rFonts w:hint="eastAsia" w:ascii="宋体" w:hAnsi="宋体" w:eastAsia="宋体" w:cs="宋体"/>
                <w:b w:val="0"/>
                <w:bCs/>
                <w:color w:val="auto"/>
                <w:sz w:val="24"/>
                <w:highlight w:val="none"/>
                <w:lang w:eastAsia="zh-CN"/>
              </w:rPr>
              <w:t>文件</w:t>
            </w:r>
            <w:r>
              <w:rPr>
                <w:rFonts w:hint="eastAsia" w:ascii="宋体" w:hAnsi="宋体" w:eastAsia="宋体" w:cs="宋体"/>
                <w:b w:val="0"/>
                <w:bCs/>
                <w:color w:val="auto"/>
                <w:sz w:val="24"/>
                <w:highlight w:val="none"/>
              </w:rPr>
              <w:t>条款号</w:t>
            </w:r>
          </w:p>
        </w:tc>
        <w:tc>
          <w:tcPr>
            <w:tcW w:w="924" w:type="pct"/>
            <w:noWrap w:val="0"/>
            <w:vAlign w:val="center"/>
          </w:tcPr>
          <w:p w14:paraId="54564A28">
            <w:pPr>
              <w:jc w:val="center"/>
              <w:rPr>
                <w:rFonts w:hint="eastAsia" w:ascii="宋体" w:hAnsi="宋体" w:eastAsia="宋体" w:cs="宋体"/>
                <w:b w:val="0"/>
                <w:bCs/>
                <w:color w:val="auto"/>
                <w:sz w:val="24"/>
                <w:highlight w:val="none"/>
              </w:rPr>
            </w:pPr>
            <w:r>
              <w:rPr>
                <w:rFonts w:hint="eastAsia" w:ascii="宋体" w:hAnsi="宋体" w:cs="宋体"/>
                <w:b w:val="0"/>
                <w:bCs/>
                <w:color w:val="auto"/>
                <w:sz w:val="24"/>
                <w:highlight w:val="none"/>
                <w:lang w:eastAsia="zh-CN"/>
              </w:rPr>
              <w:t>招标</w:t>
            </w:r>
            <w:r>
              <w:rPr>
                <w:rFonts w:hint="eastAsia" w:ascii="宋体" w:hAnsi="宋体" w:eastAsia="宋体" w:cs="宋体"/>
                <w:b w:val="0"/>
                <w:bCs/>
                <w:color w:val="auto"/>
                <w:sz w:val="24"/>
                <w:highlight w:val="none"/>
                <w:lang w:eastAsia="zh-CN"/>
              </w:rPr>
              <w:t>文件</w:t>
            </w:r>
            <w:r>
              <w:rPr>
                <w:rFonts w:hint="eastAsia" w:ascii="宋体" w:hAnsi="宋体" w:eastAsia="宋体" w:cs="宋体"/>
                <w:b w:val="0"/>
                <w:bCs/>
                <w:color w:val="auto"/>
                <w:sz w:val="24"/>
                <w:highlight w:val="none"/>
              </w:rPr>
              <w:t>的</w:t>
            </w:r>
            <w:r>
              <w:rPr>
                <w:rFonts w:hint="eastAsia" w:ascii="宋体" w:hAnsi="宋体" w:eastAsia="宋体" w:cs="宋体"/>
                <w:b w:val="0"/>
                <w:bCs/>
                <w:color w:val="auto"/>
                <w:sz w:val="24"/>
                <w:highlight w:val="none"/>
                <w:lang w:val="en-US" w:eastAsia="zh-CN"/>
              </w:rPr>
              <w:t>要求</w:t>
            </w:r>
          </w:p>
        </w:tc>
        <w:tc>
          <w:tcPr>
            <w:tcW w:w="880" w:type="pct"/>
            <w:noWrap w:val="0"/>
            <w:vAlign w:val="center"/>
          </w:tcPr>
          <w:p w14:paraId="7ADB1224">
            <w:pPr>
              <w:jc w:val="center"/>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eastAsia="zh-CN"/>
              </w:rPr>
              <w:t>响应文件</w:t>
            </w:r>
            <w:r>
              <w:rPr>
                <w:rFonts w:hint="eastAsia" w:ascii="宋体" w:hAnsi="宋体" w:eastAsia="宋体" w:cs="宋体"/>
                <w:b w:val="0"/>
                <w:bCs/>
                <w:color w:val="auto"/>
                <w:sz w:val="24"/>
                <w:highlight w:val="none"/>
              </w:rPr>
              <w:t>的</w:t>
            </w:r>
            <w:r>
              <w:rPr>
                <w:rFonts w:hint="eastAsia" w:ascii="宋体" w:hAnsi="宋体" w:eastAsia="宋体" w:cs="宋体"/>
                <w:b w:val="0"/>
                <w:bCs/>
                <w:color w:val="auto"/>
                <w:sz w:val="24"/>
                <w:highlight w:val="none"/>
                <w:lang w:val="en-US" w:eastAsia="zh-CN"/>
              </w:rPr>
              <w:t>响应</w:t>
            </w:r>
          </w:p>
        </w:tc>
        <w:tc>
          <w:tcPr>
            <w:tcW w:w="619" w:type="pct"/>
            <w:noWrap w:val="0"/>
            <w:vAlign w:val="center"/>
          </w:tcPr>
          <w:p w14:paraId="21B612C3">
            <w:pPr>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偏离</w:t>
            </w:r>
          </w:p>
        </w:tc>
        <w:tc>
          <w:tcPr>
            <w:tcW w:w="607" w:type="pct"/>
            <w:noWrap w:val="0"/>
            <w:vAlign w:val="center"/>
          </w:tcPr>
          <w:p w14:paraId="76E12D3B">
            <w:pPr>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说明</w:t>
            </w:r>
          </w:p>
        </w:tc>
      </w:tr>
      <w:tr w14:paraId="03FB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23" w:type="pct"/>
            <w:noWrap w:val="0"/>
            <w:vAlign w:val="top"/>
          </w:tcPr>
          <w:p w14:paraId="5C08AF8C">
            <w:pPr>
              <w:rPr>
                <w:rFonts w:hint="eastAsia" w:ascii="宋体" w:hAnsi="宋体" w:eastAsia="宋体" w:cs="宋体"/>
                <w:b w:val="0"/>
                <w:bCs/>
                <w:color w:val="auto"/>
                <w:sz w:val="24"/>
                <w:highlight w:val="none"/>
              </w:rPr>
            </w:pPr>
          </w:p>
        </w:tc>
        <w:tc>
          <w:tcPr>
            <w:tcW w:w="623" w:type="pct"/>
            <w:noWrap w:val="0"/>
            <w:vAlign w:val="top"/>
          </w:tcPr>
          <w:p w14:paraId="759B998C">
            <w:pPr>
              <w:rPr>
                <w:rFonts w:hint="eastAsia" w:ascii="宋体" w:hAnsi="宋体" w:eastAsia="宋体" w:cs="宋体"/>
                <w:b w:val="0"/>
                <w:bCs/>
                <w:color w:val="auto"/>
                <w:sz w:val="24"/>
                <w:highlight w:val="none"/>
              </w:rPr>
            </w:pPr>
          </w:p>
        </w:tc>
        <w:tc>
          <w:tcPr>
            <w:tcW w:w="721" w:type="pct"/>
            <w:noWrap w:val="0"/>
            <w:vAlign w:val="top"/>
          </w:tcPr>
          <w:p w14:paraId="21DB6324">
            <w:pPr>
              <w:rPr>
                <w:rFonts w:hint="eastAsia" w:ascii="宋体" w:hAnsi="宋体" w:eastAsia="宋体" w:cs="宋体"/>
                <w:b w:val="0"/>
                <w:bCs/>
                <w:color w:val="auto"/>
                <w:sz w:val="24"/>
                <w:highlight w:val="none"/>
              </w:rPr>
            </w:pPr>
          </w:p>
        </w:tc>
        <w:tc>
          <w:tcPr>
            <w:tcW w:w="924" w:type="pct"/>
            <w:noWrap w:val="0"/>
            <w:vAlign w:val="top"/>
          </w:tcPr>
          <w:p w14:paraId="1233DA11">
            <w:pPr>
              <w:rPr>
                <w:rFonts w:hint="eastAsia" w:ascii="宋体" w:hAnsi="宋体" w:eastAsia="宋体" w:cs="宋体"/>
                <w:b w:val="0"/>
                <w:bCs/>
                <w:color w:val="auto"/>
                <w:sz w:val="24"/>
                <w:highlight w:val="none"/>
              </w:rPr>
            </w:pPr>
          </w:p>
        </w:tc>
        <w:tc>
          <w:tcPr>
            <w:tcW w:w="880" w:type="pct"/>
            <w:noWrap w:val="0"/>
            <w:vAlign w:val="top"/>
          </w:tcPr>
          <w:p w14:paraId="6AA88E71">
            <w:pPr>
              <w:rPr>
                <w:rFonts w:hint="eastAsia" w:ascii="宋体" w:hAnsi="宋体" w:eastAsia="宋体" w:cs="宋体"/>
                <w:b w:val="0"/>
                <w:bCs/>
                <w:color w:val="auto"/>
                <w:sz w:val="24"/>
                <w:highlight w:val="none"/>
              </w:rPr>
            </w:pPr>
          </w:p>
        </w:tc>
        <w:tc>
          <w:tcPr>
            <w:tcW w:w="619" w:type="pct"/>
            <w:noWrap w:val="0"/>
            <w:vAlign w:val="top"/>
          </w:tcPr>
          <w:p w14:paraId="17511434">
            <w:pPr>
              <w:rPr>
                <w:rFonts w:hint="eastAsia" w:ascii="宋体" w:hAnsi="宋体" w:eastAsia="宋体" w:cs="宋体"/>
                <w:b w:val="0"/>
                <w:bCs/>
                <w:color w:val="auto"/>
                <w:sz w:val="24"/>
                <w:highlight w:val="none"/>
              </w:rPr>
            </w:pPr>
          </w:p>
        </w:tc>
        <w:tc>
          <w:tcPr>
            <w:tcW w:w="607" w:type="pct"/>
            <w:noWrap w:val="0"/>
            <w:vAlign w:val="top"/>
          </w:tcPr>
          <w:p w14:paraId="00DF1AE0">
            <w:pPr>
              <w:rPr>
                <w:rFonts w:hint="eastAsia" w:ascii="宋体" w:hAnsi="宋体" w:eastAsia="宋体" w:cs="宋体"/>
                <w:b w:val="0"/>
                <w:bCs/>
                <w:color w:val="auto"/>
                <w:sz w:val="24"/>
                <w:highlight w:val="none"/>
              </w:rPr>
            </w:pPr>
          </w:p>
        </w:tc>
      </w:tr>
      <w:tr w14:paraId="1E93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23" w:type="pct"/>
            <w:noWrap w:val="0"/>
            <w:vAlign w:val="top"/>
          </w:tcPr>
          <w:p w14:paraId="49170D3F">
            <w:pPr>
              <w:rPr>
                <w:rFonts w:hint="eastAsia" w:ascii="宋体" w:hAnsi="宋体" w:eastAsia="宋体" w:cs="宋体"/>
                <w:b w:val="0"/>
                <w:bCs/>
                <w:color w:val="auto"/>
                <w:sz w:val="24"/>
                <w:highlight w:val="none"/>
              </w:rPr>
            </w:pPr>
          </w:p>
        </w:tc>
        <w:tc>
          <w:tcPr>
            <w:tcW w:w="623" w:type="pct"/>
            <w:noWrap w:val="0"/>
            <w:vAlign w:val="top"/>
          </w:tcPr>
          <w:p w14:paraId="4ECA0303">
            <w:pPr>
              <w:rPr>
                <w:rFonts w:hint="eastAsia" w:ascii="宋体" w:hAnsi="宋体" w:eastAsia="宋体" w:cs="宋体"/>
                <w:b w:val="0"/>
                <w:bCs/>
                <w:color w:val="auto"/>
                <w:sz w:val="24"/>
                <w:highlight w:val="none"/>
              </w:rPr>
            </w:pPr>
          </w:p>
        </w:tc>
        <w:tc>
          <w:tcPr>
            <w:tcW w:w="721" w:type="pct"/>
            <w:noWrap w:val="0"/>
            <w:vAlign w:val="top"/>
          </w:tcPr>
          <w:p w14:paraId="5F3E924C">
            <w:pPr>
              <w:rPr>
                <w:rFonts w:hint="eastAsia" w:ascii="宋体" w:hAnsi="宋体" w:eastAsia="宋体" w:cs="宋体"/>
                <w:b w:val="0"/>
                <w:bCs/>
                <w:color w:val="auto"/>
                <w:sz w:val="24"/>
                <w:highlight w:val="none"/>
              </w:rPr>
            </w:pPr>
          </w:p>
        </w:tc>
        <w:tc>
          <w:tcPr>
            <w:tcW w:w="924" w:type="pct"/>
            <w:noWrap w:val="0"/>
            <w:vAlign w:val="top"/>
          </w:tcPr>
          <w:p w14:paraId="111646D0">
            <w:pPr>
              <w:rPr>
                <w:rFonts w:hint="eastAsia" w:ascii="宋体" w:hAnsi="宋体" w:eastAsia="宋体" w:cs="宋体"/>
                <w:b w:val="0"/>
                <w:bCs/>
                <w:color w:val="auto"/>
                <w:sz w:val="24"/>
                <w:highlight w:val="none"/>
              </w:rPr>
            </w:pPr>
          </w:p>
        </w:tc>
        <w:tc>
          <w:tcPr>
            <w:tcW w:w="880" w:type="pct"/>
            <w:noWrap w:val="0"/>
            <w:vAlign w:val="top"/>
          </w:tcPr>
          <w:p w14:paraId="1349A639">
            <w:pPr>
              <w:rPr>
                <w:rFonts w:hint="eastAsia" w:ascii="宋体" w:hAnsi="宋体" w:eastAsia="宋体" w:cs="宋体"/>
                <w:b w:val="0"/>
                <w:bCs/>
                <w:color w:val="auto"/>
                <w:sz w:val="24"/>
                <w:highlight w:val="none"/>
              </w:rPr>
            </w:pPr>
          </w:p>
        </w:tc>
        <w:tc>
          <w:tcPr>
            <w:tcW w:w="619" w:type="pct"/>
            <w:noWrap w:val="0"/>
            <w:vAlign w:val="top"/>
          </w:tcPr>
          <w:p w14:paraId="469290C8">
            <w:pPr>
              <w:rPr>
                <w:rFonts w:hint="eastAsia" w:ascii="宋体" w:hAnsi="宋体" w:eastAsia="宋体" w:cs="宋体"/>
                <w:b w:val="0"/>
                <w:bCs/>
                <w:color w:val="auto"/>
                <w:sz w:val="24"/>
                <w:highlight w:val="none"/>
              </w:rPr>
            </w:pPr>
          </w:p>
        </w:tc>
        <w:tc>
          <w:tcPr>
            <w:tcW w:w="607" w:type="pct"/>
            <w:noWrap w:val="0"/>
            <w:vAlign w:val="top"/>
          </w:tcPr>
          <w:p w14:paraId="20ABE7D6">
            <w:pPr>
              <w:rPr>
                <w:rFonts w:hint="eastAsia" w:ascii="宋体" w:hAnsi="宋体" w:eastAsia="宋体" w:cs="宋体"/>
                <w:b w:val="0"/>
                <w:bCs/>
                <w:color w:val="auto"/>
                <w:sz w:val="24"/>
                <w:highlight w:val="none"/>
              </w:rPr>
            </w:pPr>
          </w:p>
        </w:tc>
      </w:tr>
      <w:tr w14:paraId="72E1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23" w:type="pct"/>
            <w:noWrap w:val="0"/>
            <w:vAlign w:val="top"/>
          </w:tcPr>
          <w:p w14:paraId="4FC892C8">
            <w:pPr>
              <w:rPr>
                <w:rFonts w:hint="eastAsia" w:ascii="宋体" w:hAnsi="宋体" w:eastAsia="宋体" w:cs="宋体"/>
                <w:b w:val="0"/>
                <w:bCs/>
                <w:color w:val="auto"/>
                <w:sz w:val="24"/>
                <w:highlight w:val="none"/>
              </w:rPr>
            </w:pPr>
          </w:p>
        </w:tc>
        <w:tc>
          <w:tcPr>
            <w:tcW w:w="623" w:type="pct"/>
            <w:noWrap w:val="0"/>
            <w:vAlign w:val="top"/>
          </w:tcPr>
          <w:p w14:paraId="340C8D77">
            <w:pPr>
              <w:rPr>
                <w:rFonts w:hint="eastAsia" w:ascii="宋体" w:hAnsi="宋体" w:eastAsia="宋体" w:cs="宋体"/>
                <w:b w:val="0"/>
                <w:bCs/>
                <w:color w:val="auto"/>
                <w:sz w:val="24"/>
                <w:highlight w:val="none"/>
              </w:rPr>
            </w:pPr>
          </w:p>
        </w:tc>
        <w:tc>
          <w:tcPr>
            <w:tcW w:w="721" w:type="pct"/>
            <w:noWrap w:val="0"/>
            <w:vAlign w:val="top"/>
          </w:tcPr>
          <w:p w14:paraId="37550B34">
            <w:pPr>
              <w:rPr>
                <w:rFonts w:hint="eastAsia" w:ascii="宋体" w:hAnsi="宋体" w:eastAsia="宋体" w:cs="宋体"/>
                <w:b w:val="0"/>
                <w:bCs/>
                <w:color w:val="auto"/>
                <w:sz w:val="24"/>
                <w:highlight w:val="none"/>
              </w:rPr>
            </w:pPr>
          </w:p>
        </w:tc>
        <w:tc>
          <w:tcPr>
            <w:tcW w:w="924" w:type="pct"/>
            <w:noWrap w:val="0"/>
            <w:vAlign w:val="top"/>
          </w:tcPr>
          <w:p w14:paraId="35171589">
            <w:pPr>
              <w:rPr>
                <w:rFonts w:hint="eastAsia" w:ascii="宋体" w:hAnsi="宋体" w:eastAsia="宋体" w:cs="宋体"/>
                <w:b w:val="0"/>
                <w:bCs/>
                <w:color w:val="auto"/>
                <w:sz w:val="24"/>
                <w:highlight w:val="none"/>
              </w:rPr>
            </w:pPr>
          </w:p>
        </w:tc>
        <w:tc>
          <w:tcPr>
            <w:tcW w:w="880" w:type="pct"/>
            <w:noWrap w:val="0"/>
            <w:vAlign w:val="top"/>
          </w:tcPr>
          <w:p w14:paraId="5C8BD3A6">
            <w:pPr>
              <w:rPr>
                <w:rFonts w:hint="eastAsia" w:ascii="宋体" w:hAnsi="宋体" w:eastAsia="宋体" w:cs="宋体"/>
                <w:b w:val="0"/>
                <w:bCs/>
                <w:color w:val="auto"/>
                <w:sz w:val="24"/>
                <w:highlight w:val="none"/>
              </w:rPr>
            </w:pPr>
          </w:p>
        </w:tc>
        <w:tc>
          <w:tcPr>
            <w:tcW w:w="619" w:type="pct"/>
            <w:noWrap w:val="0"/>
            <w:vAlign w:val="top"/>
          </w:tcPr>
          <w:p w14:paraId="36514A32">
            <w:pPr>
              <w:rPr>
                <w:rFonts w:hint="eastAsia" w:ascii="宋体" w:hAnsi="宋体" w:eastAsia="宋体" w:cs="宋体"/>
                <w:b w:val="0"/>
                <w:bCs/>
                <w:color w:val="auto"/>
                <w:sz w:val="24"/>
                <w:highlight w:val="none"/>
              </w:rPr>
            </w:pPr>
          </w:p>
        </w:tc>
        <w:tc>
          <w:tcPr>
            <w:tcW w:w="607" w:type="pct"/>
            <w:noWrap w:val="0"/>
            <w:vAlign w:val="top"/>
          </w:tcPr>
          <w:p w14:paraId="06B8D7E9">
            <w:pPr>
              <w:rPr>
                <w:rFonts w:hint="eastAsia" w:ascii="宋体" w:hAnsi="宋体" w:eastAsia="宋体" w:cs="宋体"/>
                <w:b w:val="0"/>
                <w:bCs/>
                <w:color w:val="auto"/>
                <w:sz w:val="24"/>
                <w:highlight w:val="none"/>
              </w:rPr>
            </w:pPr>
          </w:p>
        </w:tc>
      </w:tr>
      <w:tr w14:paraId="02CE7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23" w:type="pct"/>
            <w:noWrap w:val="0"/>
            <w:vAlign w:val="top"/>
          </w:tcPr>
          <w:p w14:paraId="40C6250E">
            <w:pPr>
              <w:rPr>
                <w:rFonts w:hint="eastAsia" w:ascii="宋体" w:hAnsi="宋体" w:eastAsia="宋体" w:cs="宋体"/>
                <w:b w:val="0"/>
                <w:bCs/>
                <w:color w:val="auto"/>
                <w:sz w:val="24"/>
                <w:highlight w:val="none"/>
              </w:rPr>
            </w:pPr>
          </w:p>
        </w:tc>
        <w:tc>
          <w:tcPr>
            <w:tcW w:w="623" w:type="pct"/>
            <w:noWrap w:val="0"/>
            <w:vAlign w:val="top"/>
          </w:tcPr>
          <w:p w14:paraId="261CDEDE">
            <w:pPr>
              <w:rPr>
                <w:rFonts w:hint="eastAsia" w:ascii="宋体" w:hAnsi="宋体" w:eastAsia="宋体" w:cs="宋体"/>
                <w:b w:val="0"/>
                <w:bCs/>
                <w:color w:val="auto"/>
                <w:sz w:val="24"/>
                <w:highlight w:val="none"/>
              </w:rPr>
            </w:pPr>
          </w:p>
        </w:tc>
        <w:tc>
          <w:tcPr>
            <w:tcW w:w="721" w:type="pct"/>
            <w:noWrap w:val="0"/>
            <w:vAlign w:val="top"/>
          </w:tcPr>
          <w:p w14:paraId="7C492E8B">
            <w:pPr>
              <w:rPr>
                <w:rFonts w:hint="eastAsia" w:ascii="宋体" w:hAnsi="宋体" w:eastAsia="宋体" w:cs="宋体"/>
                <w:b w:val="0"/>
                <w:bCs/>
                <w:color w:val="auto"/>
                <w:sz w:val="24"/>
                <w:highlight w:val="none"/>
              </w:rPr>
            </w:pPr>
          </w:p>
        </w:tc>
        <w:tc>
          <w:tcPr>
            <w:tcW w:w="924" w:type="pct"/>
            <w:noWrap w:val="0"/>
            <w:vAlign w:val="top"/>
          </w:tcPr>
          <w:p w14:paraId="74126F28">
            <w:pPr>
              <w:rPr>
                <w:rFonts w:hint="eastAsia" w:ascii="宋体" w:hAnsi="宋体" w:eastAsia="宋体" w:cs="宋体"/>
                <w:b w:val="0"/>
                <w:bCs/>
                <w:color w:val="auto"/>
                <w:sz w:val="24"/>
                <w:highlight w:val="none"/>
              </w:rPr>
            </w:pPr>
          </w:p>
        </w:tc>
        <w:tc>
          <w:tcPr>
            <w:tcW w:w="880" w:type="pct"/>
            <w:noWrap w:val="0"/>
            <w:vAlign w:val="top"/>
          </w:tcPr>
          <w:p w14:paraId="0A033EF9">
            <w:pPr>
              <w:rPr>
                <w:rFonts w:hint="eastAsia" w:ascii="宋体" w:hAnsi="宋体" w:eastAsia="宋体" w:cs="宋体"/>
                <w:b w:val="0"/>
                <w:bCs/>
                <w:color w:val="auto"/>
                <w:sz w:val="24"/>
                <w:highlight w:val="none"/>
              </w:rPr>
            </w:pPr>
          </w:p>
        </w:tc>
        <w:tc>
          <w:tcPr>
            <w:tcW w:w="619" w:type="pct"/>
            <w:noWrap w:val="0"/>
            <w:vAlign w:val="top"/>
          </w:tcPr>
          <w:p w14:paraId="4998CC9F">
            <w:pPr>
              <w:rPr>
                <w:rFonts w:hint="eastAsia" w:ascii="宋体" w:hAnsi="宋体" w:eastAsia="宋体" w:cs="宋体"/>
                <w:b w:val="0"/>
                <w:bCs/>
                <w:color w:val="auto"/>
                <w:sz w:val="24"/>
                <w:highlight w:val="none"/>
              </w:rPr>
            </w:pPr>
          </w:p>
        </w:tc>
        <w:tc>
          <w:tcPr>
            <w:tcW w:w="607" w:type="pct"/>
            <w:noWrap w:val="0"/>
            <w:vAlign w:val="top"/>
          </w:tcPr>
          <w:p w14:paraId="2A3381EF">
            <w:pPr>
              <w:rPr>
                <w:rFonts w:hint="eastAsia" w:ascii="宋体" w:hAnsi="宋体" w:eastAsia="宋体" w:cs="宋体"/>
                <w:b w:val="0"/>
                <w:bCs/>
                <w:color w:val="auto"/>
                <w:sz w:val="24"/>
                <w:highlight w:val="none"/>
              </w:rPr>
            </w:pPr>
          </w:p>
        </w:tc>
      </w:tr>
      <w:tr w14:paraId="51A0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23" w:type="pct"/>
            <w:noWrap w:val="0"/>
            <w:vAlign w:val="top"/>
          </w:tcPr>
          <w:p w14:paraId="650A1913">
            <w:pPr>
              <w:rPr>
                <w:rFonts w:hint="eastAsia" w:ascii="宋体" w:hAnsi="宋体" w:eastAsia="宋体" w:cs="宋体"/>
                <w:b w:val="0"/>
                <w:bCs/>
                <w:color w:val="auto"/>
                <w:sz w:val="24"/>
                <w:highlight w:val="none"/>
              </w:rPr>
            </w:pPr>
          </w:p>
        </w:tc>
        <w:tc>
          <w:tcPr>
            <w:tcW w:w="623" w:type="pct"/>
            <w:noWrap w:val="0"/>
            <w:vAlign w:val="top"/>
          </w:tcPr>
          <w:p w14:paraId="1DF00FCD">
            <w:pPr>
              <w:rPr>
                <w:rFonts w:hint="eastAsia" w:ascii="宋体" w:hAnsi="宋体" w:eastAsia="宋体" w:cs="宋体"/>
                <w:b w:val="0"/>
                <w:bCs/>
                <w:color w:val="auto"/>
                <w:sz w:val="24"/>
                <w:highlight w:val="none"/>
              </w:rPr>
            </w:pPr>
          </w:p>
        </w:tc>
        <w:tc>
          <w:tcPr>
            <w:tcW w:w="721" w:type="pct"/>
            <w:noWrap w:val="0"/>
            <w:vAlign w:val="top"/>
          </w:tcPr>
          <w:p w14:paraId="4FFABEFF">
            <w:pPr>
              <w:rPr>
                <w:rFonts w:hint="eastAsia" w:ascii="宋体" w:hAnsi="宋体" w:eastAsia="宋体" w:cs="宋体"/>
                <w:b w:val="0"/>
                <w:bCs/>
                <w:color w:val="auto"/>
                <w:sz w:val="24"/>
                <w:highlight w:val="none"/>
              </w:rPr>
            </w:pPr>
          </w:p>
        </w:tc>
        <w:tc>
          <w:tcPr>
            <w:tcW w:w="924" w:type="pct"/>
            <w:noWrap w:val="0"/>
            <w:vAlign w:val="top"/>
          </w:tcPr>
          <w:p w14:paraId="5D0754DF">
            <w:pPr>
              <w:rPr>
                <w:rFonts w:hint="eastAsia" w:ascii="宋体" w:hAnsi="宋体" w:eastAsia="宋体" w:cs="宋体"/>
                <w:b w:val="0"/>
                <w:bCs/>
                <w:color w:val="auto"/>
                <w:sz w:val="24"/>
                <w:highlight w:val="none"/>
              </w:rPr>
            </w:pPr>
          </w:p>
        </w:tc>
        <w:tc>
          <w:tcPr>
            <w:tcW w:w="880" w:type="pct"/>
            <w:noWrap w:val="0"/>
            <w:vAlign w:val="top"/>
          </w:tcPr>
          <w:p w14:paraId="5AB32110">
            <w:pPr>
              <w:rPr>
                <w:rFonts w:hint="eastAsia" w:ascii="宋体" w:hAnsi="宋体" w:eastAsia="宋体" w:cs="宋体"/>
                <w:b w:val="0"/>
                <w:bCs/>
                <w:color w:val="auto"/>
                <w:sz w:val="24"/>
                <w:highlight w:val="none"/>
              </w:rPr>
            </w:pPr>
          </w:p>
        </w:tc>
        <w:tc>
          <w:tcPr>
            <w:tcW w:w="619" w:type="pct"/>
            <w:noWrap w:val="0"/>
            <w:vAlign w:val="top"/>
          </w:tcPr>
          <w:p w14:paraId="33CDAE92">
            <w:pPr>
              <w:rPr>
                <w:rFonts w:hint="eastAsia" w:ascii="宋体" w:hAnsi="宋体" w:eastAsia="宋体" w:cs="宋体"/>
                <w:b w:val="0"/>
                <w:bCs/>
                <w:color w:val="auto"/>
                <w:sz w:val="24"/>
                <w:highlight w:val="none"/>
              </w:rPr>
            </w:pPr>
          </w:p>
        </w:tc>
        <w:tc>
          <w:tcPr>
            <w:tcW w:w="607" w:type="pct"/>
            <w:noWrap w:val="0"/>
            <w:vAlign w:val="top"/>
          </w:tcPr>
          <w:p w14:paraId="349055CB">
            <w:pPr>
              <w:rPr>
                <w:rFonts w:hint="eastAsia" w:ascii="宋体" w:hAnsi="宋体" w:eastAsia="宋体" w:cs="宋体"/>
                <w:b w:val="0"/>
                <w:bCs/>
                <w:color w:val="auto"/>
                <w:sz w:val="24"/>
                <w:highlight w:val="none"/>
              </w:rPr>
            </w:pPr>
          </w:p>
        </w:tc>
      </w:tr>
    </w:tbl>
    <w:p w14:paraId="43ECA775">
      <w:pPr>
        <w:spacing w:line="440" w:lineRule="exact"/>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备注：</w:t>
      </w:r>
    </w:p>
    <w:p w14:paraId="11D59A7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val="0"/>
          <w:bCs/>
          <w:color w:val="auto"/>
          <w:sz w:val="24"/>
          <w:highlight w:val="none"/>
          <w:lang w:eastAsia="zh-CN"/>
        </w:rPr>
      </w:pPr>
      <w:r>
        <w:rPr>
          <w:rFonts w:hint="eastAsia" w:ascii="宋体" w:hAnsi="宋体" w:cs="宋体"/>
          <w:b w:val="0"/>
          <w:bCs/>
          <w:color w:val="auto"/>
          <w:sz w:val="24"/>
          <w:highlight w:val="none"/>
          <w:lang w:eastAsia="zh-CN"/>
        </w:rPr>
        <w:t>投标人</w:t>
      </w:r>
      <w:r>
        <w:rPr>
          <w:rFonts w:hint="eastAsia" w:ascii="宋体" w:hAnsi="宋体" w:eastAsia="宋体" w:cs="宋体"/>
          <w:b w:val="0"/>
          <w:bCs/>
          <w:color w:val="auto"/>
          <w:sz w:val="24"/>
          <w:highlight w:val="none"/>
        </w:rPr>
        <w:t>应根据其提供的服务，对照</w:t>
      </w:r>
      <w:r>
        <w:rPr>
          <w:rFonts w:hint="eastAsia" w:ascii="宋体" w:hAnsi="宋体" w:cs="宋体"/>
          <w:b w:val="0"/>
          <w:bCs/>
          <w:color w:val="auto"/>
          <w:sz w:val="24"/>
          <w:highlight w:val="none"/>
          <w:lang w:eastAsia="zh-CN"/>
        </w:rPr>
        <w:t>招标</w:t>
      </w:r>
      <w:r>
        <w:rPr>
          <w:rFonts w:hint="eastAsia" w:ascii="宋体" w:hAnsi="宋体" w:eastAsia="宋体" w:cs="宋体"/>
          <w:b w:val="0"/>
          <w:bCs/>
          <w:color w:val="auto"/>
          <w:sz w:val="24"/>
          <w:highlight w:val="none"/>
          <w:lang w:eastAsia="zh-CN"/>
        </w:rPr>
        <w:t>文件</w:t>
      </w:r>
      <w:r>
        <w:rPr>
          <w:rFonts w:hint="eastAsia" w:ascii="宋体" w:hAnsi="宋体" w:eastAsia="宋体" w:cs="宋体"/>
          <w:b w:val="0"/>
          <w:bCs/>
          <w:color w:val="auto"/>
          <w:sz w:val="24"/>
          <w:highlight w:val="none"/>
        </w:rPr>
        <w:t>“第四章</w:t>
      </w:r>
      <w:r>
        <w:rPr>
          <w:rFonts w:hint="eastAsia" w:ascii="宋体" w:hAnsi="宋体" w:cs="宋体"/>
          <w:b w:val="0"/>
          <w:bCs/>
          <w:color w:val="auto"/>
          <w:sz w:val="24"/>
          <w:highlight w:val="none"/>
          <w:lang w:val="en-US" w:eastAsia="zh-CN"/>
        </w:rPr>
        <w:t xml:space="preserve"> </w:t>
      </w:r>
      <w:r>
        <w:rPr>
          <w:rFonts w:hint="eastAsia" w:ascii="宋体" w:hAnsi="宋体" w:cs="宋体"/>
          <w:b w:val="0"/>
          <w:bCs/>
          <w:color w:val="auto"/>
          <w:sz w:val="24"/>
          <w:highlight w:val="none"/>
          <w:lang w:eastAsia="zh-CN"/>
        </w:rPr>
        <w:t>项目服务需求</w:t>
      </w:r>
      <w:r>
        <w:rPr>
          <w:rFonts w:hint="eastAsia" w:ascii="宋体" w:hAnsi="宋体" w:eastAsia="宋体" w:cs="宋体"/>
          <w:b w:val="0"/>
          <w:bCs/>
          <w:color w:val="auto"/>
          <w:sz w:val="24"/>
          <w:highlight w:val="none"/>
        </w:rPr>
        <w:t>”中的条款号逐项填写，“</w:t>
      </w:r>
      <w:r>
        <w:rPr>
          <w:rFonts w:hint="eastAsia" w:ascii="宋体" w:hAnsi="宋体" w:eastAsia="宋体" w:cs="宋体"/>
          <w:b w:val="0"/>
          <w:bCs/>
          <w:color w:val="auto"/>
          <w:sz w:val="24"/>
          <w:highlight w:val="none"/>
          <w:lang w:eastAsia="zh-CN"/>
        </w:rPr>
        <w:t>响应文件</w:t>
      </w:r>
      <w:r>
        <w:rPr>
          <w:rFonts w:hint="eastAsia" w:ascii="宋体" w:hAnsi="宋体" w:eastAsia="宋体" w:cs="宋体"/>
          <w:b w:val="0"/>
          <w:bCs/>
          <w:color w:val="auto"/>
          <w:sz w:val="24"/>
          <w:highlight w:val="none"/>
        </w:rPr>
        <w:t>的</w:t>
      </w:r>
      <w:r>
        <w:rPr>
          <w:rFonts w:hint="eastAsia" w:ascii="宋体" w:hAnsi="宋体" w:eastAsia="宋体" w:cs="宋体"/>
          <w:b w:val="0"/>
          <w:bCs/>
          <w:color w:val="auto"/>
          <w:sz w:val="24"/>
          <w:highlight w:val="none"/>
          <w:lang w:val="en-US" w:eastAsia="zh-CN"/>
        </w:rPr>
        <w:t>响应</w:t>
      </w:r>
      <w:r>
        <w:rPr>
          <w:rFonts w:hint="eastAsia" w:ascii="宋体" w:hAnsi="宋体" w:eastAsia="宋体" w:cs="宋体"/>
          <w:b w:val="0"/>
          <w:bCs/>
          <w:color w:val="auto"/>
          <w:sz w:val="24"/>
          <w:highlight w:val="none"/>
        </w:rPr>
        <w:t>”一栏应如实反映响应服务</w:t>
      </w:r>
      <w:r>
        <w:rPr>
          <w:rFonts w:hint="eastAsia" w:ascii="宋体" w:hAnsi="宋体" w:eastAsia="宋体" w:cs="宋体"/>
          <w:b w:val="0"/>
          <w:bCs/>
          <w:color w:val="auto"/>
          <w:sz w:val="24"/>
          <w:highlight w:val="none"/>
          <w:lang w:val="en-US" w:eastAsia="zh-CN"/>
        </w:rPr>
        <w:t>情况</w:t>
      </w:r>
      <w:r>
        <w:rPr>
          <w:rFonts w:hint="eastAsia" w:ascii="宋体" w:hAnsi="宋体" w:eastAsia="宋体" w:cs="宋体"/>
          <w:b w:val="0"/>
          <w:bCs/>
          <w:color w:val="auto"/>
          <w:sz w:val="24"/>
          <w:highlight w:val="none"/>
        </w:rPr>
        <w:t>，不得虚假响应，否则将视为未实质性响应</w:t>
      </w:r>
      <w:r>
        <w:rPr>
          <w:rFonts w:hint="eastAsia" w:ascii="宋体" w:hAnsi="宋体" w:cs="宋体"/>
          <w:b w:val="0"/>
          <w:bCs/>
          <w:color w:val="auto"/>
          <w:sz w:val="24"/>
          <w:highlight w:val="none"/>
          <w:lang w:val="en-US" w:eastAsia="zh-CN"/>
        </w:rPr>
        <w:t>招标</w:t>
      </w:r>
      <w:r>
        <w:rPr>
          <w:rFonts w:hint="eastAsia" w:ascii="宋体" w:hAnsi="宋体" w:eastAsia="宋体" w:cs="宋体"/>
          <w:b w:val="0"/>
          <w:bCs/>
          <w:color w:val="auto"/>
          <w:sz w:val="24"/>
          <w:highlight w:val="none"/>
          <w:lang w:eastAsia="zh-CN"/>
        </w:rPr>
        <w:t>文件</w:t>
      </w:r>
      <w:r>
        <w:rPr>
          <w:rFonts w:hint="eastAsia" w:ascii="宋体" w:hAnsi="宋体" w:eastAsia="宋体" w:cs="宋体"/>
          <w:b w:val="0"/>
          <w:bCs/>
          <w:color w:val="auto"/>
          <w:sz w:val="24"/>
          <w:highlight w:val="none"/>
        </w:rPr>
        <w:t>要求，</w:t>
      </w:r>
      <w:r>
        <w:rPr>
          <w:rFonts w:hint="eastAsia" w:ascii="宋体" w:hAnsi="宋体" w:eastAsia="宋体" w:cs="宋体"/>
          <w:b w:val="0"/>
          <w:bCs/>
          <w:color w:val="auto"/>
          <w:sz w:val="24"/>
          <w:highlight w:val="none"/>
          <w:lang w:val="en-US" w:eastAsia="zh-CN"/>
        </w:rPr>
        <w:t>响应</w:t>
      </w:r>
      <w:r>
        <w:rPr>
          <w:rFonts w:hint="eastAsia" w:ascii="宋体" w:hAnsi="宋体" w:eastAsia="宋体" w:cs="宋体"/>
          <w:b w:val="0"/>
          <w:bCs/>
          <w:color w:val="auto"/>
          <w:sz w:val="24"/>
          <w:highlight w:val="none"/>
        </w:rPr>
        <w:t>无效</w:t>
      </w:r>
      <w:r>
        <w:rPr>
          <w:rFonts w:hint="eastAsia" w:ascii="宋体" w:hAnsi="宋体" w:eastAsia="宋体" w:cs="宋体"/>
          <w:b w:val="0"/>
          <w:bCs/>
          <w:color w:val="auto"/>
          <w:sz w:val="24"/>
          <w:highlight w:val="none"/>
          <w:lang w:eastAsia="zh-CN"/>
        </w:rPr>
        <w:t>。</w:t>
      </w:r>
    </w:p>
    <w:p w14:paraId="0DB96874">
      <w:pPr>
        <w:spacing w:line="360" w:lineRule="atLeast"/>
        <w:rPr>
          <w:rFonts w:hint="eastAsia" w:ascii="宋体" w:hAnsi="宋体" w:eastAsia="宋体" w:cs="宋体"/>
          <w:color w:val="auto"/>
          <w:sz w:val="24"/>
          <w:szCs w:val="24"/>
          <w:highlight w:val="none"/>
        </w:rPr>
      </w:pPr>
    </w:p>
    <w:p w14:paraId="60D6B166">
      <w:pPr>
        <w:pStyle w:val="16"/>
        <w:spacing w:line="360" w:lineRule="atLeast"/>
        <w:ind w:left="0" w:leftChars="0"/>
        <w:jc w:val="center"/>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rPr>
        <w:t>投标人名称（盖章）：</w:t>
      </w:r>
    </w:p>
    <w:p w14:paraId="3ADD13E3">
      <w:pPr>
        <w:pStyle w:val="16"/>
        <w:spacing w:line="360" w:lineRule="atLeast"/>
        <w:ind w:left="0" w:leftChars="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授权人和被授权人（签字或盖章）：</w:t>
      </w:r>
    </w:p>
    <w:p w14:paraId="296CD3D1">
      <w:pPr>
        <w:spacing w:line="360" w:lineRule="atLeas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日期： 年 月 日</w:t>
      </w:r>
    </w:p>
    <w:p w14:paraId="04B572BE">
      <w:pPr>
        <w:numPr>
          <w:ilvl w:val="0"/>
          <w:numId w:val="0"/>
        </w:numPr>
        <w:jc w:val="center"/>
        <w:outlineLvl w:val="1"/>
        <w:rPr>
          <w:rFonts w:hint="eastAsia" w:ascii="宋体" w:hAnsi="宋体" w:eastAsia="宋体" w:cs="宋体"/>
          <w:b/>
          <w:bCs/>
          <w:color w:val="auto"/>
          <w:kern w:val="0"/>
          <w:sz w:val="24"/>
          <w:szCs w:val="24"/>
          <w:highlight w:val="none"/>
        </w:rPr>
      </w:pPr>
      <w:r>
        <w:rPr>
          <w:rFonts w:hint="eastAsia" w:ascii="宋体" w:hAnsi="宋体" w:eastAsia="宋体" w:cs="宋体"/>
          <w:color w:val="auto"/>
          <w:sz w:val="24"/>
          <w:szCs w:val="24"/>
          <w:highlight w:val="none"/>
        </w:rPr>
        <w:br w:type="page"/>
      </w:r>
      <w:bookmarkEnd w:id="142"/>
      <w:r>
        <w:rPr>
          <w:rFonts w:hint="eastAsia" w:ascii="宋体" w:hAnsi="宋体" w:cs="宋体"/>
          <w:b/>
          <w:bCs/>
          <w:color w:val="auto"/>
          <w:sz w:val="24"/>
          <w:szCs w:val="24"/>
          <w:highlight w:val="none"/>
          <w:lang w:val="en-US" w:eastAsia="zh-CN"/>
        </w:rPr>
        <w:t>六、</w:t>
      </w:r>
      <w:r>
        <w:rPr>
          <w:rFonts w:hint="eastAsia" w:ascii="宋体" w:hAnsi="宋体" w:eastAsia="宋体" w:cs="宋体"/>
          <w:b/>
          <w:bCs/>
          <w:color w:val="auto"/>
          <w:kern w:val="0"/>
          <w:sz w:val="24"/>
          <w:szCs w:val="24"/>
          <w:highlight w:val="none"/>
        </w:rPr>
        <w:t>拟配备人员情况</w:t>
      </w:r>
    </w:p>
    <w:p w14:paraId="2E72DB00">
      <w:pPr>
        <w:pStyle w:val="6"/>
        <w:numPr>
          <w:ilvl w:val="0"/>
          <w:numId w:val="0"/>
        </w:numPr>
        <w:rPr>
          <w:rFonts w:hint="eastAsia" w:ascii="宋体" w:hAnsi="宋体" w:eastAsia="宋体" w:cs="宋体"/>
          <w:color w:val="auto"/>
          <w:sz w:val="24"/>
          <w:szCs w:val="24"/>
          <w:highlight w:val="none"/>
        </w:rPr>
      </w:pPr>
    </w:p>
    <w:p w14:paraId="769E83DC">
      <w:pPr>
        <w:spacing w:line="400" w:lineRule="exact"/>
        <w:jc w:val="left"/>
        <w:rPr>
          <w:rFonts w:hint="eastAsia" w:ascii="宋体" w:hAnsi="宋体" w:cs="宋体"/>
          <w:color w:val="auto"/>
          <w:sz w:val="24"/>
          <w:highlight w:val="none"/>
        </w:rPr>
      </w:pPr>
      <w:r>
        <w:rPr>
          <w:rFonts w:hint="eastAsia" w:ascii="宋体" w:hAnsi="宋体" w:cs="宋体"/>
          <w:color w:val="auto"/>
          <w:sz w:val="24"/>
          <w:highlight w:val="none"/>
        </w:rPr>
        <w:t>1、项目负责人介绍应包括：姓名、性别、年龄、学历、参加工作时间等。</w:t>
      </w:r>
    </w:p>
    <w:p w14:paraId="1D2D7901">
      <w:pPr>
        <w:spacing w:line="400" w:lineRule="exact"/>
        <w:jc w:val="left"/>
        <w:rPr>
          <w:rFonts w:hint="eastAsia" w:ascii="宋体" w:hAnsi="宋体" w:cs="宋体"/>
          <w:color w:val="auto"/>
          <w:sz w:val="24"/>
          <w:highlight w:val="none"/>
        </w:rPr>
      </w:pPr>
      <w:r>
        <w:rPr>
          <w:rFonts w:hint="eastAsia" w:ascii="宋体" w:hAnsi="宋体" w:cs="宋体"/>
          <w:color w:val="auto"/>
          <w:sz w:val="24"/>
          <w:highlight w:val="none"/>
        </w:rPr>
        <w:t>2、项目负责人的类似业绩（按下表填写）</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72"/>
        <w:gridCol w:w="1470"/>
        <w:gridCol w:w="2099"/>
        <w:gridCol w:w="1152"/>
      </w:tblGrid>
      <w:tr w14:paraId="383D85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21" w:hRule="atLeast"/>
        </w:trPr>
        <w:tc>
          <w:tcPr>
            <w:tcW w:w="1472" w:type="dxa"/>
            <w:tcBorders>
              <w:top w:val="single" w:color="auto" w:sz="12" w:space="0"/>
              <w:left w:val="single" w:color="auto" w:sz="12" w:space="0"/>
              <w:bottom w:val="single" w:color="auto" w:sz="6" w:space="0"/>
              <w:right w:val="single" w:color="auto" w:sz="6" w:space="0"/>
            </w:tcBorders>
            <w:noWrap w:val="0"/>
            <w:vAlign w:val="center"/>
          </w:tcPr>
          <w:p w14:paraId="303E9C5D">
            <w:pPr>
              <w:spacing w:line="400" w:lineRule="exact"/>
              <w:jc w:val="left"/>
              <w:rPr>
                <w:rFonts w:hint="eastAsia" w:ascii="宋体" w:hAnsi="宋体" w:cs="宋体"/>
                <w:color w:val="auto"/>
                <w:sz w:val="24"/>
                <w:highlight w:val="none"/>
              </w:rPr>
            </w:pPr>
            <w:r>
              <w:rPr>
                <w:rFonts w:hint="eastAsia" w:ascii="宋体" w:hAnsi="宋体" w:cs="宋体"/>
                <w:color w:val="auto"/>
                <w:sz w:val="24"/>
                <w:highlight w:val="none"/>
              </w:rPr>
              <w:t>单位</w:t>
            </w:r>
          </w:p>
        </w:tc>
        <w:tc>
          <w:tcPr>
            <w:tcW w:w="1470" w:type="dxa"/>
            <w:tcBorders>
              <w:top w:val="single" w:color="auto" w:sz="12" w:space="0"/>
              <w:left w:val="single" w:color="auto" w:sz="6" w:space="0"/>
              <w:bottom w:val="single" w:color="auto" w:sz="6" w:space="0"/>
              <w:right w:val="single" w:color="auto" w:sz="6" w:space="0"/>
            </w:tcBorders>
            <w:noWrap w:val="0"/>
            <w:vAlign w:val="center"/>
          </w:tcPr>
          <w:p w14:paraId="7A14697D">
            <w:pPr>
              <w:spacing w:line="400" w:lineRule="exact"/>
              <w:jc w:val="left"/>
              <w:rPr>
                <w:rFonts w:hint="eastAsia" w:ascii="宋体" w:hAnsi="宋体" w:cs="宋体"/>
                <w:color w:val="auto"/>
                <w:sz w:val="24"/>
                <w:highlight w:val="none"/>
              </w:rPr>
            </w:pPr>
            <w:r>
              <w:rPr>
                <w:rFonts w:hint="eastAsia" w:ascii="宋体" w:hAnsi="宋体" w:cs="宋体"/>
                <w:color w:val="auto"/>
                <w:sz w:val="24"/>
                <w:highlight w:val="none"/>
              </w:rPr>
              <w:t>内容</w:t>
            </w:r>
          </w:p>
        </w:tc>
        <w:tc>
          <w:tcPr>
            <w:tcW w:w="2099" w:type="dxa"/>
            <w:tcBorders>
              <w:top w:val="single" w:color="auto" w:sz="12" w:space="0"/>
              <w:left w:val="single" w:color="auto" w:sz="6" w:space="0"/>
              <w:bottom w:val="single" w:color="auto" w:sz="6" w:space="0"/>
              <w:right w:val="single" w:color="auto" w:sz="6" w:space="0"/>
            </w:tcBorders>
            <w:noWrap w:val="0"/>
            <w:vAlign w:val="center"/>
          </w:tcPr>
          <w:p w14:paraId="23C89D27">
            <w:pPr>
              <w:spacing w:line="400" w:lineRule="exact"/>
              <w:jc w:val="left"/>
              <w:rPr>
                <w:rFonts w:hint="eastAsia" w:ascii="宋体" w:hAnsi="宋体" w:cs="宋体"/>
                <w:color w:val="auto"/>
                <w:sz w:val="24"/>
                <w:highlight w:val="none"/>
              </w:rPr>
            </w:pPr>
            <w:r>
              <w:rPr>
                <w:rFonts w:hint="eastAsia" w:ascii="宋体" w:hAnsi="宋体" w:cs="宋体"/>
                <w:color w:val="auto"/>
                <w:sz w:val="24"/>
                <w:highlight w:val="none"/>
              </w:rPr>
              <w:t>服务时间</w:t>
            </w:r>
          </w:p>
        </w:tc>
        <w:tc>
          <w:tcPr>
            <w:tcW w:w="1152" w:type="dxa"/>
            <w:tcBorders>
              <w:top w:val="single" w:color="auto" w:sz="12" w:space="0"/>
              <w:left w:val="single" w:color="auto" w:sz="4" w:space="0"/>
              <w:bottom w:val="single" w:color="auto" w:sz="6" w:space="0"/>
              <w:right w:val="single" w:color="auto" w:sz="12" w:space="0"/>
            </w:tcBorders>
            <w:noWrap w:val="0"/>
            <w:vAlign w:val="center"/>
          </w:tcPr>
          <w:p w14:paraId="33BB8DFA">
            <w:pPr>
              <w:spacing w:line="400" w:lineRule="exact"/>
              <w:jc w:val="left"/>
              <w:rPr>
                <w:rFonts w:hint="eastAsia" w:ascii="宋体" w:hAnsi="宋体" w:cs="宋体"/>
                <w:color w:val="auto"/>
                <w:sz w:val="24"/>
                <w:highlight w:val="none"/>
              </w:rPr>
            </w:pPr>
            <w:r>
              <w:rPr>
                <w:rFonts w:hint="eastAsia" w:ascii="宋体" w:hAnsi="宋体" w:cs="宋体"/>
                <w:color w:val="auto"/>
                <w:sz w:val="24"/>
                <w:highlight w:val="none"/>
              </w:rPr>
              <w:t>备注</w:t>
            </w:r>
          </w:p>
        </w:tc>
      </w:tr>
      <w:tr w14:paraId="39205A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6" w:hRule="atLeast"/>
        </w:trPr>
        <w:tc>
          <w:tcPr>
            <w:tcW w:w="1472" w:type="dxa"/>
            <w:tcBorders>
              <w:top w:val="single" w:color="auto" w:sz="6" w:space="0"/>
              <w:left w:val="single" w:color="auto" w:sz="12" w:space="0"/>
              <w:bottom w:val="single" w:color="auto" w:sz="12" w:space="0"/>
              <w:right w:val="single" w:color="auto" w:sz="6" w:space="0"/>
            </w:tcBorders>
            <w:noWrap w:val="0"/>
            <w:vAlign w:val="center"/>
          </w:tcPr>
          <w:p w14:paraId="7FBBE1E2">
            <w:pPr>
              <w:spacing w:line="400" w:lineRule="exact"/>
              <w:jc w:val="left"/>
              <w:rPr>
                <w:rFonts w:hint="eastAsia" w:ascii="宋体" w:hAnsi="宋体" w:cs="宋体"/>
                <w:color w:val="auto"/>
                <w:sz w:val="24"/>
                <w:highlight w:val="none"/>
              </w:rPr>
            </w:pPr>
          </w:p>
        </w:tc>
        <w:tc>
          <w:tcPr>
            <w:tcW w:w="1470" w:type="dxa"/>
            <w:tcBorders>
              <w:top w:val="single" w:color="auto" w:sz="6" w:space="0"/>
              <w:left w:val="single" w:color="auto" w:sz="6" w:space="0"/>
              <w:bottom w:val="single" w:color="auto" w:sz="12" w:space="0"/>
              <w:right w:val="single" w:color="auto" w:sz="6" w:space="0"/>
            </w:tcBorders>
            <w:noWrap w:val="0"/>
            <w:vAlign w:val="center"/>
          </w:tcPr>
          <w:p w14:paraId="08EA486A">
            <w:pPr>
              <w:spacing w:line="400" w:lineRule="exact"/>
              <w:jc w:val="left"/>
              <w:rPr>
                <w:rFonts w:hint="eastAsia" w:ascii="宋体" w:hAnsi="宋体" w:cs="宋体"/>
                <w:color w:val="auto"/>
                <w:sz w:val="24"/>
                <w:highlight w:val="none"/>
              </w:rPr>
            </w:pPr>
          </w:p>
        </w:tc>
        <w:tc>
          <w:tcPr>
            <w:tcW w:w="2099" w:type="dxa"/>
            <w:tcBorders>
              <w:top w:val="single" w:color="auto" w:sz="6" w:space="0"/>
              <w:left w:val="single" w:color="auto" w:sz="6" w:space="0"/>
              <w:bottom w:val="single" w:color="auto" w:sz="12" w:space="0"/>
              <w:right w:val="single" w:color="auto" w:sz="6" w:space="0"/>
            </w:tcBorders>
            <w:noWrap w:val="0"/>
            <w:vAlign w:val="center"/>
          </w:tcPr>
          <w:p w14:paraId="5B8256B2">
            <w:pPr>
              <w:spacing w:line="400" w:lineRule="exact"/>
              <w:jc w:val="left"/>
              <w:rPr>
                <w:rFonts w:hint="eastAsia" w:ascii="宋体" w:hAnsi="宋体" w:cs="宋体"/>
                <w:color w:val="auto"/>
                <w:sz w:val="24"/>
                <w:highlight w:val="none"/>
              </w:rPr>
            </w:pPr>
          </w:p>
        </w:tc>
        <w:tc>
          <w:tcPr>
            <w:tcW w:w="1152" w:type="dxa"/>
            <w:tcBorders>
              <w:top w:val="single" w:color="auto" w:sz="6" w:space="0"/>
              <w:left w:val="single" w:color="auto" w:sz="4" w:space="0"/>
              <w:bottom w:val="single" w:color="auto" w:sz="12" w:space="0"/>
              <w:right w:val="single" w:color="auto" w:sz="12" w:space="0"/>
            </w:tcBorders>
            <w:noWrap w:val="0"/>
            <w:vAlign w:val="center"/>
          </w:tcPr>
          <w:p w14:paraId="2E1BECCF">
            <w:pPr>
              <w:spacing w:line="400" w:lineRule="exact"/>
              <w:jc w:val="left"/>
              <w:rPr>
                <w:rFonts w:hint="eastAsia" w:ascii="宋体" w:hAnsi="宋体" w:cs="宋体"/>
                <w:color w:val="auto"/>
                <w:sz w:val="24"/>
                <w:highlight w:val="none"/>
              </w:rPr>
            </w:pPr>
          </w:p>
        </w:tc>
      </w:tr>
    </w:tbl>
    <w:p w14:paraId="3F31B187">
      <w:pPr>
        <w:spacing w:line="400" w:lineRule="exact"/>
        <w:jc w:val="left"/>
        <w:rPr>
          <w:rFonts w:hint="eastAsia" w:ascii="宋体" w:hAnsi="宋体" w:cs="宋体"/>
          <w:color w:val="auto"/>
          <w:sz w:val="24"/>
          <w:highlight w:val="none"/>
        </w:rPr>
      </w:pPr>
      <w:r>
        <w:rPr>
          <w:rFonts w:hint="eastAsia" w:ascii="宋体" w:hAnsi="宋体" w:cs="宋体"/>
          <w:color w:val="auto"/>
          <w:sz w:val="24"/>
          <w:highlight w:val="none"/>
        </w:rPr>
        <w:t>3、项目负责人简历格式自拟，后附身份证</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资格证书</w:t>
      </w:r>
      <w:r>
        <w:rPr>
          <w:rFonts w:hint="eastAsia" w:ascii="宋体" w:hAnsi="宋体" w:cs="宋体"/>
          <w:color w:val="auto"/>
          <w:sz w:val="24"/>
          <w:highlight w:val="none"/>
        </w:rPr>
        <w:t>、学历证书等彩色扫描件。</w:t>
      </w:r>
    </w:p>
    <w:p w14:paraId="09B1327F">
      <w:pPr>
        <w:autoSpaceDE w:val="0"/>
        <w:autoSpaceDN w:val="0"/>
        <w:adjustRightInd w:val="0"/>
        <w:rPr>
          <w:rFonts w:hint="eastAsia" w:ascii="宋体" w:hAnsi="宋体" w:cs="宋体"/>
          <w:bCs/>
          <w:color w:val="auto"/>
          <w:highlight w:val="none"/>
        </w:rPr>
      </w:pPr>
    </w:p>
    <w:p w14:paraId="3D138D9B">
      <w:pPr>
        <w:pStyle w:val="29"/>
        <w:ind w:firstLine="0"/>
        <w:rPr>
          <w:rFonts w:hint="eastAsia"/>
          <w:color w:val="auto"/>
          <w:highlight w:val="none"/>
        </w:rPr>
      </w:pPr>
    </w:p>
    <w:p w14:paraId="2F2E1C32">
      <w:pPr>
        <w:rPr>
          <w:rFonts w:hint="eastAsia"/>
          <w:color w:val="auto"/>
          <w:highlight w:val="none"/>
        </w:rPr>
      </w:pPr>
      <w:r>
        <w:rPr>
          <w:rFonts w:hint="eastAsia"/>
          <w:color w:val="auto"/>
          <w:highlight w:val="none"/>
        </w:rPr>
        <w:br w:type="page"/>
      </w:r>
      <w:r>
        <w:rPr>
          <w:rFonts w:hint="eastAsia"/>
          <w:color w:val="auto"/>
          <w:highlight w:val="none"/>
          <w:lang w:val="en-US" w:eastAsia="zh-CN"/>
        </w:rPr>
        <w:t>4</w:t>
      </w:r>
      <w:r>
        <w:rPr>
          <w:rFonts w:hint="eastAsia" w:ascii="宋体" w:hAnsi="宋体" w:cs="宋体"/>
          <w:color w:val="auto"/>
          <w:sz w:val="24"/>
          <w:highlight w:val="none"/>
        </w:rPr>
        <w:t>、项目配备人员</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910"/>
        <w:gridCol w:w="912"/>
        <w:gridCol w:w="912"/>
        <w:gridCol w:w="912"/>
        <w:gridCol w:w="1188"/>
        <w:gridCol w:w="835"/>
        <w:gridCol w:w="951"/>
        <w:gridCol w:w="841"/>
      </w:tblGrid>
      <w:tr w14:paraId="70128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58" w:type="dxa"/>
            <w:vMerge w:val="restart"/>
            <w:noWrap w:val="0"/>
            <w:vAlign w:val="center"/>
          </w:tcPr>
          <w:p w14:paraId="22A03F99">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类别</w:t>
            </w:r>
          </w:p>
        </w:tc>
        <w:tc>
          <w:tcPr>
            <w:tcW w:w="910" w:type="dxa"/>
            <w:vMerge w:val="restart"/>
            <w:noWrap w:val="0"/>
            <w:vAlign w:val="center"/>
          </w:tcPr>
          <w:p w14:paraId="4DDB7FFA">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姓名</w:t>
            </w:r>
          </w:p>
        </w:tc>
        <w:tc>
          <w:tcPr>
            <w:tcW w:w="912" w:type="dxa"/>
            <w:vMerge w:val="restart"/>
            <w:noWrap w:val="0"/>
            <w:vAlign w:val="center"/>
          </w:tcPr>
          <w:p w14:paraId="33EDB44A">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联系方式</w:t>
            </w:r>
          </w:p>
        </w:tc>
        <w:tc>
          <w:tcPr>
            <w:tcW w:w="912" w:type="dxa"/>
            <w:vMerge w:val="restart"/>
            <w:noWrap w:val="0"/>
            <w:vAlign w:val="center"/>
          </w:tcPr>
          <w:p w14:paraId="73FE283A">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职称或职务</w:t>
            </w:r>
          </w:p>
        </w:tc>
        <w:tc>
          <w:tcPr>
            <w:tcW w:w="912" w:type="dxa"/>
            <w:vMerge w:val="restart"/>
            <w:noWrap w:val="0"/>
            <w:vAlign w:val="center"/>
          </w:tcPr>
          <w:p w14:paraId="766F4718">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常住地</w:t>
            </w:r>
          </w:p>
        </w:tc>
        <w:tc>
          <w:tcPr>
            <w:tcW w:w="3815" w:type="dxa"/>
            <w:gridSpan w:val="4"/>
            <w:noWrap w:val="0"/>
            <w:vAlign w:val="center"/>
          </w:tcPr>
          <w:p w14:paraId="3F837055">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资格证明</w:t>
            </w:r>
          </w:p>
        </w:tc>
      </w:tr>
      <w:tr w14:paraId="5C8B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58" w:type="dxa"/>
            <w:vMerge w:val="continue"/>
            <w:noWrap w:val="0"/>
            <w:vAlign w:val="center"/>
          </w:tcPr>
          <w:p w14:paraId="6FE162E2">
            <w:pPr>
              <w:spacing w:line="400" w:lineRule="exact"/>
              <w:jc w:val="center"/>
              <w:rPr>
                <w:rFonts w:hint="eastAsia" w:ascii="宋体" w:hAnsi="宋体" w:cs="宋体"/>
                <w:color w:val="auto"/>
                <w:sz w:val="24"/>
                <w:highlight w:val="none"/>
              </w:rPr>
            </w:pPr>
          </w:p>
        </w:tc>
        <w:tc>
          <w:tcPr>
            <w:tcW w:w="910" w:type="dxa"/>
            <w:vMerge w:val="continue"/>
            <w:noWrap w:val="0"/>
            <w:vAlign w:val="center"/>
          </w:tcPr>
          <w:p w14:paraId="7FDFCB77">
            <w:pPr>
              <w:spacing w:line="400" w:lineRule="exact"/>
              <w:jc w:val="center"/>
              <w:rPr>
                <w:rFonts w:hint="eastAsia" w:ascii="宋体" w:hAnsi="宋体" w:cs="宋体"/>
                <w:color w:val="auto"/>
                <w:sz w:val="24"/>
                <w:highlight w:val="none"/>
              </w:rPr>
            </w:pPr>
          </w:p>
        </w:tc>
        <w:tc>
          <w:tcPr>
            <w:tcW w:w="912" w:type="dxa"/>
            <w:vMerge w:val="continue"/>
            <w:noWrap w:val="0"/>
            <w:vAlign w:val="center"/>
          </w:tcPr>
          <w:p w14:paraId="335A2071">
            <w:pPr>
              <w:spacing w:line="400" w:lineRule="exact"/>
              <w:jc w:val="center"/>
              <w:rPr>
                <w:rFonts w:hint="eastAsia" w:ascii="宋体" w:hAnsi="宋体" w:cs="宋体"/>
                <w:color w:val="auto"/>
                <w:sz w:val="24"/>
                <w:highlight w:val="none"/>
              </w:rPr>
            </w:pPr>
          </w:p>
        </w:tc>
        <w:tc>
          <w:tcPr>
            <w:tcW w:w="912" w:type="dxa"/>
            <w:vMerge w:val="continue"/>
            <w:noWrap w:val="0"/>
            <w:vAlign w:val="center"/>
          </w:tcPr>
          <w:p w14:paraId="1BFAD58F">
            <w:pPr>
              <w:spacing w:line="400" w:lineRule="exact"/>
              <w:jc w:val="center"/>
              <w:rPr>
                <w:rFonts w:hint="eastAsia" w:ascii="宋体" w:hAnsi="宋体" w:cs="宋体"/>
                <w:color w:val="auto"/>
                <w:sz w:val="24"/>
                <w:highlight w:val="none"/>
              </w:rPr>
            </w:pPr>
          </w:p>
        </w:tc>
        <w:tc>
          <w:tcPr>
            <w:tcW w:w="912" w:type="dxa"/>
            <w:vMerge w:val="continue"/>
            <w:noWrap w:val="0"/>
            <w:vAlign w:val="center"/>
          </w:tcPr>
          <w:p w14:paraId="343A3C99">
            <w:pPr>
              <w:spacing w:line="400" w:lineRule="exact"/>
              <w:jc w:val="center"/>
              <w:rPr>
                <w:rFonts w:hint="eastAsia" w:ascii="宋体" w:hAnsi="宋体" w:cs="宋体"/>
                <w:color w:val="auto"/>
                <w:sz w:val="24"/>
                <w:highlight w:val="none"/>
              </w:rPr>
            </w:pPr>
          </w:p>
        </w:tc>
        <w:tc>
          <w:tcPr>
            <w:tcW w:w="1188" w:type="dxa"/>
            <w:noWrap w:val="0"/>
            <w:vAlign w:val="center"/>
          </w:tcPr>
          <w:p w14:paraId="618359E5">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证书名称</w:t>
            </w:r>
          </w:p>
        </w:tc>
        <w:tc>
          <w:tcPr>
            <w:tcW w:w="835" w:type="dxa"/>
            <w:noWrap w:val="0"/>
            <w:vAlign w:val="center"/>
          </w:tcPr>
          <w:p w14:paraId="08995998">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级别</w:t>
            </w:r>
          </w:p>
        </w:tc>
        <w:tc>
          <w:tcPr>
            <w:tcW w:w="951" w:type="dxa"/>
            <w:noWrap w:val="0"/>
            <w:vAlign w:val="center"/>
          </w:tcPr>
          <w:p w14:paraId="572CD5A1">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证号</w:t>
            </w:r>
          </w:p>
        </w:tc>
        <w:tc>
          <w:tcPr>
            <w:tcW w:w="841" w:type="dxa"/>
            <w:noWrap w:val="0"/>
            <w:vAlign w:val="center"/>
          </w:tcPr>
          <w:p w14:paraId="563E6900">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专业</w:t>
            </w:r>
          </w:p>
        </w:tc>
      </w:tr>
      <w:tr w14:paraId="1F91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58" w:type="dxa"/>
            <w:vMerge w:val="restart"/>
            <w:noWrap w:val="0"/>
            <w:vAlign w:val="top"/>
          </w:tcPr>
          <w:p w14:paraId="638BF1DB">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管</w:t>
            </w:r>
          </w:p>
          <w:p w14:paraId="43ECFFF5">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理</w:t>
            </w:r>
          </w:p>
          <w:p w14:paraId="13C895BC">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人</w:t>
            </w:r>
          </w:p>
          <w:p w14:paraId="1833E7E4">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员</w:t>
            </w:r>
          </w:p>
        </w:tc>
        <w:tc>
          <w:tcPr>
            <w:tcW w:w="910" w:type="dxa"/>
            <w:noWrap w:val="0"/>
            <w:vAlign w:val="top"/>
          </w:tcPr>
          <w:p w14:paraId="63E38A68">
            <w:pPr>
              <w:spacing w:line="400" w:lineRule="exact"/>
              <w:jc w:val="center"/>
              <w:rPr>
                <w:rFonts w:hint="eastAsia" w:ascii="宋体" w:hAnsi="宋体" w:cs="宋体"/>
                <w:color w:val="auto"/>
                <w:sz w:val="24"/>
                <w:highlight w:val="none"/>
              </w:rPr>
            </w:pPr>
          </w:p>
        </w:tc>
        <w:tc>
          <w:tcPr>
            <w:tcW w:w="912" w:type="dxa"/>
            <w:noWrap w:val="0"/>
            <w:vAlign w:val="top"/>
          </w:tcPr>
          <w:p w14:paraId="2B19B767">
            <w:pPr>
              <w:spacing w:line="400" w:lineRule="exact"/>
              <w:jc w:val="center"/>
              <w:rPr>
                <w:rFonts w:hint="eastAsia" w:ascii="宋体" w:hAnsi="宋体" w:cs="宋体"/>
                <w:color w:val="auto"/>
                <w:sz w:val="24"/>
                <w:highlight w:val="none"/>
              </w:rPr>
            </w:pPr>
          </w:p>
        </w:tc>
        <w:tc>
          <w:tcPr>
            <w:tcW w:w="912" w:type="dxa"/>
            <w:noWrap w:val="0"/>
            <w:vAlign w:val="top"/>
          </w:tcPr>
          <w:p w14:paraId="33BBF679">
            <w:pPr>
              <w:spacing w:line="400" w:lineRule="exact"/>
              <w:jc w:val="center"/>
              <w:rPr>
                <w:rFonts w:hint="eastAsia" w:ascii="宋体" w:hAnsi="宋体" w:cs="宋体"/>
                <w:color w:val="auto"/>
                <w:sz w:val="24"/>
                <w:highlight w:val="none"/>
              </w:rPr>
            </w:pPr>
          </w:p>
        </w:tc>
        <w:tc>
          <w:tcPr>
            <w:tcW w:w="912" w:type="dxa"/>
            <w:noWrap w:val="0"/>
            <w:vAlign w:val="top"/>
          </w:tcPr>
          <w:p w14:paraId="44E32A14">
            <w:pPr>
              <w:spacing w:line="400" w:lineRule="exact"/>
              <w:jc w:val="center"/>
              <w:rPr>
                <w:rFonts w:hint="eastAsia" w:ascii="宋体" w:hAnsi="宋体" w:cs="宋体"/>
                <w:color w:val="auto"/>
                <w:sz w:val="24"/>
                <w:highlight w:val="none"/>
              </w:rPr>
            </w:pPr>
          </w:p>
        </w:tc>
        <w:tc>
          <w:tcPr>
            <w:tcW w:w="1188" w:type="dxa"/>
            <w:noWrap w:val="0"/>
            <w:vAlign w:val="top"/>
          </w:tcPr>
          <w:p w14:paraId="71325A47">
            <w:pPr>
              <w:spacing w:line="400" w:lineRule="exact"/>
              <w:jc w:val="center"/>
              <w:rPr>
                <w:rFonts w:hint="eastAsia" w:ascii="宋体" w:hAnsi="宋体" w:cs="宋体"/>
                <w:color w:val="auto"/>
                <w:sz w:val="24"/>
                <w:highlight w:val="none"/>
              </w:rPr>
            </w:pPr>
          </w:p>
        </w:tc>
        <w:tc>
          <w:tcPr>
            <w:tcW w:w="835" w:type="dxa"/>
            <w:noWrap w:val="0"/>
            <w:vAlign w:val="top"/>
          </w:tcPr>
          <w:p w14:paraId="0A9DAAC9">
            <w:pPr>
              <w:spacing w:line="400" w:lineRule="exact"/>
              <w:jc w:val="center"/>
              <w:rPr>
                <w:rFonts w:hint="eastAsia" w:ascii="宋体" w:hAnsi="宋体" w:cs="宋体"/>
                <w:color w:val="auto"/>
                <w:sz w:val="24"/>
                <w:highlight w:val="none"/>
              </w:rPr>
            </w:pPr>
          </w:p>
        </w:tc>
        <w:tc>
          <w:tcPr>
            <w:tcW w:w="951" w:type="dxa"/>
            <w:noWrap w:val="0"/>
            <w:vAlign w:val="top"/>
          </w:tcPr>
          <w:p w14:paraId="047CC5EF">
            <w:pPr>
              <w:spacing w:line="400" w:lineRule="exact"/>
              <w:jc w:val="center"/>
              <w:rPr>
                <w:rFonts w:hint="eastAsia" w:ascii="宋体" w:hAnsi="宋体" w:cs="宋体"/>
                <w:color w:val="auto"/>
                <w:sz w:val="24"/>
                <w:highlight w:val="none"/>
              </w:rPr>
            </w:pPr>
          </w:p>
        </w:tc>
        <w:tc>
          <w:tcPr>
            <w:tcW w:w="841" w:type="dxa"/>
            <w:noWrap w:val="0"/>
            <w:vAlign w:val="top"/>
          </w:tcPr>
          <w:p w14:paraId="4EB918C3">
            <w:pPr>
              <w:spacing w:line="400" w:lineRule="exact"/>
              <w:jc w:val="center"/>
              <w:rPr>
                <w:rFonts w:hint="eastAsia" w:ascii="宋体" w:hAnsi="宋体" w:cs="宋体"/>
                <w:color w:val="auto"/>
                <w:sz w:val="24"/>
                <w:highlight w:val="none"/>
              </w:rPr>
            </w:pPr>
          </w:p>
        </w:tc>
      </w:tr>
      <w:tr w14:paraId="10D5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58" w:type="dxa"/>
            <w:vMerge w:val="continue"/>
            <w:noWrap w:val="0"/>
            <w:vAlign w:val="top"/>
          </w:tcPr>
          <w:p w14:paraId="4DA3DC10">
            <w:pPr>
              <w:spacing w:line="400" w:lineRule="exact"/>
              <w:jc w:val="center"/>
              <w:rPr>
                <w:rFonts w:hint="eastAsia" w:ascii="宋体" w:hAnsi="宋体" w:cs="宋体"/>
                <w:color w:val="auto"/>
                <w:sz w:val="24"/>
                <w:highlight w:val="none"/>
              </w:rPr>
            </w:pPr>
          </w:p>
        </w:tc>
        <w:tc>
          <w:tcPr>
            <w:tcW w:w="910" w:type="dxa"/>
            <w:noWrap w:val="0"/>
            <w:vAlign w:val="top"/>
          </w:tcPr>
          <w:p w14:paraId="700FA944">
            <w:pPr>
              <w:spacing w:line="400" w:lineRule="exact"/>
              <w:jc w:val="center"/>
              <w:rPr>
                <w:rFonts w:hint="eastAsia" w:ascii="宋体" w:hAnsi="宋体" w:cs="宋体"/>
                <w:color w:val="auto"/>
                <w:sz w:val="24"/>
                <w:highlight w:val="none"/>
              </w:rPr>
            </w:pPr>
          </w:p>
        </w:tc>
        <w:tc>
          <w:tcPr>
            <w:tcW w:w="912" w:type="dxa"/>
            <w:noWrap w:val="0"/>
            <w:vAlign w:val="top"/>
          </w:tcPr>
          <w:p w14:paraId="2AD80D0F">
            <w:pPr>
              <w:spacing w:line="400" w:lineRule="exact"/>
              <w:jc w:val="center"/>
              <w:rPr>
                <w:rFonts w:hint="eastAsia" w:ascii="宋体" w:hAnsi="宋体" w:cs="宋体"/>
                <w:color w:val="auto"/>
                <w:sz w:val="24"/>
                <w:highlight w:val="none"/>
              </w:rPr>
            </w:pPr>
          </w:p>
        </w:tc>
        <w:tc>
          <w:tcPr>
            <w:tcW w:w="912" w:type="dxa"/>
            <w:noWrap w:val="0"/>
            <w:vAlign w:val="top"/>
          </w:tcPr>
          <w:p w14:paraId="6EEE6986">
            <w:pPr>
              <w:spacing w:line="400" w:lineRule="exact"/>
              <w:jc w:val="center"/>
              <w:rPr>
                <w:rFonts w:hint="eastAsia" w:ascii="宋体" w:hAnsi="宋体" w:cs="宋体"/>
                <w:color w:val="auto"/>
                <w:sz w:val="24"/>
                <w:highlight w:val="none"/>
              </w:rPr>
            </w:pPr>
          </w:p>
        </w:tc>
        <w:tc>
          <w:tcPr>
            <w:tcW w:w="912" w:type="dxa"/>
            <w:noWrap w:val="0"/>
            <w:vAlign w:val="top"/>
          </w:tcPr>
          <w:p w14:paraId="64C1E125">
            <w:pPr>
              <w:spacing w:line="400" w:lineRule="exact"/>
              <w:jc w:val="center"/>
              <w:rPr>
                <w:rFonts w:hint="eastAsia" w:ascii="宋体" w:hAnsi="宋体" w:cs="宋体"/>
                <w:color w:val="auto"/>
                <w:sz w:val="24"/>
                <w:highlight w:val="none"/>
              </w:rPr>
            </w:pPr>
          </w:p>
        </w:tc>
        <w:tc>
          <w:tcPr>
            <w:tcW w:w="1188" w:type="dxa"/>
            <w:noWrap w:val="0"/>
            <w:vAlign w:val="top"/>
          </w:tcPr>
          <w:p w14:paraId="3D4E2488">
            <w:pPr>
              <w:spacing w:line="400" w:lineRule="exact"/>
              <w:jc w:val="center"/>
              <w:rPr>
                <w:rFonts w:hint="eastAsia" w:ascii="宋体" w:hAnsi="宋体" w:cs="宋体"/>
                <w:color w:val="auto"/>
                <w:sz w:val="24"/>
                <w:highlight w:val="none"/>
              </w:rPr>
            </w:pPr>
          </w:p>
        </w:tc>
        <w:tc>
          <w:tcPr>
            <w:tcW w:w="835" w:type="dxa"/>
            <w:noWrap w:val="0"/>
            <w:vAlign w:val="top"/>
          </w:tcPr>
          <w:p w14:paraId="38928B4B">
            <w:pPr>
              <w:spacing w:line="400" w:lineRule="exact"/>
              <w:jc w:val="center"/>
              <w:rPr>
                <w:rFonts w:hint="eastAsia" w:ascii="宋体" w:hAnsi="宋体" w:cs="宋体"/>
                <w:color w:val="auto"/>
                <w:sz w:val="24"/>
                <w:highlight w:val="none"/>
              </w:rPr>
            </w:pPr>
          </w:p>
        </w:tc>
        <w:tc>
          <w:tcPr>
            <w:tcW w:w="951" w:type="dxa"/>
            <w:noWrap w:val="0"/>
            <w:vAlign w:val="top"/>
          </w:tcPr>
          <w:p w14:paraId="16D946B8">
            <w:pPr>
              <w:spacing w:line="400" w:lineRule="exact"/>
              <w:jc w:val="center"/>
              <w:rPr>
                <w:rFonts w:hint="eastAsia" w:ascii="宋体" w:hAnsi="宋体" w:cs="宋体"/>
                <w:color w:val="auto"/>
                <w:sz w:val="24"/>
                <w:highlight w:val="none"/>
              </w:rPr>
            </w:pPr>
          </w:p>
        </w:tc>
        <w:tc>
          <w:tcPr>
            <w:tcW w:w="841" w:type="dxa"/>
            <w:noWrap w:val="0"/>
            <w:vAlign w:val="top"/>
          </w:tcPr>
          <w:p w14:paraId="7E2A9247">
            <w:pPr>
              <w:spacing w:line="400" w:lineRule="exact"/>
              <w:jc w:val="center"/>
              <w:rPr>
                <w:rFonts w:hint="eastAsia" w:ascii="宋体" w:hAnsi="宋体" w:cs="宋体"/>
                <w:color w:val="auto"/>
                <w:sz w:val="24"/>
                <w:highlight w:val="none"/>
              </w:rPr>
            </w:pPr>
          </w:p>
        </w:tc>
      </w:tr>
      <w:tr w14:paraId="56E2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58" w:type="dxa"/>
            <w:vMerge w:val="continue"/>
            <w:noWrap w:val="0"/>
            <w:vAlign w:val="top"/>
          </w:tcPr>
          <w:p w14:paraId="464AF662">
            <w:pPr>
              <w:spacing w:line="400" w:lineRule="exact"/>
              <w:jc w:val="center"/>
              <w:rPr>
                <w:rFonts w:hint="eastAsia" w:ascii="宋体" w:hAnsi="宋体" w:cs="宋体"/>
                <w:color w:val="auto"/>
                <w:sz w:val="24"/>
                <w:highlight w:val="none"/>
              </w:rPr>
            </w:pPr>
          </w:p>
        </w:tc>
        <w:tc>
          <w:tcPr>
            <w:tcW w:w="910" w:type="dxa"/>
            <w:noWrap w:val="0"/>
            <w:vAlign w:val="top"/>
          </w:tcPr>
          <w:p w14:paraId="4F8CC453">
            <w:pPr>
              <w:spacing w:line="400" w:lineRule="exact"/>
              <w:jc w:val="center"/>
              <w:rPr>
                <w:rFonts w:hint="eastAsia" w:ascii="宋体" w:hAnsi="宋体" w:cs="宋体"/>
                <w:color w:val="auto"/>
                <w:sz w:val="24"/>
                <w:highlight w:val="none"/>
              </w:rPr>
            </w:pPr>
          </w:p>
        </w:tc>
        <w:tc>
          <w:tcPr>
            <w:tcW w:w="912" w:type="dxa"/>
            <w:noWrap w:val="0"/>
            <w:vAlign w:val="top"/>
          </w:tcPr>
          <w:p w14:paraId="50016EE1">
            <w:pPr>
              <w:spacing w:line="400" w:lineRule="exact"/>
              <w:jc w:val="center"/>
              <w:rPr>
                <w:rFonts w:hint="eastAsia" w:ascii="宋体" w:hAnsi="宋体" w:cs="宋体"/>
                <w:color w:val="auto"/>
                <w:sz w:val="24"/>
                <w:highlight w:val="none"/>
              </w:rPr>
            </w:pPr>
          </w:p>
        </w:tc>
        <w:tc>
          <w:tcPr>
            <w:tcW w:w="912" w:type="dxa"/>
            <w:noWrap w:val="0"/>
            <w:vAlign w:val="top"/>
          </w:tcPr>
          <w:p w14:paraId="5CF65E8D">
            <w:pPr>
              <w:spacing w:line="400" w:lineRule="exact"/>
              <w:jc w:val="center"/>
              <w:rPr>
                <w:rFonts w:hint="eastAsia" w:ascii="宋体" w:hAnsi="宋体" w:cs="宋体"/>
                <w:color w:val="auto"/>
                <w:sz w:val="24"/>
                <w:highlight w:val="none"/>
              </w:rPr>
            </w:pPr>
          </w:p>
        </w:tc>
        <w:tc>
          <w:tcPr>
            <w:tcW w:w="912" w:type="dxa"/>
            <w:noWrap w:val="0"/>
            <w:vAlign w:val="top"/>
          </w:tcPr>
          <w:p w14:paraId="7187DADC">
            <w:pPr>
              <w:spacing w:line="400" w:lineRule="exact"/>
              <w:jc w:val="center"/>
              <w:rPr>
                <w:rFonts w:hint="eastAsia" w:ascii="宋体" w:hAnsi="宋体" w:cs="宋体"/>
                <w:color w:val="auto"/>
                <w:sz w:val="24"/>
                <w:highlight w:val="none"/>
              </w:rPr>
            </w:pPr>
          </w:p>
        </w:tc>
        <w:tc>
          <w:tcPr>
            <w:tcW w:w="1188" w:type="dxa"/>
            <w:noWrap w:val="0"/>
            <w:vAlign w:val="top"/>
          </w:tcPr>
          <w:p w14:paraId="2A3C06C5">
            <w:pPr>
              <w:spacing w:line="400" w:lineRule="exact"/>
              <w:jc w:val="center"/>
              <w:rPr>
                <w:rFonts w:hint="eastAsia" w:ascii="宋体" w:hAnsi="宋体" w:cs="宋体"/>
                <w:color w:val="auto"/>
                <w:sz w:val="24"/>
                <w:highlight w:val="none"/>
              </w:rPr>
            </w:pPr>
          </w:p>
        </w:tc>
        <w:tc>
          <w:tcPr>
            <w:tcW w:w="835" w:type="dxa"/>
            <w:noWrap w:val="0"/>
            <w:vAlign w:val="top"/>
          </w:tcPr>
          <w:p w14:paraId="3560DF16">
            <w:pPr>
              <w:spacing w:line="400" w:lineRule="exact"/>
              <w:jc w:val="center"/>
              <w:rPr>
                <w:rFonts w:hint="eastAsia" w:ascii="宋体" w:hAnsi="宋体" w:cs="宋体"/>
                <w:color w:val="auto"/>
                <w:sz w:val="24"/>
                <w:highlight w:val="none"/>
              </w:rPr>
            </w:pPr>
          </w:p>
        </w:tc>
        <w:tc>
          <w:tcPr>
            <w:tcW w:w="951" w:type="dxa"/>
            <w:noWrap w:val="0"/>
            <w:vAlign w:val="top"/>
          </w:tcPr>
          <w:p w14:paraId="1F6AEBB8">
            <w:pPr>
              <w:spacing w:line="400" w:lineRule="exact"/>
              <w:jc w:val="center"/>
              <w:rPr>
                <w:rFonts w:hint="eastAsia" w:ascii="宋体" w:hAnsi="宋体" w:cs="宋体"/>
                <w:color w:val="auto"/>
                <w:sz w:val="24"/>
                <w:highlight w:val="none"/>
              </w:rPr>
            </w:pPr>
          </w:p>
        </w:tc>
        <w:tc>
          <w:tcPr>
            <w:tcW w:w="841" w:type="dxa"/>
            <w:noWrap w:val="0"/>
            <w:vAlign w:val="top"/>
          </w:tcPr>
          <w:p w14:paraId="0A035920">
            <w:pPr>
              <w:spacing w:line="400" w:lineRule="exact"/>
              <w:jc w:val="center"/>
              <w:rPr>
                <w:rFonts w:hint="eastAsia" w:ascii="宋体" w:hAnsi="宋体" w:cs="宋体"/>
                <w:color w:val="auto"/>
                <w:sz w:val="24"/>
                <w:highlight w:val="none"/>
              </w:rPr>
            </w:pPr>
          </w:p>
        </w:tc>
      </w:tr>
      <w:tr w14:paraId="41E23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58" w:type="dxa"/>
            <w:vMerge w:val="restart"/>
            <w:noWrap w:val="0"/>
            <w:vAlign w:val="top"/>
          </w:tcPr>
          <w:p w14:paraId="4EFAF8A9">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服</w:t>
            </w:r>
          </w:p>
          <w:p w14:paraId="1DB43144">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务</w:t>
            </w:r>
          </w:p>
          <w:p w14:paraId="5220FE0D">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人</w:t>
            </w:r>
          </w:p>
          <w:p w14:paraId="41E88864">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员</w:t>
            </w:r>
          </w:p>
        </w:tc>
        <w:tc>
          <w:tcPr>
            <w:tcW w:w="910" w:type="dxa"/>
            <w:noWrap w:val="0"/>
            <w:vAlign w:val="top"/>
          </w:tcPr>
          <w:p w14:paraId="5F5626EE">
            <w:pPr>
              <w:spacing w:line="400" w:lineRule="exact"/>
              <w:jc w:val="center"/>
              <w:rPr>
                <w:rFonts w:hint="eastAsia" w:ascii="宋体" w:hAnsi="宋体" w:cs="宋体"/>
                <w:color w:val="auto"/>
                <w:sz w:val="24"/>
                <w:highlight w:val="none"/>
              </w:rPr>
            </w:pPr>
          </w:p>
        </w:tc>
        <w:tc>
          <w:tcPr>
            <w:tcW w:w="912" w:type="dxa"/>
            <w:noWrap w:val="0"/>
            <w:vAlign w:val="top"/>
          </w:tcPr>
          <w:p w14:paraId="163A7430">
            <w:pPr>
              <w:spacing w:line="400" w:lineRule="exact"/>
              <w:jc w:val="center"/>
              <w:rPr>
                <w:rFonts w:hint="eastAsia" w:ascii="宋体" w:hAnsi="宋体" w:cs="宋体"/>
                <w:color w:val="auto"/>
                <w:sz w:val="24"/>
                <w:highlight w:val="none"/>
              </w:rPr>
            </w:pPr>
          </w:p>
        </w:tc>
        <w:tc>
          <w:tcPr>
            <w:tcW w:w="912" w:type="dxa"/>
            <w:noWrap w:val="0"/>
            <w:vAlign w:val="top"/>
          </w:tcPr>
          <w:p w14:paraId="5E564D85">
            <w:pPr>
              <w:spacing w:line="400" w:lineRule="exact"/>
              <w:jc w:val="center"/>
              <w:rPr>
                <w:rFonts w:hint="eastAsia" w:ascii="宋体" w:hAnsi="宋体" w:cs="宋体"/>
                <w:color w:val="auto"/>
                <w:sz w:val="24"/>
                <w:highlight w:val="none"/>
              </w:rPr>
            </w:pPr>
          </w:p>
        </w:tc>
        <w:tc>
          <w:tcPr>
            <w:tcW w:w="912" w:type="dxa"/>
            <w:noWrap w:val="0"/>
            <w:vAlign w:val="top"/>
          </w:tcPr>
          <w:p w14:paraId="73E20E5D">
            <w:pPr>
              <w:spacing w:line="400" w:lineRule="exact"/>
              <w:jc w:val="center"/>
              <w:rPr>
                <w:rFonts w:hint="eastAsia" w:ascii="宋体" w:hAnsi="宋体" w:cs="宋体"/>
                <w:color w:val="auto"/>
                <w:sz w:val="24"/>
                <w:highlight w:val="none"/>
              </w:rPr>
            </w:pPr>
          </w:p>
        </w:tc>
        <w:tc>
          <w:tcPr>
            <w:tcW w:w="1188" w:type="dxa"/>
            <w:noWrap w:val="0"/>
            <w:vAlign w:val="top"/>
          </w:tcPr>
          <w:p w14:paraId="7B418CFD">
            <w:pPr>
              <w:spacing w:line="400" w:lineRule="exact"/>
              <w:jc w:val="center"/>
              <w:rPr>
                <w:rFonts w:hint="eastAsia" w:ascii="宋体" w:hAnsi="宋体" w:cs="宋体"/>
                <w:color w:val="auto"/>
                <w:sz w:val="24"/>
                <w:highlight w:val="none"/>
              </w:rPr>
            </w:pPr>
          </w:p>
        </w:tc>
        <w:tc>
          <w:tcPr>
            <w:tcW w:w="835" w:type="dxa"/>
            <w:noWrap w:val="0"/>
            <w:vAlign w:val="top"/>
          </w:tcPr>
          <w:p w14:paraId="34114D3B">
            <w:pPr>
              <w:spacing w:line="400" w:lineRule="exact"/>
              <w:jc w:val="center"/>
              <w:rPr>
                <w:rFonts w:hint="eastAsia" w:ascii="宋体" w:hAnsi="宋体" w:cs="宋体"/>
                <w:color w:val="auto"/>
                <w:sz w:val="24"/>
                <w:highlight w:val="none"/>
              </w:rPr>
            </w:pPr>
          </w:p>
        </w:tc>
        <w:tc>
          <w:tcPr>
            <w:tcW w:w="951" w:type="dxa"/>
            <w:noWrap w:val="0"/>
            <w:vAlign w:val="top"/>
          </w:tcPr>
          <w:p w14:paraId="3954924E">
            <w:pPr>
              <w:spacing w:line="400" w:lineRule="exact"/>
              <w:jc w:val="center"/>
              <w:rPr>
                <w:rFonts w:hint="eastAsia" w:ascii="宋体" w:hAnsi="宋体" w:cs="宋体"/>
                <w:color w:val="auto"/>
                <w:sz w:val="24"/>
                <w:highlight w:val="none"/>
              </w:rPr>
            </w:pPr>
          </w:p>
        </w:tc>
        <w:tc>
          <w:tcPr>
            <w:tcW w:w="841" w:type="dxa"/>
            <w:noWrap w:val="0"/>
            <w:vAlign w:val="top"/>
          </w:tcPr>
          <w:p w14:paraId="075ECD83">
            <w:pPr>
              <w:spacing w:line="400" w:lineRule="exact"/>
              <w:jc w:val="center"/>
              <w:rPr>
                <w:rFonts w:hint="eastAsia" w:ascii="宋体" w:hAnsi="宋体" w:cs="宋体"/>
                <w:color w:val="auto"/>
                <w:sz w:val="24"/>
                <w:highlight w:val="none"/>
              </w:rPr>
            </w:pPr>
          </w:p>
        </w:tc>
      </w:tr>
      <w:tr w14:paraId="618F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58" w:type="dxa"/>
            <w:vMerge w:val="continue"/>
            <w:noWrap w:val="0"/>
            <w:vAlign w:val="top"/>
          </w:tcPr>
          <w:p w14:paraId="0E0374D5">
            <w:pPr>
              <w:spacing w:line="400" w:lineRule="exact"/>
              <w:jc w:val="center"/>
              <w:rPr>
                <w:rFonts w:hint="eastAsia" w:ascii="宋体" w:hAnsi="宋体" w:cs="宋体"/>
                <w:color w:val="auto"/>
                <w:sz w:val="24"/>
                <w:highlight w:val="none"/>
              </w:rPr>
            </w:pPr>
          </w:p>
        </w:tc>
        <w:tc>
          <w:tcPr>
            <w:tcW w:w="910" w:type="dxa"/>
            <w:noWrap w:val="0"/>
            <w:vAlign w:val="top"/>
          </w:tcPr>
          <w:p w14:paraId="3E5363C6">
            <w:pPr>
              <w:spacing w:line="400" w:lineRule="exact"/>
              <w:jc w:val="center"/>
              <w:rPr>
                <w:rFonts w:hint="eastAsia" w:ascii="宋体" w:hAnsi="宋体" w:cs="宋体"/>
                <w:color w:val="auto"/>
                <w:sz w:val="24"/>
                <w:highlight w:val="none"/>
              </w:rPr>
            </w:pPr>
          </w:p>
        </w:tc>
        <w:tc>
          <w:tcPr>
            <w:tcW w:w="912" w:type="dxa"/>
            <w:noWrap w:val="0"/>
            <w:vAlign w:val="top"/>
          </w:tcPr>
          <w:p w14:paraId="17B4E0BD">
            <w:pPr>
              <w:spacing w:line="400" w:lineRule="exact"/>
              <w:jc w:val="center"/>
              <w:rPr>
                <w:rFonts w:hint="eastAsia" w:ascii="宋体" w:hAnsi="宋体" w:cs="宋体"/>
                <w:color w:val="auto"/>
                <w:sz w:val="24"/>
                <w:highlight w:val="none"/>
              </w:rPr>
            </w:pPr>
          </w:p>
        </w:tc>
        <w:tc>
          <w:tcPr>
            <w:tcW w:w="912" w:type="dxa"/>
            <w:noWrap w:val="0"/>
            <w:vAlign w:val="top"/>
          </w:tcPr>
          <w:p w14:paraId="13CBA9F2">
            <w:pPr>
              <w:spacing w:line="400" w:lineRule="exact"/>
              <w:jc w:val="center"/>
              <w:rPr>
                <w:rFonts w:hint="eastAsia" w:ascii="宋体" w:hAnsi="宋体" w:cs="宋体"/>
                <w:color w:val="auto"/>
                <w:sz w:val="24"/>
                <w:highlight w:val="none"/>
              </w:rPr>
            </w:pPr>
          </w:p>
        </w:tc>
        <w:tc>
          <w:tcPr>
            <w:tcW w:w="912" w:type="dxa"/>
            <w:noWrap w:val="0"/>
            <w:vAlign w:val="top"/>
          </w:tcPr>
          <w:p w14:paraId="6F99F794">
            <w:pPr>
              <w:spacing w:line="400" w:lineRule="exact"/>
              <w:jc w:val="center"/>
              <w:rPr>
                <w:rFonts w:hint="eastAsia" w:ascii="宋体" w:hAnsi="宋体" w:cs="宋体"/>
                <w:color w:val="auto"/>
                <w:sz w:val="24"/>
                <w:highlight w:val="none"/>
              </w:rPr>
            </w:pPr>
          </w:p>
        </w:tc>
        <w:tc>
          <w:tcPr>
            <w:tcW w:w="1188" w:type="dxa"/>
            <w:noWrap w:val="0"/>
            <w:vAlign w:val="top"/>
          </w:tcPr>
          <w:p w14:paraId="48548B12">
            <w:pPr>
              <w:spacing w:line="400" w:lineRule="exact"/>
              <w:jc w:val="center"/>
              <w:rPr>
                <w:rFonts w:hint="eastAsia" w:ascii="宋体" w:hAnsi="宋体" w:cs="宋体"/>
                <w:color w:val="auto"/>
                <w:sz w:val="24"/>
                <w:highlight w:val="none"/>
              </w:rPr>
            </w:pPr>
          </w:p>
        </w:tc>
        <w:tc>
          <w:tcPr>
            <w:tcW w:w="835" w:type="dxa"/>
            <w:noWrap w:val="0"/>
            <w:vAlign w:val="top"/>
          </w:tcPr>
          <w:p w14:paraId="7EF60016">
            <w:pPr>
              <w:spacing w:line="400" w:lineRule="exact"/>
              <w:jc w:val="center"/>
              <w:rPr>
                <w:rFonts w:hint="eastAsia" w:ascii="宋体" w:hAnsi="宋体" w:cs="宋体"/>
                <w:color w:val="auto"/>
                <w:sz w:val="24"/>
                <w:highlight w:val="none"/>
              </w:rPr>
            </w:pPr>
          </w:p>
        </w:tc>
        <w:tc>
          <w:tcPr>
            <w:tcW w:w="951" w:type="dxa"/>
            <w:noWrap w:val="0"/>
            <w:vAlign w:val="top"/>
          </w:tcPr>
          <w:p w14:paraId="5B6FF5BD">
            <w:pPr>
              <w:spacing w:line="400" w:lineRule="exact"/>
              <w:jc w:val="center"/>
              <w:rPr>
                <w:rFonts w:hint="eastAsia" w:ascii="宋体" w:hAnsi="宋体" w:cs="宋体"/>
                <w:color w:val="auto"/>
                <w:sz w:val="24"/>
                <w:highlight w:val="none"/>
              </w:rPr>
            </w:pPr>
          </w:p>
        </w:tc>
        <w:tc>
          <w:tcPr>
            <w:tcW w:w="841" w:type="dxa"/>
            <w:noWrap w:val="0"/>
            <w:vAlign w:val="top"/>
          </w:tcPr>
          <w:p w14:paraId="0D31756C">
            <w:pPr>
              <w:spacing w:line="400" w:lineRule="exact"/>
              <w:jc w:val="center"/>
              <w:rPr>
                <w:rFonts w:hint="eastAsia" w:ascii="宋体" w:hAnsi="宋体" w:cs="宋体"/>
                <w:color w:val="auto"/>
                <w:sz w:val="24"/>
                <w:highlight w:val="none"/>
              </w:rPr>
            </w:pPr>
          </w:p>
        </w:tc>
      </w:tr>
      <w:tr w14:paraId="38719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58" w:type="dxa"/>
            <w:vMerge w:val="continue"/>
            <w:noWrap w:val="0"/>
            <w:vAlign w:val="top"/>
          </w:tcPr>
          <w:p w14:paraId="325C41CD">
            <w:pPr>
              <w:spacing w:line="400" w:lineRule="exact"/>
              <w:jc w:val="center"/>
              <w:rPr>
                <w:rFonts w:hint="eastAsia" w:ascii="宋体" w:hAnsi="宋体" w:cs="宋体"/>
                <w:color w:val="auto"/>
                <w:sz w:val="24"/>
                <w:highlight w:val="none"/>
              </w:rPr>
            </w:pPr>
          </w:p>
        </w:tc>
        <w:tc>
          <w:tcPr>
            <w:tcW w:w="910" w:type="dxa"/>
            <w:noWrap w:val="0"/>
            <w:vAlign w:val="top"/>
          </w:tcPr>
          <w:p w14:paraId="55B8A9EF">
            <w:pPr>
              <w:spacing w:line="400" w:lineRule="exact"/>
              <w:jc w:val="center"/>
              <w:rPr>
                <w:rFonts w:hint="eastAsia" w:ascii="宋体" w:hAnsi="宋体" w:cs="宋体"/>
                <w:color w:val="auto"/>
                <w:sz w:val="24"/>
                <w:highlight w:val="none"/>
              </w:rPr>
            </w:pPr>
          </w:p>
        </w:tc>
        <w:tc>
          <w:tcPr>
            <w:tcW w:w="912" w:type="dxa"/>
            <w:noWrap w:val="0"/>
            <w:vAlign w:val="top"/>
          </w:tcPr>
          <w:p w14:paraId="6A19454D">
            <w:pPr>
              <w:spacing w:line="400" w:lineRule="exact"/>
              <w:jc w:val="center"/>
              <w:rPr>
                <w:rFonts w:hint="eastAsia" w:ascii="宋体" w:hAnsi="宋体" w:cs="宋体"/>
                <w:color w:val="auto"/>
                <w:sz w:val="24"/>
                <w:highlight w:val="none"/>
              </w:rPr>
            </w:pPr>
          </w:p>
        </w:tc>
        <w:tc>
          <w:tcPr>
            <w:tcW w:w="912" w:type="dxa"/>
            <w:noWrap w:val="0"/>
            <w:vAlign w:val="top"/>
          </w:tcPr>
          <w:p w14:paraId="6EC31BEC">
            <w:pPr>
              <w:spacing w:line="400" w:lineRule="exact"/>
              <w:jc w:val="center"/>
              <w:rPr>
                <w:rFonts w:hint="eastAsia" w:ascii="宋体" w:hAnsi="宋体" w:cs="宋体"/>
                <w:color w:val="auto"/>
                <w:sz w:val="24"/>
                <w:highlight w:val="none"/>
              </w:rPr>
            </w:pPr>
          </w:p>
        </w:tc>
        <w:tc>
          <w:tcPr>
            <w:tcW w:w="912" w:type="dxa"/>
            <w:noWrap w:val="0"/>
            <w:vAlign w:val="top"/>
          </w:tcPr>
          <w:p w14:paraId="5FCA8F1D">
            <w:pPr>
              <w:spacing w:line="400" w:lineRule="exact"/>
              <w:jc w:val="center"/>
              <w:rPr>
                <w:rFonts w:hint="eastAsia" w:ascii="宋体" w:hAnsi="宋体" w:cs="宋体"/>
                <w:color w:val="auto"/>
                <w:sz w:val="24"/>
                <w:highlight w:val="none"/>
              </w:rPr>
            </w:pPr>
          </w:p>
        </w:tc>
        <w:tc>
          <w:tcPr>
            <w:tcW w:w="1188" w:type="dxa"/>
            <w:noWrap w:val="0"/>
            <w:vAlign w:val="top"/>
          </w:tcPr>
          <w:p w14:paraId="7B0B960C">
            <w:pPr>
              <w:spacing w:line="400" w:lineRule="exact"/>
              <w:jc w:val="center"/>
              <w:rPr>
                <w:rFonts w:hint="eastAsia" w:ascii="宋体" w:hAnsi="宋体" w:cs="宋体"/>
                <w:color w:val="auto"/>
                <w:sz w:val="24"/>
                <w:highlight w:val="none"/>
              </w:rPr>
            </w:pPr>
          </w:p>
        </w:tc>
        <w:tc>
          <w:tcPr>
            <w:tcW w:w="835" w:type="dxa"/>
            <w:noWrap w:val="0"/>
            <w:vAlign w:val="top"/>
          </w:tcPr>
          <w:p w14:paraId="0B9F9DD6">
            <w:pPr>
              <w:spacing w:line="400" w:lineRule="exact"/>
              <w:jc w:val="center"/>
              <w:rPr>
                <w:rFonts w:hint="eastAsia" w:ascii="宋体" w:hAnsi="宋体" w:cs="宋体"/>
                <w:color w:val="auto"/>
                <w:sz w:val="24"/>
                <w:highlight w:val="none"/>
              </w:rPr>
            </w:pPr>
          </w:p>
        </w:tc>
        <w:tc>
          <w:tcPr>
            <w:tcW w:w="951" w:type="dxa"/>
            <w:noWrap w:val="0"/>
            <w:vAlign w:val="top"/>
          </w:tcPr>
          <w:p w14:paraId="3EFDDF5F">
            <w:pPr>
              <w:spacing w:line="400" w:lineRule="exact"/>
              <w:jc w:val="center"/>
              <w:rPr>
                <w:rFonts w:hint="eastAsia" w:ascii="宋体" w:hAnsi="宋体" w:cs="宋体"/>
                <w:color w:val="auto"/>
                <w:sz w:val="24"/>
                <w:highlight w:val="none"/>
              </w:rPr>
            </w:pPr>
          </w:p>
        </w:tc>
        <w:tc>
          <w:tcPr>
            <w:tcW w:w="841" w:type="dxa"/>
            <w:noWrap w:val="0"/>
            <w:vAlign w:val="top"/>
          </w:tcPr>
          <w:p w14:paraId="243B0335">
            <w:pPr>
              <w:spacing w:line="400" w:lineRule="exact"/>
              <w:jc w:val="center"/>
              <w:rPr>
                <w:rFonts w:hint="eastAsia" w:ascii="宋体" w:hAnsi="宋体" w:cs="宋体"/>
                <w:color w:val="auto"/>
                <w:sz w:val="24"/>
                <w:highlight w:val="none"/>
              </w:rPr>
            </w:pPr>
          </w:p>
        </w:tc>
      </w:tr>
      <w:tr w14:paraId="02C4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58" w:type="dxa"/>
            <w:vMerge w:val="restart"/>
            <w:noWrap w:val="0"/>
            <w:vAlign w:val="top"/>
          </w:tcPr>
          <w:p w14:paraId="56E9DFD7">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其</w:t>
            </w:r>
          </w:p>
          <w:p w14:paraId="1C6CA288">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他</w:t>
            </w:r>
          </w:p>
          <w:p w14:paraId="648A3A56">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人</w:t>
            </w:r>
          </w:p>
          <w:p w14:paraId="3543C5F1">
            <w:pPr>
              <w:spacing w:line="400" w:lineRule="exact"/>
              <w:jc w:val="center"/>
              <w:rPr>
                <w:rFonts w:hint="eastAsia" w:ascii="宋体" w:hAnsi="宋体" w:cs="宋体"/>
                <w:color w:val="auto"/>
                <w:sz w:val="24"/>
                <w:highlight w:val="none"/>
              </w:rPr>
            </w:pPr>
            <w:r>
              <w:rPr>
                <w:rFonts w:hint="eastAsia" w:ascii="宋体" w:hAnsi="宋体" w:cs="宋体"/>
                <w:color w:val="auto"/>
                <w:sz w:val="24"/>
                <w:highlight w:val="none"/>
              </w:rPr>
              <w:t>员</w:t>
            </w:r>
          </w:p>
        </w:tc>
        <w:tc>
          <w:tcPr>
            <w:tcW w:w="910" w:type="dxa"/>
            <w:noWrap w:val="0"/>
            <w:vAlign w:val="top"/>
          </w:tcPr>
          <w:p w14:paraId="111018E2">
            <w:pPr>
              <w:spacing w:line="400" w:lineRule="exact"/>
              <w:jc w:val="center"/>
              <w:rPr>
                <w:rFonts w:hint="eastAsia" w:ascii="宋体" w:hAnsi="宋体" w:cs="宋体"/>
                <w:color w:val="auto"/>
                <w:sz w:val="24"/>
                <w:highlight w:val="none"/>
              </w:rPr>
            </w:pPr>
          </w:p>
        </w:tc>
        <w:tc>
          <w:tcPr>
            <w:tcW w:w="912" w:type="dxa"/>
            <w:noWrap w:val="0"/>
            <w:vAlign w:val="top"/>
          </w:tcPr>
          <w:p w14:paraId="1D7910A3">
            <w:pPr>
              <w:spacing w:line="400" w:lineRule="exact"/>
              <w:jc w:val="center"/>
              <w:rPr>
                <w:rFonts w:hint="eastAsia" w:ascii="宋体" w:hAnsi="宋体" w:cs="宋体"/>
                <w:color w:val="auto"/>
                <w:sz w:val="24"/>
                <w:highlight w:val="none"/>
              </w:rPr>
            </w:pPr>
          </w:p>
        </w:tc>
        <w:tc>
          <w:tcPr>
            <w:tcW w:w="912" w:type="dxa"/>
            <w:noWrap w:val="0"/>
            <w:vAlign w:val="top"/>
          </w:tcPr>
          <w:p w14:paraId="2053F216">
            <w:pPr>
              <w:spacing w:line="400" w:lineRule="exact"/>
              <w:jc w:val="center"/>
              <w:rPr>
                <w:rFonts w:hint="eastAsia" w:ascii="宋体" w:hAnsi="宋体" w:cs="宋体"/>
                <w:color w:val="auto"/>
                <w:sz w:val="24"/>
                <w:highlight w:val="none"/>
              </w:rPr>
            </w:pPr>
          </w:p>
        </w:tc>
        <w:tc>
          <w:tcPr>
            <w:tcW w:w="912" w:type="dxa"/>
            <w:noWrap w:val="0"/>
            <w:vAlign w:val="top"/>
          </w:tcPr>
          <w:p w14:paraId="049EFD74">
            <w:pPr>
              <w:spacing w:line="400" w:lineRule="exact"/>
              <w:jc w:val="center"/>
              <w:rPr>
                <w:rFonts w:hint="eastAsia" w:ascii="宋体" w:hAnsi="宋体" w:cs="宋体"/>
                <w:color w:val="auto"/>
                <w:sz w:val="24"/>
                <w:highlight w:val="none"/>
              </w:rPr>
            </w:pPr>
          </w:p>
        </w:tc>
        <w:tc>
          <w:tcPr>
            <w:tcW w:w="1188" w:type="dxa"/>
            <w:noWrap w:val="0"/>
            <w:vAlign w:val="top"/>
          </w:tcPr>
          <w:p w14:paraId="6F282C2C">
            <w:pPr>
              <w:spacing w:line="400" w:lineRule="exact"/>
              <w:jc w:val="center"/>
              <w:rPr>
                <w:rFonts w:hint="eastAsia" w:ascii="宋体" w:hAnsi="宋体" w:cs="宋体"/>
                <w:color w:val="auto"/>
                <w:sz w:val="24"/>
                <w:highlight w:val="none"/>
              </w:rPr>
            </w:pPr>
          </w:p>
        </w:tc>
        <w:tc>
          <w:tcPr>
            <w:tcW w:w="835" w:type="dxa"/>
            <w:noWrap w:val="0"/>
            <w:vAlign w:val="top"/>
          </w:tcPr>
          <w:p w14:paraId="4CA96C99">
            <w:pPr>
              <w:spacing w:line="400" w:lineRule="exact"/>
              <w:jc w:val="center"/>
              <w:rPr>
                <w:rFonts w:hint="eastAsia" w:ascii="宋体" w:hAnsi="宋体" w:cs="宋体"/>
                <w:color w:val="auto"/>
                <w:sz w:val="24"/>
                <w:highlight w:val="none"/>
              </w:rPr>
            </w:pPr>
          </w:p>
        </w:tc>
        <w:tc>
          <w:tcPr>
            <w:tcW w:w="951" w:type="dxa"/>
            <w:noWrap w:val="0"/>
            <w:vAlign w:val="top"/>
          </w:tcPr>
          <w:p w14:paraId="7DE1C7B8">
            <w:pPr>
              <w:spacing w:line="400" w:lineRule="exact"/>
              <w:jc w:val="center"/>
              <w:rPr>
                <w:rFonts w:hint="eastAsia" w:ascii="宋体" w:hAnsi="宋体" w:cs="宋体"/>
                <w:color w:val="auto"/>
                <w:sz w:val="24"/>
                <w:highlight w:val="none"/>
              </w:rPr>
            </w:pPr>
          </w:p>
        </w:tc>
        <w:tc>
          <w:tcPr>
            <w:tcW w:w="841" w:type="dxa"/>
            <w:noWrap w:val="0"/>
            <w:vAlign w:val="top"/>
          </w:tcPr>
          <w:p w14:paraId="5B4D56A6">
            <w:pPr>
              <w:spacing w:line="400" w:lineRule="exact"/>
              <w:jc w:val="center"/>
              <w:rPr>
                <w:rFonts w:hint="eastAsia" w:ascii="宋体" w:hAnsi="宋体" w:cs="宋体"/>
                <w:color w:val="auto"/>
                <w:sz w:val="24"/>
                <w:highlight w:val="none"/>
              </w:rPr>
            </w:pPr>
          </w:p>
        </w:tc>
      </w:tr>
      <w:tr w14:paraId="0130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058" w:type="dxa"/>
            <w:vMerge w:val="continue"/>
            <w:noWrap w:val="0"/>
            <w:vAlign w:val="top"/>
          </w:tcPr>
          <w:p w14:paraId="28DE07D6">
            <w:pPr>
              <w:spacing w:line="400" w:lineRule="exact"/>
              <w:jc w:val="center"/>
              <w:rPr>
                <w:rFonts w:hint="eastAsia" w:ascii="宋体" w:hAnsi="宋体" w:cs="宋体"/>
                <w:color w:val="auto"/>
                <w:sz w:val="24"/>
                <w:highlight w:val="none"/>
              </w:rPr>
            </w:pPr>
          </w:p>
        </w:tc>
        <w:tc>
          <w:tcPr>
            <w:tcW w:w="910" w:type="dxa"/>
            <w:noWrap w:val="0"/>
            <w:vAlign w:val="top"/>
          </w:tcPr>
          <w:p w14:paraId="26163169">
            <w:pPr>
              <w:spacing w:line="400" w:lineRule="exact"/>
              <w:jc w:val="center"/>
              <w:rPr>
                <w:rFonts w:hint="eastAsia" w:ascii="宋体" w:hAnsi="宋体" w:cs="宋体"/>
                <w:color w:val="auto"/>
                <w:sz w:val="24"/>
                <w:highlight w:val="none"/>
              </w:rPr>
            </w:pPr>
          </w:p>
        </w:tc>
        <w:tc>
          <w:tcPr>
            <w:tcW w:w="912" w:type="dxa"/>
            <w:noWrap w:val="0"/>
            <w:vAlign w:val="top"/>
          </w:tcPr>
          <w:p w14:paraId="03A16D67">
            <w:pPr>
              <w:spacing w:line="400" w:lineRule="exact"/>
              <w:jc w:val="center"/>
              <w:rPr>
                <w:rFonts w:hint="eastAsia" w:ascii="宋体" w:hAnsi="宋体" w:cs="宋体"/>
                <w:b/>
                <w:bCs/>
                <w:color w:val="auto"/>
                <w:sz w:val="24"/>
                <w:highlight w:val="none"/>
              </w:rPr>
            </w:pPr>
          </w:p>
        </w:tc>
        <w:tc>
          <w:tcPr>
            <w:tcW w:w="912" w:type="dxa"/>
            <w:noWrap w:val="0"/>
            <w:vAlign w:val="top"/>
          </w:tcPr>
          <w:p w14:paraId="6EB47203">
            <w:pPr>
              <w:spacing w:line="400" w:lineRule="exact"/>
              <w:jc w:val="center"/>
              <w:rPr>
                <w:rFonts w:hint="eastAsia" w:ascii="宋体" w:hAnsi="宋体" w:cs="宋体"/>
                <w:b/>
                <w:bCs/>
                <w:color w:val="auto"/>
                <w:sz w:val="24"/>
                <w:highlight w:val="none"/>
              </w:rPr>
            </w:pPr>
          </w:p>
        </w:tc>
        <w:tc>
          <w:tcPr>
            <w:tcW w:w="912" w:type="dxa"/>
            <w:noWrap w:val="0"/>
            <w:vAlign w:val="top"/>
          </w:tcPr>
          <w:p w14:paraId="524D0DC5">
            <w:pPr>
              <w:spacing w:line="400" w:lineRule="exact"/>
              <w:jc w:val="center"/>
              <w:rPr>
                <w:rFonts w:hint="eastAsia" w:ascii="宋体" w:hAnsi="宋体" w:cs="宋体"/>
                <w:b/>
                <w:bCs/>
                <w:color w:val="auto"/>
                <w:sz w:val="24"/>
                <w:highlight w:val="none"/>
              </w:rPr>
            </w:pPr>
          </w:p>
        </w:tc>
        <w:tc>
          <w:tcPr>
            <w:tcW w:w="1188" w:type="dxa"/>
            <w:noWrap w:val="0"/>
            <w:vAlign w:val="top"/>
          </w:tcPr>
          <w:p w14:paraId="0893F466">
            <w:pPr>
              <w:spacing w:line="400" w:lineRule="exact"/>
              <w:jc w:val="center"/>
              <w:rPr>
                <w:rFonts w:hint="eastAsia" w:ascii="宋体" w:hAnsi="宋体" w:cs="宋体"/>
                <w:b/>
                <w:bCs/>
                <w:color w:val="auto"/>
                <w:sz w:val="24"/>
                <w:highlight w:val="none"/>
              </w:rPr>
            </w:pPr>
          </w:p>
        </w:tc>
        <w:tc>
          <w:tcPr>
            <w:tcW w:w="835" w:type="dxa"/>
            <w:noWrap w:val="0"/>
            <w:vAlign w:val="top"/>
          </w:tcPr>
          <w:p w14:paraId="5165DCC8">
            <w:pPr>
              <w:spacing w:line="400" w:lineRule="exact"/>
              <w:jc w:val="center"/>
              <w:rPr>
                <w:rFonts w:hint="eastAsia" w:ascii="宋体" w:hAnsi="宋体" w:cs="宋体"/>
                <w:b/>
                <w:bCs/>
                <w:color w:val="auto"/>
                <w:sz w:val="24"/>
                <w:highlight w:val="none"/>
              </w:rPr>
            </w:pPr>
          </w:p>
        </w:tc>
        <w:tc>
          <w:tcPr>
            <w:tcW w:w="951" w:type="dxa"/>
            <w:noWrap w:val="0"/>
            <w:vAlign w:val="top"/>
          </w:tcPr>
          <w:p w14:paraId="2B24D17F">
            <w:pPr>
              <w:spacing w:line="400" w:lineRule="exact"/>
              <w:jc w:val="center"/>
              <w:rPr>
                <w:rFonts w:hint="eastAsia" w:ascii="宋体" w:hAnsi="宋体" w:cs="宋体"/>
                <w:b/>
                <w:bCs/>
                <w:color w:val="auto"/>
                <w:sz w:val="24"/>
                <w:highlight w:val="none"/>
              </w:rPr>
            </w:pPr>
          </w:p>
        </w:tc>
        <w:tc>
          <w:tcPr>
            <w:tcW w:w="841" w:type="dxa"/>
            <w:noWrap w:val="0"/>
            <w:vAlign w:val="top"/>
          </w:tcPr>
          <w:p w14:paraId="5A19B907">
            <w:pPr>
              <w:spacing w:line="400" w:lineRule="exact"/>
              <w:jc w:val="center"/>
              <w:rPr>
                <w:rFonts w:hint="eastAsia" w:ascii="宋体" w:hAnsi="宋体" w:cs="宋体"/>
                <w:b/>
                <w:bCs/>
                <w:color w:val="auto"/>
                <w:sz w:val="24"/>
                <w:highlight w:val="none"/>
              </w:rPr>
            </w:pPr>
          </w:p>
        </w:tc>
      </w:tr>
      <w:tr w14:paraId="3411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058" w:type="dxa"/>
            <w:vMerge w:val="continue"/>
            <w:noWrap w:val="0"/>
            <w:vAlign w:val="top"/>
          </w:tcPr>
          <w:p w14:paraId="7885AC85">
            <w:pPr>
              <w:spacing w:line="400" w:lineRule="exact"/>
              <w:jc w:val="center"/>
              <w:rPr>
                <w:rFonts w:hint="eastAsia" w:ascii="宋体" w:hAnsi="宋体" w:cs="宋体"/>
                <w:color w:val="auto"/>
                <w:sz w:val="24"/>
                <w:highlight w:val="none"/>
              </w:rPr>
            </w:pPr>
          </w:p>
        </w:tc>
        <w:tc>
          <w:tcPr>
            <w:tcW w:w="910" w:type="dxa"/>
            <w:noWrap w:val="0"/>
            <w:vAlign w:val="top"/>
          </w:tcPr>
          <w:p w14:paraId="1551C056">
            <w:pPr>
              <w:spacing w:line="400" w:lineRule="exact"/>
              <w:jc w:val="center"/>
              <w:rPr>
                <w:rFonts w:hint="eastAsia" w:ascii="宋体" w:hAnsi="宋体" w:cs="宋体"/>
                <w:color w:val="auto"/>
                <w:sz w:val="24"/>
                <w:highlight w:val="none"/>
              </w:rPr>
            </w:pPr>
          </w:p>
        </w:tc>
        <w:tc>
          <w:tcPr>
            <w:tcW w:w="912" w:type="dxa"/>
            <w:noWrap w:val="0"/>
            <w:vAlign w:val="top"/>
          </w:tcPr>
          <w:p w14:paraId="757DEE9D">
            <w:pPr>
              <w:spacing w:line="400" w:lineRule="exact"/>
              <w:jc w:val="center"/>
              <w:rPr>
                <w:rFonts w:hint="eastAsia" w:ascii="宋体" w:hAnsi="宋体" w:cs="宋体"/>
                <w:b/>
                <w:bCs/>
                <w:color w:val="auto"/>
                <w:sz w:val="24"/>
                <w:highlight w:val="none"/>
              </w:rPr>
            </w:pPr>
          </w:p>
        </w:tc>
        <w:tc>
          <w:tcPr>
            <w:tcW w:w="912" w:type="dxa"/>
            <w:noWrap w:val="0"/>
            <w:vAlign w:val="top"/>
          </w:tcPr>
          <w:p w14:paraId="49927157">
            <w:pPr>
              <w:spacing w:line="400" w:lineRule="exact"/>
              <w:jc w:val="center"/>
              <w:rPr>
                <w:rFonts w:hint="eastAsia" w:ascii="宋体" w:hAnsi="宋体" w:cs="宋体"/>
                <w:b/>
                <w:bCs/>
                <w:color w:val="auto"/>
                <w:sz w:val="24"/>
                <w:highlight w:val="none"/>
              </w:rPr>
            </w:pPr>
          </w:p>
        </w:tc>
        <w:tc>
          <w:tcPr>
            <w:tcW w:w="912" w:type="dxa"/>
            <w:noWrap w:val="0"/>
            <w:vAlign w:val="top"/>
          </w:tcPr>
          <w:p w14:paraId="393169D1">
            <w:pPr>
              <w:spacing w:line="400" w:lineRule="exact"/>
              <w:jc w:val="center"/>
              <w:rPr>
                <w:rFonts w:hint="eastAsia" w:ascii="宋体" w:hAnsi="宋体" w:cs="宋体"/>
                <w:b/>
                <w:bCs/>
                <w:color w:val="auto"/>
                <w:sz w:val="24"/>
                <w:highlight w:val="none"/>
              </w:rPr>
            </w:pPr>
          </w:p>
        </w:tc>
        <w:tc>
          <w:tcPr>
            <w:tcW w:w="1188" w:type="dxa"/>
            <w:noWrap w:val="0"/>
            <w:vAlign w:val="top"/>
          </w:tcPr>
          <w:p w14:paraId="25179421">
            <w:pPr>
              <w:spacing w:line="400" w:lineRule="exact"/>
              <w:jc w:val="center"/>
              <w:rPr>
                <w:rFonts w:hint="eastAsia" w:ascii="宋体" w:hAnsi="宋体" w:cs="宋体"/>
                <w:b/>
                <w:bCs/>
                <w:color w:val="auto"/>
                <w:sz w:val="24"/>
                <w:highlight w:val="none"/>
              </w:rPr>
            </w:pPr>
          </w:p>
        </w:tc>
        <w:tc>
          <w:tcPr>
            <w:tcW w:w="835" w:type="dxa"/>
            <w:noWrap w:val="0"/>
            <w:vAlign w:val="top"/>
          </w:tcPr>
          <w:p w14:paraId="5CB4AF53">
            <w:pPr>
              <w:spacing w:line="400" w:lineRule="exact"/>
              <w:jc w:val="center"/>
              <w:rPr>
                <w:rFonts w:hint="eastAsia" w:ascii="宋体" w:hAnsi="宋体" w:cs="宋体"/>
                <w:b/>
                <w:bCs/>
                <w:color w:val="auto"/>
                <w:sz w:val="24"/>
                <w:highlight w:val="none"/>
              </w:rPr>
            </w:pPr>
          </w:p>
        </w:tc>
        <w:tc>
          <w:tcPr>
            <w:tcW w:w="951" w:type="dxa"/>
            <w:noWrap w:val="0"/>
            <w:vAlign w:val="top"/>
          </w:tcPr>
          <w:p w14:paraId="6DBE9A70">
            <w:pPr>
              <w:spacing w:line="400" w:lineRule="exact"/>
              <w:jc w:val="center"/>
              <w:rPr>
                <w:rFonts w:hint="eastAsia" w:ascii="宋体" w:hAnsi="宋体" w:cs="宋体"/>
                <w:b/>
                <w:bCs/>
                <w:color w:val="auto"/>
                <w:sz w:val="24"/>
                <w:highlight w:val="none"/>
              </w:rPr>
            </w:pPr>
          </w:p>
        </w:tc>
        <w:tc>
          <w:tcPr>
            <w:tcW w:w="841" w:type="dxa"/>
            <w:noWrap w:val="0"/>
            <w:vAlign w:val="top"/>
          </w:tcPr>
          <w:p w14:paraId="34CBED80">
            <w:pPr>
              <w:spacing w:line="400" w:lineRule="exact"/>
              <w:jc w:val="center"/>
              <w:rPr>
                <w:rFonts w:hint="eastAsia" w:ascii="宋体" w:hAnsi="宋体" w:cs="宋体"/>
                <w:b/>
                <w:bCs/>
                <w:color w:val="auto"/>
                <w:sz w:val="24"/>
                <w:highlight w:val="none"/>
              </w:rPr>
            </w:pPr>
          </w:p>
        </w:tc>
      </w:tr>
    </w:tbl>
    <w:p w14:paraId="052EAB15">
      <w:pPr>
        <w:adjustRightInd w:val="0"/>
        <w:spacing w:line="400" w:lineRule="exact"/>
        <w:ind w:firstLine="900" w:firstLineChars="375"/>
        <w:jc w:val="left"/>
        <w:rPr>
          <w:rFonts w:hint="eastAsia" w:ascii="宋体" w:hAnsi="宋体" w:cs="宋体"/>
          <w:bCs/>
          <w:color w:val="auto"/>
          <w:sz w:val="24"/>
          <w:highlight w:val="none"/>
        </w:rPr>
      </w:pPr>
      <w:r>
        <w:rPr>
          <w:rFonts w:hint="eastAsia" w:ascii="宋体" w:hAnsi="宋体" w:cs="宋体"/>
          <w:bCs/>
          <w:color w:val="auto"/>
          <w:sz w:val="24"/>
          <w:highlight w:val="none"/>
        </w:rPr>
        <w:t>注：后附人员相关证书彩色扫描件。</w:t>
      </w:r>
    </w:p>
    <w:p w14:paraId="3C788EBE">
      <w:pPr>
        <w:pStyle w:val="2"/>
        <w:rPr>
          <w:rFonts w:hint="eastAsia" w:ascii="宋体" w:hAnsi="宋体" w:cs="宋体"/>
          <w:color w:val="auto"/>
          <w:sz w:val="24"/>
          <w:highlight w:val="none"/>
        </w:rPr>
      </w:pPr>
    </w:p>
    <w:p w14:paraId="1C96B8FB">
      <w:pPr>
        <w:adjustRightInd w:val="0"/>
        <w:spacing w:line="400" w:lineRule="exact"/>
        <w:ind w:firstLine="900" w:firstLineChars="375"/>
        <w:jc w:val="center"/>
        <w:rPr>
          <w:rFonts w:hint="eastAsia" w:ascii="宋体" w:hAnsi="宋体" w:cs="宋体"/>
          <w:bCs/>
          <w:color w:val="auto"/>
          <w:sz w:val="24"/>
          <w:highlight w:val="none"/>
        </w:rPr>
      </w:pPr>
      <w:r>
        <w:rPr>
          <w:rFonts w:hint="eastAsia" w:ascii="宋体" w:hAnsi="宋体" w:cs="宋体"/>
          <w:bCs/>
          <w:color w:val="auto"/>
          <w:sz w:val="24"/>
          <w:highlight w:val="none"/>
        </w:rPr>
        <w:t xml:space="preserve">         投标人名称（盖章）：        </w:t>
      </w:r>
    </w:p>
    <w:p w14:paraId="5E64865B">
      <w:pPr>
        <w:adjustRightInd w:val="0"/>
        <w:spacing w:line="400" w:lineRule="exact"/>
        <w:ind w:firstLine="4020" w:firstLineChars="1675"/>
        <w:rPr>
          <w:rFonts w:hint="eastAsia" w:ascii="宋体" w:hAnsi="宋体" w:cs="宋体"/>
          <w:bCs/>
          <w:color w:val="auto"/>
          <w:sz w:val="24"/>
          <w:highlight w:val="none"/>
        </w:rPr>
      </w:pPr>
      <w:r>
        <w:rPr>
          <w:rFonts w:hint="eastAsia" w:ascii="宋体" w:hAnsi="宋体" w:cs="宋体"/>
          <w:color w:val="auto"/>
          <w:sz w:val="24"/>
          <w:highlight w:val="none"/>
        </w:rPr>
        <w:t>授权人或被授权人（签字或盖章）</w:t>
      </w:r>
      <w:r>
        <w:rPr>
          <w:rFonts w:hint="eastAsia" w:ascii="宋体" w:hAnsi="宋体" w:cs="宋体"/>
          <w:bCs/>
          <w:color w:val="auto"/>
          <w:sz w:val="24"/>
          <w:highlight w:val="none"/>
        </w:rPr>
        <w:t>：</w:t>
      </w:r>
    </w:p>
    <w:p w14:paraId="21416909">
      <w:pPr>
        <w:adjustRightInd w:val="0"/>
        <w:spacing w:line="400" w:lineRule="exact"/>
        <w:ind w:firstLine="900" w:firstLineChars="375"/>
        <w:jc w:val="center"/>
        <w:rPr>
          <w:rFonts w:hint="eastAsia" w:ascii="宋体" w:hAnsi="宋体" w:cs="宋体"/>
          <w:bCs/>
          <w:color w:val="auto"/>
          <w:sz w:val="24"/>
          <w:highlight w:val="none"/>
        </w:rPr>
      </w:pPr>
      <w:r>
        <w:rPr>
          <w:rFonts w:hint="eastAsia" w:ascii="宋体" w:hAnsi="宋体" w:cs="宋体"/>
          <w:bCs/>
          <w:color w:val="auto"/>
          <w:sz w:val="24"/>
          <w:highlight w:val="none"/>
        </w:rPr>
        <w:t>日期:</w:t>
      </w:r>
    </w:p>
    <w:p w14:paraId="3DD277FA">
      <w:pPr>
        <w:spacing w:line="360" w:lineRule="auto"/>
        <w:ind w:firstLine="4080" w:firstLineChars="1700"/>
        <w:jc w:val="left"/>
        <w:rPr>
          <w:rFonts w:hint="eastAsia" w:ascii="宋体" w:hAnsi="宋体" w:eastAsia="宋体" w:cs="宋体"/>
          <w:color w:val="auto"/>
          <w:sz w:val="24"/>
          <w:szCs w:val="24"/>
          <w:highlight w:val="none"/>
        </w:rPr>
      </w:pPr>
    </w:p>
    <w:p w14:paraId="77730655">
      <w:pPr>
        <w:spacing w:line="440" w:lineRule="exact"/>
        <w:jc w:val="center"/>
        <w:rPr>
          <w:rFonts w:hint="eastAsia" w:ascii="宋体" w:hAnsi="宋体" w:eastAsia="宋体" w:cs="宋体"/>
          <w:color w:val="auto"/>
          <w:sz w:val="24"/>
          <w:szCs w:val="24"/>
          <w:highlight w:val="none"/>
        </w:rPr>
      </w:pPr>
    </w:p>
    <w:p w14:paraId="590CD062">
      <w:pPr>
        <w:rPr>
          <w:rFonts w:hint="eastAsia" w:ascii="宋体" w:hAnsi="宋体" w:eastAsia="宋体" w:cs="宋体"/>
          <w:color w:val="auto"/>
          <w:sz w:val="24"/>
          <w:szCs w:val="24"/>
          <w:highlight w:val="none"/>
        </w:rPr>
      </w:pPr>
    </w:p>
    <w:p w14:paraId="15C8D160">
      <w:pPr>
        <w:pStyle w:val="14"/>
        <w:spacing w:before="75" w:beforeAutospacing="0" w:after="75" w:afterAutospacing="0" w:line="540" w:lineRule="atLeast"/>
        <w:rPr>
          <w:rFonts w:hint="eastAsia" w:ascii="宋体" w:hAnsi="宋体" w:eastAsia="宋体" w:cs="宋体"/>
          <w:color w:val="auto"/>
          <w:sz w:val="24"/>
          <w:szCs w:val="24"/>
          <w:highlight w:val="none"/>
        </w:rPr>
      </w:pPr>
    </w:p>
    <w:p w14:paraId="4CD83838">
      <w:pPr>
        <w:pStyle w:val="14"/>
        <w:spacing w:before="75" w:beforeAutospacing="0" w:after="75" w:afterAutospacing="0" w:line="540" w:lineRule="atLeast"/>
        <w:rPr>
          <w:rFonts w:hint="eastAsia" w:ascii="宋体" w:hAnsi="宋体" w:eastAsia="宋体" w:cs="宋体"/>
          <w:color w:val="auto"/>
          <w:sz w:val="24"/>
          <w:szCs w:val="24"/>
          <w:highlight w:val="none"/>
        </w:rPr>
      </w:pPr>
    </w:p>
    <w:p w14:paraId="05A1E461">
      <w:pPr>
        <w:pStyle w:val="14"/>
        <w:spacing w:before="75" w:beforeAutospacing="0" w:after="75" w:afterAutospacing="0" w:line="540" w:lineRule="atLeast"/>
        <w:rPr>
          <w:rFonts w:hint="eastAsia" w:ascii="宋体" w:hAnsi="宋体" w:eastAsia="宋体" w:cs="宋体"/>
          <w:color w:val="auto"/>
          <w:sz w:val="24"/>
          <w:szCs w:val="24"/>
          <w:highlight w:val="none"/>
        </w:rPr>
      </w:pPr>
    </w:p>
    <w:p w14:paraId="4ACD8C81">
      <w:pPr>
        <w:pStyle w:val="29"/>
        <w:numPr>
          <w:ilvl w:val="0"/>
          <w:numId w:val="0"/>
        </w:numPr>
        <w:jc w:val="center"/>
        <w:outlineLvl w:val="1"/>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br w:type="page"/>
      </w:r>
      <w:r>
        <w:rPr>
          <w:rFonts w:hint="eastAsia" w:ascii="宋体" w:hAnsi="宋体" w:cs="宋体"/>
          <w:b/>
          <w:bCs/>
          <w:color w:val="auto"/>
          <w:kern w:val="0"/>
          <w:sz w:val="24"/>
          <w:szCs w:val="24"/>
          <w:highlight w:val="none"/>
          <w:lang w:val="en-US" w:eastAsia="zh-CN"/>
        </w:rPr>
        <w:t>七、</w:t>
      </w:r>
      <w:r>
        <w:rPr>
          <w:rFonts w:hint="eastAsia" w:ascii="宋体" w:hAnsi="宋体" w:eastAsia="宋体" w:cs="宋体"/>
          <w:b/>
          <w:bCs/>
          <w:color w:val="auto"/>
          <w:kern w:val="0"/>
          <w:sz w:val="24"/>
          <w:szCs w:val="24"/>
          <w:highlight w:val="none"/>
        </w:rPr>
        <w:t>实施方案</w:t>
      </w:r>
    </w:p>
    <w:p w14:paraId="5C2E893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bookmarkEnd w:id="138"/>
    <w:p w14:paraId="0E7BCE16">
      <w:pPr>
        <w:pStyle w:val="6"/>
        <w:ind w:firstLine="0" w:firstLineChars="0"/>
        <w:jc w:val="center"/>
        <w:outlineLvl w:val="1"/>
        <w:rPr>
          <w:rFonts w:hint="default" w:ascii="宋体" w:hAnsi="宋体" w:eastAsia="宋体" w:cs="宋体"/>
          <w:b/>
          <w:bCs/>
          <w:color w:val="auto"/>
          <w:kern w:val="0"/>
          <w:sz w:val="24"/>
          <w:szCs w:val="24"/>
          <w:highlight w:val="none"/>
          <w:lang w:val="en-US" w:eastAsia="zh-CN"/>
        </w:rPr>
        <w:sectPr>
          <w:footerReference r:id="rId4" w:type="default"/>
          <w:pgSz w:w="11906" w:h="16838"/>
          <w:pgMar w:top="1440" w:right="1800" w:bottom="1440" w:left="1800" w:header="851" w:footer="992" w:gutter="0"/>
          <w:pgNumType w:fmt="decimal" w:start="1"/>
          <w:cols w:space="720" w:num="1"/>
          <w:docGrid w:type="lines" w:linePitch="312" w:charSpace="0"/>
        </w:sectPr>
      </w:pPr>
      <w:bookmarkStart w:id="143" w:name="_Toc31271_WPSOffice_Level1"/>
      <w:r>
        <w:rPr>
          <w:rFonts w:hint="eastAsia" w:ascii="宋体" w:hAnsi="宋体" w:cs="宋体"/>
          <w:b/>
          <w:bCs/>
          <w:color w:val="auto"/>
          <w:kern w:val="0"/>
          <w:sz w:val="24"/>
          <w:szCs w:val="24"/>
          <w:highlight w:val="none"/>
          <w:lang w:val="en-US" w:eastAsia="zh-CN"/>
        </w:rPr>
        <w:t>根据第五章“评标办法”所需内容自拟格式</w:t>
      </w:r>
    </w:p>
    <w:p w14:paraId="6326F5F6">
      <w:pPr>
        <w:pStyle w:val="6"/>
        <w:ind w:firstLine="0" w:firstLineChars="0"/>
        <w:jc w:val="center"/>
        <w:outlineLvl w:val="1"/>
        <w:rPr>
          <w:rFonts w:hint="eastAsia" w:ascii="宋体" w:hAnsi="宋体" w:eastAsia="宋体" w:cs="宋体"/>
          <w:b/>
          <w:bCs/>
          <w:color w:val="auto"/>
          <w:kern w:val="0"/>
          <w:sz w:val="24"/>
          <w:szCs w:val="24"/>
          <w:highlight w:val="none"/>
        </w:rPr>
      </w:pPr>
      <w:r>
        <w:rPr>
          <w:rFonts w:hint="eastAsia" w:ascii="宋体" w:hAnsi="宋体" w:cs="宋体"/>
          <w:b/>
          <w:bCs/>
          <w:color w:val="auto"/>
          <w:kern w:val="0"/>
          <w:sz w:val="24"/>
          <w:szCs w:val="24"/>
          <w:highlight w:val="none"/>
          <w:lang w:val="en-US" w:eastAsia="zh-CN"/>
        </w:rPr>
        <w:t>九</w:t>
      </w:r>
      <w:r>
        <w:rPr>
          <w:rFonts w:hint="eastAsia" w:ascii="宋体" w:hAnsi="宋体" w:eastAsia="宋体" w:cs="宋体"/>
          <w:b/>
          <w:bCs/>
          <w:color w:val="auto"/>
          <w:kern w:val="0"/>
          <w:sz w:val="24"/>
          <w:szCs w:val="24"/>
          <w:highlight w:val="none"/>
        </w:rPr>
        <w:t>、投标人认为需要提供的其他文件和资料</w:t>
      </w:r>
    </w:p>
    <w:p w14:paraId="2F087503">
      <w:pPr>
        <w:pStyle w:val="14"/>
        <w:keepNext w:val="0"/>
        <w:keepLines w:val="0"/>
        <w:widowControl/>
        <w:suppressLineNumbers w:val="0"/>
        <w:wordWrap w:val="0"/>
        <w:spacing w:before="75" w:beforeAutospacing="0" w:after="75" w:afterAutospacing="0" w:line="420" w:lineRule="atLeast"/>
        <w:ind w:left="0" w:right="0" w:firstLine="420"/>
        <w:jc w:val="center"/>
        <w:rPr>
          <w:rFonts w:hint="default" w:ascii="Times New Roman" w:hAnsi="Times New Roman" w:cs="Times New Roman"/>
          <w:i w:val="0"/>
          <w:iCs w:val="0"/>
          <w:caps w:val="0"/>
          <w:color w:val="auto"/>
          <w:spacing w:val="0"/>
          <w:sz w:val="27"/>
          <w:szCs w:val="27"/>
          <w:highlight w:val="none"/>
        </w:rPr>
      </w:pPr>
      <w:r>
        <w:rPr>
          <w:rFonts w:hint="default" w:ascii="Times New Roman" w:hAnsi="Times New Roman" w:cs="Times New Roman"/>
          <w:i w:val="0"/>
          <w:iCs w:val="0"/>
          <w:caps w:val="0"/>
          <w:color w:val="auto"/>
          <w:spacing w:val="0"/>
          <w:sz w:val="30"/>
          <w:szCs w:val="30"/>
          <w:highlight w:val="none"/>
        </w:rPr>
        <w:t>中小企业划型标准规定</w:t>
      </w:r>
    </w:p>
    <w:p w14:paraId="5395781E">
      <w:pPr>
        <w:pStyle w:val="14"/>
        <w:keepNext w:val="0"/>
        <w:keepLines w:val="0"/>
        <w:widowControl/>
        <w:suppressLineNumbers w:val="0"/>
        <w:wordWrap w:val="0"/>
        <w:spacing w:before="75" w:beforeAutospacing="0" w:after="270" w:afterAutospacing="0"/>
        <w:ind w:left="0" w:right="0" w:firstLine="0"/>
        <w:rPr>
          <w:rFonts w:hint="default" w:ascii="Times New Roman" w:hAnsi="Times New Roman" w:cs="Times New Roman"/>
          <w:i w:val="0"/>
          <w:iCs w:val="0"/>
          <w:caps w:val="0"/>
          <w:color w:val="auto"/>
          <w:spacing w:val="0"/>
          <w:sz w:val="27"/>
          <w:szCs w:val="27"/>
          <w:highlight w:val="none"/>
        </w:rPr>
      </w:pPr>
    </w:p>
    <w:p w14:paraId="44A8D883">
      <w:pPr>
        <w:pStyle w:val="14"/>
        <w:keepNext w:val="0"/>
        <w:keepLines w:val="0"/>
        <w:widowControl/>
        <w:suppressLineNumbers w:val="0"/>
        <w:wordWrap w:val="0"/>
        <w:spacing w:before="75" w:beforeAutospacing="0" w:after="75" w:afterAutospacing="0" w:line="420" w:lineRule="atLeast"/>
        <w:ind w:left="0" w:right="0" w:firstLine="420"/>
        <w:rPr>
          <w:rFonts w:hint="default" w:ascii="Times New Roman" w:hAnsi="Times New Roman" w:cs="Times New Roman"/>
          <w:i w:val="0"/>
          <w:iCs w:val="0"/>
          <w:caps w:val="0"/>
          <w:color w:val="auto"/>
          <w:spacing w:val="0"/>
          <w:sz w:val="27"/>
          <w:szCs w:val="27"/>
          <w:highlight w:val="none"/>
        </w:rPr>
      </w:pPr>
      <w:r>
        <w:rPr>
          <w:rFonts w:hint="default" w:ascii="Times New Roman" w:hAnsi="Times New Roman" w:cs="Times New Roman"/>
          <w:i w:val="0"/>
          <w:iCs w:val="0"/>
          <w:caps w:val="0"/>
          <w:color w:val="auto"/>
          <w:spacing w:val="0"/>
          <w:sz w:val="27"/>
          <w:szCs w:val="27"/>
          <w:highlight w:val="none"/>
        </w:rPr>
        <w:t>一、根据《中华人民共和国中小企业促进法》和《国务院关于进一步促进中小企业发展的若干意见》(（国发〔2009〕[2009]36号)，制定本规定。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二、中小企业划分为中型、小型、微型三种类型，具体标准根据企业从业人员、营业收入、资产总额等指标，结合行业特点制定。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四、各行业划型标准为：</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（一）农、林、牧、渔业。营业收入20000万元以下的为中小微型企业。其中，营业收入500万元及以上的为中型企业，营业收入50万元及以上的为小型企业，营业收入50万元以下的为微型企业。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（十六）其他未列明行业。从业人员300人以下的为中小微型企业。其中，从业人员100人及以上的为中型企业；从业人员10人及以上的为小型企业；从业人员10人以下的为微型企业。</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五、企业类型的划分以统计部门的统计数据为依据。</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六、本规定适用于在中华人民共和国境内依法设立的各类所有制和各种组织形式的企业。个体工商户和本规定以外的行业，参照本规定进行划型。</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七、本规定的中型企业标准上限即为大型企业标准的下限，国家统计部门据此制定大中小微型企业的统计分类。国务院有关部门据此进行相关数据分析，不得制定与本规定不一致的企业划型标准。</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八、本规定由工业和信息化部、国家统计局会同有关部门根据《国民经济行业分类》修订情况和企业发展变化情况适时修订。</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九、本规定由工业和信息化部、国家统计局会同有关部门负责解释。</w:t>
      </w:r>
      <w:r>
        <w:rPr>
          <w:rFonts w:hint="default" w:ascii="Times New Roman" w:hAnsi="Times New Roman" w:cs="Times New Roman"/>
          <w:i w:val="0"/>
          <w:iCs w:val="0"/>
          <w:caps w:val="0"/>
          <w:color w:val="auto"/>
          <w:spacing w:val="0"/>
          <w:sz w:val="27"/>
          <w:szCs w:val="27"/>
          <w:highlight w:val="none"/>
        </w:rPr>
        <w:br w:type="textWrapping"/>
      </w:r>
      <w:r>
        <w:rPr>
          <w:rFonts w:hint="default" w:ascii="Times New Roman" w:hAnsi="Times New Roman" w:cs="Times New Roman"/>
          <w:i w:val="0"/>
          <w:iCs w:val="0"/>
          <w:caps w:val="0"/>
          <w:color w:val="auto"/>
          <w:spacing w:val="0"/>
          <w:sz w:val="27"/>
          <w:szCs w:val="27"/>
          <w:highlight w:val="none"/>
        </w:rPr>
        <w:t>　　十、本规定自发布之日起执行，原国家经贸委、原国家计委、财政部和国家统计局2003年颁布的《中小企业标准暂行规定》同时废止。</w:t>
      </w:r>
    </w:p>
    <w:p w14:paraId="17645A84">
      <w:pPr>
        <w:pStyle w:val="28"/>
        <w:ind w:left="0" w:leftChars="0" w:firstLine="0" w:firstLineChars="0"/>
        <w:rPr>
          <w:rFonts w:hint="eastAsia" w:ascii="宋体" w:hAnsi="宋体" w:eastAsia="宋体" w:cs="宋体"/>
          <w:bCs/>
          <w:color w:val="auto"/>
          <w:sz w:val="24"/>
          <w:szCs w:val="24"/>
          <w:highlight w:val="none"/>
        </w:rPr>
      </w:pPr>
    </w:p>
    <w:p w14:paraId="63A9365F">
      <w:pPr>
        <w:spacing w:line="4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1、以下《中小微企业声明函》、《监狱企业的证明文件》及《残疾人福利性单位声明函》投标人根据自身的实际情况选用（如有）。</w:t>
      </w:r>
    </w:p>
    <w:p w14:paraId="1E3E8CEB">
      <w:pPr>
        <w:spacing w:line="4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2、投标人同时为小型（或微型）企业、监狱企业、残疾人福利性单位任两种或以上情况的，评审中只享受一次价格扣除（或评审得分优惠），不重复进行价格扣除。</w:t>
      </w:r>
    </w:p>
    <w:p w14:paraId="0D8E8E4B">
      <w:pPr>
        <w:pStyle w:val="15"/>
        <w:pageBreakBefore w:val="0"/>
        <w:shd w:val="clear" w:color="auto" w:fill="auto"/>
        <w:kinsoku/>
        <w:wordWrap/>
        <w:overflowPunct/>
        <w:topLinePunct w:val="0"/>
        <w:bidi w:val="0"/>
        <w:spacing w:line="460" w:lineRule="exact"/>
        <w:ind w:left="0" w:leftChars="0" w:right="0" w:rightChars="0" w:firstLine="480" w:firstLineChars="200"/>
        <w:jc w:val="center"/>
        <w:outlineLvl w:val="2"/>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lang w:eastAsia="zh-CN"/>
        </w:rPr>
        <w:t>（</w:t>
      </w:r>
      <w:r>
        <w:rPr>
          <w:rFonts w:hint="eastAsia" w:ascii="宋体" w:hAnsi="宋体" w:eastAsia="宋体" w:cs="宋体"/>
          <w:b w:val="0"/>
          <w:bCs/>
          <w:color w:val="auto"/>
          <w:sz w:val="24"/>
          <w:szCs w:val="24"/>
          <w:highlight w:val="none"/>
          <w:shd w:val="clear" w:color="auto" w:fill="auto"/>
          <w:lang w:val="en-US" w:eastAsia="zh-CN"/>
        </w:rPr>
        <w:t>一</w:t>
      </w:r>
      <w:r>
        <w:rPr>
          <w:rFonts w:hint="eastAsia" w:ascii="宋体" w:hAnsi="宋体" w:eastAsia="宋体" w:cs="宋体"/>
          <w:b w:val="0"/>
          <w:bCs/>
          <w:color w:val="auto"/>
          <w:sz w:val="24"/>
          <w:szCs w:val="24"/>
          <w:highlight w:val="none"/>
          <w:shd w:val="clear" w:color="auto" w:fill="auto"/>
          <w:lang w:eastAsia="zh-CN"/>
        </w:rPr>
        <w:t>）</w:t>
      </w:r>
      <w:r>
        <w:rPr>
          <w:rFonts w:hint="eastAsia" w:ascii="宋体" w:hAnsi="宋体" w:eastAsia="宋体" w:cs="宋体"/>
          <w:b w:val="0"/>
          <w:bCs/>
          <w:color w:val="auto"/>
          <w:sz w:val="24"/>
          <w:szCs w:val="24"/>
          <w:highlight w:val="none"/>
          <w:shd w:val="clear" w:color="auto" w:fill="auto"/>
        </w:rPr>
        <w:t>中小企业声明函</w:t>
      </w:r>
    </w:p>
    <w:p w14:paraId="2725A17D">
      <w:pPr>
        <w:pStyle w:val="15"/>
        <w:pageBreakBefore w:val="0"/>
        <w:shd w:val="clear" w:color="auto" w:fill="auto"/>
        <w:kinsoku/>
        <w:wordWrap/>
        <w:overflowPunct/>
        <w:topLinePunct w:val="0"/>
        <w:bidi w:val="0"/>
        <w:spacing w:line="460" w:lineRule="exact"/>
        <w:ind w:left="0" w:leftChars="0" w:right="0" w:rightChars="0" w:firstLine="480" w:firstLineChars="200"/>
        <w:rPr>
          <w:rFonts w:hint="eastAsia" w:ascii="宋体" w:hAnsi="宋体" w:eastAsia="宋体" w:cs="宋体"/>
          <w:b w:val="0"/>
          <w:bCs/>
          <w:color w:val="auto"/>
          <w:sz w:val="24"/>
          <w:szCs w:val="24"/>
          <w:highlight w:val="none"/>
          <w:shd w:val="clear" w:color="auto" w:fill="auto"/>
        </w:rPr>
      </w:pPr>
    </w:p>
    <w:p w14:paraId="29B4902D">
      <w:pPr>
        <w:pStyle w:val="15"/>
        <w:pageBreakBefore w:val="0"/>
        <w:shd w:val="clear" w:color="auto" w:fill="auto"/>
        <w:kinsoku/>
        <w:wordWrap/>
        <w:overflowPunct/>
        <w:topLinePunct w:val="0"/>
        <w:bidi w:val="0"/>
        <w:spacing w:line="460" w:lineRule="exact"/>
        <w:ind w:left="0" w:leftChars="0" w:right="0" w:rightChars="0" w:firstLine="480" w:firstLineChars="200"/>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本公司（联合体）郑重声明，根据《政府采购促进中小企业发展管理办法》（财库﹝2020﹞46号）的规定，本公司（联合体）参加</w:t>
      </w:r>
    </w:p>
    <w:p w14:paraId="5AB0A0B2">
      <w:pPr>
        <w:pStyle w:val="15"/>
        <w:pageBreakBefore w:val="0"/>
        <w:shd w:val="clear" w:color="auto" w:fill="auto"/>
        <w:kinsoku/>
        <w:wordWrap/>
        <w:overflowPunct/>
        <w:topLinePunct w:val="0"/>
        <w:bidi w:val="0"/>
        <w:spacing w:line="460" w:lineRule="exact"/>
        <w:ind w:left="0" w:leftChars="0" w:right="0" w:rightChars="0" w:firstLine="480" w:firstLineChars="200"/>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u w:val="single"/>
          <w:shd w:val="clear" w:color="auto" w:fill="auto"/>
        </w:rPr>
        <w:t>（单位名称）</w:t>
      </w:r>
      <w:r>
        <w:rPr>
          <w:rFonts w:hint="eastAsia" w:ascii="宋体" w:hAnsi="宋体" w:eastAsia="宋体" w:cs="宋体"/>
          <w:b w:val="0"/>
          <w:bCs/>
          <w:color w:val="auto"/>
          <w:sz w:val="24"/>
          <w:szCs w:val="24"/>
          <w:highlight w:val="none"/>
          <w:shd w:val="clear" w:color="auto" w:fill="auto"/>
        </w:rPr>
        <w:t>的</w:t>
      </w:r>
      <w:r>
        <w:rPr>
          <w:rFonts w:hint="eastAsia" w:ascii="宋体" w:hAnsi="宋体" w:eastAsia="宋体" w:cs="宋体"/>
          <w:b w:val="0"/>
          <w:bCs/>
          <w:color w:val="auto"/>
          <w:sz w:val="24"/>
          <w:szCs w:val="24"/>
          <w:highlight w:val="none"/>
          <w:u w:val="single"/>
          <w:shd w:val="clear" w:color="auto" w:fill="auto"/>
        </w:rPr>
        <w:t>（项目名称）</w:t>
      </w:r>
      <w:r>
        <w:rPr>
          <w:rFonts w:hint="eastAsia" w:ascii="宋体" w:hAnsi="宋体" w:eastAsia="宋体" w:cs="宋体"/>
          <w:b w:val="0"/>
          <w:bCs/>
          <w:color w:val="auto"/>
          <w:sz w:val="24"/>
          <w:szCs w:val="24"/>
          <w:highlight w:val="none"/>
          <w:shd w:val="clear" w:color="auto" w:fill="auto"/>
        </w:rPr>
        <w:t>采购活动，</w:t>
      </w:r>
      <w:r>
        <w:rPr>
          <w:rFonts w:hint="eastAsia" w:ascii="宋体" w:hAnsi="宋体" w:eastAsia="宋体" w:cs="宋体"/>
          <w:b w:val="0"/>
          <w:bCs/>
          <w:color w:val="auto"/>
          <w:sz w:val="24"/>
          <w:szCs w:val="24"/>
          <w:highlight w:val="none"/>
          <w:shd w:val="clear" w:color="auto" w:fill="auto"/>
          <w:lang w:val="en-US" w:eastAsia="zh-CN"/>
        </w:rPr>
        <w:t>工程的施工单位</w:t>
      </w:r>
      <w:r>
        <w:rPr>
          <w:rFonts w:hint="eastAsia" w:ascii="宋体" w:hAnsi="宋体" w:eastAsia="宋体" w:cs="宋体"/>
          <w:b w:val="0"/>
          <w:bCs/>
          <w:color w:val="auto"/>
          <w:sz w:val="24"/>
          <w:szCs w:val="24"/>
          <w:highlight w:val="none"/>
          <w:shd w:val="clear" w:color="auto" w:fill="auto"/>
        </w:rPr>
        <w:t>全部</w:t>
      </w:r>
      <w:r>
        <w:rPr>
          <w:rFonts w:hint="eastAsia" w:ascii="宋体" w:hAnsi="宋体" w:eastAsia="宋体" w:cs="宋体"/>
          <w:b w:val="0"/>
          <w:bCs/>
          <w:color w:val="auto"/>
          <w:sz w:val="24"/>
          <w:szCs w:val="24"/>
          <w:highlight w:val="none"/>
          <w:shd w:val="clear" w:color="auto" w:fill="auto"/>
          <w:lang w:val="en-US" w:eastAsia="zh-CN"/>
        </w:rPr>
        <w:t>为</w:t>
      </w:r>
      <w:r>
        <w:rPr>
          <w:rFonts w:hint="eastAsia" w:ascii="宋体" w:hAnsi="宋体" w:eastAsia="宋体" w:cs="宋体"/>
          <w:b w:val="0"/>
          <w:bCs/>
          <w:color w:val="auto"/>
          <w:sz w:val="24"/>
          <w:szCs w:val="24"/>
          <w:highlight w:val="none"/>
          <w:shd w:val="clear" w:color="auto" w:fill="auto"/>
        </w:rPr>
        <w:t>符合政策要求的中小企业</w:t>
      </w:r>
      <w:r>
        <w:rPr>
          <w:rFonts w:hint="eastAsia" w:ascii="宋体" w:hAnsi="宋体" w:eastAsia="宋体" w:cs="宋体"/>
          <w:b w:val="0"/>
          <w:bCs/>
          <w:color w:val="auto"/>
          <w:sz w:val="24"/>
          <w:szCs w:val="24"/>
          <w:highlight w:val="none"/>
          <w:shd w:val="clear" w:color="auto" w:fill="auto"/>
          <w:lang w:eastAsia="zh-CN"/>
        </w:rPr>
        <w:t>（</w:t>
      </w:r>
      <w:r>
        <w:rPr>
          <w:rFonts w:hint="eastAsia" w:ascii="宋体" w:hAnsi="宋体" w:eastAsia="宋体" w:cs="宋体"/>
          <w:b w:val="0"/>
          <w:bCs/>
          <w:color w:val="auto"/>
          <w:sz w:val="24"/>
          <w:szCs w:val="24"/>
          <w:highlight w:val="none"/>
          <w:shd w:val="clear" w:color="auto" w:fill="auto"/>
          <w:lang w:val="en-US" w:eastAsia="zh-CN"/>
        </w:rPr>
        <w:t>或者：服务全部由符合政策要求的中小企业承接</w:t>
      </w:r>
      <w:r>
        <w:rPr>
          <w:rFonts w:hint="eastAsia" w:ascii="宋体" w:hAnsi="宋体" w:eastAsia="宋体" w:cs="宋体"/>
          <w:b w:val="0"/>
          <w:bCs/>
          <w:color w:val="auto"/>
          <w:sz w:val="24"/>
          <w:szCs w:val="24"/>
          <w:highlight w:val="none"/>
          <w:shd w:val="clear" w:color="auto" w:fill="auto"/>
          <w:lang w:eastAsia="zh-CN"/>
        </w:rPr>
        <w:t>）</w:t>
      </w:r>
      <w:r>
        <w:rPr>
          <w:rFonts w:hint="eastAsia" w:ascii="宋体" w:hAnsi="宋体" w:eastAsia="宋体" w:cs="宋体"/>
          <w:b w:val="0"/>
          <w:bCs/>
          <w:color w:val="auto"/>
          <w:sz w:val="24"/>
          <w:szCs w:val="24"/>
          <w:highlight w:val="none"/>
          <w:shd w:val="clear" w:color="auto" w:fill="auto"/>
        </w:rPr>
        <w:t>。相关企业（含联合体中的中小企业、签订分包意向协议的中小企业）的具体情况如下：</w:t>
      </w:r>
    </w:p>
    <w:p w14:paraId="272C155B">
      <w:pPr>
        <w:pStyle w:val="15"/>
        <w:pageBreakBefore w:val="0"/>
        <w:shd w:val="clear" w:color="auto" w:fill="auto"/>
        <w:kinsoku/>
        <w:wordWrap/>
        <w:overflowPunct/>
        <w:topLinePunct w:val="0"/>
        <w:bidi w:val="0"/>
        <w:spacing w:line="460" w:lineRule="exact"/>
        <w:ind w:left="0" w:leftChars="0" w:right="0" w:rightChars="0" w:firstLine="480" w:firstLineChars="200"/>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1.</w:t>
      </w:r>
      <w:r>
        <w:rPr>
          <w:rFonts w:hint="eastAsia" w:ascii="宋体" w:hAnsi="宋体" w:eastAsia="宋体" w:cs="宋体"/>
          <w:b w:val="0"/>
          <w:bCs/>
          <w:color w:val="auto"/>
          <w:sz w:val="24"/>
          <w:szCs w:val="24"/>
          <w:highlight w:val="none"/>
          <w:u w:val="single"/>
          <w:shd w:val="clear" w:color="auto" w:fill="auto"/>
        </w:rPr>
        <w:t xml:space="preserve"> （标的名称）</w:t>
      </w:r>
      <w:r>
        <w:rPr>
          <w:rFonts w:hint="eastAsia" w:ascii="宋体" w:hAnsi="宋体" w:eastAsia="宋体" w:cs="宋体"/>
          <w:b w:val="0"/>
          <w:bCs/>
          <w:color w:val="auto"/>
          <w:sz w:val="24"/>
          <w:szCs w:val="24"/>
          <w:highlight w:val="none"/>
          <w:shd w:val="clear" w:color="auto" w:fill="auto"/>
        </w:rPr>
        <w:t>，属于</w:t>
      </w:r>
      <w:r>
        <w:rPr>
          <w:rFonts w:hint="eastAsia" w:ascii="宋体" w:hAnsi="宋体" w:eastAsia="宋体" w:cs="宋体"/>
          <w:b w:val="0"/>
          <w:bCs/>
          <w:color w:val="auto"/>
          <w:sz w:val="24"/>
          <w:szCs w:val="24"/>
          <w:highlight w:val="none"/>
          <w:u w:val="single"/>
          <w:shd w:val="clear" w:color="auto" w:fill="auto"/>
        </w:rPr>
        <w:t>（采购文件中明确的所属行业）行业</w:t>
      </w:r>
      <w:r>
        <w:rPr>
          <w:rFonts w:hint="eastAsia" w:ascii="宋体" w:hAnsi="宋体" w:eastAsia="宋体" w:cs="宋体"/>
          <w:b w:val="0"/>
          <w:bCs/>
          <w:color w:val="auto"/>
          <w:sz w:val="24"/>
          <w:szCs w:val="24"/>
          <w:highlight w:val="none"/>
          <w:shd w:val="clear" w:color="auto" w:fill="auto"/>
        </w:rPr>
        <w:t>；</w:t>
      </w:r>
      <w:r>
        <w:rPr>
          <w:rFonts w:hint="eastAsia" w:ascii="宋体" w:hAnsi="宋体" w:eastAsia="宋体" w:cs="宋体"/>
          <w:b w:val="0"/>
          <w:bCs/>
          <w:color w:val="auto"/>
          <w:sz w:val="24"/>
          <w:szCs w:val="24"/>
          <w:highlight w:val="none"/>
          <w:shd w:val="clear" w:color="auto" w:fill="auto"/>
          <w:lang w:val="en-US" w:eastAsia="zh-CN"/>
        </w:rPr>
        <w:t>承建（承接）企业</w:t>
      </w:r>
      <w:r>
        <w:rPr>
          <w:rFonts w:hint="eastAsia" w:ascii="宋体" w:hAnsi="宋体" w:eastAsia="宋体" w:cs="宋体"/>
          <w:b w:val="0"/>
          <w:bCs/>
          <w:color w:val="auto"/>
          <w:sz w:val="24"/>
          <w:szCs w:val="24"/>
          <w:highlight w:val="none"/>
          <w:shd w:val="clear" w:color="auto" w:fill="auto"/>
        </w:rPr>
        <w:t>为</w:t>
      </w:r>
      <w:r>
        <w:rPr>
          <w:rFonts w:hint="eastAsia" w:ascii="宋体" w:hAnsi="宋体" w:eastAsia="宋体" w:cs="宋体"/>
          <w:b w:val="0"/>
          <w:bCs/>
          <w:color w:val="auto"/>
          <w:sz w:val="24"/>
          <w:szCs w:val="24"/>
          <w:highlight w:val="none"/>
          <w:u w:val="single"/>
          <w:shd w:val="clear" w:color="auto" w:fill="auto"/>
        </w:rPr>
        <w:t>（企业名称）</w:t>
      </w:r>
      <w:r>
        <w:rPr>
          <w:rFonts w:hint="eastAsia" w:ascii="宋体" w:hAnsi="宋体" w:eastAsia="宋体" w:cs="宋体"/>
          <w:b w:val="0"/>
          <w:bCs/>
          <w:color w:val="auto"/>
          <w:sz w:val="24"/>
          <w:szCs w:val="24"/>
          <w:highlight w:val="none"/>
          <w:shd w:val="clear" w:color="auto" w:fill="auto"/>
        </w:rPr>
        <w:t>，从业人员</w:t>
      </w:r>
      <w:r>
        <w:rPr>
          <w:rFonts w:hint="eastAsia" w:ascii="宋体" w:hAnsi="宋体" w:eastAsia="宋体" w:cs="宋体"/>
          <w:b w:val="0"/>
          <w:bCs/>
          <w:color w:val="auto"/>
          <w:sz w:val="24"/>
          <w:szCs w:val="24"/>
          <w:highlight w:val="none"/>
          <w:u w:val="single"/>
          <w:shd w:val="clear" w:color="auto" w:fill="auto"/>
        </w:rPr>
        <w:t xml:space="preserve">    </w:t>
      </w:r>
      <w:r>
        <w:rPr>
          <w:rFonts w:hint="eastAsia" w:ascii="宋体" w:hAnsi="宋体" w:eastAsia="宋体" w:cs="宋体"/>
          <w:b w:val="0"/>
          <w:bCs/>
          <w:color w:val="auto"/>
          <w:sz w:val="24"/>
          <w:szCs w:val="24"/>
          <w:highlight w:val="none"/>
          <w:shd w:val="clear" w:color="auto" w:fill="auto"/>
        </w:rPr>
        <w:t>人，营业收入为</w:t>
      </w:r>
      <w:r>
        <w:rPr>
          <w:rFonts w:hint="eastAsia" w:ascii="宋体" w:hAnsi="宋体" w:eastAsia="宋体" w:cs="宋体"/>
          <w:b w:val="0"/>
          <w:bCs/>
          <w:color w:val="auto"/>
          <w:sz w:val="24"/>
          <w:szCs w:val="24"/>
          <w:highlight w:val="none"/>
          <w:u w:val="single"/>
          <w:shd w:val="clear" w:color="auto" w:fill="auto"/>
        </w:rPr>
        <w:t xml:space="preserve">    </w:t>
      </w:r>
      <w:r>
        <w:rPr>
          <w:rFonts w:hint="eastAsia" w:ascii="宋体" w:hAnsi="宋体" w:eastAsia="宋体" w:cs="宋体"/>
          <w:b w:val="0"/>
          <w:bCs/>
          <w:color w:val="auto"/>
          <w:sz w:val="24"/>
          <w:szCs w:val="24"/>
          <w:highlight w:val="none"/>
          <w:shd w:val="clear" w:color="auto" w:fill="auto"/>
        </w:rPr>
        <w:t>万元，资产总额为</w:t>
      </w:r>
      <w:r>
        <w:rPr>
          <w:rFonts w:hint="eastAsia" w:ascii="宋体" w:hAnsi="宋体" w:eastAsia="宋体" w:cs="宋体"/>
          <w:b w:val="0"/>
          <w:bCs/>
          <w:color w:val="auto"/>
          <w:sz w:val="24"/>
          <w:szCs w:val="24"/>
          <w:highlight w:val="none"/>
          <w:u w:val="single"/>
          <w:shd w:val="clear" w:color="auto" w:fill="auto"/>
        </w:rPr>
        <w:t xml:space="preserve">   </w:t>
      </w:r>
      <w:r>
        <w:rPr>
          <w:rFonts w:hint="eastAsia" w:ascii="宋体" w:hAnsi="宋体" w:eastAsia="宋体" w:cs="宋体"/>
          <w:b w:val="0"/>
          <w:bCs/>
          <w:color w:val="auto"/>
          <w:sz w:val="24"/>
          <w:szCs w:val="24"/>
          <w:highlight w:val="none"/>
          <w:shd w:val="clear" w:color="auto" w:fill="auto"/>
        </w:rPr>
        <w:t>万元</w:t>
      </w:r>
      <w:r>
        <w:rPr>
          <w:rFonts w:hint="eastAsia" w:ascii="宋体" w:hAnsi="宋体" w:eastAsia="宋体" w:cs="宋体"/>
          <w:b w:val="0"/>
          <w:bCs/>
          <w:color w:val="auto"/>
          <w:sz w:val="24"/>
          <w:szCs w:val="24"/>
          <w:highlight w:val="none"/>
          <w:shd w:val="clear" w:color="auto" w:fill="auto"/>
          <w:vertAlign w:val="superscript"/>
        </w:rPr>
        <w:t>1</w:t>
      </w:r>
      <w:r>
        <w:rPr>
          <w:rFonts w:hint="eastAsia" w:ascii="宋体" w:hAnsi="宋体" w:eastAsia="宋体" w:cs="宋体"/>
          <w:b w:val="0"/>
          <w:bCs/>
          <w:color w:val="auto"/>
          <w:sz w:val="24"/>
          <w:szCs w:val="24"/>
          <w:highlight w:val="none"/>
          <w:shd w:val="clear" w:color="auto" w:fill="auto"/>
        </w:rPr>
        <w:t>，属于（中型企业、小型企业、微型企业）；</w:t>
      </w:r>
    </w:p>
    <w:p w14:paraId="1FA2ECF7">
      <w:pPr>
        <w:pStyle w:val="15"/>
        <w:pageBreakBefore w:val="0"/>
        <w:shd w:val="clear" w:color="auto" w:fill="auto"/>
        <w:kinsoku/>
        <w:wordWrap/>
        <w:overflowPunct/>
        <w:topLinePunct w:val="0"/>
        <w:bidi w:val="0"/>
        <w:spacing w:line="460" w:lineRule="exact"/>
        <w:ind w:left="0" w:leftChars="0" w:right="0" w:rightChars="0" w:firstLine="480" w:firstLineChars="200"/>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2.</w:t>
      </w:r>
      <w:r>
        <w:rPr>
          <w:rFonts w:hint="eastAsia" w:ascii="宋体" w:hAnsi="宋体" w:eastAsia="宋体" w:cs="宋体"/>
          <w:b w:val="0"/>
          <w:bCs/>
          <w:color w:val="auto"/>
          <w:sz w:val="24"/>
          <w:szCs w:val="24"/>
          <w:highlight w:val="none"/>
          <w:u w:val="single"/>
          <w:shd w:val="clear" w:color="auto" w:fill="auto"/>
        </w:rPr>
        <w:t xml:space="preserve"> （标的名称）</w:t>
      </w:r>
      <w:r>
        <w:rPr>
          <w:rFonts w:hint="eastAsia" w:ascii="宋体" w:hAnsi="宋体" w:eastAsia="宋体" w:cs="宋体"/>
          <w:b w:val="0"/>
          <w:bCs/>
          <w:color w:val="auto"/>
          <w:sz w:val="24"/>
          <w:szCs w:val="24"/>
          <w:highlight w:val="none"/>
          <w:shd w:val="clear" w:color="auto" w:fill="auto"/>
        </w:rPr>
        <w:t>，属于</w:t>
      </w:r>
      <w:r>
        <w:rPr>
          <w:rFonts w:hint="eastAsia" w:ascii="宋体" w:hAnsi="宋体" w:eastAsia="宋体" w:cs="宋体"/>
          <w:b w:val="0"/>
          <w:bCs/>
          <w:color w:val="auto"/>
          <w:sz w:val="24"/>
          <w:szCs w:val="24"/>
          <w:highlight w:val="none"/>
          <w:u w:val="single"/>
          <w:shd w:val="clear" w:color="auto" w:fill="auto"/>
        </w:rPr>
        <w:t>（采购文件中明确的所属行业）行业</w:t>
      </w:r>
      <w:r>
        <w:rPr>
          <w:rFonts w:hint="eastAsia" w:ascii="宋体" w:hAnsi="宋体" w:eastAsia="宋体" w:cs="宋体"/>
          <w:b w:val="0"/>
          <w:bCs/>
          <w:color w:val="auto"/>
          <w:sz w:val="24"/>
          <w:szCs w:val="24"/>
          <w:highlight w:val="none"/>
          <w:shd w:val="clear" w:color="auto" w:fill="auto"/>
        </w:rPr>
        <w:t>；</w:t>
      </w:r>
      <w:r>
        <w:rPr>
          <w:rFonts w:hint="eastAsia" w:ascii="宋体" w:hAnsi="宋体" w:eastAsia="宋体" w:cs="宋体"/>
          <w:b w:val="0"/>
          <w:bCs/>
          <w:color w:val="auto"/>
          <w:sz w:val="24"/>
          <w:szCs w:val="24"/>
          <w:highlight w:val="none"/>
          <w:shd w:val="clear" w:color="auto" w:fill="auto"/>
          <w:lang w:val="en-US" w:eastAsia="zh-CN"/>
        </w:rPr>
        <w:t>承建（承接）企业</w:t>
      </w:r>
      <w:r>
        <w:rPr>
          <w:rFonts w:hint="eastAsia" w:ascii="宋体" w:hAnsi="宋体" w:eastAsia="宋体" w:cs="宋体"/>
          <w:b w:val="0"/>
          <w:bCs/>
          <w:color w:val="auto"/>
          <w:sz w:val="24"/>
          <w:szCs w:val="24"/>
          <w:highlight w:val="none"/>
          <w:u w:val="single"/>
          <w:shd w:val="clear" w:color="auto" w:fill="auto"/>
        </w:rPr>
        <w:t>（企业名称）</w:t>
      </w:r>
      <w:r>
        <w:rPr>
          <w:rFonts w:hint="eastAsia" w:ascii="宋体" w:hAnsi="宋体" w:eastAsia="宋体" w:cs="宋体"/>
          <w:b w:val="0"/>
          <w:bCs/>
          <w:color w:val="auto"/>
          <w:sz w:val="24"/>
          <w:szCs w:val="24"/>
          <w:highlight w:val="none"/>
          <w:shd w:val="clear" w:color="auto" w:fill="auto"/>
        </w:rPr>
        <w:t>，从业人员</w:t>
      </w:r>
      <w:r>
        <w:rPr>
          <w:rFonts w:hint="eastAsia" w:ascii="宋体" w:hAnsi="宋体" w:eastAsia="宋体" w:cs="宋体"/>
          <w:b w:val="0"/>
          <w:bCs/>
          <w:color w:val="auto"/>
          <w:sz w:val="24"/>
          <w:szCs w:val="24"/>
          <w:highlight w:val="none"/>
          <w:u w:val="single"/>
          <w:shd w:val="clear" w:color="auto" w:fill="auto"/>
        </w:rPr>
        <w:t xml:space="preserve">   </w:t>
      </w:r>
      <w:r>
        <w:rPr>
          <w:rFonts w:hint="eastAsia" w:ascii="宋体" w:hAnsi="宋体" w:eastAsia="宋体" w:cs="宋体"/>
          <w:b w:val="0"/>
          <w:bCs/>
          <w:color w:val="auto"/>
          <w:sz w:val="24"/>
          <w:szCs w:val="24"/>
          <w:highlight w:val="none"/>
          <w:shd w:val="clear" w:color="auto" w:fill="auto"/>
        </w:rPr>
        <w:t>人，营业收入为</w:t>
      </w:r>
      <w:r>
        <w:rPr>
          <w:rFonts w:hint="eastAsia" w:ascii="宋体" w:hAnsi="宋体" w:eastAsia="宋体" w:cs="宋体"/>
          <w:b w:val="0"/>
          <w:bCs/>
          <w:color w:val="auto"/>
          <w:sz w:val="24"/>
          <w:szCs w:val="24"/>
          <w:highlight w:val="none"/>
          <w:u w:val="single"/>
          <w:shd w:val="clear" w:color="auto" w:fill="auto"/>
        </w:rPr>
        <w:t xml:space="preserve">    </w:t>
      </w:r>
      <w:r>
        <w:rPr>
          <w:rFonts w:hint="eastAsia" w:ascii="宋体" w:hAnsi="宋体" w:eastAsia="宋体" w:cs="宋体"/>
          <w:b w:val="0"/>
          <w:bCs/>
          <w:color w:val="auto"/>
          <w:sz w:val="24"/>
          <w:szCs w:val="24"/>
          <w:highlight w:val="none"/>
          <w:shd w:val="clear" w:color="auto" w:fill="auto"/>
        </w:rPr>
        <w:t>万元，资产总额为</w:t>
      </w:r>
      <w:r>
        <w:rPr>
          <w:rFonts w:hint="eastAsia" w:ascii="宋体" w:hAnsi="宋体" w:eastAsia="宋体" w:cs="宋体"/>
          <w:b w:val="0"/>
          <w:bCs/>
          <w:color w:val="auto"/>
          <w:sz w:val="24"/>
          <w:szCs w:val="24"/>
          <w:highlight w:val="none"/>
          <w:u w:val="single"/>
          <w:shd w:val="clear" w:color="auto" w:fill="auto"/>
        </w:rPr>
        <w:t xml:space="preserve">   </w:t>
      </w:r>
      <w:r>
        <w:rPr>
          <w:rFonts w:hint="eastAsia" w:ascii="宋体" w:hAnsi="宋体" w:eastAsia="宋体" w:cs="宋体"/>
          <w:b w:val="0"/>
          <w:bCs/>
          <w:color w:val="auto"/>
          <w:sz w:val="24"/>
          <w:szCs w:val="24"/>
          <w:highlight w:val="none"/>
          <w:shd w:val="clear" w:color="auto" w:fill="auto"/>
        </w:rPr>
        <w:t>万元，属于</w:t>
      </w:r>
      <w:r>
        <w:rPr>
          <w:rFonts w:hint="eastAsia" w:ascii="宋体" w:hAnsi="宋体" w:eastAsia="宋体" w:cs="宋体"/>
          <w:b w:val="0"/>
          <w:bCs/>
          <w:color w:val="auto"/>
          <w:sz w:val="24"/>
          <w:szCs w:val="24"/>
          <w:highlight w:val="none"/>
          <w:u w:val="single"/>
          <w:shd w:val="clear" w:color="auto" w:fill="auto"/>
        </w:rPr>
        <w:t>（中型企业、小型企业、微型企业）</w:t>
      </w:r>
      <w:r>
        <w:rPr>
          <w:rFonts w:hint="eastAsia" w:ascii="宋体" w:hAnsi="宋体" w:eastAsia="宋体" w:cs="宋体"/>
          <w:b w:val="0"/>
          <w:bCs/>
          <w:color w:val="auto"/>
          <w:sz w:val="24"/>
          <w:szCs w:val="24"/>
          <w:highlight w:val="none"/>
          <w:shd w:val="clear" w:color="auto" w:fill="auto"/>
        </w:rPr>
        <w:t>；</w:t>
      </w:r>
    </w:p>
    <w:p w14:paraId="62C5A143">
      <w:pPr>
        <w:pStyle w:val="15"/>
        <w:pageBreakBefore w:val="0"/>
        <w:shd w:val="clear" w:color="auto" w:fill="auto"/>
        <w:kinsoku/>
        <w:wordWrap/>
        <w:overflowPunct/>
        <w:topLinePunct w:val="0"/>
        <w:bidi w:val="0"/>
        <w:spacing w:line="460" w:lineRule="exact"/>
        <w:ind w:left="0" w:leftChars="0" w:right="0" w:rightChars="0" w:firstLine="480" w:firstLineChars="200"/>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w:t>
      </w:r>
    </w:p>
    <w:p w14:paraId="1EDBDC54">
      <w:pPr>
        <w:pStyle w:val="15"/>
        <w:pageBreakBefore w:val="0"/>
        <w:shd w:val="clear" w:color="auto" w:fill="auto"/>
        <w:kinsoku/>
        <w:wordWrap/>
        <w:overflowPunct/>
        <w:topLinePunct w:val="0"/>
        <w:bidi w:val="0"/>
        <w:spacing w:line="460" w:lineRule="exact"/>
        <w:ind w:left="0" w:leftChars="0" w:right="0" w:rightChars="0" w:firstLine="480" w:firstLineChars="200"/>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以上企业，不属于大企业的分支机构，不存在控股股东为大企业的情形，也不存在与大企业的负责人为同一人的情形。</w:t>
      </w:r>
    </w:p>
    <w:p w14:paraId="385A8F2B">
      <w:pPr>
        <w:pStyle w:val="15"/>
        <w:pageBreakBefore w:val="0"/>
        <w:shd w:val="clear" w:color="auto" w:fill="auto"/>
        <w:kinsoku/>
        <w:wordWrap/>
        <w:overflowPunct/>
        <w:topLinePunct w:val="0"/>
        <w:bidi w:val="0"/>
        <w:spacing w:line="460" w:lineRule="exact"/>
        <w:ind w:left="0" w:leftChars="0" w:right="0" w:rightChars="0" w:firstLine="480" w:firstLineChars="200"/>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rPr>
        <w:t>本企业对上述声明内容的真实性负责。如有虚假，将依法承担相应责任。</w:t>
      </w:r>
    </w:p>
    <w:p w14:paraId="45FFDEE5">
      <w:pPr>
        <w:pStyle w:val="15"/>
        <w:pageBreakBefore w:val="0"/>
        <w:shd w:val="clear" w:color="auto" w:fill="auto"/>
        <w:kinsoku/>
        <w:wordWrap/>
        <w:overflowPunct/>
        <w:topLinePunct w:val="0"/>
        <w:bidi w:val="0"/>
        <w:spacing w:line="460" w:lineRule="exact"/>
        <w:ind w:left="0" w:leftChars="0" w:right="0" w:rightChars="0" w:firstLine="480" w:firstLineChars="200"/>
        <w:jc w:val="center"/>
        <w:rPr>
          <w:rFonts w:hint="eastAsia" w:ascii="宋体" w:hAnsi="宋体" w:eastAsia="宋体" w:cs="宋体"/>
          <w:b w:val="0"/>
          <w:bCs/>
          <w:color w:val="auto"/>
          <w:sz w:val="24"/>
          <w:szCs w:val="24"/>
          <w:highlight w:val="none"/>
          <w:shd w:val="clear" w:color="auto" w:fill="auto"/>
          <w:lang w:val="en-US" w:eastAsia="zh-CN"/>
        </w:rPr>
      </w:pPr>
      <w:r>
        <w:rPr>
          <w:rFonts w:hint="eastAsia" w:ascii="宋体" w:hAnsi="宋体" w:eastAsia="宋体" w:cs="宋体"/>
          <w:b w:val="0"/>
          <w:bCs/>
          <w:color w:val="auto"/>
          <w:sz w:val="24"/>
          <w:szCs w:val="24"/>
          <w:highlight w:val="none"/>
          <w:shd w:val="clear" w:color="auto" w:fill="auto"/>
          <w:lang w:val="en-US" w:eastAsia="zh-CN"/>
        </w:rPr>
        <w:t xml:space="preserve">           </w:t>
      </w:r>
    </w:p>
    <w:p w14:paraId="06E1D2C0">
      <w:pPr>
        <w:pStyle w:val="15"/>
        <w:pageBreakBefore w:val="0"/>
        <w:shd w:val="clear" w:color="auto" w:fill="auto"/>
        <w:kinsoku/>
        <w:wordWrap/>
        <w:overflowPunct/>
        <w:topLinePunct w:val="0"/>
        <w:bidi w:val="0"/>
        <w:spacing w:line="460" w:lineRule="exact"/>
        <w:ind w:left="0" w:leftChars="0" w:right="0" w:rightChars="0" w:firstLine="480" w:firstLineChars="200"/>
        <w:jc w:val="center"/>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lang w:val="en-US" w:eastAsia="zh-CN"/>
        </w:rPr>
        <w:t xml:space="preserve">           </w:t>
      </w:r>
      <w:r>
        <w:rPr>
          <w:rFonts w:hint="eastAsia" w:ascii="宋体" w:hAnsi="宋体" w:eastAsia="宋体" w:cs="宋体"/>
          <w:b w:val="0"/>
          <w:bCs/>
          <w:color w:val="auto"/>
          <w:sz w:val="24"/>
          <w:szCs w:val="24"/>
          <w:highlight w:val="none"/>
          <w:shd w:val="clear" w:color="auto" w:fill="auto"/>
        </w:rPr>
        <w:t>企业名称（盖章）：</w:t>
      </w:r>
    </w:p>
    <w:p w14:paraId="0B2AC4AA">
      <w:pPr>
        <w:pStyle w:val="15"/>
        <w:pageBreakBefore w:val="0"/>
        <w:shd w:val="clear" w:color="auto" w:fill="auto"/>
        <w:kinsoku/>
        <w:wordWrap/>
        <w:overflowPunct/>
        <w:topLinePunct w:val="0"/>
        <w:bidi w:val="0"/>
        <w:spacing w:line="460" w:lineRule="exact"/>
        <w:ind w:left="0" w:leftChars="0" w:right="0" w:rightChars="0" w:firstLine="480" w:firstLineChars="200"/>
        <w:jc w:val="center"/>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b w:val="0"/>
          <w:bCs/>
          <w:color w:val="auto"/>
          <w:sz w:val="24"/>
          <w:szCs w:val="24"/>
          <w:highlight w:val="none"/>
          <w:shd w:val="clear" w:color="auto" w:fill="auto"/>
          <w:lang w:val="en-US" w:eastAsia="zh-CN"/>
        </w:rPr>
        <w:t xml:space="preserve">            </w:t>
      </w:r>
      <w:r>
        <w:rPr>
          <w:rFonts w:hint="eastAsia" w:ascii="宋体" w:hAnsi="宋体" w:eastAsia="宋体" w:cs="宋体"/>
          <w:b w:val="0"/>
          <w:bCs/>
          <w:color w:val="auto"/>
          <w:sz w:val="24"/>
          <w:szCs w:val="24"/>
          <w:highlight w:val="none"/>
          <w:shd w:val="clear" w:color="auto" w:fill="auto"/>
        </w:rPr>
        <w:t>日 期：</w:t>
      </w:r>
      <w:r>
        <w:rPr>
          <w:rFonts w:hint="eastAsia" w:ascii="宋体" w:hAnsi="宋体" w:eastAsia="宋体" w:cs="宋体"/>
          <w:b w:val="0"/>
          <w:bCs/>
          <w:color w:val="auto"/>
          <w:spacing w:val="6"/>
          <w:sz w:val="24"/>
          <w:szCs w:val="24"/>
          <w:highlight w:val="none"/>
          <w:shd w:val="clear" w:color="auto" w:fill="auto"/>
          <w:lang w:val="en-US" w:eastAsia="zh-CN"/>
        </w:rPr>
        <w:t xml:space="preserve">  年  月  日</w:t>
      </w:r>
    </w:p>
    <w:p w14:paraId="56A8FD41">
      <w:pPr>
        <w:pStyle w:val="15"/>
        <w:pageBreakBefore w:val="0"/>
        <w:shd w:val="clear" w:color="auto" w:fill="auto"/>
        <w:kinsoku/>
        <w:wordWrap/>
        <w:overflowPunct/>
        <w:topLinePunct w:val="0"/>
        <w:bidi w:val="0"/>
        <w:spacing w:line="460" w:lineRule="exact"/>
        <w:ind w:left="0" w:leftChars="0" w:right="0" w:rightChars="0" w:firstLine="480" w:firstLineChars="200"/>
        <w:rPr>
          <w:rFonts w:hint="eastAsia" w:ascii="宋体" w:hAnsi="宋体" w:eastAsia="宋体" w:cs="宋体"/>
          <w:b w:val="0"/>
          <w:bCs/>
          <w:color w:val="auto"/>
          <w:sz w:val="24"/>
          <w:szCs w:val="24"/>
          <w:highlight w:val="none"/>
          <w:shd w:val="clear" w:color="auto" w:fill="auto"/>
          <w:lang w:eastAsia="zh-CN"/>
        </w:rPr>
      </w:pPr>
      <w:r>
        <w:rPr>
          <w:rFonts w:hint="eastAsia" w:ascii="宋体" w:hAnsi="宋体" w:eastAsia="宋体" w:cs="宋体"/>
          <w:b w:val="0"/>
          <w:bCs/>
          <w:color w:val="auto"/>
          <w:sz w:val="24"/>
          <w:szCs w:val="24"/>
          <w:highlight w:val="none"/>
          <w:shd w:val="clear" w:color="auto" w:fill="auto"/>
          <w:lang w:val="en-US" w:eastAsia="zh-CN"/>
        </w:rPr>
        <w:t>备注：</w:t>
      </w:r>
      <w:r>
        <w:rPr>
          <w:rFonts w:hint="eastAsia" w:ascii="宋体" w:hAnsi="宋体" w:eastAsia="宋体" w:cs="宋体"/>
          <w:b w:val="0"/>
          <w:bCs/>
          <w:color w:val="auto"/>
          <w:sz w:val="24"/>
          <w:szCs w:val="24"/>
          <w:highlight w:val="none"/>
          <w:shd w:val="clear" w:color="auto" w:fill="auto"/>
        </w:rPr>
        <w:t>从业人员、营业收入、资产总额填报上一年度数据，无上一年度数据的新成立企业可不填报</w:t>
      </w:r>
      <w:r>
        <w:rPr>
          <w:rFonts w:hint="eastAsia" w:ascii="宋体" w:hAnsi="宋体" w:eastAsia="宋体" w:cs="宋体"/>
          <w:b w:val="0"/>
          <w:bCs/>
          <w:color w:val="auto"/>
          <w:sz w:val="24"/>
          <w:szCs w:val="24"/>
          <w:highlight w:val="none"/>
          <w:shd w:val="clear" w:color="auto" w:fill="auto"/>
          <w:lang w:eastAsia="zh-CN"/>
        </w:rPr>
        <w:t>。</w:t>
      </w:r>
    </w:p>
    <w:p w14:paraId="08B92C86">
      <w:pPr>
        <w:spacing w:line="460" w:lineRule="exact"/>
        <w:jc w:val="center"/>
        <w:rPr>
          <w:rFonts w:hint="eastAsia" w:ascii="宋体" w:hAnsi="宋体" w:eastAsia="宋体" w:cs="宋体"/>
          <w:b/>
          <w:bCs/>
          <w:color w:val="auto"/>
          <w:sz w:val="24"/>
          <w:szCs w:val="24"/>
          <w:highlight w:val="none"/>
        </w:rPr>
      </w:pPr>
    </w:p>
    <w:p w14:paraId="5E6BF769">
      <w:pPr>
        <w:pStyle w:val="26"/>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color w:val="auto"/>
          <w:sz w:val="24"/>
          <w:szCs w:val="24"/>
          <w:highlight w:val="none"/>
        </w:rPr>
      </w:pPr>
    </w:p>
    <w:p w14:paraId="1CA93489">
      <w:pPr>
        <w:rPr>
          <w:rFonts w:hint="eastAsia" w:ascii="宋体" w:hAnsi="宋体" w:eastAsia="宋体" w:cs="宋体"/>
          <w:color w:val="auto"/>
          <w:sz w:val="24"/>
          <w:szCs w:val="24"/>
          <w:highlight w:val="none"/>
        </w:rPr>
      </w:pPr>
    </w:p>
    <w:p w14:paraId="1CC6EAC1">
      <w:pPr>
        <w:rPr>
          <w:rFonts w:hint="eastAsia" w:ascii="宋体" w:hAnsi="宋体" w:eastAsia="宋体" w:cs="宋体"/>
          <w:color w:val="auto"/>
          <w:sz w:val="24"/>
          <w:szCs w:val="24"/>
          <w:highlight w:val="none"/>
        </w:rPr>
      </w:pPr>
    </w:p>
    <w:p w14:paraId="27D8AD26">
      <w:pPr>
        <w:rPr>
          <w:rFonts w:hint="eastAsia" w:ascii="宋体" w:hAnsi="宋体" w:eastAsia="宋体" w:cs="宋体"/>
          <w:color w:val="auto"/>
          <w:sz w:val="24"/>
          <w:szCs w:val="24"/>
          <w:highlight w:val="none"/>
        </w:rPr>
      </w:pPr>
    </w:p>
    <w:p w14:paraId="5F2A0729">
      <w:pPr>
        <w:rPr>
          <w:rFonts w:hint="eastAsia" w:ascii="宋体" w:hAnsi="宋体" w:eastAsia="宋体" w:cs="宋体"/>
          <w:color w:val="auto"/>
          <w:sz w:val="24"/>
          <w:szCs w:val="24"/>
          <w:highlight w:val="none"/>
        </w:rPr>
      </w:pPr>
    </w:p>
    <w:p w14:paraId="107E3035">
      <w:pPr>
        <w:rPr>
          <w:rFonts w:hint="eastAsia" w:ascii="宋体" w:hAnsi="宋体" w:eastAsia="宋体" w:cs="宋体"/>
          <w:color w:val="auto"/>
          <w:sz w:val="24"/>
          <w:szCs w:val="24"/>
          <w:highlight w:val="none"/>
        </w:rPr>
      </w:pPr>
    </w:p>
    <w:p w14:paraId="6524B307">
      <w:pPr>
        <w:spacing w:line="460" w:lineRule="exact"/>
        <w:jc w:val="center"/>
        <w:rPr>
          <w:rFonts w:hint="eastAsia" w:ascii="宋体" w:hAnsi="宋体" w:eastAsia="宋体" w:cs="宋体"/>
          <w:b/>
          <w:color w:val="auto"/>
          <w:spacing w:val="6"/>
          <w:sz w:val="24"/>
          <w:szCs w:val="24"/>
          <w:highlight w:val="none"/>
        </w:rPr>
      </w:pPr>
      <w:r>
        <w:rPr>
          <w:rFonts w:hint="eastAsia" w:ascii="宋体" w:hAnsi="宋体" w:eastAsia="宋体" w:cs="宋体"/>
          <w:b/>
          <w:bCs/>
          <w:color w:val="auto"/>
          <w:sz w:val="24"/>
          <w:szCs w:val="24"/>
          <w:highlight w:val="none"/>
        </w:rPr>
        <w:t xml:space="preserve">（二） </w:t>
      </w:r>
      <w:bookmarkStart w:id="144" w:name="OLE_LINK14"/>
      <w:bookmarkStart w:id="145" w:name="OLE_LINK13"/>
      <w:r>
        <w:rPr>
          <w:rFonts w:hint="eastAsia" w:ascii="宋体" w:hAnsi="宋体" w:eastAsia="宋体" w:cs="宋体"/>
          <w:b/>
          <w:color w:val="auto"/>
          <w:spacing w:val="6"/>
          <w:sz w:val="24"/>
          <w:szCs w:val="24"/>
          <w:highlight w:val="none"/>
        </w:rPr>
        <w:t>残疾人福利性单位声明函</w:t>
      </w:r>
    </w:p>
    <w:bookmarkEnd w:id="144"/>
    <w:bookmarkEnd w:id="145"/>
    <w:p w14:paraId="14F974ED">
      <w:pPr>
        <w:spacing w:line="460" w:lineRule="exact"/>
        <w:rPr>
          <w:rFonts w:hint="eastAsia" w:ascii="宋体" w:hAnsi="宋体" w:eastAsia="宋体" w:cs="宋体"/>
          <w:b/>
          <w:color w:val="auto"/>
          <w:spacing w:val="6"/>
          <w:sz w:val="24"/>
          <w:szCs w:val="24"/>
          <w:highlight w:val="none"/>
        </w:rPr>
      </w:pPr>
    </w:p>
    <w:p w14:paraId="7A236F11">
      <w:pPr>
        <w:spacing w:line="460" w:lineRule="exact"/>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eastAsia="宋体" w:cs="宋体"/>
          <w:color w:val="auto"/>
          <w:sz w:val="24"/>
          <w:szCs w:val="24"/>
          <w:highlight w:val="none"/>
        </w:rPr>
        <w:t>〔2017〕 141</w:t>
      </w:r>
      <w:r>
        <w:rPr>
          <w:rFonts w:hint="eastAsia" w:ascii="宋体" w:hAnsi="宋体" w:eastAsia="宋体" w:cs="宋体"/>
          <w:color w:val="auto"/>
          <w:spacing w:val="6"/>
          <w:sz w:val="24"/>
          <w:szCs w:val="24"/>
          <w:highlight w:val="none"/>
        </w:rPr>
        <w:t>号）的规定，本单位为符合条件的残疾人福利性单位，且本单位参加</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6"/>
          <w:sz w:val="24"/>
          <w:szCs w:val="24"/>
          <w:highlight w:val="none"/>
        </w:rPr>
        <w:t>单位的</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6"/>
          <w:sz w:val="24"/>
          <w:szCs w:val="24"/>
          <w:highlight w:val="none"/>
        </w:rPr>
        <w:t>项目采购活动提供本单位制造的服务（由本单位承担工程/提供服务），或者提供其他残疾人福利性单位制造的货物（不包括使用非残疾人福利性单位注册商标的货物）。</w:t>
      </w:r>
    </w:p>
    <w:p w14:paraId="2AF3F443">
      <w:pPr>
        <w:spacing w:line="460" w:lineRule="exact"/>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本单位对上述声明的真实性负责。如有虚假，将依法承担相应责任。</w:t>
      </w:r>
    </w:p>
    <w:p w14:paraId="3BF3441B">
      <w:pPr>
        <w:spacing w:line="460" w:lineRule="exact"/>
        <w:ind w:firstLine="504" w:firstLineChars="200"/>
        <w:rPr>
          <w:rFonts w:hint="eastAsia" w:ascii="宋体" w:hAnsi="宋体" w:eastAsia="宋体" w:cs="宋体"/>
          <w:color w:val="auto"/>
          <w:spacing w:val="6"/>
          <w:sz w:val="24"/>
          <w:szCs w:val="24"/>
          <w:highlight w:val="none"/>
        </w:rPr>
      </w:pPr>
    </w:p>
    <w:p w14:paraId="3016E8CC">
      <w:pPr>
        <w:spacing w:line="460" w:lineRule="exact"/>
        <w:ind w:firstLine="504" w:firstLineChars="200"/>
        <w:rPr>
          <w:rFonts w:hint="eastAsia" w:ascii="宋体" w:hAnsi="宋体" w:eastAsia="宋体" w:cs="宋体"/>
          <w:color w:val="auto"/>
          <w:spacing w:val="6"/>
          <w:sz w:val="24"/>
          <w:szCs w:val="24"/>
          <w:highlight w:val="none"/>
        </w:rPr>
      </w:pPr>
    </w:p>
    <w:p w14:paraId="127416F2">
      <w:pPr>
        <w:tabs>
          <w:tab w:val="left" w:pos="4860"/>
        </w:tabs>
        <w:spacing w:line="460" w:lineRule="exact"/>
        <w:ind w:right="1560" w:firstLine="504" w:firstLineChars="200"/>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6"/>
          <w:sz w:val="24"/>
          <w:szCs w:val="24"/>
          <w:highlight w:val="none"/>
          <w:lang w:val="en-US" w:eastAsia="zh-CN"/>
        </w:rPr>
        <w:t xml:space="preserve"> </w:t>
      </w:r>
      <w:r>
        <w:rPr>
          <w:rFonts w:hint="eastAsia" w:ascii="宋体" w:hAnsi="宋体" w:eastAsia="宋体" w:cs="宋体"/>
          <w:color w:val="auto"/>
          <w:spacing w:val="6"/>
          <w:sz w:val="24"/>
          <w:szCs w:val="24"/>
          <w:highlight w:val="none"/>
        </w:rPr>
        <w:t>单位名称（盖章）：</w:t>
      </w:r>
    </w:p>
    <w:p w14:paraId="0381F07D">
      <w:pPr>
        <w:tabs>
          <w:tab w:val="left" w:pos="4860"/>
        </w:tabs>
        <w:spacing w:line="460" w:lineRule="exact"/>
        <w:ind w:right="1560" w:firstLine="504" w:firstLineChars="200"/>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日  期：</w:t>
      </w:r>
    </w:p>
    <w:p w14:paraId="15DB676E">
      <w:pPr>
        <w:widowControl/>
        <w:adjustRightInd w:val="0"/>
        <w:snapToGrid w:val="0"/>
        <w:spacing w:line="460" w:lineRule="exact"/>
        <w:rPr>
          <w:rFonts w:hint="eastAsia" w:ascii="宋体" w:hAnsi="宋体" w:eastAsia="宋体" w:cs="宋体"/>
          <w:color w:val="auto"/>
          <w:sz w:val="24"/>
          <w:szCs w:val="24"/>
          <w:highlight w:val="none"/>
        </w:rPr>
      </w:pPr>
    </w:p>
    <w:p w14:paraId="15746AEC">
      <w:pPr>
        <w:spacing w:line="460" w:lineRule="exact"/>
        <w:jc w:val="left"/>
        <w:rPr>
          <w:rFonts w:hint="eastAsia" w:ascii="宋体" w:hAnsi="宋体" w:eastAsia="宋体" w:cs="宋体"/>
          <w:bCs/>
          <w:color w:val="auto"/>
          <w:sz w:val="24"/>
          <w:szCs w:val="24"/>
          <w:highlight w:val="none"/>
        </w:rPr>
      </w:pPr>
    </w:p>
    <w:p w14:paraId="5249C307">
      <w:pPr>
        <w:widowControl/>
        <w:spacing w:line="4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备注</w:t>
      </w:r>
      <w:r>
        <w:rPr>
          <w:rFonts w:hint="eastAsia" w:ascii="宋体" w:hAnsi="宋体" w:eastAsia="宋体" w:cs="宋体"/>
          <w:color w:val="auto"/>
          <w:sz w:val="24"/>
          <w:szCs w:val="24"/>
          <w:highlight w:val="none"/>
        </w:rPr>
        <w:t>：须提供证明材料（能反映出企业残疾人的占比等情况的材料及残疾人证等）。</w:t>
      </w:r>
    </w:p>
    <w:p w14:paraId="479FDAC4">
      <w:pPr>
        <w:spacing w:line="460" w:lineRule="exact"/>
        <w:jc w:val="center"/>
        <w:rPr>
          <w:rFonts w:hint="eastAsia" w:ascii="宋体" w:hAnsi="宋体" w:eastAsia="宋体" w:cs="宋体"/>
          <w:b/>
          <w:bCs/>
          <w:color w:val="auto"/>
          <w:sz w:val="24"/>
          <w:szCs w:val="24"/>
          <w:highlight w:val="none"/>
        </w:rPr>
      </w:pPr>
    </w:p>
    <w:p w14:paraId="4C4338FC">
      <w:pPr>
        <w:spacing w:line="460" w:lineRule="exact"/>
        <w:jc w:val="center"/>
        <w:rPr>
          <w:rFonts w:hint="eastAsia" w:ascii="宋体" w:hAnsi="宋体" w:eastAsia="宋体" w:cs="宋体"/>
          <w:b/>
          <w:bCs/>
          <w:color w:val="auto"/>
          <w:sz w:val="24"/>
          <w:szCs w:val="24"/>
          <w:highlight w:val="none"/>
        </w:rPr>
      </w:pPr>
    </w:p>
    <w:p w14:paraId="4F6A0518">
      <w:pPr>
        <w:widowControl/>
        <w:spacing w:line="460" w:lineRule="exact"/>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br w:type="page"/>
      </w:r>
      <w:r>
        <w:rPr>
          <w:rFonts w:hint="eastAsia" w:ascii="宋体" w:hAnsi="宋体" w:eastAsia="宋体" w:cs="宋体"/>
          <w:b/>
          <w:color w:val="auto"/>
          <w:sz w:val="24"/>
          <w:szCs w:val="24"/>
          <w:highlight w:val="none"/>
        </w:rPr>
        <w:t>（三）监狱企业证明文件（如有）</w:t>
      </w:r>
    </w:p>
    <w:p w14:paraId="301F276F">
      <w:pPr>
        <w:spacing w:line="460" w:lineRule="exact"/>
        <w:ind w:firstLine="480" w:firstLineChars="200"/>
        <w:jc w:val="left"/>
        <w:rPr>
          <w:rFonts w:hint="eastAsia" w:ascii="宋体" w:hAnsi="宋体" w:eastAsia="宋体" w:cs="宋体"/>
          <w:color w:val="auto"/>
          <w:sz w:val="24"/>
          <w:szCs w:val="24"/>
          <w:highlight w:val="none"/>
        </w:rPr>
      </w:pPr>
    </w:p>
    <w:p w14:paraId="4EDB95C5">
      <w:pPr>
        <w:spacing w:line="4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监狱企业证明（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18637F3D">
      <w:pPr>
        <w:pStyle w:val="15"/>
        <w:spacing w:line="4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2.证明材料加盖投标人公章。</w:t>
      </w:r>
    </w:p>
    <w:p w14:paraId="55345531">
      <w:pPr>
        <w:pStyle w:val="15"/>
        <w:spacing w:line="460" w:lineRule="exact"/>
        <w:jc w:val="both"/>
        <w:rPr>
          <w:rFonts w:hint="eastAsia" w:ascii="宋体" w:hAnsi="宋体" w:eastAsia="宋体" w:cs="宋体"/>
          <w:b/>
          <w:bCs/>
          <w:color w:val="auto"/>
          <w:sz w:val="24"/>
          <w:szCs w:val="24"/>
          <w:highlight w:val="none"/>
        </w:rPr>
      </w:pPr>
    </w:p>
    <w:p w14:paraId="49AF2350">
      <w:pPr>
        <w:pStyle w:val="15"/>
        <w:spacing w:line="460" w:lineRule="exact"/>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（四）投标保证金</w:t>
      </w:r>
      <w:r>
        <w:rPr>
          <w:rFonts w:hint="eastAsia" w:ascii="宋体" w:hAnsi="宋体" w:eastAsia="宋体" w:cs="宋体"/>
          <w:b/>
          <w:bCs/>
          <w:color w:val="auto"/>
          <w:sz w:val="24"/>
          <w:szCs w:val="24"/>
          <w:highlight w:val="none"/>
          <w:lang w:eastAsia="zh-CN"/>
        </w:rPr>
        <w:t>缴纳凭证</w:t>
      </w:r>
    </w:p>
    <w:p w14:paraId="384EE443">
      <w:pPr>
        <w:pStyle w:val="15"/>
        <w:spacing w:line="460" w:lineRule="exact"/>
        <w:jc w:val="center"/>
        <w:rPr>
          <w:rFonts w:hint="eastAsia" w:ascii="宋体" w:hAnsi="宋体" w:eastAsia="宋体" w:cs="宋体"/>
          <w:color w:val="auto"/>
          <w:sz w:val="24"/>
          <w:szCs w:val="24"/>
          <w:highlight w:val="none"/>
        </w:rPr>
      </w:pPr>
    </w:p>
    <w:tbl>
      <w:tblPr>
        <w:tblStyle w:val="30"/>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14:paraId="2E8C5B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07" w:hRule="atLeast"/>
          <w:jc w:val="center"/>
        </w:trPr>
        <w:tc>
          <w:tcPr>
            <w:tcW w:w="5000" w:type="pct"/>
            <w:tcBorders>
              <w:top w:val="single" w:color="auto" w:sz="4" w:space="0"/>
              <w:bottom w:val="single" w:color="auto" w:sz="4" w:space="0"/>
            </w:tcBorders>
            <w:vAlign w:val="center"/>
          </w:tcPr>
          <w:p w14:paraId="18E86ABB">
            <w:pPr>
              <w:pStyle w:val="15"/>
              <w:spacing w:line="44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投标保证金</w:t>
            </w:r>
            <w:r>
              <w:rPr>
                <w:rFonts w:hint="eastAsia" w:ascii="宋体" w:hAnsi="宋体" w:eastAsia="宋体" w:cs="宋体"/>
                <w:color w:val="auto"/>
                <w:sz w:val="24"/>
                <w:szCs w:val="24"/>
                <w:highlight w:val="none"/>
                <w:lang w:eastAsia="zh-CN"/>
              </w:rPr>
              <w:t>缴纳凭证</w:t>
            </w:r>
          </w:p>
        </w:tc>
      </w:tr>
    </w:tbl>
    <w:p w14:paraId="0878D44C">
      <w:pPr>
        <w:adjustRightInd w:val="0"/>
        <w:snapToGrid w:val="0"/>
        <w:spacing w:line="460" w:lineRule="exact"/>
        <w:ind w:firstLine="480" w:firstLineChars="200"/>
        <w:rPr>
          <w:rFonts w:hint="eastAsia" w:ascii="宋体" w:hAnsi="宋体" w:eastAsia="宋体" w:cs="宋体"/>
          <w:color w:val="auto"/>
          <w:sz w:val="24"/>
          <w:szCs w:val="24"/>
          <w:highlight w:val="none"/>
        </w:rPr>
      </w:pPr>
    </w:p>
    <w:p w14:paraId="7D025468">
      <w:pPr>
        <w:widowControl/>
        <w:shd w:val="clear" w:color="auto" w:fill="FFFFFF"/>
        <w:spacing w:line="460" w:lineRule="exact"/>
        <w:jc w:val="left"/>
        <w:rPr>
          <w:rFonts w:hint="eastAsia" w:ascii="宋体" w:hAnsi="宋体" w:eastAsia="宋体" w:cs="宋体"/>
          <w:color w:val="auto"/>
          <w:kern w:val="0"/>
          <w:sz w:val="24"/>
          <w:szCs w:val="24"/>
          <w:highlight w:val="none"/>
        </w:rPr>
      </w:pPr>
    </w:p>
    <w:p w14:paraId="2D8B54D5">
      <w:pPr>
        <w:spacing w:line="460" w:lineRule="exact"/>
        <w:rPr>
          <w:rFonts w:hint="eastAsia" w:ascii="宋体" w:hAnsi="宋体" w:eastAsia="宋体" w:cs="宋体"/>
          <w:color w:val="auto"/>
          <w:sz w:val="24"/>
          <w:szCs w:val="24"/>
          <w:highlight w:val="none"/>
        </w:rPr>
      </w:pPr>
    </w:p>
    <w:bookmarkEnd w:id="143"/>
    <w:p w14:paraId="6A7E92F8">
      <w:pPr>
        <w:pStyle w:val="15"/>
        <w:spacing w:line="460" w:lineRule="exact"/>
        <w:jc w:val="center"/>
        <w:rPr>
          <w:rFonts w:hint="eastAsia" w:ascii="宋体" w:hAnsi="宋体" w:eastAsia="宋体" w:cs="宋体"/>
          <w:b/>
          <w:bCs/>
          <w:color w:val="auto"/>
          <w:sz w:val="24"/>
          <w:szCs w:val="24"/>
          <w:highlight w:val="none"/>
          <w:lang w:eastAsia="zh-CN"/>
        </w:rPr>
      </w:pPr>
      <w:bookmarkStart w:id="146" w:name="_Toc2964"/>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lang w:eastAsia="zh-CN"/>
        </w:rPr>
        <w:t>）其他</w:t>
      </w:r>
    </w:p>
    <w:bookmarkEnd w:id="146"/>
    <w:p w14:paraId="59396B64">
      <w:pPr>
        <w:spacing w:line="500" w:lineRule="exact"/>
        <w:ind w:firstLine="420" w:firstLineChars="200"/>
        <w:rPr>
          <w:rFonts w:hint="eastAsia" w:ascii="宋体" w:hAnsi="宋体" w:eastAsia="宋体" w:cs="宋体"/>
          <w:color w:val="auto"/>
          <w:sz w:val="24"/>
          <w:szCs w:val="24"/>
          <w:highlight w:val="none"/>
        </w:rPr>
      </w:pPr>
      <w:r>
        <w:rPr>
          <w:rFonts w:hint="eastAsia" w:ascii="宋体" w:hAnsi="宋体" w:cs="宋体"/>
          <w:b w:val="0"/>
          <w:bCs/>
          <w:color w:val="auto"/>
          <w:highlight w:val="none"/>
          <w:shd w:val="clear" w:color="auto" w:fill="auto"/>
          <w:lang w:val="en-US" w:eastAsia="zh-CN"/>
        </w:rPr>
        <w:t>投标人</w:t>
      </w:r>
      <w:r>
        <w:rPr>
          <w:rFonts w:hint="eastAsia" w:ascii="宋体" w:hAnsi="宋体" w:eastAsia="宋体" w:cs="宋体"/>
          <w:b w:val="0"/>
          <w:bCs/>
          <w:color w:val="auto"/>
          <w:highlight w:val="none"/>
          <w:shd w:val="clear" w:color="auto" w:fill="auto"/>
          <w:lang w:val="en-US" w:eastAsia="zh-CN"/>
        </w:rPr>
        <w:t>认为需提供的</w:t>
      </w:r>
      <w:r>
        <w:rPr>
          <w:rFonts w:hint="eastAsia" w:ascii="宋体" w:hAnsi="宋体" w:eastAsia="宋体" w:cs="宋体"/>
          <w:b/>
          <w:bCs w:val="0"/>
          <w:color w:val="auto"/>
          <w:highlight w:val="none"/>
          <w:shd w:val="clear" w:color="auto" w:fill="auto"/>
          <w:lang w:val="en-US" w:eastAsia="zh-CN"/>
        </w:rPr>
        <w:t>资格审查</w:t>
      </w:r>
      <w:r>
        <w:rPr>
          <w:rFonts w:hint="eastAsia" w:ascii="宋体" w:hAnsi="宋体" w:eastAsia="宋体" w:cs="宋体"/>
          <w:b w:val="0"/>
          <w:bCs/>
          <w:color w:val="auto"/>
          <w:highlight w:val="none"/>
          <w:shd w:val="clear" w:color="auto" w:fill="auto"/>
          <w:lang w:val="en-US" w:eastAsia="zh-CN"/>
        </w:rPr>
        <w:t>及其他补充资料。</w:t>
      </w:r>
    </w:p>
    <w:p w14:paraId="11E040D8">
      <w:pPr>
        <w:pStyle w:val="45"/>
        <w:spacing w:line="460" w:lineRule="exact"/>
        <w:ind w:left="964" w:right="-50" w:rightChars="-24" w:firstLine="0"/>
        <w:jc w:val="center"/>
        <w:outlineLvl w:val="0"/>
        <w:rPr>
          <w:rStyle w:val="46"/>
          <w:rFonts w:hint="eastAsia" w:ascii="宋体" w:hAnsi="宋体" w:eastAsia="宋体" w:cs="宋体"/>
          <w:color w:val="auto"/>
          <w:sz w:val="24"/>
          <w:szCs w:val="24"/>
          <w:highlight w:val="none"/>
          <w:shd w:val="clear" w:color="auto" w:fill="FFFF00"/>
          <w:lang w:eastAsia="zh-CN"/>
        </w:rPr>
      </w:pPr>
      <w:r>
        <w:rPr>
          <w:rFonts w:hint="eastAsia" w:ascii="宋体" w:hAnsi="宋体" w:eastAsia="宋体" w:cs="宋体"/>
          <w:b/>
          <w:color w:val="auto"/>
          <w:sz w:val="24"/>
          <w:szCs w:val="24"/>
          <w:highlight w:val="none"/>
          <w:lang w:eastAsia="zh-CN"/>
        </w:rPr>
        <w:br w:type="page"/>
      </w:r>
      <w:bookmarkStart w:id="147" w:name="_Toc20068"/>
      <w:r>
        <w:rPr>
          <w:rFonts w:hint="eastAsia" w:ascii="宋体" w:hAnsi="宋体" w:eastAsia="宋体" w:cs="宋体"/>
          <w:b/>
          <w:bCs/>
          <w:color w:val="auto"/>
          <w:kern w:val="2"/>
          <w:sz w:val="24"/>
          <w:szCs w:val="24"/>
          <w:highlight w:val="none"/>
          <w:lang w:eastAsia="zh-CN"/>
        </w:rPr>
        <w:t xml:space="preserve">第四章  </w:t>
      </w:r>
      <w:bookmarkEnd w:id="147"/>
      <w:r>
        <w:rPr>
          <w:rFonts w:hint="eastAsia" w:ascii="宋体" w:hAnsi="宋体" w:cs="宋体"/>
          <w:b/>
          <w:bCs/>
          <w:color w:val="auto"/>
          <w:kern w:val="2"/>
          <w:sz w:val="24"/>
          <w:szCs w:val="24"/>
          <w:highlight w:val="none"/>
          <w:lang w:eastAsia="zh-CN"/>
        </w:rPr>
        <w:t>项目服务需求</w:t>
      </w:r>
    </w:p>
    <w:p w14:paraId="1EA43012">
      <w:pPr>
        <w:keepNext w:val="0"/>
        <w:keepLines w:val="0"/>
        <w:pageBreakBefore w:val="0"/>
        <w:widowControl w:val="0"/>
        <w:kinsoku/>
        <w:wordWrap/>
        <w:overflowPunct/>
        <w:topLinePunct w:val="0"/>
        <w:bidi w:val="0"/>
        <w:spacing w:line="360" w:lineRule="auto"/>
        <w:jc w:val="center"/>
        <w:textAlignment w:val="auto"/>
        <w:rPr>
          <w:rFonts w:hint="default" w:ascii="Times New Roman" w:hAnsi="Times New Roman" w:cs="Times New Roman"/>
          <w:b/>
          <w:bCs/>
          <w:color w:val="auto"/>
          <w:sz w:val="24"/>
          <w:highlight w:val="none"/>
        </w:rPr>
      </w:pPr>
      <w:bookmarkStart w:id="148" w:name="_Toc17884_WPSOffice_Level1"/>
      <w:bookmarkStart w:id="149" w:name="_Toc15082"/>
      <w:r>
        <w:rPr>
          <w:rFonts w:hint="eastAsia" w:ascii="Times New Roman" w:hAnsi="Times New Roman" w:cs="Times New Roman"/>
          <w:b/>
          <w:bCs/>
          <w:color w:val="auto"/>
          <w:sz w:val="24"/>
          <w:highlight w:val="none"/>
          <w:lang w:eastAsia="zh-CN"/>
        </w:rPr>
        <w:t>乌鲁木齐市市场监督管理局（乌鲁木齐市知识产权局）</w:t>
      </w:r>
      <w:r>
        <w:rPr>
          <w:rFonts w:hint="default" w:ascii="Times New Roman" w:hAnsi="Times New Roman" w:cs="Times New Roman"/>
          <w:b/>
          <w:bCs/>
          <w:color w:val="auto"/>
          <w:sz w:val="24"/>
          <w:highlight w:val="none"/>
        </w:rPr>
        <w:t>202</w:t>
      </w:r>
      <w:r>
        <w:rPr>
          <w:rFonts w:hint="eastAsia" w:ascii="Times New Roman" w:hAnsi="Times New Roman" w:cs="Times New Roman"/>
          <w:b/>
          <w:bCs/>
          <w:color w:val="auto"/>
          <w:sz w:val="24"/>
          <w:highlight w:val="none"/>
          <w:lang w:val="en-US" w:eastAsia="zh-CN"/>
        </w:rPr>
        <w:t>6</w:t>
      </w:r>
      <w:r>
        <w:rPr>
          <w:rFonts w:hint="default" w:ascii="Times New Roman" w:hAnsi="Times New Roman" w:cs="Times New Roman"/>
          <w:b/>
          <w:bCs/>
          <w:color w:val="auto"/>
          <w:sz w:val="24"/>
          <w:highlight w:val="none"/>
        </w:rPr>
        <w:t>年乌鲁木齐市食品安全监督抽检服务项目</w:t>
      </w:r>
    </w:p>
    <w:p w14:paraId="037E1AC8">
      <w:pPr>
        <w:keepNext w:val="0"/>
        <w:keepLines w:val="0"/>
        <w:pageBreakBefore w:val="0"/>
        <w:widowControl w:val="0"/>
        <w:tabs>
          <w:tab w:val="center" w:pos="4832"/>
          <w:tab w:val="left" w:pos="7140"/>
        </w:tabs>
        <w:kinsoku/>
        <w:wordWrap/>
        <w:overflowPunct/>
        <w:topLinePunct w:val="0"/>
        <w:bidi w:val="0"/>
        <w:spacing w:line="360" w:lineRule="auto"/>
        <w:jc w:val="center"/>
        <w:textAlignment w:val="auto"/>
        <w:outlineLvl w:val="1"/>
        <w:rPr>
          <w:rFonts w:hint="default" w:ascii="Times New Roman" w:hAnsi="Times New Roman" w:cs="Times New Roman"/>
          <w:b/>
          <w:color w:val="auto"/>
          <w:sz w:val="24"/>
          <w:szCs w:val="24"/>
          <w:highlight w:val="none"/>
        </w:rPr>
      </w:pPr>
      <w:bookmarkStart w:id="150" w:name="_Toc137723179"/>
      <w:r>
        <w:rPr>
          <w:rFonts w:hint="default" w:ascii="Times New Roman" w:hAnsi="Times New Roman" w:cs="Times New Roman"/>
          <w:b/>
          <w:color w:val="auto"/>
          <w:sz w:val="24"/>
          <w:szCs w:val="24"/>
          <w:highlight w:val="none"/>
        </w:rPr>
        <w:t>标项</w:t>
      </w:r>
      <w:r>
        <w:rPr>
          <w:rFonts w:hint="default" w:ascii="Times New Roman" w:hAnsi="Times New Roman" w:cs="Times New Roman"/>
          <w:b/>
          <w:color w:val="auto"/>
          <w:sz w:val="24"/>
          <w:szCs w:val="24"/>
          <w:highlight w:val="none"/>
          <w:lang w:val="en-US" w:eastAsia="zh-CN"/>
        </w:rPr>
        <w:t>一</w:t>
      </w:r>
      <w:r>
        <w:rPr>
          <w:rFonts w:hint="eastAsia"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技术分册</w:t>
      </w:r>
      <w:bookmarkEnd w:id="150"/>
    </w:p>
    <w:p w14:paraId="43F26A6B">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一、工作任务</w:t>
      </w:r>
    </w:p>
    <w:p w14:paraId="6CD6E05E">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标项</w:t>
      </w:r>
      <w:r>
        <w:rPr>
          <w:rFonts w:hint="default" w:ascii="Times New Roman" w:hAnsi="Times New Roman" w:eastAsia="宋体" w:cs="Times New Roman"/>
          <w:color w:val="auto"/>
          <w:sz w:val="24"/>
          <w:highlight w:val="none"/>
          <w:lang w:val="en-US" w:eastAsia="zh-CN"/>
        </w:rPr>
        <w:t>一</w:t>
      </w:r>
      <w:r>
        <w:rPr>
          <w:rFonts w:hint="default" w:ascii="Times New Roman" w:hAnsi="Times New Roman" w:eastAsia="宋体" w:cs="Times New Roman"/>
          <w:color w:val="auto"/>
          <w:sz w:val="24"/>
          <w:highlight w:val="none"/>
        </w:rPr>
        <w:t>：202</w:t>
      </w:r>
      <w:r>
        <w:rPr>
          <w:rFonts w:hint="eastAsia"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lang w:eastAsia="zh-CN"/>
        </w:rPr>
        <w:t>乌鲁木齐市市场监督管理局（乌鲁木齐市知识产权局）（</w:t>
      </w:r>
      <w:r>
        <w:rPr>
          <w:rFonts w:hint="eastAsia" w:ascii="Times New Roman" w:hAnsi="Times New Roman" w:eastAsia="宋体" w:cs="Times New Roman"/>
          <w:color w:val="auto"/>
          <w:sz w:val="24"/>
          <w:highlight w:val="none"/>
          <w:lang w:val="en-US" w:eastAsia="zh-CN"/>
        </w:rPr>
        <w:t>乌鲁木齐市知识产权局</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餐饮</w:t>
      </w:r>
      <w:r>
        <w:rPr>
          <w:rFonts w:hint="default" w:ascii="Times New Roman" w:hAnsi="Times New Roman" w:eastAsia="宋体" w:cs="Times New Roman"/>
          <w:color w:val="auto"/>
          <w:sz w:val="24"/>
          <w:highlight w:val="none"/>
          <w:lang w:val="en-US" w:eastAsia="zh-CN"/>
        </w:rPr>
        <w:t>省抽829</w:t>
      </w:r>
      <w:r>
        <w:rPr>
          <w:rFonts w:hint="default" w:ascii="Times New Roman" w:hAnsi="Times New Roman" w:eastAsia="宋体" w:cs="Times New Roman"/>
          <w:color w:val="auto"/>
          <w:sz w:val="24"/>
          <w:highlight w:val="none"/>
        </w:rPr>
        <w:t>批次，单价1400元/批次，总价最高投标限价：</w:t>
      </w:r>
      <w:r>
        <w:rPr>
          <w:rFonts w:hint="default" w:ascii="Times New Roman" w:hAnsi="Times New Roman" w:eastAsia="宋体" w:cs="Times New Roman"/>
          <w:color w:val="auto"/>
          <w:sz w:val="24"/>
          <w:highlight w:val="none"/>
          <w:lang w:val="en-US" w:eastAsia="zh-CN"/>
        </w:rPr>
        <w:t>1160600</w:t>
      </w:r>
      <w:r>
        <w:rPr>
          <w:rFonts w:hint="default" w:ascii="Times New Roman" w:hAnsi="Times New Roman" w:eastAsia="宋体" w:cs="Times New Roman"/>
          <w:color w:val="auto"/>
          <w:sz w:val="24"/>
          <w:highlight w:val="none"/>
        </w:rPr>
        <w:t>元。</w:t>
      </w:r>
    </w:p>
    <w:p w14:paraId="0B758027">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二、抽检对象、品种及项目</w:t>
      </w:r>
    </w:p>
    <w:p w14:paraId="3852BC0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202</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eastAsia="zh-CN"/>
        </w:rPr>
        <w:t>乌鲁木齐市市场监督管理局（乌鲁木齐市知识产权局）</w:t>
      </w:r>
      <w:r>
        <w:rPr>
          <w:rFonts w:hint="default" w:ascii="Times New Roman" w:hAnsi="Times New Roman" w:cs="Times New Roman"/>
          <w:color w:val="auto"/>
          <w:sz w:val="24"/>
          <w:highlight w:val="none"/>
        </w:rPr>
        <w:t>餐饮</w:t>
      </w:r>
      <w:r>
        <w:rPr>
          <w:rFonts w:hint="default" w:ascii="Times New Roman" w:hAnsi="Times New Roman" w:cs="Times New Roman"/>
          <w:color w:val="auto"/>
          <w:sz w:val="24"/>
          <w:highlight w:val="none"/>
          <w:lang w:val="en-US" w:eastAsia="zh-CN"/>
        </w:rPr>
        <w:t>省抽</w:t>
      </w:r>
      <w:r>
        <w:rPr>
          <w:rFonts w:hint="default" w:ascii="Times New Roman" w:hAnsi="Times New Roman" w:cs="Times New Roman"/>
          <w:color w:val="auto"/>
          <w:sz w:val="24"/>
          <w:highlight w:val="none"/>
        </w:rPr>
        <w:t>抽检品种及检验项目详见招标文件附表。</w:t>
      </w:r>
    </w:p>
    <w:p w14:paraId="62D9CEAD">
      <w:pPr>
        <w:keepNext w:val="0"/>
        <w:keepLines w:val="0"/>
        <w:pageBreakBefore w:val="0"/>
        <w:widowControl w:val="0"/>
        <w:numPr>
          <w:ilvl w:val="0"/>
          <w:numId w:val="7"/>
        </w:numPr>
        <w:kinsoku/>
        <w:wordWrap/>
        <w:overflowPunct/>
        <w:topLinePunct w:val="0"/>
        <w:bidi w:val="0"/>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抽样时间和频次</w:t>
      </w:r>
    </w:p>
    <w:p w14:paraId="3836FE68">
      <w:pPr>
        <w:keepNext w:val="0"/>
        <w:keepLines w:val="0"/>
        <w:pageBreakBefore w:val="0"/>
        <w:widowControl w:val="0"/>
        <w:kinsoku/>
        <w:wordWrap/>
        <w:overflowPunct/>
        <w:topLinePunct w:val="0"/>
        <w:bidi w:val="0"/>
        <w:spacing w:line="360" w:lineRule="auto"/>
        <w:ind w:firstLine="352" w:firstLineChars="147"/>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应严格落实</w:t>
      </w:r>
      <w:r>
        <w:rPr>
          <w:rFonts w:hint="default" w:ascii="Times New Roman" w:hAnsi="Times New Roman" w:eastAsia="宋体" w:cs="Times New Roman"/>
          <w:color w:val="auto"/>
          <w:sz w:val="24"/>
          <w:szCs w:val="24"/>
          <w:highlight w:val="none"/>
          <w:lang w:val="en-US" w:eastAsia="zh-CN"/>
        </w:rPr>
        <w:t>省抽</w:t>
      </w:r>
      <w:r>
        <w:rPr>
          <w:rFonts w:hint="default" w:ascii="Times New Roman" w:hAnsi="Times New Roman" w:eastAsia="宋体" w:cs="Times New Roman"/>
          <w:color w:val="auto"/>
          <w:sz w:val="24"/>
          <w:szCs w:val="24"/>
          <w:highlight w:val="none"/>
        </w:rPr>
        <w:t>餐饮抽检时间与频次，均衡完成抽检任务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按</w:t>
      </w:r>
      <w:r>
        <w:rPr>
          <w:rFonts w:hint="default" w:ascii="Times New Roman" w:hAnsi="Times New Roman" w:eastAsia="宋体" w:cs="Times New Roman"/>
          <w:color w:val="auto"/>
          <w:sz w:val="24"/>
          <w:szCs w:val="24"/>
          <w:highlight w:val="none"/>
        </w:rPr>
        <w:t>规定期限完成。</w:t>
      </w:r>
    </w:p>
    <w:p w14:paraId="7A8BD87F">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四、抽样场所</w:t>
      </w:r>
    </w:p>
    <w:p w14:paraId="60DD6CAE">
      <w:pPr>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szCs w:val="24"/>
          <w:highlight w:val="none"/>
        </w:rPr>
        <w:t>抽样地点应覆盖全市所有区（县）、乡镇（农村）</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城市、乡镇（含农村和城乡接合部），抽检比例为6:4</w:t>
      </w:r>
    </w:p>
    <w:p w14:paraId="2D1B9910">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2.同一家餐饮单位一次抽样不得超过三个品种(各1批次)，抽样间隔不得少于3个月。</w:t>
      </w:r>
    </w:p>
    <w:p w14:paraId="252950AA">
      <w:pPr>
        <w:keepNext w:val="0"/>
        <w:keepLines w:val="0"/>
        <w:pageBreakBefore w:val="0"/>
        <w:widowControl w:val="0"/>
        <w:kinsoku/>
        <w:wordWrap/>
        <w:overflowPunct/>
        <w:topLinePunct w:val="0"/>
        <w:bidi w:val="0"/>
        <w:spacing w:line="360" w:lineRule="auto"/>
        <w:ind w:firstLine="480" w:firstLineChars="200"/>
        <w:textAlignment w:val="auto"/>
        <w:rPr>
          <w:rFonts w:hint="eastAsia" w:eastAsia="宋体"/>
          <w:color w:val="auto"/>
          <w:highlight w:val="none"/>
          <w:lang w:val="en-US" w:eastAsia="zh-CN"/>
        </w:rPr>
      </w:pP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.突出问题导向，抽检品种及项目覆盖</w:t>
      </w:r>
      <w:r>
        <w:rPr>
          <w:rFonts w:hint="default" w:ascii="Times New Roman" w:hAnsi="Times New Roman" w:eastAsia="宋体" w:cs="Times New Roman"/>
          <w:color w:val="auto"/>
          <w:sz w:val="24"/>
          <w:highlight w:val="none"/>
          <w:lang w:val="en-US" w:eastAsia="zh-CN"/>
        </w:rPr>
        <w:t>餐饮自制</w:t>
      </w:r>
      <w:r>
        <w:rPr>
          <w:rFonts w:hint="default" w:ascii="Times New Roman" w:hAnsi="Times New Roman" w:eastAsia="宋体" w:cs="Times New Roman"/>
          <w:color w:val="auto"/>
          <w:sz w:val="24"/>
          <w:highlight w:val="none"/>
        </w:rPr>
        <w:t>米面及其制品</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肉制品</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调味料</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水产制品</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坚果及籽类食品</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餐饮具</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焙烤食品</w:t>
      </w:r>
      <w:r>
        <w:rPr>
          <w:rFonts w:hint="default" w:ascii="Times New Roman" w:hAnsi="Times New Roman" w:eastAsia="宋体" w:cs="Times New Roman"/>
          <w:color w:val="auto"/>
          <w:sz w:val="24"/>
          <w:highlight w:val="none"/>
          <w:lang w:eastAsia="zh-CN"/>
        </w:rPr>
        <w:t>、食用油、油脂及其制品、</w:t>
      </w:r>
      <w:r>
        <w:rPr>
          <w:rFonts w:hint="default" w:ascii="Times New Roman" w:hAnsi="Times New Roman" w:eastAsia="宋体" w:cs="Times New Roman"/>
          <w:color w:val="auto"/>
          <w:sz w:val="24"/>
          <w:highlight w:val="none"/>
        </w:rPr>
        <w:t>淀粉制品</w:t>
      </w:r>
      <w:r>
        <w:rPr>
          <w:rFonts w:hint="default" w:ascii="Times New Roman" w:hAnsi="Times New Roman" w:eastAsia="宋体" w:cs="Times New Roman"/>
          <w:color w:val="auto"/>
          <w:sz w:val="24"/>
          <w:highlight w:val="none"/>
          <w:lang w:val="en-US" w:eastAsia="zh-CN"/>
        </w:rPr>
        <w:t>和饮料</w:t>
      </w:r>
      <w:r>
        <w:rPr>
          <w:rFonts w:hint="default" w:ascii="Times New Roman" w:hAnsi="Times New Roman" w:eastAsia="宋体" w:cs="Times New Roman"/>
          <w:color w:val="auto"/>
          <w:sz w:val="24"/>
          <w:highlight w:val="none"/>
        </w:rPr>
        <w:t>。</w:t>
      </w:r>
    </w:p>
    <w:p w14:paraId="62145AD7">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五、抽样检验</w:t>
      </w:r>
    </w:p>
    <w:p w14:paraId="41990EA8">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抽样和检测等工作的实施应严格执行有关法律法规、规章以及《食品安全抽样检验管理办法》（总局第15号令）、《国家食品安全监督抽检实施细则（202</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年版）》等文件；抽样过程应严格按照监督抽检工作程序，履行相应的法定手续，应使用规范的抽样文书。</w:t>
      </w:r>
    </w:p>
    <w:p w14:paraId="1639F527">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检验人员应按照食品安全标准和检验规范对食品进行检验，保证数据和结论客观、公正。承检机构对不合格样品必须进行复核，确保检验结果准确可靠。此外，检验报告编号应该与抽样编号保持一致（或是在检验报告封皮醒目处加注抽样编号），便于不合格样品的核查处置。</w:t>
      </w:r>
    </w:p>
    <w:p w14:paraId="6E1E9D20">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六、任务完成时限</w:t>
      </w:r>
    </w:p>
    <w:p w14:paraId="6CD91604">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本包为乌鲁木齐市</w:t>
      </w:r>
      <w:r>
        <w:rPr>
          <w:rFonts w:hint="default" w:ascii="Times New Roman" w:hAnsi="Times New Roman" w:eastAsia="宋体" w:cs="Times New Roman"/>
          <w:color w:val="auto"/>
          <w:sz w:val="24"/>
          <w:highlight w:val="none"/>
          <w:lang w:val="en-US" w:eastAsia="zh-CN"/>
        </w:rPr>
        <w:t>省</w:t>
      </w:r>
      <w:r>
        <w:rPr>
          <w:rFonts w:hint="default" w:ascii="Times New Roman" w:hAnsi="Times New Roman" w:eastAsia="宋体" w:cs="Times New Roman"/>
          <w:color w:val="auto"/>
          <w:sz w:val="24"/>
          <w:highlight w:val="none"/>
        </w:rPr>
        <w:t>级任务。</w:t>
      </w:r>
    </w:p>
    <w:p w14:paraId="37B30474">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需达到均衡抽检要求，</w:t>
      </w:r>
      <w:r>
        <w:rPr>
          <w:rFonts w:hint="default" w:ascii="Times New Roman" w:hAnsi="Times New Roman" w:eastAsia="宋体" w:cs="Times New Roman"/>
          <w:color w:val="auto"/>
          <w:sz w:val="24"/>
          <w:highlight w:val="none"/>
          <w:lang w:val="en-US" w:eastAsia="zh-CN"/>
        </w:rPr>
        <w:t>202</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lang w:val="en-US" w:eastAsia="zh-CN"/>
        </w:rPr>
        <w:t>年4</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30</w:t>
      </w:r>
      <w:r>
        <w:rPr>
          <w:rFonts w:hint="default" w:ascii="Times New Roman" w:hAnsi="Times New Roman" w:eastAsia="宋体" w:cs="Times New Roman"/>
          <w:color w:val="auto"/>
          <w:sz w:val="24"/>
          <w:highlight w:val="none"/>
        </w:rPr>
        <w:t>日前完成所有抽检任务。</w:t>
      </w:r>
    </w:p>
    <w:p w14:paraId="20C881B6">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七、数据报送</w:t>
      </w:r>
    </w:p>
    <w:p w14:paraId="33F3FF76">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1.承检机构应严格按照有关法律法规、规章和有关要求，将检验工作中发现的食品安全问题和有关检验报告及时上报组织实施抽检工作的市场监管部门。</w:t>
      </w:r>
    </w:p>
    <w:p w14:paraId="0882036D">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2.发现不合格样品中可能存在重大风险隐患或急性健康风险的，应当在确认检验结果后24小时之内填写《食品安全抽样检验限时报告情况表》，报告</w:t>
      </w:r>
      <w:r>
        <w:rPr>
          <w:rFonts w:hint="eastAsia" w:ascii="Times New Roman" w:hAnsi="Times New Roman" w:cs="Times New Roman"/>
          <w:color w:val="auto"/>
          <w:sz w:val="24"/>
          <w:highlight w:val="none"/>
          <w:lang w:eastAsia="zh-CN"/>
        </w:rPr>
        <w:t>乌鲁木齐市市场监督管理局（乌鲁木齐市知识产权局）</w:t>
      </w:r>
      <w:r>
        <w:rPr>
          <w:rFonts w:hint="default" w:ascii="Times New Roman" w:hAnsi="Times New Roman" w:cs="Times New Roman"/>
          <w:color w:val="auto"/>
          <w:sz w:val="24"/>
          <w:highlight w:val="none"/>
        </w:rPr>
        <w:t>，并抄送自治区市场监管局。</w:t>
      </w:r>
    </w:p>
    <w:p w14:paraId="08CF4A2F">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3.所有抽检数据须录入国抽平台。</w:t>
      </w:r>
    </w:p>
    <w:p w14:paraId="18AE6A93">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4.</w:t>
      </w:r>
      <w:r>
        <w:rPr>
          <w:rFonts w:hint="default" w:ascii="Times New Roman" w:hAnsi="Times New Roman" w:cs="Times New Roman"/>
          <w:color w:val="auto"/>
          <w:sz w:val="24"/>
          <w:highlight w:val="none"/>
        </w:rPr>
        <w:t>须形成半年及全年分析报告。</w:t>
      </w:r>
    </w:p>
    <w:p w14:paraId="2CC2A579">
      <w:pPr>
        <w:pStyle w:val="24"/>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color w:val="auto"/>
          <w:sz w:val="24"/>
          <w:szCs w:val="24"/>
          <w:highlight w:val="none"/>
        </w:rPr>
      </w:pPr>
    </w:p>
    <w:p w14:paraId="2677324F">
      <w:pPr>
        <w:bidi w:val="0"/>
        <w:rPr>
          <w:rFonts w:hint="default"/>
          <w:b/>
          <w:bCs/>
          <w:color w:val="auto"/>
          <w:sz w:val="24"/>
          <w:szCs w:val="32"/>
          <w:highlight w:val="none"/>
        </w:rPr>
      </w:pPr>
      <w:r>
        <w:rPr>
          <w:rFonts w:hint="default"/>
          <w:b/>
          <w:bCs/>
          <w:color w:val="auto"/>
          <w:sz w:val="24"/>
          <w:szCs w:val="32"/>
          <w:highlight w:val="none"/>
        </w:rPr>
        <w:t>*其他要求：抽检餐饮服务食品应具备4小时内转运样品至实验室的能力（以新疆昆仑宾馆为起点，检测实验室为终点，通过两个以上地图类工具软件验证）</w:t>
      </w:r>
    </w:p>
    <w:p w14:paraId="235EA81F">
      <w:pPr>
        <w:bidi w:val="0"/>
        <w:rPr>
          <w:rFonts w:hint="default"/>
          <w:b/>
          <w:bCs/>
          <w:color w:val="auto"/>
          <w:sz w:val="24"/>
          <w:szCs w:val="32"/>
          <w:highlight w:val="none"/>
        </w:rPr>
      </w:pPr>
      <w:r>
        <w:rPr>
          <w:rFonts w:hint="default"/>
          <w:b/>
          <w:bCs/>
          <w:color w:val="auto"/>
          <w:sz w:val="24"/>
          <w:szCs w:val="32"/>
          <w:highlight w:val="none"/>
        </w:rPr>
        <w:t>注：加*条款为重要条款，若不满足将导致符合性审查不合格。</w:t>
      </w:r>
    </w:p>
    <w:p w14:paraId="56137D62">
      <w:pPr>
        <w:keepNext w:val="0"/>
        <w:keepLines w:val="0"/>
        <w:pageBreakBefore w:val="0"/>
        <w:widowControl w:val="0"/>
        <w:kinsoku/>
        <w:wordWrap/>
        <w:overflowPunct/>
        <w:topLinePunct w:val="0"/>
        <w:bidi w:val="0"/>
        <w:spacing w:line="360" w:lineRule="auto"/>
        <w:ind w:firstLine="482" w:firstLineChars="200"/>
        <w:jc w:val="center"/>
        <w:textAlignment w:val="auto"/>
        <w:rPr>
          <w:rFonts w:hint="default" w:ascii="Times New Roman" w:hAnsi="Times New Roman" w:cs="Times New Roman"/>
          <w:b/>
          <w:bCs/>
          <w:color w:val="auto"/>
          <w:sz w:val="24"/>
          <w:highlight w:val="none"/>
        </w:rPr>
      </w:pPr>
    </w:p>
    <w:p w14:paraId="2E364172">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八、验收、续签合同、付款</w:t>
      </w:r>
    </w:p>
    <w:p w14:paraId="24CD1A70">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（一）验收</w:t>
      </w:r>
    </w:p>
    <w:p w14:paraId="067D810B">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乌鲁木齐市市场监督管理局（乌鲁木齐市知识产权局）按照合同执行情况，对该年度承担任务的承检机构进行质量验收，确认验收报告。</w:t>
      </w:r>
    </w:p>
    <w:p w14:paraId="407073DA">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（二）项目办结及付款</w:t>
      </w:r>
    </w:p>
    <w:p w14:paraId="7EC5E2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sectPr>
          <w:pgSz w:w="11906" w:h="16838"/>
          <w:pgMar w:top="1134" w:right="1417" w:bottom="1134" w:left="1417" w:header="851" w:footer="992" w:gutter="0"/>
          <w:cols w:space="425" w:num="1"/>
          <w:docGrid w:type="lines" w:linePitch="312" w:charSpace="0"/>
        </w:sectPr>
      </w:pPr>
      <w:r>
        <w:rPr>
          <w:rFonts w:hint="default" w:ascii="Times New Roman" w:hAnsi="Times New Roman" w:cs="Times New Roman"/>
          <w:color w:val="auto"/>
          <w:sz w:val="24"/>
          <w:highlight w:val="none"/>
        </w:rPr>
        <w:t>采购人凭项目合同、验收报告、发票原件在合同约定的时间内办理采购款支付手续。</w:t>
      </w:r>
    </w:p>
    <w:tbl>
      <w:tblPr>
        <w:tblStyle w:val="30"/>
        <w:tblW w:w="157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5"/>
        <w:gridCol w:w="1300"/>
        <w:gridCol w:w="1219"/>
        <w:gridCol w:w="1799"/>
        <w:gridCol w:w="4975"/>
        <w:gridCol w:w="4527"/>
        <w:gridCol w:w="782"/>
      </w:tblGrid>
      <w:tr w14:paraId="7E5FF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15747" w:type="dxa"/>
            <w:gridSpan w:val="7"/>
            <w:tcBorders>
              <w:top w:val="nil"/>
              <w:left w:val="nil"/>
              <w:bottom w:val="single" w:color="auto" w:sz="4" w:space="0"/>
              <w:right w:val="nil"/>
            </w:tcBorders>
            <w:shd w:val="clear" w:color="auto" w:fill="auto"/>
            <w:vAlign w:val="center"/>
          </w:tcPr>
          <w:p w14:paraId="4557E328">
            <w:pPr>
              <w:keepNext w:val="0"/>
              <w:keepLines w:val="0"/>
              <w:widowControl/>
              <w:suppressLineNumbers w:val="0"/>
              <w:tabs>
                <w:tab w:val="left" w:pos="7140"/>
              </w:tabs>
              <w:jc w:val="center"/>
              <w:textAlignment w:val="center"/>
              <w:rPr>
                <w:rFonts w:hint="default" w:ascii="Times New Roman" w:hAnsi="Times New Roman" w:eastAsia="方正小标宋_GBK" w:cs="Times New Roman"/>
                <w:i w:val="0"/>
                <w:iCs w:val="0"/>
                <w:color w:val="auto"/>
                <w:kern w:val="0"/>
                <w:sz w:val="40"/>
                <w:szCs w:val="40"/>
                <w:highlight w:val="none"/>
                <w:u w:val="none"/>
                <w:lang w:val="en-US" w:eastAsia="zh-CN" w:bidi="ar"/>
              </w:rPr>
            </w:pPr>
            <w:r>
              <w:rPr>
                <w:rFonts w:hint="default" w:ascii="Times New Roman" w:hAnsi="Times New Roman" w:eastAsia="方正小标宋_GBK" w:cs="Times New Roman"/>
                <w:i w:val="0"/>
                <w:iCs w:val="0"/>
                <w:color w:val="auto"/>
                <w:kern w:val="0"/>
                <w:sz w:val="40"/>
                <w:szCs w:val="40"/>
                <w:highlight w:val="none"/>
                <w:u w:val="none"/>
                <w:lang w:val="en-US" w:eastAsia="zh-CN" w:bidi="ar"/>
              </w:rPr>
              <w:t>2026年乌鲁木齐市省抽餐饮食品抽检任务分配表</w:t>
            </w:r>
          </w:p>
        </w:tc>
      </w:tr>
      <w:tr w14:paraId="64AB1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1145" w:type="dxa"/>
            <w:tcBorders>
              <w:top w:val="single" w:color="auto" w:sz="4" w:space="0"/>
              <w:left w:val="single" w:color="000000" w:sz="4" w:space="0"/>
              <w:bottom w:val="single" w:color="000000" w:sz="4" w:space="0"/>
              <w:right w:val="single" w:color="000000" w:sz="4" w:space="0"/>
            </w:tcBorders>
            <w:shd w:val="clear" w:color="auto" w:fill="auto"/>
            <w:vAlign w:val="center"/>
          </w:tcPr>
          <w:p w14:paraId="6807AA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食品大类</w:t>
            </w:r>
          </w:p>
          <w:p w14:paraId="512B2C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（一级）</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center"/>
          </w:tcPr>
          <w:p w14:paraId="23BB14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食品亚类</w:t>
            </w:r>
          </w:p>
          <w:p w14:paraId="797A02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（二级）</w:t>
            </w:r>
          </w:p>
        </w:tc>
        <w:tc>
          <w:tcPr>
            <w:tcW w:w="1219" w:type="dxa"/>
            <w:tcBorders>
              <w:top w:val="single" w:color="auto" w:sz="4" w:space="0"/>
              <w:left w:val="single" w:color="000000" w:sz="4" w:space="0"/>
              <w:bottom w:val="single" w:color="000000" w:sz="4" w:space="0"/>
              <w:right w:val="single" w:color="000000" w:sz="4" w:space="0"/>
            </w:tcBorders>
            <w:shd w:val="clear" w:color="auto" w:fill="auto"/>
            <w:vAlign w:val="center"/>
          </w:tcPr>
          <w:p w14:paraId="6BBC2D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食品品种</w:t>
            </w:r>
          </w:p>
          <w:p w14:paraId="751B03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（三级）</w:t>
            </w:r>
          </w:p>
        </w:tc>
        <w:tc>
          <w:tcPr>
            <w:tcW w:w="1799" w:type="dxa"/>
            <w:tcBorders>
              <w:top w:val="single" w:color="auto" w:sz="4" w:space="0"/>
              <w:left w:val="single" w:color="000000" w:sz="4" w:space="0"/>
              <w:bottom w:val="single" w:color="000000" w:sz="4" w:space="0"/>
              <w:right w:val="single" w:color="000000" w:sz="4" w:space="0"/>
            </w:tcBorders>
            <w:shd w:val="clear" w:color="auto" w:fill="auto"/>
            <w:vAlign w:val="center"/>
          </w:tcPr>
          <w:p w14:paraId="385482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食品细类</w:t>
            </w:r>
          </w:p>
          <w:p w14:paraId="7DD145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（四级）</w:t>
            </w:r>
          </w:p>
        </w:tc>
        <w:tc>
          <w:tcPr>
            <w:tcW w:w="4975" w:type="dxa"/>
            <w:tcBorders>
              <w:top w:val="single" w:color="auto" w:sz="4" w:space="0"/>
              <w:left w:val="single" w:color="000000" w:sz="4" w:space="0"/>
              <w:bottom w:val="single" w:color="000000" w:sz="4" w:space="0"/>
              <w:right w:val="single" w:color="000000" w:sz="4" w:space="0"/>
            </w:tcBorders>
            <w:shd w:val="clear" w:color="auto" w:fill="auto"/>
            <w:vAlign w:val="center"/>
          </w:tcPr>
          <w:p w14:paraId="5657CB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抽检项目</w:t>
            </w:r>
          </w:p>
        </w:tc>
        <w:tc>
          <w:tcPr>
            <w:tcW w:w="4527" w:type="dxa"/>
            <w:tcBorders>
              <w:top w:val="single" w:color="auto" w:sz="4" w:space="0"/>
              <w:left w:val="single" w:color="000000" w:sz="4" w:space="0"/>
              <w:bottom w:val="single" w:color="000000" w:sz="4" w:space="0"/>
              <w:right w:val="single" w:color="000000" w:sz="4" w:space="0"/>
            </w:tcBorders>
            <w:shd w:val="clear" w:color="auto" w:fill="auto"/>
            <w:vAlign w:val="center"/>
          </w:tcPr>
          <w:p w14:paraId="756981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区配套限定抽检品种及项目</w:t>
            </w:r>
          </w:p>
        </w:tc>
        <w:tc>
          <w:tcPr>
            <w:tcW w:w="782" w:type="dxa"/>
            <w:tcBorders>
              <w:top w:val="single" w:color="auto" w:sz="4" w:space="0"/>
              <w:left w:val="single" w:color="000000" w:sz="4" w:space="0"/>
              <w:bottom w:val="single" w:color="000000" w:sz="4" w:space="0"/>
              <w:right w:val="single" w:color="000000" w:sz="4" w:space="0"/>
            </w:tcBorders>
            <w:shd w:val="clear" w:color="auto" w:fill="auto"/>
            <w:vAlign w:val="center"/>
          </w:tcPr>
          <w:p w14:paraId="326CE0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批次</w:t>
            </w:r>
          </w:p>
        </w:tc>
      </w:tr>
      <w:tr w14:paraId="2618E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jc w:val="center"/>
        </w:trPr>
        <w:tc>
          <w:tcPr>
            <w:tcW w:w="11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8AB7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餐饮食品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313D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米面及其制品（自制）</w:t>
            </w:r>
          </w:p>
        </w:tc>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8299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小麦粉制品（自制）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0D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馒头花卷</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87A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脱氢乙酸及其钠盐（以脱氢乙酸计）、甜蜜素（以环己基氨基磺酸计）、铅（以Pb计）、合成着色剂（柠檬黄、日落黄、胭脂红、苋菜红、亮蓝）</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BBC0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9F6C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4</w:t>
            </w:r>
            <w:r>
              <w:rPr>
                <w:rFonts w:hint="eastAsia" w:ascii="Times New Roman" w:hAnsi="Times New Roman" w:eastAsia="宋体" w:cs="Times New Roman"/>
                <w:i w:val="0"/>
                <w:iCs w:val="0"/>
                <w:color w:val="auto"/>
                <w:kern w:val="0"/>
                <w:sz w:val="20"/>
                <w:szCs w:val="20"/>
                <w:highlight w:val="none"/>
                <w:u w:val="none"/>
                <w:lang w:val="en-US" w:eastAsia="zh-CN" w:bidi="ar"/>
              </w:rPr>
              <w:t>3</w:t>
            </w:r>
          </w:p>
        </w:tc>
      </w:tr>
      <w:tr w14:paraId="2F2DE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B4B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854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1F6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CCD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包子（自制）</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84D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苯甲酸及其钠盐（以苯甲酸计）、山梨酸及其钾盐（以山梨酸计）、糖精钠（以糖精计）、脱氢乙酸及其钠盐（以脱氢乙酸计）、甜蜜素（以环己基氨基磺酸计）</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5B77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EA7C1">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2"/>
                <w:sz w:val="20"/>
                <w:szCs w:val="20"/>
                <w:highlight w:val="none"/>
                <w:u w:val="none"/>
                <w:lang w:val="en-US" w:eastAsia="zh-CN" w:bidi="ar-SA"/>
              </w:rPr>
            </w:pPr>
            <w:r>
              <w:rPr>
                <w:rFonts w:hint="eastAsia" w:ascii="Times New Roman" w:hAnsi="Times New Roman" w:eastAsia="宋体" w:cs="Times New Roman"/>
                <w:i w:val="0"/>
                <w:iCs w:val="0"/>
                <w:color w:val="auto"/>
                <w:kern w:val="0"/>
                <w:sz w:val="20"/>
                <w:szCs w:val="20"/>
                <w:highlight w:val="none"/>
                <w:u w:val="none"/>
                <w:lang w:val="en-US" w:eastAsia="zh-CN" w:bidi="ar"/>
              </w:rPr>
              <w:t>30</w:t>
            </w:r>
          </w:p>
        </w:tc>
      </w:tr>
      <w:tr w14:paraId="71445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9C5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1BB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7A1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2D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其他生湿面制品（自制）</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CA2E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91FA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铅（以Pb计）、苯甲酸及其钠盐（以苯甲酸计）、山梨酸及其钾盐（以山梨酸计）、脱氢乙酸及其钠盐（以脱氢乙酸计）、柠檬黄、日落黄</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BC97B">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25</w:t>
            </w:r>
          </w:p>
        </w:tc>
      </w:tr>
      <w:tr w14:paraId="31C26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8A7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D31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E79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CC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其他熟制面制品（自制）</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55F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2B92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柠檬黄、日落黄</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EE9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25</w:t>
            </w:r>
          </w:p>
        </w:tc>
      </w:tr>
      <w:tr w14:paraId="3A301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D91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FAF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587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B9C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其他油炸面制品（自制）</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904E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4ED8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D0A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55</w:t>
            </w:r>
          </w:p>
        </w:tc>
      </w:tr>
      <w:tr w14:paraId="012EE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9ED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431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EE1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63A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油饼油条</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B02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409B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C5E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59</w:t>
            </w:r>
          </w:p>
        </w:tc>
      </w:tr>
      <w:tr w14:paraId="18969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025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AEA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4BD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E71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凉皮类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271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脱氢乙酸及其钠盐（以脱氢乙酸计）、柠檬黄</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0C55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B0E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32</w:t>
            </w:r>
          </w:p>
        </w:tc>
      </w:tr>
      <w:tr w14:paraId="6403E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8D0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4C28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肉制品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487E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熟肉制品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A47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肉冻皮冻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1C1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铬（以Cr计）</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6351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991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15</w:t>
            </w:r>
          </w:p>
        </w:tc>
      </w:tr>
      <w:tr w14:paraId="5C108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287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A50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EDA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A4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熏烧烤肉类（自制）</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724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N-二甲基亚硝胺、苯并[a]芘、铅（以Pb计）</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D1FF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同左，增加铬</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5AC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45</w:t>
            </w:r>
          </w:p>
        </w:tc>
      </w:tr>
      <w:tr w14:paraId="03EA0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A56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348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26C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89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油炸肉类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top"/>
          </w:tcPr>
          <w:p w14:paraId="25371FC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2B23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N-二甲基亚硝胺、苯甲酸及其钠盐（以苯甲酸计）、山梨酸及其钾盐（以山梨酸计）、合成着色剂（柠檬黄、日落黄）</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619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30</w:t>
            </w:r>
          </w:p>
        </w:tc>
      </w:tr>
      <w:tr w14:paraId="5DFC2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1A7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A33C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调味料（自制 ）</w:t>
            </w:r>
          </w:p>
        </w:tc>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F914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4E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火锅麻辣烫底料（自制）</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0071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罂粟碱、吗啡、可待因、那可丁</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9C78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253A6">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2"/>
                <w:sz w:val="20"/>
                <w:szCs w:val="20"/>
                <w:highlight w:val="none"/>
                <w:u w:val="none"/>
                <w:lang w:val="en-US" w:eastAsia="zh-CN" w:bidi="ar-SA"/>
              </w:rPr>
            </w:pPr>
            <w:r>
              <w:rPr>
                <w:rFonts w:hint="eastAsia" w:ascii="Times New Roman" w:hAnsi="Times New Roman" w:eastAsia="宋体" w:cs="Times New Roman"/>
                <w:i w:val="0"/>
                <w:iCs w:val="0"/>
                <w:color w:val="auto"/>
                <w:kern w:val="0"/>
                <w:sz w:val="20"/>
                <w:szCs w:val="20"/>
                <w:highlight w:val="none"/>
                <w:u w:val="none"/>
                <w:lang w:val="en-US" w:eastAsia="zh-CN" w:bidi="ar"/>
              </w:rPr>
              <w:t>30</w:t>
            </w:r>
          </w:p>
        </w:tc>
      </w:tr>
      <w:tr w14:paraId="7EACE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32F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47B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657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958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蘸料（自制）</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629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9CFC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罂粟碱、吗啡、可待因、那可丁，黄曲霉毒素B₁（限花生酱检测）</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F3F1F">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2"/>
                <w:sz w:val="20"/>
                <w:szCs w:val="20"/>
                <w:highlight w:val="none"/>
                <w:u w:val="none"/>
                <w:lang w:val="en-US" w:eastAsia="zh-CN" w:bidi="ar-SA"/>
              </w:rPr>
            </w:pPr>
            <w:r>
              <w:rPr>
                <w:rFonts w:hint="eastAsia" w:ascii="Times New Roman" w:hAnsi="Times New Roman" w:eastAsia="宋体" w:cs="Times New Roman"/>
                <w:i w:val="0"/>
                <w:iCs w:val="0"/>
                <w:color w:val="auto"/>
                <w:kern w:val="0"/>
                <w:sz w:val="20"/>
                <w:szCs w:val="20"/>
                <w:highlight w:val="none"/>
                <w:u w:val="none"/>
                <w:lang w:val="en-US" w:eastAsia="zh-CN" w:bidi="ar"/>
              </w:rPr>
              <w:t>30</w:t>
            </w:r>
          </w:p>
        </w:tc>
      </w:tr>
      <w:tr w14:paraId="70361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CE4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873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水产制品（自制）</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44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预制水产制品（自制）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DD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生食动物性水产品（自制）</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3599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铝的残留量（以即食海蜇中Al计）</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7A72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55AC0">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20</w:t>
            </w:r>
          </w:p>
        </w:tc>
      </w:tr>
      <w:tr w14:paraId="13165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BAC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1F3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坚果及籽类食品（自制 ）</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3B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坚果及籽类食品（自制 ）</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226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花生制品（自制 ）</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9A5B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黄曲霉毒素B₁ 、苯甲酸及其钠盐（以苯甲酸计）、山梨酸及其钾盐（以山梨酸计）、脱氢乙酸及其钠盐（以脱氢乙酸计）</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4F68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BDF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33</w:t>
            </w:r>
          </w:p>
        </w:tc>
      </w:tr>
      <w:tr w14:paraId="599B0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EFB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A2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焙烤食品（自制）</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7CB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焙烤食品（自制）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85D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糕点（自制）</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83E0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酸价（以脂肪计）（KOH）、过氧化值（以脂肪计）、山梨酸及其钾盐（以山梨酸计）、脱氢乙酸及其钠盐（以脱氢乙酸计）、铝的残留量（干样品，以Al计）</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80A8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2EE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85</w:t>
            </w:r>
          </w:p>
        </w:tc>
      </w:tr>
      <w:tr w14:paraId="488B6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8"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7AE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D22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食用油、油脂及其制品（自制）</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B0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食用油、油脂及其制品（自制）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40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煎炸过程用油</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C960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极性组分、酸价（KOH）</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DC3D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798E3">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72</w:t>
            </w:r>
          </w:p>
        </w:tc>
      </w:tr>
      <w:tr w14:paraId="4436F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F9B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A3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淀粉制品（自制）</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DB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粉丝粉条（自制）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C0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粉丝粉条（自制 ）</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9874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铝的残留量（干样品，以Al计）、脱氢乙酸及其钠盐（以脱氢乙酸计）</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824F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9F71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15</w:t>
            </w:r>
          </w:p>
        </w:tc>
      </w:tr>
      <w:tr w14:paraId="18226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848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6101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0A68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F08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奶茶（自制）</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AB1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B852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B0B45">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55</w:t>
            </w:r>
          </w:p>
        </w:tc>
      </w:tr>
      <w:tr w14:paraId="1D26D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F42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949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561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56B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果蔬汁类及其饮料（自制）</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B32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ADFB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甜蜜素（以环己基氨基磺酸钠计）、脱氢乙酸及其钠盐（以脱氢乙酸计）、合成着色剂（苋菜红、胭脂红、柠檬黄、日落黄、亮蓝）、防腐剂混合使用时各自用量占其最大使用量的比例之和</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CEE5D">
            <w:pPr>
              <w:keepNext w:val="0"/>
              <w:keepLines w:val="0"/>
              <w:widowControl/>
              <w:suppressLineNumbers w:val="0"/>
              <w:jc w:val="center"/>
              <w:textAlignment w:val="center"/>
              <w:rPr>
                <w:rFonts w:hint="default" w:ascii="Times New Roman" w:hAnsi="Times New Roman" w:cs="Times New Roman" w:eastAsiaTheme="minorEastAsia"/>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55</w:t>
            </w:r>
          </w:p>
        </w:tc>
      </w:tr>
      <w:tr w14:paraId="7E36E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jc w:val="center"/>
        </w:trPr>
        <w:tc>
          <w:tcPr>
            <w:tcW w:w="1145" w:type="dxa"/>
            <w:vMerge w:val="continue"/>
            <w:tcBorders>
              <w:left w:val="single" w:color="000000" w:sz="4" w:space="0"/>
              <w:right w:val="single" w:color="000000" w:sz="4" w:space="0"/>
            </w:tcBorders>
            <w:shd w:val="clear" w:color="auto" w:fill="auto"/>
            <w:vAlign w:val="center"/>
          </w:tcPr>
          <w:p w14:paraId="4A9FEF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F60B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餐饮具</w:t>
            </w:r>
          </w:p>
        </w:tc>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B031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复用餐饮具</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98E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复用餐饮具</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（餐馆自行消毒</w:t>
            </w:r>
            <w:r>
              <w:rPr>
                <w:rFonts w:hint="default" w:ascii="Times New Roman" w:hAnsi="Times New Roman" w:eastAsia="宋体" w:cs="Times New Roman"/>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w:t>
            </w:r>
          </w:p>
        </w:tc>
        <w:tc>
          <w:tcPr>
            <w:tcW w:w="4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C9D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阴离子合成洗涤剂（以十二烷基苯磺酸钠计）、大肠菌群</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AFDC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同左</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DAACF">
            <w:pPr>
              <w:keepNext w:val="0"/>
              <w:keepLines w:val="0"/>
              <w:widowControl/>
              <w:suppressLineNumbers w:val="0"/>
              <w:jc w:val="center"/>
              <w:textAlignment w:val="center"/>
              <w:rPr>
                <w:rFonts w:hint="eastAsia" w:ascii="Times New Roman" w:hAnsi="Times New Roman" w:cs="Times New Roman" w:eastAsiaTheme="minorEastAsia"/>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60</w:t>
            </w:r>
          </w:p>
        </w:tc>
      </w:tr>
      <w:tr w14:paraId="14660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jc w:val="center"/>
        </w:trPr>
        <w:tc>
          <w:tcPr>
            <w:tcW w:w="1145" w:type="dxa"/>
            <w:vMerge w:val="continue"/>
            <w:tcBorders>
              <w:left w:val="single" w:color="000000" w:sz="4" w:space="0"/>
              <w:bottom w:val="single" w:color="auto" w:sz="4" w:space="0"/>
              <w:right w:val="single" w:color="000000" w:sz="4" w:space="0"/>
            </w:tcBorders>
            <w:shd w:val="clear" w:color="auto" w:fill="auto"/>
            <w:vAlign w:val="center"/>
          </w:tcPr>
          <w:p w14:paraId="277608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388A8F14">
            <w:pPr>
              <w:jc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4BB18C8C">
            <w:pPr>
              <w:jc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auto" w:sz="4" w:space="0"/>
              <w:right w:val="single" w:color="000000" w:sz="4" w:space="0"/>
            </w:tcBorders>
            <w:shd w:val="clear" w:color="auto" w:fill="auto"/>
            <w:vAlign w:val="center"/>
          </w:tcPr>
          <w:p w14:paraId="4A5104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复用餐饮具（集中清洗消毒服务单位消毒</w:t>
            </w:r>
            <w:r>
              <w:rPr>
                <w:rFonts w:hint="default" w:ascii="Times New Roman" w:hAnsi="Times New Roman" w:eastAsia="宋体" w:cs="Times New Roman"/>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w:t>
            </w:r>
          </w:p>
        </w:tc>
        <w:tc>
          <w:tcPr>
            <w:tcW w:w="4975" w:type="dxa"/>
            <w:tcBorders>
              <w:top w:val="single" w:color="000000" w:sz="4" w:space="0"/>
              <w:left w:val="single" w:color="000000" w:sz="4" w:space="0"/>
              <w:bottom w:val="single" w:color="auto" w:sz="4" w:space="0"/>
              <w:right w:val="single" w:color="000000" w:sz="4" w:space="0"/>
            </w:tcBorders>
            <w:shd w:val="clear" w:color="auto" w:fill="auto"/>
            <w:vAlign w:val="center"/>
          </w:tcPr>
          <w:p w14:paraId="4839AF6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阴离子合成洗涤剂（以十二烷基苯磺酸钠计）、大肠菌群</w:t>
            </w:r>
          </w:p>
        </w:tc>
        <w:tc>
          <w:tcPr>
            <w:tcW w:w="452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2795B0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同左</w:t>
            </w:r>
          </w:p>
        </w:tc>
        <w:tc>
          <w:tcPr>
            <w:tcW w:w="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0B20B">
            <w:pPr>
              <w:keepNext w:val="0"/>
              <w:keepLines w:val="0"/>
              <w:widowControl/>
              <w:suppressLineNumbers w:val="0"/>
              <w:jc w:val="center"/>
              <w:textAlignment w:val="center"/>
              <w:rPr>
                <w:rFonts w:hint="eastAsia" w:ascii="Times New Roman" w:hAnsi="Times New Roman" w:cs="Times New Roman" w:eastAsiaTheme="minorEastAsia"/>
                <w:i w:val="0"/>
                <w:iCs w:val="0"/>
                <w:color w:val="auto"/>
                <w:kern w:val="2"/>
                <w:sz w:val="20"/>
                <w:szCs w:val="20"/>
                <w:highlight w:val="none"/>
                <w:u w:val="none"/>
                <w:lang w:val="en-US" w:eastAsia="zh-CN" w:bidi="ar-SA"/>
              </w:rPr>
            </w:pPr>
            <w:r>
              <w:rPr>
                <w:rFonts w:hint="default" w:ascii="Times New Roman" w:hAnsi="Times New Roman" w:eastAsia="宋体" w:cs="Times New Roman"/>
                <w:i w:val="0"/>
                <w:iCs w:val="0"/>
                <w:color w:val="auto"/>
                <w:kern w:val="0"/>
                <w:sz w:val="20"/>
                <w:szCs w:val="20"/>
                <w:highlight w:val="none"/>
                <w:u w:val="none"/>
                <w:lang w:val="en-US" w:eastAsia="zh-CN" w:bidi="ar"/>
              </w:rPr>
              <w:t>15</w:t>
            </w:r>
          </w:p>
        </w:tc>
      </w:tr>
      <w:tr w14:paraId="149E7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1496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35A79BA">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合计</w:t>
            </w:r>
          </w:p>
        </w:tc>
        <w:tc>
          <w:tcPr>
            <w:tcW w:w="782"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65085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829</w:t>
            </w:r>
          </w:p>
        </w:tc>
      </w:tr>
    </w:tbl>
    <w:p w14:paraId="0846EFD5">
      <w:pPr>
        <w:pStyle w:val="2"/>
        <w:rPr>
          <w:rFonts w:hint="default" w:ascii="Times New Roman" w:hAnsi="Times New Roman" w:cs="Times New Roman"/>
          <w:color w:val="auto"/>
          <w:highlight w:val="none"/>
        </w:rPr>
        <w:sectPr>
          <w:pgSz w:w="16838" w:h="11906" w:orient="landscape"/>
          <w:pgMar w:top="1417" w:right="1134" w:bottom="1417" w:left="1134" w:header="851" w:footer="992" w:gutter="0"/>
          <w:cols w:space="425" w:num="1"/>
          <w:docGrid w:type="lines" w:linePitch="312" w:charSpace="0"/>
        </w:sectPr>
      </w:pPr>
    </w:p>
    <w:p w14:paraId="71F7A46D">
      <w:pPr>
        <w:spacing w:line="440" w:lineRule="exact"/>
        <w:jc w:val="center"/>
        <w:rPr>
          <w:rFonts w:hint="default" w:ascii="Times New Roman" w:hAnsi="Times New Roman" w:cs="Times New Roman"/>
          <w:b/>
          <w:bCs/>
          <w:color w:val="auto"/>
          <w:sz w:val="24"/>
          <w:highlight w:val="none"/>
        </w:rPr>
      </w:pPr>
      <w:r>
        <w:rPr>
          <w:rFonts w:hint="eastAsia" w:cs="Times New Roman"/>
          <w:b/>
          <w:bCs/>
          <w:color w:val="auto"/>
          <w:sz w:val="24"/>
          <w:highlight w:val="none"/>
          <w:lang w:eastAsia="zh-CN"/>
        </w:rPr>
        <w:t>乌鲁木齐市市场监督管理局（乌鲁木齐市知识产权局）</w:t>
      </w:r>
      <w:r>
        <w:rPr>
          <w:rFonts w:hint="default" w:ascii="Times New Roman" w:hAnsi="Times New Roman" w:cs="Times New Roman"/>
          <w:b/>
          <w:bCs/>
          <w:color w:val="auto"/>
          <w:sz w:val="24"/>
          <w:highlight w:val="none"/>
        </w:rPr>
        <w:t>202</w:t>
      </w:r>
      <w:r>
        <w:rPr>
          <w:rFonts w:hint="eastAsia" w:cs="Times New Roman"/>
          <w:b/>
          <w:bCs/>
          <w:color w:val="auto"/>
          <w:sz w:val="24"/>
          <w:highlight w:val="none"/>
          <w:lang w:val="en-US" w:eastAsia="zh-CN"/>
        </w:rPr>
        <w:t>6</w:t>
      </w:r>
      <w:r>
        <w:rPr>
          <w:rFonts w:hint="default" w:ascii="Times New Roman" w:hAnsi="Times New Roman" w:cs="Times New Roman"/>
          <w:b/>
          <w:bCs/>
          <w:color w:val="auto"/>
          <w:sz w:val="24"/>
          <w:highlight w:val="none"/>
        </w:rPr>
        <w:t>年乌鲁木齐市食品安全监督抽检服务项目</w:t>
      </w:r>
    </w:p>
    <w:p w14:paraId="164A20D9">
      <w:pPr>
        <w:keepNext w:val="0"/>
        <w:keepLines w:val="0"/>
        <w:pageBreakBefore w:val="0"/>
        <w:widowControl w:val="0"/>
        <w:tabs>
          <w:tab w:val="center" w:pos="4832"/>
          <w:tab w:val="left" w:pos="7140"/>
        </w:tabs>
        <w:kinsoku/>
        <w:wordWrap/>
        <w:overflowPunct/>
        <w:topLinePunct w:val="0"/>
        <w:bidi w:val="0"/>
        <w:spacing w:line="360" w:lineRule="auto"/>
        <w:jc w:val="center"/>
        <w:textAlignment w:val="auto"/>
        <w:outlineLvl w:val="1"/>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标项</w:t>
      </w:r>
      <w:r>
        <w:rPr>
          <w:rFonts w:hint="default" w:ascii="Times New Roman" w:hAnsi="Times New Roman" w:cs="Times New Roman"/>
          <w:b/>
          <w:color w:val="auto"/>
          <w:sz w:val="24"/>
          <w:szCs w:val="24"/>
          <w:highlight w:val="none"/>
          <w:lang w:val="en-US" w:eastAsia="zh-CN"/>
        </w:rPr>
        <w:t xml:space="preserve">二  </w:t>
      </w:r>
      <w:r>
        <w:rPr>
          <w:rFonts w:hint="default" w:ascii="Times New Roman" w:hAnsi="Times New Roman" w:cs="Times New Roman"/>
          <w:b/>
          <w:color w:val="auto"/>
          <w:sz w:val="24"/>
          <w:szCs w:val="24"/>
          <w:highlight w:val="none"/>
        </w:rPr>
        <w:t>技术分册</w:t>
      </w:r>
    </w:p>
    <w:p w14:paraId="61FA3748">
      <w:pPr>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一、工作任务</w:t>
      </w:r>
    </w:p>
    <w:p w14:paraId="53C9D4B1">
      <w:pPr>
        <w:ind w:firstLine="360" w:firstLineChars="150"/>
        <w:rPr>
          <w:rFonts w:hint="default" w:ascii="Times New Roman" w:hAnsi="Times New Roman" w:cs="Times New Roman"/>
          <w:color w:val="auto"/>
          <w:kern w:val="0"/>
          <w:sz w:val="24"/>
          <w:highlight w:val="none"/>
        </w:rPr>
      </w:pPr>
      <w:r>
        <w:rPr>
          <w:rFonts w:hint="default" w:ascii="Times New Roman" w:hAnsi="Times New Roman" w:eastAsia="宋体" w:cs="Times New Roman"/>
          <w:color w:val="auto"/>
          <w:sz w:val="24"/>
          <w:szCs w:val="24"/>
          <w:highlight w:val="none"/>
        </w:rPr>
        <w:t>标项</w:t>
      </w:r>
      <w:r>
        <w:rPr>
          <w:rFonts w:hint="default" w:ascii="Times New Roman" w:hAnsi="Times New Roman" w:cs="Times New Roman"/>
          <w:color w:val="auto"/>
          <w:sz w:val="24"/>
          <w:szCs w:val="24"/>
          <w:highlight w:val="none"/>
          <w:lang w:val="en-US" w:eastAsia="zh-CN"/>
        </w:rPr>
        <w:t>二</w:t>
      </w:r>
      <w:r>
        <w:rPr>
          <w:rFonts w:hint="default"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rPr>
        <w:t>食品生产</w:t>
      </w:r>
      <w:r>
        <w:rPr>
          <w:rFonts w:hint="default" w:ascii="Times New Roman" w:hAnsi="Times New Roman" w:cs="Times New Roman"/>
          <w:color w:val="auto"/>
          <w:kern w:val="0"/>
          <w:sz w:val="24"/>
          <w:highlight w:val="none"/>
          <w:lang w:val="en-US" w:eastAsia="zh-CN"/>
        </w:rPr>
        <w:t>企业</w:t>
      </w:r>
      <w:r>
        <w:rPr>
          <w:rFonts w:hint="default" w:ascii="Times New Roman" w:hAnsi="Times New Roman" w:cs="Times New Roman"/>
          <w:color w:val="auto"/>
          <w:kern w:val="0"/>
          <w:sz w:val="24"/>
          <w:highlight w:val="none"/>
        </w:rPr>
        <w:t>（含小作坊</w:t>
      </w:r>
      <w:r>
        <w:rPr>
          <w:rFonts w:hint="default" w:ascii="Times New Roman" w:hAnsi="Times New Roman" w:cs="Times New Roman"/>
          <w:color w:val="auto"/>
          <w:kern w:val="0"/>
          <w:sz w:val="24"/>
          <w:highlight w:val="none"/>
          <w:lang w:val="en-US" w:eastAsia="zh-CN"/>
        </w:rPr>
        <w:t>70</w:t>
      </w:r>
      <w:r>
        <w:rPr>
          <w:rFonts w:hint="default" w:ascii="Times New Roman" w:hAnsi="Times New Roman" w:cs="Times New Roman"/>
          <w:color w:val="auto"/>
          <w:kern w:val="0"/>
          <w:sz w:val="24"/>
          <w:highlight w:val="none"/>
        </w:rPr>
        <w:t>批次</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跟踪抽检120批次</w:t>
      </w:r>
      <w:r>
        <w:rPr>
          <w:rFonts w:hint="default" w:ascii="Times New Roman" w:hAnsi="Times New Roman" w:cs="Times New Roman"/>
          <w:color w:val="auto"/>
          <w:kern w:val="0"/>
          <w:sz w:val="24"/>
          <w:highlight w:val="none"/>
        </w:rPr>
        <w:t>）</w:t>
      </w:r>
      <w:r>
        <w:rPr>
          <w:rFonts w:hint="eastAsia" w:cs="Times New Roman"/>
          <w:color w:val="auto"/>
          <w:kern w:val="0"/>
          <w:sz w:val="24"/>
          <w:highlight w:val="none"/>
          <w:lang w:val="en-US" w:eastAsia="zh-CN"/>
        </w:rPr>
        <w:t>409</w:t>
      </w:r>
      <w:r>
        <w:rPr>
          <w:rFonts w:hint="default" w:ascii="Times New Roman" w:hAnsi="Times New Roman" w:cs="Times New Roman"/>
          <w:color w:val="auto"/>
          <w:kern w:val="0"/>
          <w:sz w:val="24"/>
          <w:highlight w:val="none"/>
        </w:rPr>
        <w:t>批次，单价</w:t>
      </w:r>
      <w:r>
        <w:rPr>
          <w:rFonts w:hint="default" w:ascii="Times New Roman" w:hAnsi="Times New Roman" w:cs="Times New Roman"/>
          <w:color w:val="auto"/>
          <w:kern w:val="0"/>
          <w:sz w:val="24"/>
          <w:highlight w:val="none"/>
          <w:lang w:val="en-US" w:eastAsia="zh-CN"/>
        </w:rPr>
        <w:t>2000</w:t>
      </w:r>
      <w:r>
        <w:rPr>
          <w:rFonts w:hint="default" w:ascii="Times New Roman" w:hAnsi="Times New Roman" w:cs="Times New Roman"/>
          <w:color w:val="auto"/>
          <w:kern w:val="0"/>
          <w:sz w:val="24"/>
          <w:highlight w:val="none"/>
        </w:rPr>
        <w:t>元，合计</w:t>
      </w:r>
      <w:r>
        <w:rPr>
          <w:rFonts w:hint="eastAsia" w:cs="Times New Roman"/>
          <w:color w:val="auto"/>
          <w:kern w:val="0"/>
          <w:sz w:val="24"/>
          <w:highlight w:val="none"/>
          <w:lang w:val="en-US" w:eastAsia="zh-CN"/>
        </w:rPr>
        <w:t>818</w:t>
      </w:r>
      <w:r>
        <w:rPr>
          <w:rFonts w:hint="default" w:ascii="Times New Roman" w:hAnsi="Times New Roman" w:cs="Times New Roman"/>
          <w:color w:val="auto"/>
          <w:kern w:val="0"/>
          <w:sz w:val="24"/>
          <w:highlight w:val="none"/>
          <w:lang w:val="en-US" w:eastAsia="zh-CN"/>
        </w:rPr>
        <w:t>000</w:t>
      </w:r>
      <w:r>
        <w:rPr>
          <w:rFonts w:hint="default" w:ascii="Times New Roman" w:hAnsi="Times New Roman" w:cs="Times New Roman"/>
          <w:color w:val="auto"/>
          <w:kern w:val="0"/>
          <w:sz w:val="24"/>
          <w:highlight w:val="none"/>
        </w:rPr>
        <w:t>元。</w:t>
      </w:r>
    </w:p>
    <w:p w14:paraId="3668194B">
      <w:pPr>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二、抽检对象、品种及项目</w:t>
      </w:r>
    </w:p>
    <w:p w14:paraId="29066FA8">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202</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年</w:t>
      </w:r>
      <w:r>
        <w:rPr>
          <w:rFonts w:hint="eastAsia" w:cs="Times New Roman"/>
          <w:color w:val="auto"/>
          <w:sz w:val="24"/>
          <w:highlight w:val="none"/>
          <w:lang w:eastAsia="zh-CN"/>
        </w:rPr>
        <w:t>乌鲁木齐市市场监督管理局（乌鲁木齐市知识产权局）</w:t>
      </w:r>
      <w:r>
        <w:rPr>
          <w:rFonts w:hint="default" w:ascii="Times New Roman" w:hAnsi="Times New Roman" w:cs="Times New Roman"/>
          <w:color w:val="auto"/>
          <w:sz w:val="24"/>
          <w:highlight w:val="none"/>
        </w:rPr>
        <w:t>食品覆盖生产企业（含小作坊</w:t>
      </w:r>
      <w:r>
        <w:rPr>
          <w:rFonts w:hint="eastAsia" w:cs="Times New Roman"/>
          <w:color w:val="auto"/>
          <w:sz w:val="24"/>
          <w:highlight w:val="none"/>
          <w:lang w:val="en-US" w:eastAsia="zh-CN"/>
        </w:rPr>
        <w:t>和跟踪抽检</w:t>
      </w:r>
      <w:r>
        <w:rPr>
          <w:rFonts w:hint="default" w:ascii="Times New Roman" w:hAnsi="Times New Roman" w:cs="Times New Roman"/>
          <w:color w:val="auto"/>
          <w:sz w:val="24"/>
          <w:highlight w:val="none"/>
        </w:rPr>
        <w:t>）抽检；抽检品种及检验项目详见附表。</w:t>
      </w:r>
    </w:p>
    <w:p w14:paraId="6051C8CF">
      <w:pPr>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三、抽样时间和频次</w:t>
      </w:r>
    </w:p>
    <w:p w14:paraId="0D298BF2">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应根据辖区内食品生产企业的食品</w:t>
      </w:r>
      <w:r>
        <w:rPr>
          <w:rFonts w:hint="default" w:ascii="Times New Roman" w:hAnsi="Times New Roman" w:cs="Times New Roman"/>
          <w:color w:val="auto"/>
          <w:sz w:val="24"/>
          <w:highlight w:val="none"/>
          <w:lang w:eastAsia="zh-CN"/>
        </w:rPr>
        <w:t>品种、</w:t>
      </w:r>
      <w:r>
        <w:rPr>
          <w:rFonts w:hint="default" w:ascii="Times New Roman" w:hAnsi="Times New Roman" w:cs="Times New Roman"/>
          <w:color w:val="auto"/>
          <w:sz w:val="24"/>
          <w:highlight w:val="none"/>
        </w:rPr>
        <w:t>生产季节、交易场所数量、消费量</w:t>
      </w:r>
      <w:r>
        <w:rPr>
          <w:rFonts w:hint="default" w:ascii="Times New Roman" w:hAnsi="Times New Roman" w:cs="Times New Roman"/>
          <w:color w:val="auto"/>
          <w:sz w:val="24"/>
          <w:highlight w:val="none"/>
          <w:lang w:eastAsia="zh-CN"/>
        </w:rPr>
        <w:t>等</w:t>
      </w:r>
      <w:r>
        <w:rPr>
          <w:rFonts w:hint="default" w:ascii="Times New Roman" w:hAnsi="Times New Roman" w:cs="Times New Roman"/>
          <w:color w:val="auto"/>
          <w:sz w:val="24"/>
          <w:highlight w:val="none"/>
        </w:rPr>
        <w:t>特点，按比例确定抽样频次和数量。</w:t>
      </w:r>
    </w:p>
    <w:p w14:paraId="4033E079">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.同一生产企业（小作坊）1次抽样不得超过2个品种（各1批次），抽样间隔不少于3个月。</w:t>
      </w:r>
    </w:p>
    <w:p w14:paraId="3E7390B1">
      <w:pPr>
        <w:spacing w:line="360" w:lineRule="auto"/>
        <w:ind w:firstLine="480" w:firstLineChars="200"/>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3.对上年度抽检不合格的生产企业开展不少于2次跟踪抽检，对当年抽检不合格的生产企业自下季度起每季度开展1次跟踪抽检</w:t>
      </w:r>
      <w:r>
        <w:rPr>
          <w:rFonts w:hint="eastAsia" w:cs="Times New Roman"/>
          <w:color w:val="auto"/>
          <w:sz w:val="24"/>
          <w:highlight w:val="none"/>
          <w:lang w:val="en-US" w:eastAsia="zh-CN"/>
        </w:rPr>
        <w:t>。</w:t>
      </w:r>
    </w:p>
    <w:p w14:paraId="64A3FF94">
      <w:pPr>
        <w:tabs>
          <w:tab w:val="right" w:pos="8306"/>
        </w:tabs>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四、抽样场所</w:t>
      </w:r>
      <w:r>
        <w:rPr>
          <w:rFonts w:hint="default" w:ascii="Times New Roman" w:hAnsi="Times New Roman" w:cs="Times New Roman"/>
          <w:b/>
          <w:bCs/>
          <w:color w:val="auto"/>
          <w:sz w:val="24"/>
          <w:highlight w:val="none"/>
        </w:rPr>
        <w:tab/>
      </w:r>
    </w:p>
    <w:p w14:paraId="6F0458F2">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rPr>
        <w:t>覆盖到乌鲁木齐市食品生产企业（含小作坊）</w:t>
      </w:r>
      <w:r>
        <w:rPr>
          <w:rFonts w:hint="eastAsia" w:cs="Times New Roman"/>
          <w:color w:val="auto"/>
          <w:sz w:val="24"/>
          <w:highlight w:val="none"/>
          <w:lang w:eastAsia="zh-CN"/>
        </w:rPr>
        <w:t>。</w:t>
      </w:r>
    </w:p>
    <w:p w14:paraId="791506A1">
      <w:pPr>
        <w:spacing w:line="360" w:lineRule="auto"/>
        <w:ind w:firstLine="480" w:firstLineChars="200"/>
        <w:rPr>
          <w:rFonts w:hint="default" w:ascii="Times New Roman" w:hAnsi="Times New Roman" w:cs="Times New Roman"/>
          <w:b/>
          <w:bCs/>
          <w:color w:val="auto"/>
          <w:sz w:val="24"/>
          <w:highlight w:val="none"/>
        </w:rPr>
      </w:pPr>
      <w:r>
        <w:rPr>
          <w:rFonts w:hint="eastAsia" w:cs="Times New Roman"/>
          <w:color w:val="auto"/>
          <w:sz w:val="24"/>
          <w:highlight w:val="none"/>
          <w:lang w:val="en-US" w:eastAsia="zh-CN"/>
        </w:rPr>
        <w:t>2.上年度和本年度不合格生产企业</w:t>
      </w:r>
      <w:r>
        <w:rPr>
          <w:rFonts w:hint="default" w:ascii="Times New Roman" w:hAnsi="Times New Roman" w:cs="Times New Roman"/>
          <w:color w:val="auto"/>
          <w:sz w:val="24"/>
          <w:highlight w:val="none"/>
        </w:rPr>
        <w:t>。</w:t>
      </w:r>
    </w:p>
    <w:p w14:paraId="491278EA">
      <w:pPr>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五、抽样检验</w:t>
      </w:r>
    </w:p>
    <w:p w14:paraId="2D7D80D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抽样和检测等工作的实施应严格执行有关法律法规、规章以及《食品安全抽样检验管理办法》（总局第15号令）、《国家食品安全监督抽检实施细则（202</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年版）》；抽样过程应严格按照监督抽检工作程序，履行相应的法定手续，应使用规范的抽样文书。</w:t>
      </w:r>
    </w:p>
    <w:p w14:paraId="0B1A95B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检验人员应按照食品安全标准和检验规范对食品进行检验，保证数据和结论客观、公正。承检机构对不合格样品必须进行复核，确保检验结果准确可靠。此外，检验报告编号应该与抽样编号保持一致（或是在检验报告封皮醒目处加注抽样编号），便于不合格样品的核查处置。</w:t>
      </w:r>
    </w:p>
    <w:p w14:paraId="755C7491">
      <w:pPr>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六、任务完成时限要求</w:t>
      </w:r>
    </w:p>
    <w:p w14:paraId="709A4B36">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生产企业</w:t>
      </w:r>
      <w:r>
        <w:rPr>
          <w:rFonts w:hint="default" w:ascii="Times New Roman" w:hAnsi="Times New Roman" w:eastAsia="宋体" w:cs="Times New Roman"/>
          <w:color w:val="auto"/>
          <w:sz w:val="24"/>
          <w:highlight w:val="none"/>
        </w:rPr>
        <w:t>为乌鲁木齐市</w:t>
      </w:r>
      <w:r>
        <w:rPr>
          <w:rFonts w:hint="default" w:ascii="Times New Roman" w:hAnsi="Times New Roman" w:eastAsia="宋体" w:cs="Times New Roman"/>
          <w:color w:val="auto"/>
          <w:sz w:val="24"/>
          <w:highlight w:val="none"/>
          <w:lang w:val="en-US" w:eastAsia="zh-CN"/>
        </w:rPr>
        <w:t>省</w:t>
      </w:r>
      <w:r>
        <w:rPr>
          <w:rFonts w:hint="default" w:ascii="Times New Roman" w:hAnsi="Times New Roman" w:eastAsia="宋体" w:cs="Times New Roman"/>
          <w:color w:val="auto"/>
          <w:sz w:val="24"/>
          <w:highlight w:val="none"/>
        </w:rPr>
        <w:t>级任务。</w:t>
      </w:r>
    </w:p>
    <w:p w14:paraId="617B6202">
      <w:pPr>
        <w:spacing w:line="360" w:lineRule="auto"/>
        <w:ind w:firstLine="480" w:firstLineChars="200"/>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highlight w:val="none"/>
        </w:rPr>
        <w:t>需达到均衡抽检要求，</w:t>
      </w:r>
      <w:r>
        <w:rPr>
          <w:rFonts w:hint="default" w:ascii="Times New Roman" w:hAnsi="Times New Roman" w:eastAsia="宋体" w:cs="Times New Roman"/>
          <w:color w:val="auto"/>
          <w:sz w:val="24"/>
          <w:highlight w:val="none"/>
          <w:lang w:val="en-US" w:eastAsia="zh-CN"/>
        </w:rPr>
        <w:t>202</w:t>
      </w:r>
      <w:r>
        <w:rPr>
          <w:rFonts w:hint="eastAsia"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年</w:t>
      </w:r>
      <w:r>
        <w:rPr>
          <w:rFonts w:hint="eastAsia" w:cs="Times New Roman"/>
          <w:color w:val="auto"/>
          <w:sz w:val="24"/>
          <w:highlight w:val="none"/>
          <w:lang w:val="en-US" w:eastAsia="zh-CN"/>
        </w:rPr>
        <w:t>12</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30</w:t>
      </w:r>
      <w:r>
        <w:rPr>
          <w:rFonts w:hint="default" w:ascii="Times New Roman" w:hAnsi="Times New Roman" w:eastAsia="宋体" w:cs="Times New Roman"/>
          <w:color w:val="auto"/>
          <w:sz w:val="24"/>
          <w:highlight w:val="none"/>
        </w:rPr>
        <w:t>日前完成所有抽检任务。</w:t>
      </w:r>
    </w:p>
    <w:p w14:paraId="084006ED">
      <w:pPr>
        <w:spacing w:line="360" w:lineRule="auto"/>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七、数据报送</w:t>
      </w:r>
    </w:p>
    <w:p w14:paraId="4B4540AA">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1.承检机构应严格按照有关法律法规、规章和有关要求，将检验工作中发现的食品安全问题和检验报告</w:t>
      </w:r>
      <w:r>
        <w:rPr>
          <w:rFonts w:hint="default" w:ascii="Times New Roman" w:hAnsi="Times New Roman" w:cs="Times New Roman"/>
          <w:color w:val="auto"/>
          <w:sz w:val="24"/>
          <w:highlight w:val="none"/>
          <w:lang w:eastAsia="zh-CN"/>
        </w:rPr>
        <w:t>按时、按规定将检验数据报送</w:t>
      </w:r>
      <w:r>
        <w:rPr>
          <w:rFonts w:hint="eastAsia" w:cs="Times New Roman"/>
          <w:color w:val="auto"/>
          <w:sz w:val="24"/>
          <w:highlight w:val="none"/>
          <w:lang w:eastAsia="zh-CN"/>
        </w:rPr>
        <w:t>乌鲁木齐市市场监督管理局（乌鲁木齐市知识产权局）</w:t>
      </w:r>
      <w:r>
        <w:rPr>
          <w:rFonts w:hint="default" w:ascii="Times New Roman" w:hAnsi="Times New Roman" w:cs="Times New Roman"/>
          <w:color w:val="auto"/>
          <w:sz w:val="24"/>
          <w:highlight w:val="none"/>
          <w:lang w:eastAsia="zh-CN"/>
        </w:rPr>
        <w:t>。</w:t>
      </w:r>
    </w:p>
    <w:p w14:paraId="61814EC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.发现不合格样品中可能存在重大风险隐患或急性健康风险的，应当在确认检验结果后24小时之内填写《食品安全抽样检验限时报告情况表》，报告</w:t>
      </w:r>
      <w:r>
        <w:rPr>
          <w:rFonts w:hint="eastAsia" w:cs="Times New Roman"/>
          <w:color w:val="auto"/>
          <w:sz w:val="24"/>
          <w:highlight w:val="none"/>
          <w:lang w:eastAsia="zh-CN"/>
        </w:rPr>
        <w:t>乌鲁木齐市市场监督管理局（乌鲁木齐市知识产权局）</w:t>
      </w:r>
      <w:r>
        <w:rPr>
          <w:rFonts w:hint="default" w:ascii="Times New Roman" w:hAnsi="Times New Roman" w:cs="Times New Roman"/>
          <w:color w:val="auto"/>
          <w:sz w:val="24"/>
          <w:highlight w:val="none"/>
        </w:rPr>
        <w:t>，并抄送</w:t>
      </w:r>
      <w:r>
        <w:rPr>
          <w:rFonts w:hint="default" w:ascii="Times New Roman" w:hAnsi="Times New Roman" w:eastAsia="宋体" w:cs="Times New Roman"/>
          <w:color w:val="auto"/>
          <w:sz w:val="24"/>
          <w:highlight w:val="none"/>
        </w:rPr>
        <w:t>自治区市场监管局。</w:t>
      </w:r>
    </w:p>
    <w:p w14:paraId="6B2312C5">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rPr>
        <w:t>.生产企业</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小作坊</w:t>
      </w:r>
      <w:r>
        <w:rPr>
          <w:rFonts w:hint="eastAsia" w:cs="Times New Roman"/>
          <w:color w:val="auto"/>
          <w:sz w:val="24"/>
          <w:highlight w:val="none"/>
          <w:lang w:val="en-US" w:eastAsia="zh-CN"/>
        </w:rPr>
        <w:t>和跟踪抽检</w:t>
      </w:r>
      <w:r>
        <w:rPr>
          <w:rFonts w:hint="default" w:ascii="Times New Roman" w:hAnsi="Times New Roman" w:eastAsia="宋体" w:cs="Times New Roman"/>
          <w:color w:val="auto"/>
          <w:sz w:val="24"/>
          <w:highlight w:val="none"/>
        </w:rPr>
        <w:t>分别</w:t>
      </w:r>
      <w:r>
        <w:rPr>
          <w:rFonts w:hint="default" w:ascii="Times New Roman" w:hAnsi="Times New Roman" w:eastAsia="宋体" w:cs="Times New Roman"/>
          <w:color w:val="auto"/>
          <w:sz w:val="24"/>
          <w:highlight w:val="none"/>
          <w:lang w:eastAsia="zh-CN"/>
        </w:rPr>
        <w:t>创建任务</w:t>
      </w:r>
      <w:r>
        <w:rPr>
          <w:rFonts w:hint="default" w:ascii="Times New Roman" w:hAnsi="Times New Roman" w:eastAsia="宋体" w:cs="Times New Roman"/>
          <w:color w:val="auto"/>
          <w:sz w:val="24"/>
          <w:highlight w:val="none"/>
        </w:rPr>
        <w:t>，所</w:t>
      </w:r>
      <w:r>
        <w:rPr>
          <w:rFonts w:hint="default" w:ascii="Times New Roman" w:hAnsi="Times New Roman" w:cs="Times New Roman"/>
          <w:color w:val="auto"/>
          <w:sz w:val="24"/>
          <w:highlight w:val="none"/>
        </w:rPr>
        <w:t>有抽检数据须录入国抽平台。</w:t>
      </w:r>
    </w:p>
    <w:p w14:paraId="231A4274">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.须形成半年及全年分析报告。</w:t>
      </w:r>
    </w:p>
    <w:p w14:paraId="5DAC4962">
      <w:pPr>
        <w:pStyle w:val="2"/>
        <w:rPr>
          <w:rFonts w:hint="default" w:eastAsia="宋体"/>
          <w:color w:val="auto"/>
          <w:highlight w:val="none"/>
          <w:lang w:val="en-US" w:eastAsia="zh-CN"/>
        </w:rPr>
      </w:pPr>
      <w:r>
        <w:rPr>
          <w:rFonts w:hint="eastAsia" w:ascii="Times New Roman" w:hAnsi="Times New Roman" w:cs="Times New Roman"/>
          <w:color w:val="auto"/>
          <w:sz w:val="24"/>
          <w:highlight w:val="none"/>
          <w:lang w:val="en-US" w:eastAsia="zh-CN"/>
        </w:rPr>
        <w:t xml:space="preserve">    5.停产未覆盖到的生产企业(小作坊）应提供停产印证材料（含停产证明、现场照片等）。</w:t>
      </w:r>
    </w:p>
    <w:p w14:paraId="0894ADFC">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八、验收、续签合同、付款</w:t>
      </w:r>
    </w:p>
    <w:p w14:paraId="56966C3B">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（一）验收</w:t>
      </w:r>
    </w:p>
    <w:p w14:paraId="7C192C98">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rPr>
      </w:pPr>
      <w:r>
        <w:rPr>
          <w:rFonts w:hint="eastAsia" w:ascii="宋体" w:hAnsi="宋体" w:cs="宋体"/>
          <w:color w:val="auto"/>
          <w:kern w:val="2"/>
          <w:sz w:val="24"/>
          <w:szCs w:val="24"/>
          <w:highlight w:val="none"/>
          <w:lang w:val="en-US" w:eastAsia="zh-CN" w:bidi="ar"/>
        </w:rPr>
        <w:t>乌鲁木齐市市场监督管理局（乌鲁木齐市知识产权局）</w:t>
      </w:r>
      <w:r>
        <w:rPr>
          <w:rFonts w:hint="eastAsia" w:ascii="宋体" w:hAnsi="宋体" w:eastAsia="宋体" w:cs="宋体"/>
          <w:color w:val="auto"/>
          <w:kern w:val="2"/>
          <w:sz w:val="24"/>
          <w:szCs w:val="24"/>
          <w:highlight w:val="none"/>
          <w:lang w:val="en-US" w:eastAsia="zh-CN" w:bidi="ar"/>
        </w:rPr>
        <w:t>按照合同执行情况，对该年度承担任务的承检机构进行质量验收，确认验收报告。</w:t>
      </w:r>
    </w:p>
    <w:p w14:paraId="4EA07E2A">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（二）项目办结及付款</w:t>
      </w:r>
    </w:p>
    <w:p w14:paraId="689EA4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rPr>
        <w:t>采购人凭项目合同、验收报告、发票原件在合同约定的时间内办理采购款支付手续</w:t>
      </w:r>
      <w:r>
        <w:rPr>
          <w:rFonts w:hint="default" w:ascii="Times New Roman" w:hAnsi="Times New Roman" w:cs="Times New Roman"/>
          <w:color w:val="auto"/>
          <w:sz w:val="24"/>
          <w:highlight w:val="none"/>
          <w:lang w:eastAsia="zh-CN"/>
        </w:rPr>
        <w:t>。</w:t>
      </w:r>
    </w:p>
    <w:p w14:paraId="173D411A">
      <w:pPr>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br w:type="page"/>
      </w:r>
    </w:p>
    <w:p w14:paraId="751BEC17">
      <w:pPr>
        <w:pStyle w:val="2"/>
        <w:rPr>
          <w:rFonts w:hint="default" w:ascii="Times New Roman" w:hAnsi="Times New Roman" w:cs="Times New Roman"/>
          <w:color w:val="auto"/>
          <w:highlight w:val="none"/>
          <w:lang w:eastAsia="zh-CN"/>
        </w:rPr>
        <w:sectPr>
          <w:pgSz w:w="11906" w:h="16838"/>
          <w:pgMar w:top="1134" w:right="1417" w:bottom="1134" w:left="1417" w:header="851" w:footer="992" w:gutter="0"/>
          <w:cols w:space="425" w:num="1"/>
          <w:docGrid w:type="lines" w:linePitch="312" w:charSpace="0"/>
        </w:sectPr>
      </w:pPr>
    </w:p>
    <w:tbl>
      <w:tblPr>
        <w:tblStyle w:val="30"/>
        <w:tblpPr w:leftFromText="180" w:rightFromText="180" w:vertAnchor="text" w:horzAnchor="page" w:tblpXSpec="center" w:tblpY="422"/>
        <w:tblOverlap w:val="never"/>
        <w:tblW w:w="159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0"/>
        <w:gridCol w:w="1188"/>
        <w:gridCol w:w="1218"/>
        <w:gridCol w:w="1237"/>
        <w:gridCol w:w="1836"/>
        <w:gridCol w:w="6945"/>
        <w:gridCol w:w="2019"/>
        <w:gridCol w:w="721"/>
      </w:tblGrid>
      <w:tr w14:paraId="0A843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2" w:hRule="atLeast"/>
          <w:jc w:val="center"/>
        </w:trPr>
        <w:tc>
          <w:tcPr>
            <w:tcW w:w="15924" w:type="dxa"/>
            <w:gridSpan w:val="8"/>
            <w:tcBorders>
              <w:top w:val="nil"/>
              <w:left w:val="nil"/>
              <w:bottom w:val="single" w:color="auto" w:sz="4" w:space="0"/>
              <w:right w:val="nil"/>
            </w:tcBorders>
            <w:shd w:val="clear" w:color="auto" w:fill="auto"/>
            <w:vAlign w:val="center"/>
          </w:tcPr>
          <w:p w14:paraId="6544BAD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Style w:val="76"/>
                <w:rFonts w:hint="eastAsia" w:ascii="方正小标宋_GBK" w:hAnsi="方正小标宋_GBK" w:eastAsia="方正小标宋_GBK" w:cs="方正小标宋_GBK"/>
                <w:b w:val="0"/>
                <w:bCs w:val="0"/>
                <w:color w:val="auto"/>
                <w:sz w:val="44"/>
                <w:szCs w:val="44"/>
                <w:highlight w:val="none"/>
                <w:lang w:val="en-US" w:eastAsia="zh-CN" w:bidi="ar"/>
              </w:rPr>
            </w:pPr>
            <w:r>
              <w:rPr>
                <w:rStyle w:val="76"/>
                <w:rFonts w:hint="eastAsia" w:ascii="宋体" w:hAnsi="宋体" w:eastAsia="宋体" w:cs="宋体"/>
                <w:b/>
                <w:bCs/>
                <w:color w:val="auto"/>
                <w:sz w:val="44"/>
                <w:szCs w:val="44"/>
                <w:highlight w:val="none"/>
                <w:lang w:val="en-US" w:eastAsia="zh-CN" w:bidi="ar"/>
              </w:rPr>
              <w:t>2026年乌鲁木齐生产企业（含小作坊）、跟踪抽检食品安全监督抽检任务分配表</w:t>
            </w:r>
          </w:p>
        </w:tc>
      </w:tr>
      <w:tr w14:paraId="3CCA6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jc w:val="center"/>
        </w:trPr>
        <w:tc>
          <w:tcPr>
            <w:tcW w:w="760" w:type="dxa"/>
            <w:tcBorders>
              <w:top w:val="single" w:color="auto" w:sz="4" w:space="0"/>
              <w:left w:val="single" w:color="000000" w:sz="4" w:space="0"/>
              <w:bottom w:val="single" w:color="000000" w:sz="4" w:space="0"/>
              <w:right w:val="single" w:color="000000" w:sz="4" w:space="0"/>
            </w:tcBorders>
            <w:shd w:val="clear" w:color="auto" w:fill="auto"/>
            <w:vAlign w:val="center"/>
          </w:tcPr>
          <w:p w14:paraId="12DCE318">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序号</w:t>
            </w:r>
          </w:p>
        </w:tc>
        <w:tc>
          <w:tcPr>
            <w:tcW w:w="1188" w:type="dxa"/>
            <w:tcBorders>
              <w:top w:val="single" w:color="auto" w:sz="4" w:space="0"/>
              <w:left w:val="single" w:color="000000" w:sz="4" w:space="0"/>
              <w:bottom w:val="single" w:color="000000" w:sz="4" w:space="0"/>
              <w:right w:val="single" w:color="000000" w:sz="4" w:space="0"/>
            </w:tcBorders>
            <w:shd w:val="clear" w:color="auto" w:fill="auto"/>
            <w:vAlign w:val="center"/>
          </w:tcPr>
          <w:p w14:paraId="64CB635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食品大类（一级）</w:t>
            </w:r>
          </w:p>
        </w:tc>
        <w:tc>
          <w:tcPr>
            <w:tcW w:w="1218" w:type="dxa"/>
            <w:tcBorders>
              <w:top w:val="single" w:color="auto" w:sz="4" w:space="0"/>
              <w:left w:val="single" w:color="000000" w:sz="4" w:space="0"/>
              <w:bottom w:val="single" w:color="000000" w:sz="4" w:space="0"/>
              <w:right w:val="single" w:color="000000" w:sz="4" w:space="0"/>
            </w:tcBorders>
            <w:shd w:val="clear" w:color="auto" w:fill="auto"/>
            <w:vAlign w:val="center"/>
          </w:tcPr>
          <w:p w14:paraId="081CC9D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食品亚类（二级）</w:t>
            </w:r>
          </w:p>
        </w:tc>
        <w:tc>
          <w:tcPr>
            <w:tcW w:w="1237" w:type="dxa"/>
            <w:tcBorders>
              <w:top w:val="single" w:color="auto" w:sz="4" w:space="0"/>
              <w:left w:val="single" w:color="000000" w:sz="4" w:space="0"/>
              <w:bottom w:val="single" w:color="000000" w:sz="4" w:space="0"/>
              <w:right w:val="single" w:color="000000" w:sz="4" w:space="0"/>
            </w:tcBorders>
            <w:shd w:val="clear" w:color="auto" w:fill="auto"/>
            <w:vAlign w:val="center"/>
          </w:tcPr>
          <w:p w14:paraId="3B077EFA">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食品品种（三级）</w:t>
            </w:r>
          </w:p>
        </w:tc>
        <w:tc>
          <w:tcPr>
            <w:tcW w:w="1836" w:type="dxa"/>
            <w:tcBorders>
              <w:top w:val="single" w:color="auto" w:sz="4" w:space="0"/>
              <w:left w:val="single" w:color="000000" w:sz="4" w:space="0"/>
              <w:bottom w:val="single" w:color="000000" w:sz="4" w:space="0"/>
              <w:right w:val="single" w:color="000000" w:sz="4" w:space="0"/>
            </w:tcBorders>
            <w:shd w:val="clear" w:color="auto" w:fill="auto"/>
            <w:vAlign w:val="center"/>
          </w:tcPr>
          <w:p w14:paraId="692D17E6">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食品细类（四级）</w:t>
            </w:r>
          </w:p>
        </w:tc>
        <w:tc>
          <w:tcPr>
            <w:tcW w:w="6945" w:type="dxa"/>
            <w:tcBorders>
              <w:top w:val="single" w:color="auto" w:sz="4" w:space="0"/>
              <w:left w:val="single" w:color="000000" w:sz="4" w:space="0"/>
              <w:bottom w:val="single" w:color="000000" w:sz="4" w:space="0"/>
              <w:right w:val="single" w:color="000000" w:sz="4" w:space="0"/>
            </w:tcBorders>
            <w:shd w:val="clear" w:color="auto" w:fill="auto"/>
            <w:vAlign w:val="center"/>
          </w:tcPr>
          <w:p w14:paraId="414DA64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抽检项目</w:t>
            </w:r>
          </w:p>
        </w:tc>
        <w:tc>
          <w:tcPr>
            <w:tcW w:w="2019" w:type="dxa"/>
            <w:tcBorders>
              <w:top w:val="single" w:color="auto" w:sz="4" w:space="0"/>
              <w:left w:val="single" w:color="000000" w:sz="4" w:space="0"/>
              <w:bottom w:val="single" w:color="000000" w:sz="4" w:space="0"/>
              <w:right w:val="single" w:color="000000" w:sz="4" w:space="0"/>
            </w:tcBorders>
            <w:shd w:val="clear" w:color="auto" w:fill="auto"/>
            <w:vAlign w:val="center"/>
          </w:tcPr>
          <w:p w14:paraId="2D9BF3B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区配套限定抽检品种及项目</w:t>
            </w:r>
          </w:p>
        </w:tc>
        <w:tc>
          <w:tcPr>
            <w:tcW w:w="721" w:type="dxa"/>
            <w:tcBorders>
              <w:top w:val="single" w:color="auto" w:sz="4" w:space="0"/>
              <w:left w:val="single" w:color="000000" w:sz="4" w:space="0"/>
              <w:bottom w:val="single" w:color="000000" w:sz="4" w:space="0"/>
              <w:right w:val="single" w:color="000000" w:sz="4" w:space="0"/>
            </w:tcBorders>
            <w:shd w:val="clear" w:color="auto" w:fill="auto"/>
            <w:vAlign w:val="center"/>
          </w:tcPr>
          <w:p w14:paraId="2C3272E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eastAsia" w:cs="Times New Roman"/>
                <w:b/>
                <w:bCs/>
                <w:i w:val="0"/>
                <w:iCs w:val="0"/>
                <w:color w:val="auto"/>
                <w:kern w:val="0"/>
                <w:sz w:val="20"/>
                <w:szCs w:val="20"/>
                <w:highlight w:val="none"/>
                <w:u w:val="none"/>
                <w:lang w:val="en-US" w:eastAsia="zh-CN" w:bidi="ar"/>
              </w:rPr>
              <w:t>批次</w:t>
            </w:r>
          </w:p>
        </w:tc>
      </w:tr>
      <w:tr w14:paraId="221AC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403B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214D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粮食加工品</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FFA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4B0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058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9888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铅（以Pb计）、镉（以Cd计）、苯并[a]芘、玉米赤霉烯酮、脱氧雪腐镰刀菌烯醇、赭曲霉毒素A、黄曲霉毒素B₁ 、偶氮甲酰胺、过氧化苯甲酰</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E42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50D05703">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3217685C">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19E518B6">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6174A6E5">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02508A7F">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00520C3F">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2A7F096C">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5190F2B6">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r>
              <w:rPr>
                <w:rFonts w:hint="eastAsia" w:ascii="Times New Roman" w:hAnsi="Times New Roman" w:eastAsia="Times New Roman" w:cs="Times New Roman"/>
                <w:color w:val="auto"/>
                <w:kern w:val="2"/>
                <w:sz w:val="24"/>
                <w:szCs w:val="24"/>
                <w:highlight w:val="none"/>
                <w:lang w:val="en-US" w:eastAsia="zh-CN" w:bidi="ar-SA"/>
              </w:rPr>
              <w:t>35</w:t>
            </w:r>
          </w:p>
          <w:p w14:paraId="36B21F13">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1C24E09E">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7757D0F4">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5E37C017">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65253CBD">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70CC50FD">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02E9474E">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55A35ABE">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6DB25D74">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3EE7BA8E">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05F6A5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5970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261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C5D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6C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大米</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D4C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大米</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24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大米</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B0EF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铅（以Pb计）、镉（以Cd计）、无机砷（以As计）、苯并[a]芘、黄曲霉毒素B₁ 、赭曲霉毒素A</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84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5B6B01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E4AF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912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D48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D67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挂面</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9A9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挂面</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E6F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挂面</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F632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铅（以Pb计）、黄曲霉毒素B₁ 、脱氢乙酸及其钠盐（以脱氢乙酸计）、合成着色剂（柠檬黄、日落黄、胭脂红、苋菜红、诱惑红、亮蓝）</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774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EDF2F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19F6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2F2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CA6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25A3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其他粮食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AE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谷物加工品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85A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谷物加工品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DB87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铅（以Pb计）、镉（以Cd计）、黄曲霉毒素B₁ 、赭曲霉毒素A</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08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67F88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5050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6C4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3EF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FF2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97DF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谷物碾磨</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FF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玉米粉</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（片、渣 ）</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170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苯并[a]芘、黄曲霉毒素B₁ 、赭曲霉毒素A、玉米赤霉烯酮、脱氧雪腐镰刀菌烯醇</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550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F1A57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DC44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4A3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70E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947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ADC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6F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米粉</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71C3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铅（以Pb计）、镉（以Cd计）、总汞（以Hg计）、无机砷（以As计）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92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6AE3D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ED08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E7A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133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06B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321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6D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其他谷物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碾磨加工品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948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铅（以Pb计）、铬（以Cr计）、赭曲霉毒素A</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489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E5CF4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CBE3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1BF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9FF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67A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F1D7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谷物粉类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制成品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827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生湿面制品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554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铅（以Pb计）、苯甲酸及其钠盐（以苯甲酸计）、山梨酸及其钾盐（以山梨酸计）、脱氢乙酸及其钠盐（以脱氢乙酸计）、二氧化硫残留量、合成着色剂（柠檬黄）</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4F0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ECD48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31AF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2CF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662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0EB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EE8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815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发酵面制品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E42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糖精钠（以糖精计）、甜蜜素（以环己基氨基磺酸计）、安赛蜜、合成着色剂（柠檬黄、胭脂红）、菌落总数、大肠菌群</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A1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1FF1C7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FED5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31C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69F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92C7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其他粮食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加工品</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3CC7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谷物粉类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制成品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BA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米粉制品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4B5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二氧化硫残留量、合成着色剂（柠檬黄、日落黄、喹啉黄、亮蓝、靛蓝）、甜蜜素（以环己基氨基磺酸计）、菌落总数、大肠菌群</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4C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721" w:type="dxa"/>
            <w:vMerge w:val="continue"/>
            <w:tcBorders>
              <w:left w:val="single" w:color="000000" w:sz="4" w:space="0"/>
              <w:right w:val="single" w:color="000000" w:sz="4" w:space="0"/>
            </w:tcBorders>
            <w:shd w:val="clear" w:color="auto" w:fill="auto"/>
            <w:vAlign w:val="center"/>
          </w:tcPr>
          <w:p w14:paraId="30F08D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E713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E2D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12D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352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8CB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C6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其他谷物粉类制成品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10AA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黄曲霉毒素B₁ 、苯甲酸及其钠盐（以苯甲酸计）、山梨酸及其钾盐（以山梨酸计）、脱氢乙酸及其钠盐（以脱氢乙酸计）、合成着色剂（柠檬黄、日落黄、胭脂红、苋菜红、亮蓝）、菌落总数、大肠菌群</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215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3DE20EC6">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75C31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FDF4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9474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食用油、油脂及其制品</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BFBA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食用植物油</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ABEB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食用植物油</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C9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花生油</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4514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酸值/酸价、过氧化值、黄曲霉毒素B₁ 、苯并[a]芘、溶剂残留量、特丁基对苯二酚（TBHQ）、铅（以Pb计）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B52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72D3365E">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r>
              <w:rPr>
                <w:rFonts w:hint="eastAsia" w:ascii="Times New Roman" w:hAnsi="Times New Roman" w:eastAsia="Times New Roman"/>
                <w:color w:val="auto"/>
                <w:sz w:val="24"/>
                <w:szCs w:val="24"/>
                <w:highlight w:val="none"/>
              </w:rPr>
              <w:t>34</w:t>
            </w:r>
          </w:p>
          <w:p w14:paraId="181BD4DD">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746CF5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FB1E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93B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AE3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6A0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F24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AB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玉米油</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DCC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酸值/酸价、过氧化值、黄曲霉毒素B₁ 、苯并[a]芘、特丁基对苯二酚（TBHQ）</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F5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E8814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4CC3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525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3F2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F3A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791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110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芝麻油</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55B0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酸值/酸价、过氧化值、苯并[a]芘、溶剂残留量、乙基麦芽酚</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16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5C86E5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BDAF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E46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52C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392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0AF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0D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橄榄油、油橄榄果渣油</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28C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酸值/酸价、过氧化值、溶剂残留量、特丁基对苯二酚（TBHQ）</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56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7AA46A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04AD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CCD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B68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273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BF3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994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菜籽油</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87D6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酸值/酸价、过氧化值、苯并[a]芘、溶剂残留量、特丁基对苯二酚（TBHQ）、乙基麦芽酚、铅（以Pb计）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A11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794976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B06E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C63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D50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91D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711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F39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大豆油</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4D5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酸值/酸价、过氧化值、苯并[a]芘、溶剂残留量、特丁基对苯二酚（TBHQ）、铅（以Pb计）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840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12CEE4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0230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B61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6DA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78A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3B2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862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食用植物调和油</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336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酸价、过氧化值、苯并[a]芘、溶剂残留量、特丁基对苯二酚（TBHQ）、乙基麦芽酚、铅</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（以Pb计）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6A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5A97A8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30D1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36D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2C9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AC2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FAE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56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油茶籽油</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E416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酸值/酸价、过氧化值、苯并[a]芘、溶剂残留量、特丁基对苯二酚（TBHQ）、铅（以Pb计）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6C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24B233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A32E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086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B2F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FDB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ABB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D7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其他食用植物油</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40F3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84C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7AA2A6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77D1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F7C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9EE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A47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食用动物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油脂</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C47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食用动物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油脂</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62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食用动物油脂</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F875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酸价、过氧化值、丙二醛、苯并[a]芘、铅（以Pb计）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E9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2A59A8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D010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25F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FF2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A6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食用油脂</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7B0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食用油脂</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40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食用油脂制品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B311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酸价（以脂肪计）、过氧化值（以脂肪计）、大肠菌群、霉菌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84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254F92C9">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7F206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10F0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3</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F342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调味品</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D0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酱油</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96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酱油</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309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酱油</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83AF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全氮（以氮计）、铵盐（以占氨基酸态氮的百分比计）、苯甲酸及其钠盐（以苯甲酸计）、山梨酸及其钾盐（以山梨酸计）、脱氢乙酸及其钠盐（以脱氢乙酸计）、对羟基苯甲酸酯类及其钠盐（以对羟基苯甲酸计）、防腐剂混合使用时各自用量占其最大使用量的比例之和、糖精钠（以糖精计）、甜蜜素（以环己基氨基磺酸计）、菌落总数、大肠菌群</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034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5AA6B578">
            <w:pPr>
              <w:spacing w:beforeLines="0" w:afterLine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20</w:t>
            </w:r>
          </w:p>
          <w:p w14:paraId="069B3D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1981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702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010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FB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食醋</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473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食醋</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2B6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食醋</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B85F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酸（以乙酸计）、不挥发酸（以乳酸计）、苯甲酸及其钠盐（以苯甲酸计）、山梨酸及其钾盐（以山梨酸计）、脱氢乙酸及其钠盐（以脱氢乙酸计）、对羟基苯甲酸酯类及其钠盐（以对羟基苯甲酸计）、防腐剂混合使用时各自用量占其最大使用量的比例之和、糖精钠（以糖精计）、甜蜜素（以环己基氨基磺酸计）、三氯蔗糖、菌落总数</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29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6913A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26C7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263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92C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42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酱类</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A7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酿造酱</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D46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黄豆酱、甜面酱等</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85B0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氨基酸态氮、黄曲霉毒素B₁ 、苯甲酸及其钠盐（以苯甲酸计）、山梨酸及其钾盐（以山梨酸计）、脱氢乙酸及其钠盐（以脱氢乙酸计）、防腐剂混合使用时各自用量占其最大使用量的比例之和、糖精钠（以糖精计）、甜蜜素（以环己基氨基磺酸计）、安赛蜜、大肠菌群</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01F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E891B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951A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194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2F7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B28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调味料酒</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F4B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调味料酒</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A9B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料酒</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7D8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氨基酸态氮（以氮计）、苯甲酸及其钠盐（以苯甲酸计）、山梨酸及其钾盐（以山梨酸计）、脱氢乙酸及其钠盐（以脱氢乙酸计）、甜蜜素（以环己基氨基磺酸计）、三氯蔗糖</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FCC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4538E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8961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E04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290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F7EF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香辛料类</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E35D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香辛料类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EC1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香辛料调味油</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3791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酸价/酸值、过氧化值</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AA8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27C28B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32E8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25C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B1D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DE4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2D3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055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辣椒、花椒、辣椒粉、花椒</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粉</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7830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铅（以Pb计）、罗丹明B、苏丹红I、苏丹红Ⅱ、苏丹红Ⅲ、苏丹红IV、脱氢乙酸及其钠盐（以脱氢乙酸计）、山梨酸及其钾盐（以山梨酸计）、二氧化硫残留量、合成着色剂（柠檬黄、日落黄、胭脂红）</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6C7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504F8B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DCC5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158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D9A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F3B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C1F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CA2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其他香辛料调味品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BA21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脱氢乙酸及其钠盐（以脱氢乙酸计）、二氧化硫残留量、甜蜜素（以环己基氨基磺酸计）、合成着色剂（柠檬黄、日落黄、苋菜红、胭脂红、亮蓝）、丙溴磷、氯氰菊酯和高效氯氰菊酯、多菌灵、毒死蜱、克百威、沙门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4E4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17584F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9C7B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2EC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D2A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48E5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B59F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固体复合调味料</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E4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鸡粉、鸡精调味料</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263C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谷氨酸钠、呈味核苷酸二钠、总氮（以N计）、铅（以Pb计）、糖精钠（以糖精计）、甜蜜素（以环己基氨基磺酸计）、菌落总数、大肠菌群、安赛蜜</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BD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5D1C25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176A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969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290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24A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E03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584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其他固体调味料</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B96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苏丹红I、苏丹红Ⅱ、苏丹红Ⅲ、苏丹红IV、罂粟碱、吗啡、可待因、那可丁、苯甲酸及其钠盐（以苯甲酸计）、山梨酸及其钾盐（以山梨酸计）、脱氢乙酸及其钠盐（以脱氢乙酸计）、防腐剂混合使用时各自用量占其最大使用量的比例之和、糖精钠（以糖精计）、甜蜜素（以环己基氨基磺酸计）、安赛蜜、阿斯巴甜、二氧化硫残留量</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DF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4A22B0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7BC7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D89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4F8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07D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C7D6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半固体复合调味料</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6D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蛋黄酱、沙拉酱</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F750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二氧化钛</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5D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2A14D2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8C4D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51F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5F3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A32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DF5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A9E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坚果与籽类的泥（酱）</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5EA5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酸价/酸值、过氧化值、铅（以Pb计）、黄曲霉毒素B₁</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28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518E54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1429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E3A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326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D58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6B1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F5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辣椒酱</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79E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甜蜜素（以环己基氨基磺酸计）、二氧化硫残留量</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B4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3AA966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312B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0F4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91D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984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16F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96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火锅底料、麻辣烫底料</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E34B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罂粟碱、吗啡、可待因、那可丁、苯甲酸及其钠盐（以苯甲酸计）、山梨酸及其钾盐（以山梨酸计）、脱氢乙酸及其钠盐（以脱氢乙酸计）、防腐剂混合使用时各自用量占其最大使用量的比例之和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78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762D51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CFCF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E66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1CA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104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76E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8E4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其他半固体调味料</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57E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罗丹明B、罂粟碱、吗啡、可待因、那可丁、苯甲酸及其钠盐（以苯甲酸计）、山梨酸及其钾盐（以山梨酸计）、脱氢乙酸及其钠盐（以脱氢乙酸计）、防腐剂混合使用时各自用量占其最大使用量的比例之和、甜蜜素（以环己基氨基磺酸计）、安赛蜜</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E8D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4E867C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FEFE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6F9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63B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A39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1C9E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液体复合</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调味料</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B54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蚝油、虾油、鱼露</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2CA6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氨基酸态氮、苯甲酸及其钠盐（以苯甲酸计）、山梨酸及其钾盐（以山梨酸计）、脱氢乙酸及其钠盐（以脱氢乙酸计）、防腐剂混合使用时各自用量占其最大使用量的比例之和、菌落总数</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13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2EDF92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86CB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D67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55F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EFE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D24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16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其他液体调味料</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86BC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糖精钠（以糖精计）、甜蜜素（以环己基氨基磺酸计）、合成着色剂（柠檬黄、日落黄、胭脂红、诱惑红）、相同色泽着色剂混合使用时各自用量占其最大使用量的比例之和、菌落总数</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41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4792B9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03D3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827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78A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181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味精</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677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味精</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BFC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味精</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A363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谷氨酸钠</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19B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207560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5641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402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D6B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99A1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食盐</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AD80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食用盐</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690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普通食用盐</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5CDF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氯化钠、钡（以Ba计）、碘（以I计）、铅（以Pb计）、总砷（以As计）、镉（以Cd计）、总汞（以Hg计）、亚铁氰化钾/亚铁氰化钠（以亚铁氰根计）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20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3BE6A8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227F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99B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E40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A91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B90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B8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低钠食用盐</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2D3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氯化钾、钡（以Ba计）、碘（以I计）、铅（以Pb计）、总砷（以As计）、镉（以Cd计）、总汞（以Hg计）、亚铁氰化钾/亚铁氰化钠（以亚铁氰根计）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2A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395311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823C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F5E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CC3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627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174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0D5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风味食用盐</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736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钡（以Ba计）、铅（以Pb计）、总砷（以As计）、镉（以Cd计）、总汞（以Hg计）、亚铁氰化钾/亚铁氰化钠（以亚铁氰根计）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50D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515DF7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0A0D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3CA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5A2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53A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BAC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35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特殊工艺食用盐</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6356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氯化钠、钡（以Ba计）、碘（以I计）、铅（以Pb计）、总砷（以As计）、镉（以Cd计）、总汞（以Hg计）、亚铁氰化钾/亚铁氰化钠（以亚铁氰根计）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2F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15DFE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319A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ED6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5A2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5DC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4BC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食品生产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加工用盐</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8BD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食品生产加工用盐</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1F2E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铅（以Pb计）、总砷（以As计）、镉（以Cd计）、总汞（以Hg计）、亚铁氰化钾/亚铁氰化钠（以亚铁氰根计）、亚硝酸盐（以NaNO₂计）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89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7C10DC42">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46649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FCC0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4</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3197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肉制品</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9BFD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预制肉制品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82A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调理肉制品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B5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调理肉制品（非速冻）</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85D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D83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1AAB5DAE">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r>
              <w:rPr>
                <w:rFonts w:hint="eastAsia" w:ascii="Times New Roman" w:hAnsi="Times New Roman" w:eastAsia="Times New Roman"/>
                <w:color w:val="auto"/>
                <w:sz w:val="24"/>
                <w:szCs w:val="24"/>
                <w:highlight w:val="none"/>
              </w:rPr>
              <w:t>20</w:t>
            </w:r>
          </w:p>
          <w:p w14:paraId="275F11A7">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07D827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7942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5E8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2F0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BB7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B63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腌腊肉制品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F74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腌腊肉制品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694C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总砷（以As计）、亚硝酸盐（以亚硝酸钠计）、苯甲酸及其钠盐（以苯甲酸计）、山梨酸及其钾盐（以山梨酸计）、脱氢乙酸及其钠盐（以脱氢乙酸计）、合成着色剂（柠檬黄、日落黄、胭脂红、诱惑红、苋菜红、酸性红）、红2G、氯霉素</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6E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721" w:type="dxa"/>
            <w:vMerge w:val="continue"/>
            <w:tcBorders>
              <w:left w:val="single" w:color="000000" w:sz="4" w:space="0"/>
              <w:right w:val="single" w:color="000000" w:sz="4" w:space="0"/>
            </w:tcBorders>
            <w:shd w:val="clear" w:color="auto" w:fill="auto"/>
            <w:vAlign w:val="center"/>
          </w:tcPr>
          <w:p w14:paraId="227B22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777C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72E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C06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EA1A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熟肉制品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14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发酵肉制品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EF9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发酵肉制品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378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亚硝酸盐（以亚硝酸钠计）、沙门氏菌、金黄色葡萄球菌、单核细胞增生李斯特氏菌、致泻大肠埃希氏菌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93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709192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2F96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C12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1C2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2B7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BE1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酱卤肉制品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2CA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酱卤肉制品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1D1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镉（以Cd计）、铬（以Cr计）、总砷（以As计）、N-二甲基亚硝胺、亚硝酸盐（以亚硝酸钠计）、苯甲酸及其钠盐（以苯甲酸计）、山梨酸及其钾盐（以山梨酸计）、脱氢乙酸及其钠盐（以脱氢乙酸计）、纳他霉素、防腐剂混合使用时各自用量占其最大使用量的比例之和、糖精钠（以糖精计）、合成着色剂（柠檬黄、日落黄、胭脂红、诱惑红）、氯霉素、菌落总数、大肠菌群、沙门氏菌、金黄色葡萄球菌、单核细胞增生李斯特氏菌、致泻大肠埃希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94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721" w:type="dxa"/>
            <w:vMerge w:val="continue"/>
            <w:tcBorders>
              <w:left w:val="single" w:color="000000" w:sz="4" w:space="0"/>
              <w:right w:val="single" w:color="000000" w:sz="4" w:space="0"/>
            </w:tcBorders>
            <w:shd w:val="clear" w:color="auto" w:fill="auto"/>
            <w:vAlign w:val="center"/>
          </w:tcPr>
          <w:p w14:paraId="0612B3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E602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451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764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CB0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7EA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油炸肉制品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583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油炸肉制品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604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N-二甲基亚硝胺、亚硝酸盐（以亚硝酸钠计）、苯甲酸及其钠盐（以苯甲酸计）、山梨酸及其钾盐（以山梨酸计）、沙门氏菌、金黄色葡萄球菌、单核细胞增生李斯特氏菌、致泻大肠埃希氏菌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58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0F661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48EB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9AB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8DC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1AC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FE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熟肉干制品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44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熟肉干制品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E1A8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N-二甲基亚硝胺、苯甲酸及其钠盐（以苯甲酸计）、山梨酸及其钾盐（以山梨酸计）、脱氢乙酸及其钠盐（以脱氢乙酸计）、防腐剂混合使用时各自用量占其最大使用量的比例之和、合成着色剂（胭脂红、诱惑红）、氯霉素、菌落总数、大肠菌群、沙门氏菌、金黄色葡萄球菌、单核细胞增生李斯特氏菌、致泻大肠埃希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7B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721" w:type="dxa"/>
            <w:vMerge w:val="continue"/>
            <w:tcBorders>
              <w:left w:val="single" w:color="000000" w:sz="4" w:space="0"/>
              <w:right w:val="single" w:color="000000" w:sz="4" w:space="0"/>
            </w:tcBorders>
            <w:shd w:val="clear" w:color="auto" w:fill="auto"/>
            <w:vAlign w:val="center"/>
          </w:tcPr>
          <w:p w14:paraId="78E0FF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DEE7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2"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F14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E7E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6A2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7AC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熏烧烤肉</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5E9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熏烧烤肉制品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F68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并[a]芘、N-二甲基亚硝胺、亚硝酸盐（以亚硝酸钠计）、苯甲酸及其钠盐（以苯甲酸计）、山梨酸及其钾盐（以山梨酸计）、纳他霉素、合成着色剂（柠檬黄、日落黄、胭脂红）、氯霉素、菌落总数、大肠菌群、沙门氏菌、金黄色葡萄球菌、单核细胞增生李斯特氏菌、致泻大肠埃希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D1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721" w:type="dxa"/>
            <w:vMerge w:val="continue"/>
            <w:tcBorders>
              <w:left w:val="single" w:color="000000" w:sz="4" w:space="0"/>
              <w:right w:val="single" w:color="000000" w:sz="4" w:space="0"/>
            </w:tcBorders>
            <w:shd w:val="clear" w:color="auto" w:fill="auto"/>
            <w:vAlign w:val="center"/>
          </w:tcPr>
          <w:p w14:paraId="34CE6D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1CED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9EA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258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271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A24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熏煮香肠</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火腿制品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8A1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熏煮香肠火腿制品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7C37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亚硝酸盐（以亚硝酸钠计）、苯甲酸及其钠盐（以苯甲酸计）、山梨酸及其钾盐（以山梨酸计）、脱氢乙酸及其钠盐（以脱氢乙酸计）、防腐剂混合使用时各自用量占其最大使用量的比例之和、合成着色剂（胭脂红、诱惑红）、氯霉素、菌落总数、大肠菌群、沙门氏菌、金黄色葡萄球菌、单核细胞增生李斯特氏菌、致泻大肠埃希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A1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09CD3E8D">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57E02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5A78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C2EC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乳制品</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6E82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乳制品</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F53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液体乳</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78A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灭菌乳</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146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蛋白质、非脂乳固体、酸度、脂肪、三聚氰胺、铅（以Pb计）、黄曲霉毒素M₁、丙二醇、商业无菌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D1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1C11B17D">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r>
              <w:rPr>
                <w:rFonts w:hint="eastAsia" w:ascii="Times New Roman" w:hAnsi="Times New Roman" w:eastAsia="Times New Roman"/>
                <w:color w:val="auto"/>
                <w:sz w:val="24"/>
                <w:szCs w:val="24"/>
                <w:highlight w:val="none"/>
              </w:rPr>
              <w:t>26</w:t>
            </w:r>
          </w:p>
          <w:p w14:paraId="25C2A3F6">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60CACD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FB60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E2F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921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D11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7D9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D7A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巴氏杀菌乳</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41B3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蛋白质、酸度、三聚氰胺、铅（以Pb计）、黄曲霉毒素M₁ 、丙二醇、沙门氏菌、金黄色葡萄球菌、菌落总数、大肠菌群</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22F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2F6548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1F48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9A8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F96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7F1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EFCB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液体乳</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67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调制乳</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8C5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蛋白质、三聚氰胺、铅（以Pb计）、黄曲霉毒素M₁ 、商业无菌、菌落总数、大肠菌群</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87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同左，增加纽甜</w:t>
            </w:r>
          </w:p>
        </w:tc>
        <w:tc>
          <w:tcPr>
            <w:tcW w:w="721" w:type="dxa"/>
            <w:vMerge w:val="continue"/>
            <w:tcBorders>
              <w:left w:val="single" w:color="000000" w:sz="4" w:space="0"/>
              <w:right w:val="single" w:color="000000" w:sz="4" w:space="0"/>
            </w:tcBorders>
            <w:shd w:val="clear" w:color="auto" w:fill="auto"/>
            <w:vAlign w:val="center"/>
          </w:tcPr>
          <w:p w14:paraId="30D215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0BD8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CE4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FCE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F3A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B6F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738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发酵乳</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040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蛋白质、脂肪、酸度、三聚氰胺、铅（以Pb计）、黄曲霉毒素M₁ 、山梨酸及其钾盐（以山梨酸计）、甜蜜素（以环己基氨基磺酸计）、阿斯巴甜、安赛蜜、沙门氏菌、金黄色葡萄球菌、大肠菌群、霉菌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16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37C492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1364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E8F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88D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9E1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8FC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C4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高温杀菌乳</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840E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蛋白质、酸度、三聚氰胺、铅（以Pb计）、黄曲霉毒素M₁ 、丙二醇、沙门氏菌、菌落总数、大肠菌群</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5F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42E2B8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353C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685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921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AE2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DA7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乳粉</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87F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乳粉（全脂、脱脂、部分脱脂）和调制乳粉</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82A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蛋白质、脂肪、复原乳酸度、杂质度、水分、三聚氰胺、铅（以Pb计）、菌落总数、大肠菌群</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70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F867B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D04E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F9A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325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CA1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8E0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乳清粉和乳清蛋白粉（企业原料 ）</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19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脱盐乳清粉、非脱盐乳清粉、浓缩乳清蛋白粉、分离乳清蛋白粉</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9AA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48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3AFE4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196C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C19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D79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DB1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5B35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其他乳制品（浓缩乳制品、奶油、干酪、固态成型产品）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B8D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浓缩乳制品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B50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蛋白质、三聚氰胺、商业无菌、菌落总数、大肠菌群</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BBC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2D591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463E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3A8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490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882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CCA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E7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稀奶油、奶油和无水奶油</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E001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脂肪、酸度、三聚氰胺、脱氢乙酸及其钠盐（以脱氢乙酸计）、商业无菌、沙门氏菌、菌落总数、大肠菌群、霉菌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EF6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2B052F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CF00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602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74E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BAD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FCE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12A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干酪、再制干酪、干酪制品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05B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三聚氰胺、金黄色葡萄球菌、沙门氏菌、单核细胞增生李斯特氏菌、菌落总数、大肠菌群、霉菌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B62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5E5EAD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8F9D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7FB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05C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83D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90F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92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奶片、奶条等固态成型产品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B617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蛋白质、三聚氰胺、脱氢乙酸及其钠盐（以脱氢乙酸计）、沙门氏菌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F47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6B120266">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67940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9ABB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6</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F690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CFE4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0C56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包装饮用水</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4A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饮用天然</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矿泉水</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E03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界限指标、铅（以Pb计）、总砷（以As计）、镉（以Cd计）、总汞（以Hg计）、镍、溴酸盐、硝酸盐（以NO₃-计）、亚硝酸盐（以NO₂-计）、大肠菌群、铜绿假单胞菌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D1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664C7441">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r>
              <w:rPr>
                <w:rFonts w:hint="eastAsia" w:ascii="Times New Roman" w:hAnsi="Times New Roman" w:eastAsia="Times New Roman"/>
                <w:color w:val="auto"/>
                <w:sz w:val="24"/>
                <w:szCs w:val="24"/>
                <w:highlight w:val="none"/>
              </w:rPr>
              <w:t>44</w:t>
            </w:r>
          </w:p>
          <w:p w14:paraId="651BF2BE">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0E42C6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B1EC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1F1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670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7D5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F16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3C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饮用纯净水</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F56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电导率、耗氧量（以O₂计）、铅（以Pb计）、总砷（以As计）、镉（以Cd计）、亚硝酸盐（以NO₂-计）、余氯（游离氯）、溴酸盐、三氯甲烷、大肠菌群、铜绿假单胞菌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560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1AD2CB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76FF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514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ECD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335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DDA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72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其他类饮用水</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BAAF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耗氧量（以O₂计）、铅（以Pb计）、总砷（以As计）、镉（以Cd计）、亚硝酸盐（以NO₂-计）、余氯（游离氯）、溴酸盐、三氯甲烷、大肠菌群、铜绿假单胞菌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A3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1F81E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4C0D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059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69A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E3F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A9E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果蔬汁类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及其饮料</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9CE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果蔬汁类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及其饮料</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8674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展青霉素、苯甲酸及其钠盐（以苯甲酸计）、山梨酸及其钾盐（以山梨酸计）、脱氢乙酸及其钠盐（以脱氢乙酸计）、纳他霉素、防腐剂混合使用时各自用量占其最大使用量的比例之和、安赛蜜、甜蜜素（以环己基氨基磺酸计）、阿斯巴甜、合成着色剂（柠檬黄、新红、苋菜红、靛蓝、胭脂红、日落黄、诱惑红、亮蓝、酸性红、喹啉黄、赤藓红）、菌落总数、大肠菌群、霉菌、酵母</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81D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C39CF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C186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345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37B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62C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565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蛋白饮料</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8A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蛋白饮料</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B1AE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蛋白质、乳酸菌数、氰化物（以HCN计）、三聚氰胺、脱氢乙酸及其钠盐（以脱氢乙酸计）、安赛蜜、甜蜜素（以环己基氨基磺酸计）、阿斯巴甜、菌落总数、大肠菌群、霉菌、酵母、商业无菌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E09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4A68D2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030C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667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F74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A2E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4D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碳酸饮料（汽水）</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270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碳酸饮料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（汽水）</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3F9A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二氧化碳气容量、苯甲酸及其钠盐（以苯甲酸计）、山梨酸及其钾盐（以山梨酸计）、防腐剂混合使用时各自用量占其最大使用量的比例之和、安赛蜜、甜蜜素（以环己基氨基磺酸计）、阿斯巴甜、菌落总数、霉菌、酵母</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31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5EF1AF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91A5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189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BD7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A00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B0C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茶饮料</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59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茶饮料</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7AB7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茶多酚、咖啡因、脱氢乙酸及其钠盐（以脱氢乙酸计）、安赛蜜、甜蜜素（以环己基氨基磺酸计）、阿斯巴甜、菌落总数</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B4D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7EC365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0E0C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9B7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B3F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0FB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4A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固体饮料</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D1F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固体饮料</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825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乳酸菌数、西地那非、他达拉非、西布曲明、比沙可啶、铅（以Pb计）、氰化物（以HCN计）、苯甲酸及其钠盐（以苯甲酸计）、山梨酸及其钾盐（以山梨酸计）、防腐剂混合使用时各自用量占其最大使用量的比例之和、糖精钠（以糖精计）、安赛蜜、甜蜜素（以环己基氨基磺酸计）、阿斯巴甜、合成着色剂（柠檬黄、新红、苋菜红、靛蓝、胭脂红、日落黄、诱惑红、亮蓝、酸性红、喹啉黄、赤藓红）、相同色泽着色剂混合使用时各自用量占其最大使用量的比例之和、菌落总数、大肠菌群、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65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那红地那非、红地那非、伐地那非、羟基豪莫西地那非、豪莫西地那非、氨基他达拉非、硫代艾地那非、伪伐地那非、那莫西地那非、去甲基他达拉非、育亨宾、西布曲明、N-单去甲基西布曲明、N,N-双去甲基西布曲明、氯代西戊曲明（西布曲明二氯代异戊基替代物）（限有功能声称的产品）</w:t>
            </w:r>
          </w:p>
        </w:tc>
        <w:tc>
          <w:tcPr>
            <w:tcW w:w="721" w:type="dxa"/>
            <w:vMerge w:val="continue"/>
            <w:tcBorders>
              <w:left w:val="single" w:color="000000" w:sz="4" w:space="0"/>
              <w:right w:val="single" w:color="000000" w:sz="4" w:space="0"/>
            </w:tcBorders>
            <w:shd w:val="clear" w:color="auto" w:fill="auto"/>
            <w:vAlign w:val="center"/>
          </w:tcPr>
          <w:p w14:paraId="51B4ED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0B86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174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877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CDB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04F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其他饮料</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332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其他饮料</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A9C9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糖精钠（以糖精计）、安赛蜜、甜蜜素（以环己基氨基磺酸计）、阿斯巴甜、合成着色剂（柠檬黄、新红、苋菜红、靛蓝、胭脂红、日落黄、诱惑红、亮蓝、酸性红、喹啉黄、赤藓红）、菌落总数、大肠菌群、霉菌、酵母</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08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西地那非、他达拉非、西布曲明、比沙可啶环丙甲酰替代物、那红地那非、红地那非、伐地那非、羟基豪莫西地那非、豪莫西地那非、氨基他达拉非、硫代艾地那非、伪伐地那非、那莫西地那非、去甲基他达拉非、育亨宾、西布曲明、N-单去甲基西布曲明、N,N-双去甲基西布曲明、氯代西戊曲明（西布曲明二氯代异戊基替代物）（限有功能声称的产品）</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2CB28C2A">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125C3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4"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A4FF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7</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6AF4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方便食品</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5627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方便食品</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0E96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方便面</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A8E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油炸面、非油炸面</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7FC9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水分、酸价（以脂肪计）（KOH）、过氧化值（以脂肪计）、菌落总数、大肠菌群、霉菌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495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6D82DB7F">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r>
              <w:rPr>
                <w:rFonts w:hint="eastAsia" w:ascii="Times New Roman" w:hAnsi="Times New Roman" w:eastAsia="Times New Roman"/>
                <w:color w:val="auto"/>
                <w:sz w:val="24"/>
                <w:szCs w:val="24"/>
                <w:highlight w:val="none"/>
              </w:rPr>
              <w:t>15</w:t>
            </w:r>
          </w:p>
          <w:p w14:paraId="307CE7CD">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2A9635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3D27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2DA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F94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36F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E90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7EC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方便米粉</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（米线 ）</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D6B7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水分、菌落总数、大肠菌群、霉菌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82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32DE77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E311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D32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5A5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270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924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B0D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方便粉丝</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2F2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水分、菌落总数、大肠菌群、霉菌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22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5771CB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84A8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819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8B9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D81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987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0E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其他方便面</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2A83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水分、酸价（以脂肪计）（KOH）、过氧化值（以脂肪计）、菌落总数、大肠菌群、霉菌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D5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5FBE7B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E20E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10F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146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7D7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779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调味面制品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AB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调味面制品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7C8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苯甲酸及其钠盐（以苯甲酸计）、山梨酸及其钾盐（以山梨酸计）、脱氢乙酸及其钠盐（以脱氢乙酸计）、糖精钠（以糖精计）、甜蜜素（以环己基氨基磺酸计）、安赛蜜、三氯蔗糖、合成着色剂（柠檬黄、日落黄、诱惑红、苋菜红、胭脂红）、菌落总数、大肠菌群、霉菌、沙门氏菌、金黄色葡萄球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987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同左，增加纽甜</w:t>
            </w:r>
          </w:p>
        </w:tc>
        <w:tc>
          <w:tcPr>
            <w:tcW w:w="721" w:type="dxa"/>
            <w:vMerge w:val="continue"/>
            <w:tcBorders>
              <w:left w:val="single" w:color="000000" w:sz="4" w:space="0"/>
              <w:right w:val="single" w:color="000000" w:sz="4" w:space="0"/>
            </w:tcBorders>
            <w:shd w:val="clear" w:color="auto" w:fill="auto"/>
            <w:vAlign w:val="center"/>
          </w:tcPr>
          <w:p w14:paraId="7B6F69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F035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167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2BB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3A2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E281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79F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冲调类方便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1976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、苯甲酸及其钠盐（以苯甲酸计）、山梨酸及其钾盐（以山梨酸计）、糖精钠（以糖精计）、菌落总数、大肠菌群、霉菌、沙门氏菌、金黄色葡萄球菌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642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3494B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FEB1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F82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A4C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F6B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689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9E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主食类方便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97B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苯甲酸及其钠盐（以苯甲酸计）、山梨酸及其钾盐（以山梨酸计）、脱氢乙酸及其钠盐（以脱氢乙酸计）、糖精钠（以糖精计）、菌落总数、大肠菌群、霉菌、沙门氏菌、金黄色葡萄球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34B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6BE1D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166D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79B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6D4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602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E28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15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其他类方便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E992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苯甲酸及其钠盐（以苯甲酸计）、山梨酸及其钾盐（以山梨酸计）、糖精钠（以糖精计）、菌落总数、大肠菌群、霉菌、沙门氏菌、金黄色葡萄球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08E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78DD8B84">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5BF14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E9E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CD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83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BC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6D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DA87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山梨酸及其钾盐（以山梨酸计）、铝的残留量（干样品，以Al计）、脱氢乙酸及其钠盐（以脱氢乙酸计）、甜蜜素（以环己基氨基磺酸计）、糖精钠（以糖精计）、二氧化硫残留量、苯甲酸及其钠盐（以苯甲酸计）、合成着色剂（柠檬黄、日落黄、胭脂红、苋菜红、亮蓝、靛蓝、诱惑红）、菌落总数、大肠菌群、金黄色葡萄球菌、沙门氏菌、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DC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52B45">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r>
              <w:rPr>
                <w:rFonts w:hint="eastAsia" w:eastAsia="Times New Roman" w:cs="Times New Roman"/>
                <w:color w:val="auto"/>
                <w:kern w:val="2"/>
                <w:sz w:val="24"/>
                <w:szCs w:val="24"/>
                <w:highlight w:val="none"/>
                <w:lang w:val="en-US" w:eastAsia="zh-CN" w:bidi="ar-SA"/>
              </w:rPr>
              <w:t>17</w:t>
            </w:r>
          </w:p>
        </w:tc>
      </w:tr>
      <w:tr w14:paraId="221EF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0523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9</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0E1F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4C92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CBD2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畜禽水产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0E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畜禽肉类罐头</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36D3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铅（以Pb计）、镉（以Cd计）、脱氢乙酸及其钠盐（以脱氢乙酸计）、苯甲酸及其钠盐（以苯甲酸计）、山梨酸及其钾盐（以山梨酸计）、商业无菌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31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1D35CD55">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r>
              <w:rPr>
                <w:rFonts w:hint="eastAsia" w:ascii="Times New Roman" w:hAnsi="Times New Roman" w:eastAsia="Times New Roman" w:cs="Times New Roman"/>
                <w:color w:val="auto"/>
                <w:kern w:val="2"/>
                <w:sz w:val="24"/>
                <w:szCs w:val="24"/>
                <w:highlight w:val="none"/>
                <w:lang w:val="en-US" w:eastAsia="zh-CN" w:bidi="ar-SA"/>
              </w:rPr>
              <w:t>5</w:t>
            </w:r>
          </w:p>
        </w:tc>
      </w:tr>
      <w:tr w14:paraId="38D81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C81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C1B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AAE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F4A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2F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水产动物类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D76A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组胺、铅（以Pb计）、无机砷（以As计）、脱氢乙酸及其钠盐（以脱氢乙酸计）、苯甲酸及其钠盐（以苯甲酸计）、山梨酸及其钾盐（以山梨酸计）、糖精钠（以糖精计）、甜蜜素（以环己基氨基磺酸计）、商业无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3E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43897B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C93F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4A6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46D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DB4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C7CE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果蔬罐头</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FE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水果类罐头</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B700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合成着色剂（柠檬黄、日落黄、苋菜红、胭脂红、赤藓红、诱惑红、亮蓝）、脱氢乙酸及其钠盐（以脱氢乙酸计）、苯甲酸及其钠盐（以苯甲酸计）、山梨酸及其钾盐（以山梨酸计）、糖精钠（以糖精计）、甜蜜素（以环己基氨基磺酸计）、二氧化硫残留量、商业无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30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A4C75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E4B9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4FE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541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372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824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720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蔬菜类罐头</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4E60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铅（以Pb计）、合成着色剂（柠檬黄、日落黄）、脱氢乙酸及其钠盐（以脱氢乙酸计）、苯甲酸及其钠盐（以苯甲酸计）、山梨酸及其钾盐（以山梨酸计）、乙二胺四乙酸二钠、二氧化硫残留量、商业无菌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37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8D8D7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7457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9DC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DF8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5A3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BD4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49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食用菌罐头</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C459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铅（以Pb计）、脱氢乙酸及其钠盐（以脱氢乙酸计）、苯甲酸及其钠盐（以苯甲酸计）、山梨酸及其钾盐（以山梨酸计）、乙二胺四乙酸二钠、二氧化硫残留量、商业无菌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CF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468E47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0B35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D99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C51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3CC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BC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其他罐头</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A6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其他罐头</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444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黄曲霉毒素B₁ 、脱氢乙酸及其钠盐（以脱氢乙酸计）、苯甲酸及其钠盐（以苯甲酸计）、山梨酸及其钾盐（以山梨酸计）、乙二胺四乙酸二钠、商业无菌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580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048C6B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8629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0FC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6A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冷冻饮品</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FD7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冷冻饮品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17A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冷冻饮品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2E9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冰淇淋、雪糕、雪泥、冰棍、食用冰、甜味冰、其他类</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C4A7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甜蜜素（以环己基氨基磺酸计）、糖精钠（以糖精计）、安赛蜜、三氯蔗糖、合成着色剂（柠檬黄、日落黄、新红、苋菜红、靛蓝、胭脂红、诱惑红、亮蓝、酸性红、喹啉黄、赤藓红）、相同色泽着色剂混合使用时各自用量占其最大使用量的比例之和、菌落总数、大肠菌群、沙门氏菌、单核细胞增生李斯特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29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同左，增加纽甜</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571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cs="Times New Roman"/>
                <w:i w:val="0"/>
                <w:iCs w:val="0"/>
                <w:color w:val="auto"/>
                <w:kern w:val="0"/>
                <w:sz w:val="20"/>
                <w:szCs w:val="20"/>
                <w:highlight w:val="none"/>
                <w:u w:val="none"/>
                <w:lang w:val="en-US" w:eastAsia="zh-CN" w:bidi="ar"/>
              </w:rPr>
              <w:t>0</w:t>
            </w:r>
          </w:p>
        </w:tc>
      </w:tr>
      <w:tr w14:paraId="0CD8D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1835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11</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C08F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速冻食品</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296B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346F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DC0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7854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过氧化值（以脂肪计）、铅（以Pb计）、糖精钠（以糖精计）、甜蜜素（以环己基氨基磺酸计）、合成着色剂（柠檬黄、日落黄、苋菜红、亮蓝、胭脂红）</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95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39E25932">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r>
              <w:rPr>
                <w:rFonts w:hint="eastAsia" w:ascii="Times New Roman" w:hAnsi="Times New Roman" w:eastAsia="Times New Roman"/>
                <w:color w:val="auto"/>
                <w:sz w:val="24"/>
                <w:szCs w:val="24"/>
                <w:highlight w:val="none"/>
              </w:rPr>
              <w:t>15</w:t>
            </w:r>
          </w:p>
          <w:p w14:paraId="5CEFA42B">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3D32C6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9DBD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B55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1A8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8C4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8BC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CD2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6845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过氧化值（以脂肪计）、铅（以Pb计）、糖精钠（以糖精计）、甜蜜素（以环己基氨基磺酸计）、合成着色剂（柠檬黄、日落黄、苋菜红、亮蓝、胭脂红）、菌落总数、大肠菌群、沙门氏菌、金黄色葡萄球菌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C5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D51B8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CD67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C43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E89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6602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速冻调制</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93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速冻调理</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肉制品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8E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速冻调理</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肉制品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0A6E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铬（以Cr计）、氯霉素、合成着色剂（胭脂红、柠檬黄、日落黄、诱惑红）、亚硝酸盐（以亚硝酸钠计）、苯甲酸及其钠盐（以苯甲酸计）、山梨酸及其钾盐（以山梨酸计）、菌落总数、大肠菌群、沙门氏菌、金黄色葡萄球菌、单核细胞增生李斯特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93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28AC18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D4F3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44C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1AA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9E5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60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速冻调制</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水产制品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9E7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速冻调制水产制品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D78D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挥发性盐基氮、苯甲酸及其钠盐（以苯甲酸计）、山梨酸及其钾盐（以山梨酸计）、二氧化硫残留量、菌落总数、大肠菌群、沙门氏菌、副溶血性弧菌、单核细胞增生李斯特氏菌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12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586CFB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8685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0A6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C72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AC63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速冻其他</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63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速冻谷物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3B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速冻谷物食品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8D2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铅（以Pb计）、黄曲霉毒素B₁</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DE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1CF3DF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F2B2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742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354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C29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A4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速冻蔬菜</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AF9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速冻蔬菜制品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EE0A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铅（以Pb计）、镉（以Cd计）、糖精钠（以糖精计）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9E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4B3757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A96C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406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4F2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425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916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速冻水果</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96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速冻水果制品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58C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铅（以Pb计）、镉（以Cd计）、菌落总数、大肠菌群、霉菌、沙门氏菌、金黄色葡萄球菌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3B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0AD67CDE">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453E5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217C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12</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2EEC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薯类和膨化食品</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D27C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薯类和膨化食品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F6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膨化食品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229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含油型膨化食品和非含油型膨化食品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C8C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水分、酸价（以脂肪计）（KOH）、过氧化值（以脂肪计）、黄曲霉毒素B₁ 、糖精钠（以糖精计）、甜蜜素（以环己基氨基磺酸计）、三氯蔗糖、纽甜、合成着色剂（新红、苋菜红、酸性红、喹啉黄）、菌落总数、大肠菌群、沙门氏菌、金黄色葡萄球菌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E25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0590A941">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r>
              <w:rPr>
                <w:rFonts w:hint="eastAsia" w:ascii="Times New Roman" w:hAnsi="Times New Roman" w:eastAsia="Times New Roman"/>
                <w:color w:val="auto"/>
                <w:sz w:val="24"/>
                <w:szCs w:val="24"/>
                <w:highlight w:val="none"/>
              </w:rPr>
              <w:t>1</w:t>
            </w:r>
          </w:p>
          <w:p w14:paraId="17067214">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5C4674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3FDD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9EB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8A5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0C5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BDEE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薯类食品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90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干制薯类</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219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酸价（以脂肪计）（KOH）、过氧化值（以脂肪计）、铅（以Pb计）、二氧化硫残留量、菌落总数、大肠菌群、沙门氏菌、金黄色葡萄球菌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77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344951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975F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220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0B1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058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D17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13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冷冻薯类</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65E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636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03250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93DF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2B9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724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401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AA5F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薯类食品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E64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薯泥（酱）类</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3B7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铅（以Pb计）、苯甲酸及其钠盐（以苯甲酸计）、山梨酸及其钾盐（以山梨酸计）、商业无菌、沙门氏菌、金黄色葡萄球菌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F90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92F43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49F9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2F0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EC9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53D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3C0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2D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薯粉类</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F6F6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ED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71A03E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7CCA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750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86E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5F3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7A3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1B2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其他薯类食品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158F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铅（以Pb计）、沙门氏菌、金黄色葡萄球菌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AF2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569175E0">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70858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755B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13</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E622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糖果制品</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D3E5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糖果制品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（含巧克力</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及制品）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75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B1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203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糖精钠（以糖精计）、甜蜜素（以环己基氨基磺酸计）、合成着色剂（柠檬黄、新红、苋菜红、靛蓝、胭脂红、日落黄、诱惑红、亮蓝、酸性红、喹啉黄、赤藓红）、相同色泽着色剂混合使用时各自用量占其最大使用量的比例之和、二氧化硫残留量、菌落总数、大肠菌群、西地那非、他达拉非、酚丁、双酚沙丁、双丙酚丁、脱乙酰比沙可啶</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063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同左，增加氯代西戊曲明（西布曲明二氯代异戊基替代物）（限有功能声称的产品）</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7561F530">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r>
              <w:rPr>
                <w:rFonts w:hint="eastAsia" w:ascii="Times New Roman" w:hAnsi="Times New Roman" w:eastAsia="Times New Roman"/>
                <w:color w:val="auto"/>
                <w:sz w:val="24"/>
                <w:szCs w:val="24"/>
                <w:highlight w:val="none"/>
              </w:rPr>
              <w:t>15</w:t>
            </w:r>
          </w:p>
          <w:p w14:paraId="77965D2A">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044ACB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B346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2F1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075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1EB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77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巧克力及巧克力制品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03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巧克力、巧克力制品、代可可脂巧克力及代可可脂巧克力制品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11D7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铅（以Pb计）、沙门氏菌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54F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231FB0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3556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299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C1E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C6D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49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果冻</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F4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果冻</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2D6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山梨酸及其钾盐（以山梨酸计）、苯甲酸及其钠盐（以苯甲酸计）、糖精钠（以糖精计）、甜蜜素（以环己基氨基磺酸计）、安赛蜜、合成着色剂（柠檬黄、新红、苋菜红、靛蓝、胭脂红、日落黄、诱惑红、亮蓝、酸性红、喹啉黄、赤藓红）、相同色泽着色剂混合使用时各自用量占其最大使用量的比例之和、菌落总数、大肠菌群、霉菌、酵母、双丙酚丁、脱乙酰比沙可啶</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0DC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39D7C7D0">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4BCD0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181B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14</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6367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茶叶及相关</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A5C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茶叶</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A82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茶叶</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D04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绿茶、红茶、乌龙茶、黄茶、白茶、黑茶、花茶、袋泡茶、紧压茶</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E134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草甘膦、吡虫啉、乙酰甲胺磷、联苯菊酯、灭多威、三氯杀螨醇、氰戊菊酯和S-氰戊菊酯、甲拌磷、克百威、水胺硫磷、氧乐果、毒死蜱、啶虫脒、多菌灵、茚虫威、糖精钠（以糖精计）、甜蜜素（以环己基氨基磺酸计）、合成着色剂（柠檬黄、日落黄、胭脂红、亮蓝）</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95C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435D8F14">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r>
              <w:rPr>
                <w:rFonts w:hint="eastAsia" w:ascii="Times New Roman" w:hAnsi="Times New Roman" w:eastAsia="Times New Roman"/>
                <w:color w:val="auto"/>
                <w:sz w:val="24"/>
                <w:szCs w:val="24"/>
                <w:highlight w:val="none"/>
              </w:rPr>
              <w:t>3</w:t>
            </w:r>
          </w:p>
          <w:p w14:paraId="35C89E93">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0C745D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A08B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797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7CC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8FCB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含茶制品和</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D6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含茶制品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CD8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速溶茶类、其他含茶制品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174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铅（以Pb计）、菌落总数、霉菌、霉菌及酵母、合成着色剂（柠檬黄、日落黄、胭脂红、亮蓝 ）</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825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4D6049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60A2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A80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24B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496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D7B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C67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枸杞（干）</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C0C4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EE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308024B">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00443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12A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77E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641A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含茶制品和</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A4BE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007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菊花（干）</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FF5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D2F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46EB4D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CCD0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D99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002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B8E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C70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B2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金银花（干）</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5FD4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63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2C9ABF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FFE5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7F2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E36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366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E7D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A49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苦丁茶</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153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C6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97E88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35C1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2"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572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054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F9E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BD7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B9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其他代用茶</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07D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A50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648B0E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DD39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0A21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15</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7A32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酒类</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E0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蒸馏酒</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EC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白酒</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2C6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白酒、白酒（液态）、白酒（原酒）</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5D9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酒精度、铅（以Pb计）、甲醇、氰化物（以HCN计）、糖精钠（以糖精计）、甜蜜素（以环己基氨基磺酸计）、三氯蔗糖、安赛蜜、纽甜</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07E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6C5BBC45">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r>
              <w:rPr>
                <w:rFonts w:hint="eastAsia" w:ascii="Times New Roman" w:hAnsi="Times New Roman" w:eastAsia="Times New Roman"/>
                <w:color w:val="auto"/>
                <w:sz w:val="24"/>
                <w:szCs w:val="24"/>
                <w:highlight w:val="none"/>
              </w:rPr>
              <w:t>6</w:t>
            </w:r>
          </w:p>
          <w:p w14:paraId="3BD34CB3">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1989A9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18AD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A04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EC0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C2FA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发酵酒</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4E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黄酒</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D29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黄酒</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10F6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酒精度、氨基酸态氮、苯甲酸及其钠盐（以苯甲酸计）、山梨酸及其钾盐（以山梨酸计）、糖精钠（以糖精计）、甜蜜素（以环己基氨基磺酸计）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47E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4F5805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4C1F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A02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B1D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65D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65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啤酒</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309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啤酒</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FC5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酒精度、甲醛</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BE6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749569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586F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1E3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175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81E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66E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葡萄酒</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2A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葡萄酒</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280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甲醇、苯甲酸及其钠盐（以苯甲酸计）、山梨酸及其钾盐（以山梨酸计）、糖精钠（以糖精计）、二氧化硫残留量、甜蜜素（以环己基氨基磺酸计）、三氯蔗糖、合成着色剂（柠檬黄、日落黄、新红、胭脂红、赤藓红、苋菜红、诱惑红、酸性红、亮蓝）</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13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32FD95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D9D3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978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E80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1E6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D6C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果酒</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70E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果酒</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8EA8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酒精度、展青霉素、糖精钠（以糖精计）、甜蜜素（以环己基氨基磺酸计）、安赛蜜、二氧化硫残留量、酸性红</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9B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F3975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5D00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8DF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637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0DE5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其他酒</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A630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配制酒</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C16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以蒸馏酒及食用酒精为酒基的配制酒</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F1F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甲醇、氰化物（以HCN计）、西地那非、豪莫西地那非、硫代艾地那非、他达拉非、二硫代去甲基卡巴地那非、那非乙酰酸、去甲基卡巴地那非、去甲基他达拉非、羟基豪莫西地那非、伐地那非、育亨宾、甜蜜素（以环己基氨基磺酸计）、安赛蜜、纽甜</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3A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AEF2D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A837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44F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B07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773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26E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C5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以发酵酒为酒基的配制酒</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D61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酒精度、苯甲酸及其钠盐（以苯甲酸计）、山梨酸及其钾盐（以山梨酸计）、甜蜜素（以环己基氨基磺酸计）、防腐剂混合使用时各自用量占其最大使用量的比例之和、安赛蜜</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2C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76FAD1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4A94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8D4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F41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58F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0A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其他蒸馏酒</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6C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其他蒸馏酒</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97A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酒精度、铅（以Pb计）、甲醇、氰化物（以HCN计）、甜蜜素（以环己基氨基磺酸计）、三氯蔗糖</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F56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A4E92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4BDA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2"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A57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A576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0D0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DD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其他发酵酒</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9E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其他发酵酒</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8188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酒精度、苯甲酸及其钠盐（以苯甲酸计）、山梨酸及其钾盐（以山梨酸计）、糖精钠（以糖精计）、甜蜜素（以环己基氨基磺酸计）、安赛蜜</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A9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1BF42D8D">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4B101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2"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4700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16</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390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蔬菜制品</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5CAE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蔬菜制品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69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酱腌菜</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5A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酱腌菜</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72E2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亚硝酸盐（以NaNO₂计）、苯甲酸及其钠盐（以苯甲酸计）、山梨酸及其钾盐（以山梨酸计）、脱氢乙酸及其钠盐（以脱氢乙酸计）、糖精钠（以糖精计）、甜蜜素（以环己基氨基磺酸计）、阿斯巴甜、安赛蜜、纽甜、三氯蔗糖、二氧化硫残留量、防腐剂混合使用时各自用量占其最大使用量的比例之和、合成着色剂（柠檬黄、日落黄、胭脂红、诱惑红）、大肠菌群</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1F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6CB5A0DB">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r>
              <w:rPr>
                <w:rFonts w:hint="eastAsia" w:ascii="Times New Roman" w:hAnsi="Times New Roman" w:eastAsia="Times New Roman"/>
                <w:color w:val="auto"/>
                <w:sz w:val="24"/>
                <w:szCs w:val="24"/>
                <w:highlight w:val="none"/>
              </w:rPr>
              <w:t>6</w:t>
            </w:r>
          </w:p>
          <w:p w14:paraId="3CE31F23">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385237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26EF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917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015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B623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485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蔬菜干制品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334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蔬菜干制品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CA8B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铅（以Pb计）、苯甲酸及其钠盐（以苯甲酸计）、山梨酸及其钾盐（以山梨酸计）、二氧化硫残留量、合成着色剂（柠檬黄、日落黄、胭脂红、苋菜红、亮蓝）</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94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1AEA00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0E30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84C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133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5E8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08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其他蔬菜</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9EB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其他蔬菜制品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2893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铅（以Pb计）、苯甲酸及其钠盐（以苯甲酸计）、山梨酸及其钾盐（以山梨酸计）、脱氢乙酸及其钠盐（以脱氢乙酸计）、二氧化硫残留量</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DC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3944CF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26BA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AD6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6FA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C18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B79F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食用菌制品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32E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干制食用菌</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19D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铅（以Pb计）、镉（以Cd计）、甲基汞（以Hg计）、无机砷（以As计）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09A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2ADC0A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76E8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77D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FD3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34B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C90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A3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腌渍食用菌</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974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96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577E10EB">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299DD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72A1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17</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9EEA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水果制品</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CA21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水果制品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B8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蜜饯</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5F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蜜饯类、凉果类、果脯类、话化类、果糕类</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3B5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防腐剂混合使用时各自用量占其最大使用量的比例之和、糖精钠（以糖精计）、甜蜜素（以环己基氨基磺酸计）、安赛蜜、二氧化硫残留量、合成着色剂（亮蓝、柠檬黄、日落黄、苋菜红、胭脂红、诱惑红、喹啉黄、赤藓红）、相同色泽着色剂混合使用时各自用量占其最大使用量的比例之和、乙二胺四乙酸二钠、菌落总数、大肠菌群、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B59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同左，增加比沙可啶环丙甲酰替代物、双酚沙丁、脱乙酰比沙可啶（限有功能声称的产品）</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25837981">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r>
              <w:rPr>
                <w:rFonts w:hint="eastAsia" w:ascii="Times New Roman" w:hAnsi="Times New Roman" w:eastAsia="Times New Roman"/>
                <w:color w:val="auto"/>
                <w:sz w:val="24"/>
                <w:szCs w:val="24"/>
                <w:highlight w:val="none"/>
              </w:rPr>
              <w:t>18</w:t>
            </w:r>
          </w:p>
          <w:p w14:paraId="42491E6E">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128C5E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8238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A4E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29E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7DB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BD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水果干制品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A47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水果干制品（含干枸杞）</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080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啶虫脒、吡虫啉、克百威、氯氟氰菊酯和高效氯氟氰菊酯、氯氰菊酯和高效氯氰菊酯、苯甲酸及其钠盐（以苯甲酸计）、山梨酸及其钾盐（以山梨酸计）、脱氢乙酸及其钠盐（以脱氢乙酸计）、糖精钠（以糖精计）、二氧化硫残留量、合成着色剂（亮蓝、柠檬黄、日落黄、苋菜红、胭脂红、诱惑红、喹啉黄、赤藓红）、菌落总数、大肠菌群、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265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561023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DA55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DC7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FBA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7F2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50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果酱</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B7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果酱</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3A6E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脱氢乙酸及其钠盐（以脱氢乙酸计）、二氧化硫残留量、菌落总数、大肠菌群、霉菌、商业无菌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210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61B31E20">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1A1B3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C9DE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18</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05C4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炒货食品及坚果制品</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6842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炒货食品及</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坚果制品</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685A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炒货食品及坚果制品（烘炒类、油炸类、其他类）</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08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瓜子</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7F7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、苯甲酸及其钠盐（以苯甲酸计）、山梨酸及其钾盐（以山梨酸计）、脱氢乙酸及其钠盐（以脱氢乙酸计）、二氧化硫残留量、糖精钠（以糖精计）、甜蜜素（以环己基氨基磺酸计）、安赛蜜、大肠菌群、霉菌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52C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0457DC36">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r>
              <w:rPr>
                <w:rFonts w:hint="eastAsia" w:ascii="Times New Roman" w:hAnsi="Times New Roman" w:eastAsia="Times New Roman"/>
                <w:color w:val="auto"/>
                <w:sz w:val="24"/>
                <w:szCs w:val="24"/>
                <w:highlight w:val="none"/>
              </w:rPr>
              <w:t>25</w:t>
            </w:r>
          </w:p>
          <w:p w14:paraId="4A9CC606">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5012A3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1B13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60C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A7F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88D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556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AD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花生制品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AE1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、苯甲酸及其钠盐（以苯甲酸计）、山梨酸及其钾盐（以山梨酸计）、脱氢乙酸及其钠盐（以脱氢乙酸计）、二氧化硫残留量、糖精钠（以糖精计）、甜蜜素（以环己基氨基磺酸计）、安赛蜜、大肠菌群、霉菌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B9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2CE76A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DCCC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83C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0C7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ED3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FF1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A7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其他炒货食品及坚果制品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956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、脱氢乙酸及其钠盐（以脱氢乙酸计）、二氧化硫残留量、糖精钠（以糖精计）、甜蜜素（以环己基氨基磺酸计）、安赛蜜、大肠菌群、霉菌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59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2ECE05BA">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25168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BA42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19</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D321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蛋制品</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291C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蛋制品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997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再制蛋</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FC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再制蛋</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A98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铅（以Pb计）、苯甲酸及其钠盐（以苯甲酸计）、山梨酸及其钾盐（以山梨酸计）、菌落总数、大肠菌群、沙门氏菌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B3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6266F0EC">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r>
              <w:rPr>
                <w:rFonts w:hint="eastAsia" w:ascii="Times New Roman" w:hAnsi="Times New Roman" w:eastAsia="Times New Roman" w:cs="Times New Roman"/>
                <w:color w:val="auto"/>
                <w:kern w:val="2"/>
                <w:sz w:val="24"/>
                <w:szCs w:val="24"/>
                <w:highlight w:val="none"/>
                <w:lang w:val="en-US" w:eastAsia="zh-CN" w:bidi="ar-SA"/>
              </w:rPr>
              <w:t>1</w:t>
            </w:r>
          </w:p>
          <w:p w14:paraId="4D7BAC88">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24B628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9091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C8E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F26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659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4B2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干蛋制品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B4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干蛋制品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B66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菌落总数、大肠菌群、沙门氏菌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7B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3D0B1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16A7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36B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210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D98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28D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冰蛋制品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32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冰蛋制品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BFBF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菌落总数、大肠菌群、沙门氏菌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3C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68054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7431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314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B32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D0B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6F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液蛋制品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0B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液蛋制品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1D9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铅（以Pb计）、苯甲酸及其钠盐（以苯甲酸计）、山梨酸及其钾盐（以山梨酸计）、脱氢乙酸及其钠盐（以脱氢乙酸计）、菌落总数、大肠菌群、沙门氏菌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43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2E2B41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E6F0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A3F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F47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793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E8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热凝固蛋制品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30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热凝固蛋制品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A00E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铅（以Pb计）、苯甲酸及其钠盐（以苯甲酸计）、山梨酸及其钾盐（以山梨酸计）、脱氢乙酸及其钠盐（以脱氢乙酸计）、菌落总数、大肠菌群、沙门氏菌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7E5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16E83D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72C6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21F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9F5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CA0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F29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其他蛋制品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420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其他蛋制品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531F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铅（以Pb计）、苯甲酸及其钠盐（以苯甲酸计）、山梨酸及其钾盐（以山梨酸计）、脱氢乙酸及其钠盐（以脱氢乙酸计）、菌落总数、大肠菌群、沙门氏菌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A0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3D7A6FA7">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23D17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F9AA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20</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96B4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可可及焙烤咖啡产品</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8E9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焙炒咖啡</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536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焙炒咖啡</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041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焙炒咖啡</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1CEC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咖啡因、铅（以Pb计）、赭曲霉毒素A</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5F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216C5842">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r>
              <w:rPr>
                <w:rFonts w:hint="eastAsia" w:ascii="Times New Roman" w:hAnsi="Times New Roman" w:eastAsia="Times New Roman" w:cs="Times New Roman"/>
                <w:color w:val="auto"/>
                <w:kern w:val="2"/>
                <w:sz w:val="24"/>
                <w:szCs w:val="24"/>
                <w:highlight w:val="none"/>
                <w:lang w:val="en-US" w:eastAsia="zh-CN" w:bidi="ar-SA"/>
              </w:rPr>
              <w:t>0</w:t>
            </w:r>
          </w:p>
          <w:p w14:paraId="302810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578F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FB9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05D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742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可可制品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604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DD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03A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铅（以Pb计）、沙门氏菌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09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680A8CF8">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55905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2927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21</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D710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食糖</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E316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食糖</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65F9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食糖</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836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白砂糖</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A9D4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蔗糖分、还原糖分、色值、干燥失重、二氧化硫残留量、螨</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95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4907761A">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54F23859">
            <w:pPr>
              <w:spacing w:beforeLines="0" w:afterLines="0"/>
              <w:jc w:val="center"/>
              <w:rPr>
                <w:rFonts w:hint="eastAsia" w:ascii="Times New Roman" w:hAnsi="Times New Roman" w:eastAsia="Times New Roman" w:cs="Times New Roman"/>
                <w:color w:val="auto"/>
                <w:kern w:val="2"/>
                <w:sz w:val="24"/>
                <w:szCs w:val="24"/>
                <w:highlight w:val="none"/>
                <w:lang w:val="en-US" w:eastAsia="zh-CN" w:bidi="ar-SA"/>
              </w:rPr>
            </w:pPr>
          </w:p>
          <w:p w14:paraId="244FD1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cs="Times New Roman"/>
                <w:i w:val="0"/>
                <w:iCs w:val="0"/>
                <w:color w:val="auto"/>
                <w:kern w:val="0"/>
                <w:sz w:val="20"/>
                <w:szCs w:val="20"/>
                <w:highlight w:val="none"/>
                <w:u w:val="none"/>
                <w:lang w:val="en-US" w:eastAsia="zh-CN" w:bidi="ar"/>
              </w:rPr>
              <w:t>1</w:t>
            </w:r>
          </w:p>
        </w:tc>
      </w:tr>
      <w:tr w14:paraId="453B5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51F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6F3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215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C76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43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绵白糖</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D6B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总糖分、还原糖分、色值、干燥失重、二氧化硫残留量、螨</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4EE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DCB95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7709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A1B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32E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0E4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3D8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D82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赤砂糖</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94BB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总糖分、不溶于水杂质、干燥失重、二氧化硫残留量、螨、合成着色剂（柠檬黄、新红、苋菜红、胭脂红、日落黄、诱惑红、酸性红、喹啉黄、赤藓红）</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DB6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3DDBF1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8190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428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3E5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12D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2B8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55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红糖</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D09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总糖分、不溶于水杂质、干燥失重、二氧化硫残留量、螨、合成着色剂（柠檬黄、新红、苋菜红、胭脂红、日落黄、诱惑红、酸性红、喹啉黄、赤藓红）</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05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70DD0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2E98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8"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059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043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03F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BA9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038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冰糖</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8C3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蔗糖分、还原糖分、色值、干燥失重、二氧化硫残留量、螨、合成着色剂（柠檬黄、新红、苋菜红、胭脂红、日落黄、诱惑红、酸性红、喹啉黄、赤藓红）</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05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93B9C38">
            <w:pPr>
              <w:spacing w:beforeLines="0" w:afterLines="0"/>
              <w:jc w:val="center"/>
              <w:rPr>
                <w:rFonts w:hint="default" w:ascii="Times New Roman" w:hAnsi="Times New Roman" w:eastAsia="Times New Roman" w:cs="Times New Roman"/>
                <w:color w:val="auto"/>
                <w:kern w:val="2"/>
                <w:sz w:val="24"/>
                <w:szCs w:val="24"/>
                <w:highlight w:val="none"/>
                <w:lang w:val="en-US" w:eastAsia="zh-CN" w:bidi="ar-SA"/>
              </w:rPr>
            </w:pPr>
          </w:p>
        </w:tc>
      </w:tr>
      <w:tr w14:paraId="5A4C7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59A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DF3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104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131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CE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冰片糖</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F05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总糖分、还原糖分、干燥失重、二氧化硫残留量、螨、合成着色剂（柠檬黄、新红、苋菜红、胭脂红、日落黄、诱惑红、酸性红、喹啉黄、赤藓红）</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DB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787F9C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3EDE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D8D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385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435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77D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E53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方糖</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FF1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蔗糖分、还原糖分、色值、干燥失重、二氧化硫残留量、螨</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A4C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CC8B3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0256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68F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25D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CE1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79F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A0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其他糖</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1080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蔗糖分、总糖分、色值、还原糖分、干燥失重、二氧化硫残留量、螨、合成着色剂（柠檬黄、新红、苋菜红、胭脂红、日落黄、诱惑红、酸性红、喹啉黄、赤藓红）、菌落总数、大肠菌群、霉菌、酵母菌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780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179A21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12D9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0750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22</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DB75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水产制品</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994D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水产制品</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3747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干制水产品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E5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藻类干制品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D5E9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铅（以Pb计）、菌落总数、大肠菌群</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E3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76387F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cs="Times New Roman"/>
                <w:i w:val="0"/>
                <w:iCs w:val="0"/>
                <w:color w:val="auto"/>
                <w:kern w:val="0"/>
                <w:sz w:val="20"/>
                <w:szCs w:val="20"/>
                <w:highlight w:val="none"/>
                <w:u w:val="none"/>
                <w:lang w:val="en-US" w:eastAsia="zh-CN" w:bidi="ar"/>
              </w:rPr>
              <w:t>0</w:t>
            </w:r>
          </w:p>
        </w:tc>
      </w:tr>
      <w:tr w14:paraId="65051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8FF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1DA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1DB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A71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2C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预制动物性水产干制品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3E2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过氧化值（以脂肪计）、铅（以Pb计）、镉（以Cd计）、苯甲酸及其钠盐（以苯甲酸计）、山梨酸及其钾盐（以山梨酸计）、合成着色剂（柠檬黄、胭脂红、日落黄、诱惑红）</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1E4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133945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FF56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458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A66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3F6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9ECE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盐渍水产品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50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盐渍鱼</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57D1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过氧化值（以脂肪计）、组胺、镉（以Cd计）、苯甲酸及其钠盐（以苯甲酸计）、山梨酸及其钾盐（以山梨酸计）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52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0AB66B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3C09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2"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DB9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729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A23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C99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F27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盐渍藻</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4E2C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A9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5D9747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0A75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D38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317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BAB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BE4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AC9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其他盐渍水产品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40C3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97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7DED1E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0B19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7A7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616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56A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0C0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鱼糜制品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0B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预制鱼糜制品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E36F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铅（以Pb计）、苯甲酸及其钠盐（以苯甲酸计）、山梨酸及其钾盐（以山梨酸计）、脱氢乙酸及其钠盐（以脱氢乙酸计）、合成着色剂（诱惑红、柠檬黄、日落黄）</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515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5B51F8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B4CE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E70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79C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D0F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722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熟制动物性水产制品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F70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熟制动物性水产制品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CEC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铅（以Pb计）、镉（以Cd计）、苯甲酸及其钠盐（以苯甲酸计）、山梨酸及其钾盐（以山梨酸计）、甜蜜素（以环己基氨基磺酸计）、脱氢乙酸及其钠盐（以脱氢乙酸计）</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AEF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7023FD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AB54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853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C6A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09D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19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生食水产品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32B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生食动物性水产品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231F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挥发性盐基氮、苯甲酸及其钠盐（以苯甲酸计）、山梨酸及其钾盐（以山梨酸计）、铝的残留量（以即食海蜇中Al计）、菌落总数、大肠菌群、沙门氏菌、副溶血性弧菌、单核细胞增生李斯特氏菌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7B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322BE2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E2E0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4A1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6CD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046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79C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其他水产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F27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其他水产制品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B10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糖精钠（以糖精计）、脱氢乙酸及其钠盐（以脱氢乙酸计）、合成着色剂（柠檬黄）、甜蜜素（以环己基氨基磺酸计）、防腐剂混合使用时各自用量占其最大使用量的比例之和、菌落总数</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DFE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70BD7C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F265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B2A4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23</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2C45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淀粉及淀粉制品</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CA7F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淀粉及淀粉制品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68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EA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65D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铅（以Pb计）、霉菌和酵母、二氧化硫残留量、脱氢乙酸及其钠盐（以脱氢乙酸计）、葛根素、水分、氢氰酸</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897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1F75BA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cs="Times New Roman"/>
                <w:i w:val="0"/>
                <w:iCs w:val="0"/>
                <w:color w:val="auto"/>
                <w:kern w:val="0"/>
                <w:sz w:val="20"/>
                <w:szCs w:val="20"/>
                <w:highlight w:val="none"/>
                <w:u w:val="none"/>
                <w:lang w:val="en-US" w:eastAsia="zh-CN" w:bidi="ar"/>
              </w:rPr>
              <w:t>1</w:t>
            </w:r>
          </w:p>
        </w:tc>
      </w:tr>
      <w:tr w14:paraId="5E227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E66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3F3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B7A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5F23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B7D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粉丝粉条</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4A8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铝的残留量（干样品，以Al计）、二氧化硫残留量、合成着色剂（柠檬黄、新红、苋菜红、靛蓝、胭脂红、诱惑红、日落黄、亮蓝、酸性红、喹啉黄、赤藓红）</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3B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6A9073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CEA4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87F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D27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39C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749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94A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其他淀粉制品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8B6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铝的残留量（干样品，以Al计）、二氧化硫残留量、合成着色剂（柠檬黄、新红、苋菜红、靛蓝、胭脂红、日落黄、诱惑红、亮蓝、酸性红、喹啉黄、赤藓红）、相同色泽着色剂混合使用时各自用量占其最大使用量的比例之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F8D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783B39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BD0A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B59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151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6E7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1B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淀粉糖</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07B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淀粉糖</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4983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总砷（以As计）、葡萄糖含量（以干基计，质量分数）、IMO含量（占干物质，质量分数）、IG₂+P+IG₃含量（占干物质，质量分数）、果糖（占干基比）、果糖+葡萄糖（占干基比）、5-羟甲基糠醛（以吸光度计）、果糖+葡萄糖含量（以干物质计）、果糖含量（以干物质计）、麦芽糖含量（以干物质计，质量分数）、干物质（固形物）、硫酸灰分</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C0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0DDE7C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6DCD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0"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9C11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24</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7275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1783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948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面包</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51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面包</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2AB6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富马酸二甲酯、苯甲酸及其钠盐（以苯甲酸计）、山梨酸及其钾盐（以山梨酸计）、糖精钠（以糖精计）、甜蜜素（以环己基氨基磺酸计）、安赛蜜、铝的残留量（干样品，以Al计）、丙酸及其钠盐、钙盐（以丙酸计）、脱氢乙酸及其钠盐（以脱氢乙酸计）、三氯蔗糖、合成着色剂（柠檬黄、日落黄、胭脂红、苋菜红、亮蓝、诱惑红、酸性红）、防腐剂混合使用时各自用量占其最大使用量的比例之和、菌落总数、大肠菌群、金黄色葡萄球菌、沙门氏菌、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65A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4DF7D2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cs="Times New Roman"/>
                <w:i w:val="0"/>
                <w:iCs w:val="0"/>
                <w:color w:val="auto"/>
                <w:kern w:val="0"/>
                <w:sz w:val="20"/>
                <w:szCs w:val="20"/>
                <w:highlight w:val="none"/>
                <w:u w:val="none"/>
                <w:lang w:val="en-US" w:eastAsia="zh-CN" w:bidi="ar"/>
              </w:rPr>
              <w:t>78</w:t>
            </w:r>
          </w:p>
        </w:tc>
      </w:tr>
      <w:tr w14:paraId="0A580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408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F37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C7C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A25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月饼</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CC3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月饼</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486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富马酸二甲酯、糖精钠（以糖精计）、苯甲酸及其钠盐（以苯甲酸计）、山梨酸及其钾盐（以山梨酸计）、铝的残留量（干样品，以Al计）、丙酸及其钠盐、钙盐（以丙酸计）、脱氢乙酸及其钠盐（以脱氢乙酸计）、纳他霉素、合成着色剂（柠檬黄、日落黄、胭脂红、苋菜红、亮蓝、赤藓红、诱惑红）、防腐剂混合使用时各自用量占其最大使用量的比例之和、菌落总数、大肠菌群、金黄色葡萄球菌、沙门氏菌、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E72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789032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949D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025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3A1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C5C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DFE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粽子</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F5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粽子</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82A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甜蜜素（以环己基氨基磺酸计）、脱氢乙酸及其钠盐（以脱氢乙酸计）、山梨酸及其钾盐（以山梨酸计）、糖精钠（以糖精计）、安赛蜜、菌落总数、大肠菌群、金黄色葡萄球菌、沙门氏菌、霉菌、商业无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FEB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5EC087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85BE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42C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A38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63E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479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03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B7A9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富马酸二甲酯、苯甲酸及其钠盐（以苯甲酸计）、山梨酸及其钾盐（以山梨酸计）、糖精钠（以糖精计）、甜蜜素（以环己基氨基磺酸计）、安赛蜜、铝的残留量（干样品，以Al计）、丙酸及其钠盐、钙盐（以丙酸计）、脱氢乙酸及其钠盐（以脱氢乙酸计）、纳他霉素、三氯蔗糖、丙二醇、合成着色剂（柠檬黄、日落黄、胭脂红、苋菜红、亮蓝、赤藓红、诱惑红）、防腐剂混合使用时各自用量占其最大使用量的比例之和、菌落总数、大肠菌群、金黄色葡萄球菌、沙门氏菌、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D2A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2F9D10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F0B1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019D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25</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57BC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豆制品</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15F2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豆制品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1E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豆制品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44F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腐乳、豆豉、纳豆等</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09BC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铅（以Pb计）、黄曲霉毒素B₁ 、苯甲酸及其钠盐（以苯甲酸计）、山梨酸及其钾盐（以山梨酸计）、脱氢乙酸及其钠盐（以脱氢乙酸计）、糖精钠（以糖精计）、甜蜜素（以环己基氨基磺酸计）、铝的残留量（干样品，以Al计）、大肠菌群</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6C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72D99A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cs="Times New Roman"/>
                <w:i w:val="0"/>
                <w:iCs w:val="0"/>
                <w:color w:val="auto"/>
                <w:kern w:val="0"/>
                <w:sz w:val="20"/>
                <w:szCs w:val="20"/>
                <w:highlight w:val="none"/>
                <w:u w:val="none"/>
                <w:lang w:val="en-US" w:eastAsia="zh-CN" w:bidi="ar"/>
              </w:rPr>
              <w:t>9</w:t>
            </w:r>
          </w:p>
        </w:tc>
      </w:tr>
      <w:tr w14:paraId="2663C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7"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C38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840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4A8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0CC0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非发酵性豆制品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7E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腐竹、油皮及其再制品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F8B3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铅（以Pb计）、苯甲酸及其钠盐（以苯甲酸计）、山梨酸及其钾盐（以山梨酸计）、脱氢乙酸及其钠盐（以脱氢乙酸计）、二氧化硫残留量、铝的残留量（干样品，以Al计）、合成着色剂（柠檬黄、日落黄）</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0B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204257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85B8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2"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267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04F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650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133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0F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豆干、豆腐、豆皮等</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8F44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丙酸及其钠盐、钙盐（以丙酸计）、防腐剂混合使用时各自用量占其最大使用量的比例之和、糖精钠（以糖精计）、三氯蔗糖、甜蜜素（以环己基氨基磺酸计）、铝的残留量（干样品，以Al计）、合成着色剂（柠檬黄、日落黄）、大肠菌群、金黄色葡萄球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6D7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538AB8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0DAB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58D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860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586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479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其他豆制品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8B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大豆蛋白类制品等</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B0B7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糖精钠（以糖精计）、三氯蔗糖、铝的残留量（干样品，以Al计）、合成着色剂（柠檬黄、日落黄）、大肠菌群</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AFB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6BA7BD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BF20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731D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26</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BD19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3F07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B6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蜂蜜</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D4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蜂蜜</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400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果糖和葡萄糖、蔗糖、山梨酸及其钾盐（以山梨酸计）、氯霉素、呋喃西林代谢物、呋喃唑酮代谢物、甲硝唑、双甲脒、氟胺氰菊酯、诺氟沙星、氧氟沙星、菌落总数、霉菌计数、嗜渗酵母计数</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C6E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同左，增加西地那非、他达拉非（限有功能声称的产品）</w:t>
            </w:r>
          </w:p>
        </w:tc>
        <w:tc>
          <w:tcPr>
            <w:tcW w:w="721" w:type="dxa"/>
            <w:vMerge w:val="restart"/>
            <w:tcBorders>
              <w:top w:val="single" w:color="000000" w:sz="4" w:space="0"/>
              <w:left w:val="single" w:color="000000" w:sz="4" w:space="0"/>
              <w:right w:val="single" w:color="000000" w:sz="4" w:space="0"/>
            </w:tcBorders>
            <w:shd w:val="clear" w:color="auto" w:fill="auto"/>
            <w:vAlign w:val="center"/>
          </w:tcPr>
          <w:p w14:paraId="3D196D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cs="Times New Roman"/>
                <w:i w:val="0"/>
                <w:iCs w:val="0"/>
                <w:color w:val="auto"/>
                <w:kern w:val="0"/>
                <w:sz w:val="20"/>
                <w:szCs w:val="20"/>
                <w:highlight w:val="none"/>
                <w:u w:val="none"/>
                <w:lang w:val="en-US" w:eastAsia="zh-CN" w:bidi="ar"/>
              </w:rPr>
              <w:t>8</w:t>
            </w:r>
          </w:p>
        </w:tc>
      </w:tr>
      <w:tr w14:paraId="0FB47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7B0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6B4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AD2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F1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蜂王浆（含蜂王浆冻干品 ）</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3F2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蜂王浆（含蜂王浆冻干品）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AE9F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10-羟基-2-癸烯酸、酸度、蛋白质、呋喃西林代谢物</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F6E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380EB6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B196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5DE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F1A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795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2C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蜂花粉</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63D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蜂花粉</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21F2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铅（以Pb计）、菌落总数、大肠菌群、霉菌</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15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right w:val="single" w:color="000000" w:sz="4" w:space="0"/>
            </w:tcBorders>
            <w:shd w:val="clear" w:color="auto" w:fill="auto"/>
            <w:vAlign w:val="center"/>
          </w:tcPr>
          <w:p w14:paraId="417FDF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4C7D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5B0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8EE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9A6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61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蜂产品制品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9F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蜂产品制品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2DD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山梨酸及其钾盐（以山梨酸计）、合成着色剂（柠檬黄、日落黄）、菌落总数</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F6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left w:val="single" w:color="000000" w:sz="4" w:space="0"/>
              <w:bottom w:val="single" w:color="000000" w:sz="4" w:space="0"/>
              <w:right w:val="single" w:color="000000" w:sz="4" w:space="0"/>
            </w:tcBorders>
            <w:shd w:val="clear" w:color="auto" w:fill="auto"/>
            <w:vAlign w:val="center"/>
          </w:tcPr>
          <w:p w14:paraId="1B60EE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30DE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2CC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0C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12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7E0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E82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93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C7D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10-羟基-2-癸烯酸、蛋白质、二十二碳六烯酸、二十碳五烯酸、泛酸、钙、还原糖、肌醇、赖氨酸、绿原酸、铁、维生素A、维生素B₁、维生素B₁₂、维生素B₂、维生素B₆、维生素C、维生素D、维生素D₃、维生素E、硒、锌、烟酰胺、叶酸、免疫球蛋白IgG、总黄酮、总皂苷、总蒽醌、吡啶甲酸铬、芦荟苷、总三萜、嗜酸乳杆菌、双歧杆菌、水分、可溶性固形物、酸价、过氧化值、崩解时限、灰分、铅（Pb）、总砷（As）、总汞（Hg）、硬胶囊壳中的铬、菌落总数、大肠菌群、霉菌和酵母、金黄色葡萄球菌、沙门氏菌、褪黑素、甘草酸、咖啡因、淫羊藿苷、葛根素、辅酶Q10、番茄红素、那红地那非、红地那非、伐地那非、羟基豪莫西地那非、西地那非、豪莫西地那非、氨基他达拉非、他达拉非、硫代艾地那非、伪伐地那非、那莫西地那非、去甲基他达拉非、育亨宾、西布曲明、N-单去甲基西布曲明、N,N-双去甲基西布曲明</w:t>
            </w:r>
          </w:p>
        </w:tc>
        <w:tc>
          <w:tcPr>
            <w:tcW w:w="20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892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tcBorders>
              <w:top w:val="single" w:color="000000" w:sz="4" w:space="0"/>
              <w:left w:val="single" w:color="000000" w:sz="4" w:space="0"/>
              <w:bottom w:val="single" w:color="auto" w:sz="4" w:space="0"/>
              <w:right w:val="single" w:color="000000" w:sz="4" w:space="0"/>
            </w:tcBorders>
            <w:shd w:val="clear" w:color="auto" w:fill="auto"/>
            <w:vAlign w:val="center"/>
          </w:tcPr>
          <w:p w14:paraId="2615DB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cs="Times New Roman"/>
                <w:i w:val="0"/>
                <w:iCs w:val="0"/>
                <w:color w:val="auto"/>
                <w:kern w:val="0"/>
                <w:sz w:val="20"/>
                <w:szCs w:val="20"/>
                <w:highlight w:val="none"/>
                <w:u w:val="none"/>
                <w:lang w:val="en-US" w:eastAsia="zh-CN" w:bidi="ar"/>
              </w:rPr>
              <w:t>6</w:t>
            </w:r>
          </w:p>
        </w:tc>
      </w:tr>
      <w:tr w14:paraId="594F1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BB4B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28</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DAAE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特殊膳食食品</w:t>
            </w:r>
          </w:p>
        </w:tc>
        <w:tc>
          <w:tcPr>
            <w:tcW w:w="12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6F6C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婴幼儿辅助食品</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B37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婴幼儿谷类辅助食品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36F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婴幼儿谷物辅助食品、婴幼儿高蛋白谷物辅助食品、婴幼儿生制类谷物辅助食品、其他婴幼儿谷物辅助食品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A1C9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能量、蛋白质、脂肪、亚油酸、月桂酸占总脂肪的比值、肉豆蔻酸占总脂肪的比值、维生素A、维生素D、维生素B₁ 、钙、铁、锌、钠、维生素E、维生素B₂ 、维生素B₆ 、维生素B₁₂、烟酸/烟酰胺、叶酸、泛酸、维生素C、生物素、磷、碘、钾、镁、水分、不溶性膳食纤维、二十二碳六烯酸、花生四烯酸、脲酶活性定性测定、铅（以Pb计）、无机砷（以As计）、锡（以Sn计）、镉（以Cd计）、黄曲霉毒素B₁ 、硝酸盐（以NaNO₃计）、亚硝酸盐（以NaNO₂计）、菌落总数、大肠菌群、商业无菌、沙门氏菌、金黄色葡萄球菌</w:t>
            </w:r>
          </w:p>
        </w:tc>
        <w:tc>
          <w:tcPr>
            <w:tcW w:w="2019" w:type="dxa"/>
            <w:tcBorders>
              <w:top w:val="single" w:color="000000" w:sz="4" w:space="0"/>
              <w:left w:val="single" w:color="000000" w:sz="4" w:space="0"/>
              <w:bottom w:val="single" w:color="000000" w:sz="4" w:space="0"/>
              <w:right w:val="single" w:color="auto" w:sz="4" w:space="0"/>
            </w:tcBorders>
            <w:shd w:val="clear" w:color="auto" w:fill="auto"/>
            <w:vAlign w:val="center"/>
          </w:tcPr>
          <w:p w14:paraId="5237EA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DFC4B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cs="Times New Roman"/>
                <w:i w:val="0"/>
                <w:iCs w:val="0"/>
                <w:color w:val="auto"/>
                <w:kern w:val="0"/>
                <w:sz w:val="20"/>
                <w:szCs w:val="20"/>
                <w:highlight w:val="none"/>
                <w:u w:val="none"/>
                <w:lang w:val="en-US" w:eastAsia="zh-CN" w:bidi="ar"/>
              </w:rPr>
              <w:t>0</w:t>
            </w:r>
          </w:p>
        </w:tc>
      </w:tr>
      <w:tr w14:paraId="7C7DB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766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4DD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B5D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FE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婴幼儿罐装辅助食品</w:t>
            </w:r>
          </w:p>
        </w:tc>
        <w:tc>
          <w:tcPr>
            <w:tcW w:w="1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B7D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婴幼儿泥（糊）状罐装辅助食品，婴幼儿颗粒、片（块）状罐装辅助食品，婴幼儿汁类罐装辅助食品</w:t>
            </w:r>
          </w:p>
        </w:tc>
        <w:tc>
          <w:tcPr>
            <w:tcW w:w="6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9EC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蛋白质、脂肪、总钠/钠、组胺、铅（以Pb计）、无机砷（以As计）、总汞（以Hg计）、锡（以Sn计）、硝酸盐（以NaNO₃计）、亚硝酸盐（以NaNO₂计）、商业无菌、霉菌</w:t>
            </w:r>
          </w:p>
        </w:tc>
        <w:tc>
          <w:tcPr>
            <w:tcW w:w="2019" w:type="dxa"/>
            <w:tcBorders>
              <w:top w:val="single" w:color="000000" w:sz="4" w:space="0"/>
              <w:left w:val="single" w:color="000000" w:sz="4" w:space="0"/>
              <w:bottom w:val="single" w:color="000000" w:sz="4" w:space="0"/>
              <w:right w:val="single" w:color="auto" w:sz="4" w:space="0"/>
            </w:tcBorders>
            <w:shd w:val="clear" w:color="auto" w:fill="auto"/>
            <w:vAlign w:val="center"/>
          </w:tcPr>
          <w:p w14:paraId="5212C3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7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7243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19E1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jc w:val="center"/>
        </w:trPr>
        <w:tc>
          <w:tcPr>
            <w:tcW w:w="1520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06D5B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cs="Times New Roman"/>
                <w:i w:val="0"/>
                <w:iCs w:val="0"/>
                <w:color w:val="auto"/>
                <w:kern w:val="0"/>
                <w:sz w:val="20"/>
                <w:szCs w:val="20"/>
                <w:highlight w:val="none"/>
                <w:u w:val="none"/>
                <w:lang w:val="en-US" w:eastAsia="zh-CN" w:bidi="ar"/>
              </w:rPr>
              <w:t>合计</w:t>
            </w:r>
          </w:p>
        </w:tc>
        <w:tc>
          <w:tcPr>
            <w:tcW w:w="721" w:type="dxa"/>
            <w:tcBorders>
              <w:top w:val="single" w:color="auto" w:sz="4" w:space="0"/>
              <w:left w:val="single" w:color="000000" w:sz="4" w:space="0"/>
              <w:bottom w:val="single" w:color="000000" w:sz="4" w:space="0"/>
              <w:right w:val="single" w:color="000000" w:sz="4" w:space="0"/>
            </w:tcBorders>
            <w:shd w:val="clear" w:color="auto" w:fill="auto"/>
            <w:vAlign w:val="center"/>
          </w:tcPr>
          <w:p w14:paraId="70EFFB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cs="Times New Roman"/>
                <w:i w:val="0"/>
                <w:iCs w:val="0"/>
                <w:color w:val="auto"/>
                <w:kern w:val="0"/>
                <w:sz w:val="20"/>
                <w:szCs w:val="20"/>
                <w:highlight w:val="none"/>
                <w:u w:val="none"/>
                <w:lang w:val="en-US" w:eastAsia="zh-CN" w:bidi="ar"/>
              </w:rPr>
              <w:t>409</w:t>
            </w:r>
          </w:p>
        </w:tc>
      </w:tr>
    </w:tbl>
    <w:p w14:paraId="7099D644">
      <w:pPr>
        <w:rPr>
          <w:rFonts w:hint="default" w:ascii="Times New Roman" w:hAnsi="Times New Roman" w:cs="Times New Roman"/>
          <w:color w:val="auto"/>
          <w:highlight w:val="none"/>
        </w:rPr>
        <w:sectPr>
          <w:pgSz w:w="16838" w:h="11906" w:orient="landscape"/>
          <w:pgMar w:top="1746" w:right="1440" w:bottom="1746" w:left="1440" w:header="851" w:footer="992" w:gutter="0"/>
          <w:cols w:space="425" w:num="1"/>
          <w:docGrid w:type="lines" w:linePitch="312" w:charSpace="0"/>
        </w:sectPr>
      </w:pPr>
    </w:p>
    <w:p w14:paraId="16FA13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eastAsia="zh-CN"/>
        </w:rPr>
        <w:t>乌鲁木齐市市场监督管理局（乌鲁木齐市知识产权局）</w:t>
      </w:r>
      <w:r>
        <w:rPr>
          <w:rFonts w:hint="default" w:ascii="Times New Roman" w:hAnsi="Times New Roman" w:eastAsia="宋体" w:cs="Times New Roman"/>
          <w:b/>
          <w:bCs/>
          <w:color w:val="auto"/>
          <w:sz w:val="24"/>
          <w:szCs w:val="24"/>
          <w:highlight w:val="none"/>
        </w:rPr>
        <w:t>202</w:t>
      </w: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rPr>
        <w:t>年乌鲁木齐市食品安全监督抽检服务项目</w:t>
      </w:r>
    </w:p>
    <w:p w14:paraId="36F261B1">
      <w:pPr>
        <w:keepNext w:val="0"/>
        <w:keepLines w:val="0"/>
        <w:pageBreakBefore w:val="0"/>
        <w:widowControl w:val="0"/>
        <w:tabs>
          <w:tab w:val="center" w:pos="4832"/>
          <w:tab w:val="left" w:pos="7140"/>
        </w:tabs>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cs="Times New Roman"/>
          <w:b/>
          <w:color w:val="auto"/>
          <w:sz w:val="24"/>
          <w:szCs w:val="24"/>
          <w:highlight w:val="none"/>
        </w:rPr>
      </w:pPr>
      <w:bookmarkStart w:id="151" w:name="_Toc137723182"/>
      <w:r>
        <w:rPr>
          <w:rFonts w:hint="default" w:ascii="Times New Roman" w:hAnsi="Times New Roman" w:cs="Times New Roman"/>
          <w:b/>
          <w:color w:val="auto"/>
          <w:sz w:val="24"/>
          <w:szCs w:val="24"/>
          <w:highlight w:val="none"/>
        </w:rPr>
        <w:t>标项</w:t>
      </w:r>
      <w:r>
        <w:rPr>
          <w:rFonts w:hint="eastAsia" w:ascii="Times New Roman" w:hAnsi="Times New Roman" w:cs="Times New Roman"/>
          <w:b/>
          <w:color w:val="auto"/>
          <w:sz w:val="24"/>
          <w:szCs w:val="24"/>
          <w:highlight w:val="none"/>
          <w:lang w:val="en-US" w:eastAsia="zh-CN"/>
        </w:rPr>
        <w:t xml:space="preserve">三  </w:t>
      </w:r>
      <w:r>
        <w:rPr>
          <w:rFonts w:hint="default" w:ascii="Times New Roman" w:hAnsi="Times New Roman" w:cs="Times New Roman"/>
          <w:b/>
          <w:color w:val="auto"/>
          <w:sz w:val="24"/>
          <w:szCs w:val="24"/>
          <w:highlight w:val="none"/>
        </w:rPr>
        <w:t>技术分册</w:t>
      </w:r>
      <w:bookmarkEnd w:id="151"/>
    </w:p>
    <w:p w14:paraId="70858EF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一、工作任务</w:t>
      </w:r>
    </w:p>
    <w:p w14:paraId="76A973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标项</w:t>
      </w:r>
      <w:r>
        <w:rPr>
          <w:rFonts w:hint="eastAsia"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eastAsia="zh-CN"/>
        </w:rPr>
        <w:t>乌鲁木齐市市场监督管理局（乌鲁木齐市知识产权局）</w:t>
      </w:r>
      <w:r>
        <w:rPr>
          <w:rFonts w:hint="default" w:ascii="Times New Roman" w:hAnsi="Times New Roman" w:eastAsia="宋体" w:cs="Times New Roman"/>
          <w:color w:val="auto"/>
          <w:sz w:val="24"/>
          <w:szCs w:val="24"/>
          <w:highlight w:val="none"/>
        </w:rPr>
        <w:t>食用农产品</w:t>
      </w:r>
      <w:r>
        <w:rPr>
          <w:rFonts w:hint="eastAsia" w:ascii="Times New Roman" w:hAnsi="Times New Roman" w:eastAsia="宋体" w:cs="Times New Roman"/>
          <w:color w:val="auto"/>
          <w:sz w:val="24"/>
          <w:szCs w:val="24"/>
          <w:highlight w:val="none"/>
          <w:lang w:val="en-US" w:eastAsia="zh-CN"/>
        </w:rPr>
        <w:t>628</w:t>
      </w:r>
      <w:r>
        <w:rPr>
          <w:rFonts w:hint="default" w:ascii="Times New Roman" w:hAnsi="Times New Roman" w:eastAsia="宋体" w:cs="Times New Roman"/>
          <w:color w:val="auto"/>
          <w:sz w:val="24"/>
          <w:szCs w:val="24"/>
          <w:highlight w:val="none"/>
        </w:rPr>
        <w:t>批次，单价</w:t>
      </w:r>
      <w:r>
        <w:rPr>
          <w:rFonts w:hint="default" w:ascii="Times New Roman" w:hAnsi="Times New Roman" w:eastAsia="宋体" w:cs="Times New Roman"/>
          <w:color w:val="auto"/>
          <w:kern w:val="0"/>
          <w:sz w:val="24"/>
          <w:szCs w:val="24"/>
          <w:highlight w:val="none"/>
        </w:rPr>
        <w:t>最高投标限价：</w:t>
      </w:r>
      <w:r>
        <w:rPr>
          <w:rFonts w:hint="default" w:ascii="Times New Roman" w:hAnsi="Times New Roman" w:eastAsia="宋体" w:cs="Times New Roman"/>
          <w:color w:val="auto"/>
          <w:sz w:val="24"/>
          <w:szCs w:val="24"/>
          <w:highlight w:val="none"/>
        </w:rPr>
        <w:t>1700元</w:t>
      </w:r>
      <w:r>
        <w:rPr>
          <w:rFonts w:hint="default" w:ascii="Times New Roman" w:hAnsi="Times New Roman" w:eastAsia="宋体" w:cs="Times New Roman"/>
          <w:color w:val="auto"/>
          <w:kern w:val="0"/>
          <w:sz w:val="24"/>
          <w:szCs w:val="24"/>
          <w:highlight w:val="none"/>
        </w:rPr>
        <w:t>/批次</w:t>
      </w:r>
      <w:r>
        <w:rPr>
          <w:rFonts w:hint="default" w:ascii="Times New Roman" w:hAnsi="Times New Roman" w:eastAsia="宋体" w:cs="Times New Roman"/>
          <w:color w:val="auto"/>
          <w:sz w:val="24"/>
          <w:szCs w:val="24"/>
          <w:highlight w:val="none"/>
        </w:rPr>
        <w:t>，总价</w:t>
      </w:r>
      <w:r>
        <w:rPr>
          <w:rFonts w:hint="default" w:ascii="Times New Roman" w:hAnsi="Times New Roman" w:eastAsia="宋体" w:cs="Times New Roman"/>
          <w:color w:val="auto"/>
          <w:kern w:val="0"/>
          <w:sz w:val="24"/>
          <w:szCs w:val="24"/>
          <w:highlight w:val="none"/>
        </w:rPr>
        <w:t>最高投标限价</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1067600</w:t>
      </w:r>
      <w:r>
        <w:rPr>
          <w:rFonts w:hint="default" w:ascii="Times New Roman" w:hAnsi="Times New Roman" w:eastAsia="宋体" w:cs="Times New Roman"/>
          <w:color w:val="auto"/>
          <w:sz w:val="24"/>
          <w:szCs w:val="24"/>
          <w:highlight w:val="none"/>
        </w:rPr>
        <w:t>元。</w:t>
      </w:r>
    </w:p>
    <w:p w14:paraId="0DC20B8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二、抽检对象、品种及项目</w:t>
      </w:r>
    </w:p>
    <w:p w14:paraId="64D1CA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202</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eastAsia="zh-CN"/>
        </w:rPr>
        <w:t>乌鲁木齐市市场监督管理局（乌鲁木齐市知识产权局）</w:t>
      </w:r>
      <w:r>
        <w:rPr>
          <w:rFonts w:hint="default" w:ascii="Times New Roman" w:hAnsi="Times New Roman" w:eastAsia="宋体" w:cs="Times New Roman"/>
          <w:color w:val="auto"/>
          <w:sz w:val="24"/>
          <w:szCs w:val="24"/>
          <w:highlight w:val="none"/>
          <w:lang w:val="en-US" w:eastAsia="zh-CN"/>
        </w:rPr>
        <w:t>食用农产品</w:t>
      </w:r>
      <w:r>
        <w:rPr>
          <w:rFonts w:hint="default" w:ascii="Times New Roman" w:hAnsi="Times New Roman" w:eastAsia="宋体" w:cs="Times New Roman"/>
          <w:color w:val="auto"/>
          <w:sz w:val="24"/>
          <w:szCs w:val="24"/>
          <w:highlight w:val="none"/>
        </w:rPr>
        <w:t>的抽检品种及检验项目详见招标文件附表。</w:t>
      </w:r>
    </w:p>
    <w:p w14:paraId="17860FE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三、抽样时间和频次</w:t>
      </w:r>
    </w:p>
    <w:p w14:paraId="7D82B4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 w:val="24"/>
          <w:szCs w:val="24"/>
          <w:highlight w:val="none"/>
        </w:rPr>
        <w:t>应根据辖区不同食用农产品种类季节特点、食用农产品交易场所数量、消费量等，按比例确定抽样频次和数量。抽样时间、频次严格按照规定进行。</w:t>
      </w:r>
    </w:p>
    <w:p w14:paraId="6988E9A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四、抽样场所</w:t>
      </w:r>
    </w:p>
    <w:p w14:paraId="64EE71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1.任务严格按照</w:t>
      </w:r>
      <w:r>
        <w:rPr>
          <w:rFonts w:hint="eastAsia" w:ascii="Times New Roman" w:hAnsi="Times New Roman" w:eastAsia="宋体" w:cs="Times New Roman"/>
          <w:color w:val="auto"/>
          <w:sz w:val="24"/>
          <w:szCs w:val="24"/>
          <w:highlight w:val="none"/>
          <w:lang w:eastAsia="zh-CN"/>
        </w:rPr>
        <w:t>乌鲁木齐市市场监督管理局（乌鲁木齐市知识产权局）</w:t>
      </w:r>
      <w:r>
        <w:rPr>
          <w:rFonts w:hint="default" w:ascii="Times New Roman" w:hAnsi="Times New Roman" w:eastAsia="宋体" w:cs="Times New Roman"/>
          <w:color w:val="auto"/>
          <w:sz w:val="24"/>
          <w:szCs w:val="24"/>
          <w:highlight w:val="none"/>
        </w:rPr>
        <w:t>规定区域内交叉进行，为确保抽样的代表性、分散性和广泛性，在同一被抽样单位，一个月内不得抽取超过3批次，一个四级细类只能抽取一个品种，不得集中在部分单位抽样。</w:t>
      </w:r>
    </w:p>
    <w:p w14:paraId="015552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2.抽样地点应覆盖全市所有区（县）、乡镇（农村）</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城市、乡镇（含农村和城乡接合部），抽检比例为6:4，聚焦批发市场、大型超市、农贸市场等食用农产品重点销售场所</w:t>
      </w:r>
      <w:r>
        <w:rPr>
          <w:rFonts w:hint="default" w:ascii="Times New Roman" w:hAnsi="Times New Roman" w:eastAsia="宋体" w:cs="Times New Roman"/>
          <w:color w:val="auto"/>
          <w:sz w:val="24"/>
          <w:szCs w:val="24"/>
          <w:highlight w:val="none"/>
        </w:rPr>
        <w:t>。</w:t>
      </w:r>
    </w:p>
    <w:p w14:paraId="5CAA99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3.根据季节性生产销售的食品或存在季节性质量安全风险的食品，应在相应季节增加采样量。</w:t>
      </w:r>
    </w:p>
    <w:p w14:paraId="4BB13AA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五、抽样检验</w:t>
      </w:r>
    </w:p>
    <w:p w14:paraId="7B9C26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抽样和检测等工作的实施应严格执行有关法律法规、规章以及《食品安全抽样检验管理办法》（总局第15号令）、《国家食品安全监督抽检实施细则（202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年版）》、《食用农产品抽样检验和核查处置规定》；抽样过程应严格按照监督抽检工作程序，履行相应的法定手续，应使用规范的抽样文书。</w:t>
      </w:r>
    </w:p>
    <w:p w14:paraId="1F260C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验人员应按照食品安全标准和检验规范对食品进行检验，保证数据和结论客观、公正。承检机构对不合格样品必须进行复核，确保检验结果准确可靠。此外，检验报告编号应该与抽样编号保持一致（或是在检验报告封皮醒目处加注抽样编号），便于不合格样品的核查处置。</w:t>
      </w:r>
    </w:p>
    <w:p w14:paraId="7ACB35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对易腐烂变质的蔬菜、水果等食用农产品样品，需进行均质备份样品的，应当在现场抽样时主动向食用农产品销售者告知确认，可采取拍照或摄像等方式对样品均质备份进行记录。</w:t>
      </w:r>
    </w:p>
    <w:p w14:paraId="6F423CE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六、任务完成时限</w:t>
      </w:r>
    </w:p>
    <w:p w14:paraId="7D5490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食用农产品</w:t>
      </w:r>
      <w:r>
        <w:rPr>
          <w:rFonts w:hint="default" w:ascii="Times New Roman" w:hAnsi="Times New Roman" w:eastAsia="宋体" w:cs="Times New Roman"/>
          <w:color w:val="auto"/>
          <w:sz w:val="24"/>
          <w:highlight w:val="none"/>
        </w:rPr>
        <w:t>为乌鲁木齐市</w:t>
      </w:r>
      <w:r>
        <w:rPr>
          <w:rFonts w:hint="eastAsia" w:ascii="Times New Roman" w:hAnsi="Times New Roman" w:eastAsia="宋体" w:cs="Times New Roman"/>
          <w:color w:val="auto"/>
          <w:sz w:val="24"/>
          <w:highlight w:val="none"/>
          <w:lang w:val="en-US" w:eastAsia="zh-CN"/>
        </w:rPr>
        <w:t>省</w:t>
      </w:r>
      <w:r>
        <w:rPr>
          <w:rFonts w:hint="default" w:ascii="Times New Roman" w:hAnsi="Times New Roman" w:eastAsia="宋体" w:cs="Times New Roman"/>
          <w:color w:val="auto"/>
          <w:sz w:val="24"/>
          <w:highlight w:val="none"/>
        </w:rPr>
        <w:t>级任务。</w:t>
      </w:r>
    </w:p>
    <w:p w14:paraId="5C3A25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需达到均衡抽检要求，</w:t>
      </w:r>
      <w:r>
        <w:rPr>
          <w:rFonts w:hint="eastAsia" w:ascii="Times New Roman" w:hAnsi="Times New Roman" w:eastAsia="宋体" w:cs="Times New Roman"/>
          <w:color w:val="auto"/>
          <w:sz w:val="24"/>
          <w:highlight w:val="none"/>
          <w:lang w:val="en-US" w:eastAsia="zh-CN"/>
        </w:rPr>
        <w:t>2027年4</w:t>
      </w:r>
      <w:r>
        <w:rPr>
          <w:rFonts w:hint="default" w:ascii="Times New Roman" w:hAnsi="Times New Roman" w:eastAsia="宋体" w:cs="Times New Roman"/>
          <w:color w:val="auto"/>
          <w:sz w:val="24"/>
          <w:highlight w:val="none"/>
        </w:rPr>
        <w:t>月</w:t>
      </w:r>
      <w:r>
        <w:rPr>
          <w:rFonts w:hint="eastAsia" w:ascii="Times New Roman" w:hAnsi="Times New Roman" w:eastAsia="宋体" w:cs="Times New Roman"/>
          <w:color w:val="auto"/>
          <w:sz w:val="24"/>
          <w:highlight w:val="none"/>
          <w:lang w:val="en-US" w:eastAsia="zh-CN"/>
        </w:rPr>
        <w:t>30</w:t>
      </w:r>
      <w:r>
        <w:rPr>
          <w:rFonts w:hint="default" w:ascii="Times New Roman" w:hAnsi="Times New Roman" w:eastAsia="宋体" w:cs="Times New Roman"/>
          <w:color w:val="auto"/>
          <w:sz w:val="24"/>
          <w:highlight w:val="none"/>
        </w:rPr>
        <w:t>日前完成完成所有抽检任务。</w:t>
      </w:r>
    </w:p>
    <w:p w14:paraId="17D93E7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七、数据报送</w:t>
      </w:r>
    </w:p>
    <w:p w14:paraId="229A1C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1.承检机构应严格按照有关法律法规、规章和有关要求，将检验工作中发现的食品安全问题和有关检验报告及时上报组织实施抽检工作的市场监管部门。</w:t>
      </w:r>
    </w:p>
    <w:p w14:paraId="4FF058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2.发现不合格样品中可能存在重大风险隐患或急性健康风险的，应当在确认检验结果后24小时之内填写《食品安全抽样检验限时报告情况表》，报告</w:t>
      </w:r>
      <w:r>
        <w:rPr>
          <w:rFonts w:hint="eastAsia" w:ascii="Times New Roman" w:hAnsi="Times New Roman" w:eastAsia="宋体" w:cs="Times New Roman"/>
          <w:color w:val="auto"/>
          <w:sz w:val="24"/>
          <w:szCs w:val="24"/>
          <w:highlight w:val="none"/>
          <w:lang w:eastAsia="zh-CN"/>
        </w:rPr>
        <w:t>乌鲁木齐市市场监督管理局（乌鲁木齐市知识产权局）</w:t>
      </w:r>
      <w:r>
        <w:rPr>
          <w:rFonts w:hint="default" w:ascii="Times New Roman" w:hAnsi="Times New Roman" w:eastAsia="宋体" w:cs="Times New Roman"/>
          <w:color w:val="auto"/>
          <w:sz w:val="24"/>
          <w:szCs w:val="24"/>
          <w:highlight w:val="none"/>
        </w:rPr>
        <w:t>，并抄送自治区市场监管局。</w:t>
      </w:r>
    </w:p>
    <w:p w14:paraId="18C710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3.所有抽检数据须录入国抽平台。</w:t>
      </w:r>
    </w:p>
    <w:p w14:paraId="3954C4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4.</w:t>
      </w:r>
      <w:r>
        <w:rPr>
          <w:rFonts w:hint="eastAsia" w:ascii="宋体" w:hAnsi="宋体" w:cs="宋体"/>
          <w:color w:val="auto"/>
          <w:sz w:val="24"/>
          <w:highlight w:val="none"/>
        </w:rPr>
        <w:t>须形成半年及全年分析报告。</w:t>
      </w:r>
    </w:p>
    <w:p w14:paraId="46C0D90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八、验收、续签合同、付款</w:t>
      </w:r>
    </w:p>
    <w:p w14:paraId="7BE36B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（一）验收</w:t>
      </w:r>
    </w:p>
    <w:p w14:paraId="79870F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乌鲁木齐市市场监督管理局（乌鲁木齐市知识产权局）</w:t>
      </w:r>
      <w:r>
        <w:rPr>
          <w:rFonts w:hint="default" w:ascii="Times New Roman" w:hAnsi="Times New Roman" w:eastAsia="宋体" w:cs="Times New Roman"/>
          <w:color w:val="auto"/>
          <w:sz w:val="24"/>
          <w:szCs w:val="24"/>
          <w:highlight w:val="none"/>
        </w:rPr>
        <w:t>按照《新疆维吾尔自治区市场监督管理局食品安全承检机构考核管理办法》及合同执行情况，对该年度承担任务的承检机构开展考核，并根据考核结论确认验收报告。</w:t>
      </w:r>
    </w:p>
    <w:p w14:paraId="44644D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（二）项目办结及付款</w:t>
      </w:r>
    </w:p>
    <w:p w14:paraId="3F8FB0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sectPr>
          <w:pgSz w:w="11906" w:h="16838"/>
          <w:pgMar w:top="1134" w:right="1417" w:bottom="1134" w:left="1417" w:header="851" w:footer="992" w:gutter="0"/>
          <w:cols w:space="425" w:num="1"/>
          <w:docGrid w:type="lines" w:linePitch="312" w:charSpace="0"/>
        </w:sectPr>
      </w:pPr>
      <w:r>
        <w:rPr>
          <w:rFonts w:hint="default" w:ascii="Times New Roman" w:hAnsi="Times New Roman" w:eastAsia="宋体" w:cs="Times New Roman"/>
          <w:color w:val="auto"/>
          <w:sz w:val="24"/>
          <w:szCs w:val="24"/>
          <w:highlight w:val="none"/>
        </w:rPr>
        <w:t>采购人凭项目合同、验收报告、发票原件在合同约定的时间内办理采购款支付手续。</w:t>
      </w:r>
    </w:p>
    <w:tbl>
      <w:tblPr>
        <w:tblStyle w:val="30"/>
        <w:tblW w:w="158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1040"/>
        <w:gridCol w:w="1036"/>
        <w:gridCol w:w="1062"/>
        <w:gridCol w:w="1075"/>
        <w:gridCol w:w="2800"/>
        <w:gridCol w:w="6132"/>
        <w:gridCol w:w="1200"/>
        <w:gridCol w:w="640"/>
        <w:gridCol w:w="191"/>
      </w:tblGrid>
      <w:tr w14:paraId="2796E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91" w:type="dxa"/>
          <w:trHeight w:val="912" w:hRule="atLeast"/>
          <w:jc w:val="center"/>
        </w:trPr>
        <w:tc>
          <w:tcPr>
            <w:tcW w:w="15668" w:type="dxa"/>
            <w:gridSpan w:val="9"/>
            <w:tcBorders>
              <w:top w:val="nil"/>
              <w:left w:val="nil"/>
              <w:bottom w:val="single" w:color="auto" w:sz="4" w:space="0"/>
              <w:right w:val="nil"/>
            </w:tcBorders>
            <w:shd w:val="clear" w:color="auto" w:fill="auto"/>
            <w:vAlign w:val="center"/>
          </w:tcPr>
          <w:p w14:paraId="4C068BA0">
            <w:pPr>
              <w:keepNext w:val="0"/>
              <w:keepLines w:val="0"/>
              <w:widowControl/>
              <w:suppressLineNumbers w:val="0"/>
              <w:jc w:val="center"/>
              <w:textAlignment w:val="center"/>
              <w:rPr>
                <w:rFonts w:hint="default" w:ascii="Times New Roman" w:hAnsi="Times New Roman" w:eastAsia="方正小标宋_GBK" w:cs="Times New Roman"/>
                <w:color w:val="auto"/>
                <w:kern w:val="0"/>
                <w:sz w:val="44"/>
                <w:szCs w:val="44"/>
                <w:highlight w:val="none"/>
                <w:lang w:bidi="ar"/>
              </w:rPr>
            </w:pPr>
            <w:r>
              <w:rPr>
                <w:rFonts w:hint="eastAsia" w:ascii="宋体" w:hAnsi="宋体" w:eastAsia="宋体" w:cs="宋体"/>
                <w:b/>
                <w:bCs/>
                <w:color w:val="auto"/>
                <w:kern w:val="0"/>
                <w:sz w:val="44"/>
                <w:szCs w:val="44"/>
                <w:highlight w:val="none"/>
                <w:lang w:bidi="ar"/>
              </w:rPr>
              <w:t>202</w:t>
            </w:r>
            <w:r>
              <w:rPr>
                <w:rFonts w:hint="eastAsia" w:ascii="宋体" w:hAnsi="宋体" w:eastAsia="宋体" w:cs="宋体"/>
                <w:b/>
                <w:bCs/>
                <w:color w:val="auto"/>
                <w:kern w:val="0"/>
                <w:sz w:val="44"/>
                <w:szCs w:val="44"/>
                <w:highlight w:val="none"/>
                <w:lang w:val="en-US" w:eastAsia="zh-CN" w:bidi="ar"/>
              </w:rPr>
              <w:t>6</w:t>
            </w:r>
            <w:r>
              <w:rPr>
                <w:rFonts w:hint="eastAsia" w:ascii="宋体" w:hAnsi="宋体" w:eastAsia="宋体" w:cs="宋体"/>
                <w:b/>
                <w:bCs/>
                <w:color w:val="auto"/>
                <w:kern w:val="0"/>
                <w:sz w:val="44"/>
                <w:szCs w:val="44"/>
                <w:highlight w:val="none"/>
                <w:lang w:bidi="ar"/>
              </w:rPr>
              <w:t>年乌鲁木齐食用农产品抽检任务分配表</w:t>
            </w:r>
          </w:p>
        </w:tc>
      </w:tr>
      <w:tr w14:paraId="5D94B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jc w:val="center"/>
        </w:trPr>
        <w:tc>
          <w:tcPr>
            <w:tcW w:w="683" w:type="dxa"/>
            <w:tcBorders>
              <w:top w:val="single" w:color="auto" w:sz="4" w:space="0"/>
              <w:left w:val="single" w:color="000000" w:sz="4" w:space="0"/>
              <w:bottom w:val="single" w:color="000000" w:sz="4" w:space="0"/>
              <w:right w:val="single" w:color="000000" w:sz="4" w:space="0"/>
            </w:tcBorders>
            <w:shd w:val="clear" w:color="auto" w:fill="auto"/>
            <w:vAlign w:val="center"/>
          </w:tcPr>
          <w:p w14:paraId="35C19D4A">
            <w:pPr>
              <w:keepNext w:val="0"/>
              <w:keepLines w:val="0"/>
              <w:widowControl/>
              <w:suppressLineNumbers w:val="0"/>
              <w:jc w:val="center"/>
              <w:textAlignment w:val="center"/>
              <w:rPr>
                <w:rStyle w:val="80"/>
                <w:rFonts w:hint="default" w:ascii="Times New Roman" w:hAnsi="Times New Roman" w:cs="Times New Roman"/>
                <w:b/>
                <w:bCs/>
                <w:i w:val="0"/>
                <w:iCs w:val="0"/>
                <w:color w:val="auto"/>
                <w:highlight w:val="none"/>
                <w:lang w:val="en-US" w:eastAsia="zh-CN" w:bidi="ar"/>
              </w:rPr>
            </w:pPr>
            <w:r>
              <w:rPr>
                <w:rStyle w:val="80"/>
                <w:rFonts w:hint="default" w:ascii="Times New Roman" w:hAnsi="Times New Roman" w:cs="Times New Roman"/>
                <w:b/>
                <w:bCs/>
                <w:i w:val="0"/>
                <w:iCs w:val="0"/>
                <w:color w:val="auto"/>
                <w:highlight w:val="none"/>
                <w:lang w:val="en-US" w:eastAsia="zh-CN" w:bidi="ar"/>
              </w:rPr>
              <w:t>序号</w:t>
            </w:r>
          </w:p>
        </w:tc>
        <w:tc>
          <w:tcPr>
            <w:tcW w:w="1040" w:type="dxa"/>
            <w:tcBorders>
              <w:top w:val="single" w:color="auto" w:sz="4" w:space="0"/>
              <w:left w:val="single" w:color="000000" w:sz="4" w:space="0"/>
              <w:bottom w:val="single" w:color="000000" w:sz="4" w:space="0"/>
              <w:right w:val="single" w:color="000000" w:sz="4" w:space="0"/>
            </w:tcBorders>
            <w:shd w:val="clear" w:color="auto" w:fill="auto"/>
            <w:vAlign w:val="center"/>
          </w:tcPr>
          <w:p w14:paraId="60DF64BF">
            <w:pPr>
              <w:keepNext w:val="0"/>
              <w:keepLines w:val="0"/>
              <w:widowControl/>
              <w:suppressLineNumbers w:val="0"/>
              <w:jc w:val="center"/>
              <w:textAlignment w:val="center"/>
              <w:rPr>
                <w:rStyle w:val="80"/>
                <w:rFonts w:hint="default" w:ascii="Times New Roman" w:hAnsi="Times New Roman" w:cs="Times New Roman"/>
                <w:b/>
                <w:bCs/>
                <w:i w:val="0"/>
                <w:iCs w:val="0"/>
                <w:color w:val="auto"/>
                <w:highlight w:val="none"/>
                <w:lang w:val="en-US" w:eastAsia="zh-CN" w:bidi="ar"/>
              </w:rPr>
            </w:pPr>
            <w:r>
              <w:rPr>
                <w:rStyle w:val="80"/>
                <w:rFonts w:hint="default" w:ascii="Times New Roman" w:hAnsi="Times New Roman" w:cs="Times New Roman"/>
                <w:b/>
                <w:bCs/>
                <w:i w:val="0"/>
                <w:iCs w:val="0"/>
                <w:color w:val="auto"/>
                <w:highlight w:val="none"/>
                <w:lang w:val="en-US" w:eastAsia="zh-CN" w:bidi="ar"/>
              </w:rPr>
              <w:t>食品大类</w:t>
            </w:r>
            <w:r>
              <w:rPr>
                <w:rStyle w:val="80"/>
                <w:rFonts w:hint="default" w:ascii="Times New Roman" w:hAnsi="Times New Roman" w:cs="Times New Roman"/>
                <w:b/>
                <w:bCs/>
                <w:i w:val="0"/>
                <w:iCs w:val="0"/>
                <w:color w:val="auto"/>
                <w:highlight w:val="none"/>
                <w:lang w:val="en-US" w:eastAsia="zh-CN" w:bidi="ar"/>
              </w:rPr>
              <w:br w:type="textWrapping"/>
            </w:r>
            <w:r>
              <w:rPr>
                <w:rStyle w:val="80"/>
                <w:rFonts w:hint="default" w:ascii="Times New Roman" w:hAnsi="Times New Roman" w:cs="Times New Roman"/>
                <w:b/>
                <w:bCs/>
                <w:i w:val="0"/>
                <w:iCs w:val="0"/>
                <w:color w:val="auto"/>
                <w:highlight w:val="none"/>
                <w:lang w:val="en-US" w:eastAsia="zh-CN" w:bidi="ar"/>
              </w:rPr>
              <w:t>（一级）</w:t>
            </w:r>
          </w:p>
        </w:tc>
        <w:tc>
          <w:tcPr>
            <w:tcW w:w="1036" w:type="dxa"/>
            <w:tcBorders>
              <w:top w:val="single" w:color="auto" w:sz="4" w:space="0"/>
              <w:left w:val="single" w:color="000000" w:sz="4" w:space="0"/>
              <w:bottom w:val="single" w:color="000000" w:sz="4" w:space="0"/>
              <w:right w:val="single" w:color="000000" w:sz="4" w:space="0"/>
            </w:tcBorders>
            <w:shd w:val="clear" w:color="auto" w:fill="auto"/>
            <w:vAlign w:val="center"/>
          </w:tcPr>
          <w:p w14:paraId="6CB57CBD">
            <w:pPr>
              <w:keepNext w:val="0"/>
              <w:keepLines w:val="0"/>
              <w:widowControl/>
              <w:suppressLineNumbers w:val="0"/>
              <w:jc w:val="center"/>
              <w:textAlignment w:val="center"/>
              <w:rPr>
                <w:rStyle w:val="80"/>
                <w:rFonts w:hint="default" w:ascii="Times New Roman" w:hAnsi="Times New Roman" w:cs="Times New Roman"/>
                <w:b/>
                <w:bCs/>
                <w:i w:val="0"/>
                <w:iCs w:val="0"/>
                <w:color w:val="auto"/>
                <w:highlight w:val="none"/>
                <w:lang w:val="en-US" w:eastAsia="zh-CN" w:bidi="ar"/>
              </w:rPr>
            </w:pPr>
            <w:r>
              <w:rPr>
                <w:rStyle w:val="80"/>
                <w:rFonts w:hint="default" w:ascii="Times New Roman" w:hAnsi="Times New Roman" w:cs="Times New Roman"/>
                <w:b/>
                <w:bCs/>
                <w:i w:val="0"/>
                <w:iCs w:val="0"/>
                <w:color w:val="auto"/>
                <w:highlight w:val="none"/>
                <w:lang w:val="en-US" w:eastAsia="zh-CN" w:bidi="ar"/>
              </w:rPr>
              <w:t>食品亚类</w:t>
            </w:r>
            <w:r>
              <w:rPr>
                <w:rStyle w:val="80"/>
                <w:rFonts w:hint="default" w:ascii="Times New Roman" w:hAnsi="Times New Roman" w:cs="Times New Roman"/>
                <w:b/>
                <w:bCs/>
                <w:i w:val="0"/>
                <w:iCs w:val="0"/>
                <w:color w:val="auto"/>
                <w:highlight w:val="none"/>
                <w:lang w:val="en-US" w:eastAsia="zh-CN" w:bidi="ar"/>
              </w:rPr>
              <w:br w:type="textWrapping"/>
            </w:r>
            <w:r>
              <w:rPr>
                <w:rStyle w:val="80"/>
                <w:rFonts w:hint="default" w:ascii="Times New Roman" w:hAnsi="Times New Roman" w:cs="Times New Roman"/>
                <w:b/>
                <w:bCs/>
                <w:i w:val="0"/>
                <w:iCs w:val="0"/>
                <w:color w:val="auto"/>
                <w:highlight w:val="none"/>
                <w:lang w:val="en-US" w:eastAsia="zh-CN" w:bidi="ar"/>
              </w:rPr>
              <w:t>（二级）</w:t>
            </w:r>
          </w:p>
        </w:tc>
        <w:tc>
          <w:tcPr>
            <w:tcW w:w="1062" w:type="dxa"/>
            <w:tcBorders>
              <w:top w:val="single" w:color="auto" w:sz="4" w:space="0"/>
              <w:left w:val="single" w:color="000000" w:sz="4" w:space="0"/>
              <w:bottom w:val="single" w:color="000000" w:sz="4" w:space="0"/>
              <w:right w:val="single" w:color="000000" w:sz="4" w:space="0"/>
            </w:tcBorders>
            <w:shd w:val="clear" w:color="auto" w:fill="auto"/>
            <w:vAlign w:val="center"/>
          </w:tcPr>
          <w:p w14:paraId="70F17A08">
            <w:pPr>
              <w:keepNext w:val="0"/>
              <w:keepLines w:val="0"/>
              <w:widowControl/>
              <w:suppressLineNumbers w:val="0"/>
              <w:jc w:val="center"/>
              <w:textAlignment w:val="center"/>
              <w:rPr>
                <w:rStyle w:val="80"/>
                <w:rFonts w:hint="default" w:ascii="Times New Roman" w:hAnsi="Times New Roman" w:cs="Times New Roman"/>
                <w:b/>
                <w:bCs/>
                <w:i w:val="0"/>
                <w:iCs w:val="0"/>
                <w:color w:val="auto"/>
                <w:highlight w:val="none"/>
                <w:lang w:val="en-US" w:eastAsia="zh-CN" w:bidi="ar"/>
              </w:rPr>
            </w:pPr>
            <w:r>
              <w:rPr>
                <w:rStyle w:val="80"/>
                <w:rFonts w:hint="default" w:ascii="Times New Roman" w:hAnsi="Times New Roman" w:cs="Times New Roman"/>
                <w:b/>
                <w:bCs/>
                <w:i w:val="0"/>
                <w:iCs w:val="0"/>
                <w:color w:val="auto"/>
                <w:highlight w:val="none"/>
                <w:lang w:val="en-US" w:eastAsia="zh-CN" w:bidi="ar"/>
              </w:rPr>
              <w:t>食品品种</w:t>
            </w:r>
          </w:p>
          <w:p w14:paraId="786BD2A8">
            <w:pPr>
              <w:keepNext w:val="0"/>
              <w:keepLines w:val="0"/>
              <w:widowControl/>
              <w:suppressLineNumbers w:val="0"/>
              <w:jc w:val="center"/>
              <w:textAlignment w:val="center"/>
              <w:rPr>
                <w:rStyle w:val="80"/>
                <w:rFonts w:hint="default" w:ascii="Times New Roman" w:hAnsi="Times New Roman" w:cs="Times New Roman"/>
                <w:b/>
                <w:bCs/>
                <w:i w:val="0"/>
                <w:iCs w:val="0"/>
                <w:color w:val="auto"/>
                <w:highlight w:val="none"/>
                <w:lang w:val="en-US" w:eastAsia="zh-CN" w:bidi="ar"/>
              </w:rPr>
            </w:pPr>
            <w:r>
              <w:rPr>
                <w:rStyle w:val="80"/>
                <w:rFonts w:hint="default" w:ascii="Times New Roman" w:hAnsi="Times New Roman" w:cs="Times New Roman"/>
                <w:b/>
                <w:bCs/>
                <w:i w:val="0"/>
                <w:iCs w:val="0"/>
                <w:color w:val="auto"/>
                <w:highlight w:val="none"/>
                <w:lang w:val="en-US" w:eastAsia="zh-CN" w:bidi="ar"/>
              </w:rPr>
              <w:t>（三级）</w:t>
            </w:r>
          </w:p>
        </w:tc>
        <w:tc>
          <w:tcPr>
            <w:tcW w:w="1075" w:type="dxa"/>
            <w:tcBorders>
              <w:top w:val="single" w:color="auto" w:sz="4" w:space="0"/>
              <w:left w:val="single" w:color="000000" w:sz="4" w:space="0"/>
              <w:bottom w:val="single" w:color="000000" w:sz="4" w:space="0"/>
              <w:right w:val="single" w:color="000000" w:sz="4" w:space="0"/>
            </w:tcBorders>
            <w:shd w:val="clear" w:color="auto" w:fill="auto"/>
            <w:vAlign w:val="center"/>
          </w:tcPr>
          <w:p w14:paraId="77DA4D68">
            <w:pPr>
              <w:keepNext w:val="0"/>
              <w:keepLines w:val="0"/>
              <w:widowControl/>
              <w:suppressLineNumbers w:val="0"/>
              <w:jc w:val="center"/>
              <w:textAlignment w:val="center"/>
              <w:rPr>
                <w:rStyle w:val="80"/>
                <w:rFonts w:hint="default" w:ascii="Times New Roman" w:hAnsi="Times New Roman" w:cs="Times New Roman"/>
                <w:b/>
                <w:bCs/>
                <w:i w:val="0"/>
                <w:iCs w:val="0"/>
                <w:color w:val="auto"/>
                <w:highlight w:val="none"/>
                <w:lang w:val="en-US" w:eastAsia="zh-CN" w:bidi="ar"/>
              </w:rPr>
            </w:pPr>
            <w:r>
              <w:rPr>
                <w:rStyle w:val="80"/>
                <w:rFonts w:hint="default" w:ascii="Times New Roman" w:hAnsi="Times New Roman" w:cs="Times New Roman"/>
                <w:b/>
                <w:bCs/>
                <w:i w:val="0"/>
                <w:iCs w:val="0"/>
                <w:color w:val="auto"/>
                <w:highlight w:val="none"/>
                <w:lang w:val="en-US" w:eastAsia="zh-CN" w:bidi="ar"/>
              </w:rPr>
              <w:t>食品细类</w:t>
            </w:r>
          </w:p>
          <w:p w14:paraId="0E23559A">
            <w:pPr>
              <w:keepNext w:val="0"/>
              <w:keepLines w:val="0"/>
              <w:widowControl/>
              <w:suppressLineNumbers w:val="0"/>
              <w:jc w:val="center"/>
              <w:textAlignment w:val="center"/>
              <w:rPr>
                <w:rStyle w:val="80"/>
                <w:rFonts w:hint="default" w:ascii="Times New Roman" w:hAnsi="Times New Roman" w:cs="Times New Roman"/>
                <w:b/>
                <w:bCs/>
                <w:i w:val="0"/>
                <w:iCs w:val="0"/>
                <w:color w:val="auto"/>
                <w:highlight w:val="none"/>
                <w:lang w:val="en-US" w:eastAsia="zh-CN" w:bidi="ar"/>
              </w:rPr>
            </w:pPr>
            <w:r>
              <w:rPr>
                <w:rStyle w:val="80"/>
                <w:rFonts w:hint="default" w:ascii="Times New Roman" w:hAnsi="Times New Roman" w:cs="Times New Roman"/>
                <w:b/>
                <w:bCs/>
                <w:i w:val="0"/>
                <w:iCs w:val="0"/>
                <w:color w:val="auto"/>
                <w:highlight w:val="none"/>
                <w:lang w:val="en-US" w:eastAsia="zh-CN" w:bidi="ar"/>
              </w:rPr>
              <w:t>（四级）</w:t>
            </w:r>
          </w:p>
        </w:tc>
        <w:tc>
          <w:tcPr>
            <w:tcW w:w="2800" w:type="dxa"/>
            <w:tcBorders>
              <w:top w:val="single" w:color="auto" w:sz="4" w:space="0"/>
              <w:left w:val="single" w:color="000000" w:sz="4" w:space="0"/>
              <w:bottom w:val="single" w:color="000000" w:sz="4" w:space="0"/>
              <w:right w:val="single" w:color="000000" w:sz="4" w:space="0"/>
            </w:tcBorders>
            <w:shd w:val="clear" w:color="auto" w:fill="auto"/>
            <w:vAlign w:val="center"/>
          </w:tcPr>
          <w:p w14:paraId="4731B8B4">
            <w:pPr>
              <w:keepNext w:val="0"/>
              <w:keepLines w:val="0"/>
              <w:widowControl/>
              <w:suppressLineNumbers w:val="0"/>
              <w:jc w:val="center"/>
              <w:textAlignment w:val="center"/>
              <w:rPr>
                <w:rStyle w:val="80"/>
                <w:rFonts w:hint="default" w:ascii="Times New Roman" w:hAnsi="Times New Roman" w:cs="Times New Roman"/>
                <w:b/>
                <w:bCs/>
                <w:i w:val="0"/>
                <w:iCs w:val="0"/>
                <w:color w:val="auto"/>
                <w:highlight w:val="none"/>
                <w:lang w:val="en-US" w:eastAsia="zh-CN" w:bidi="ar"/>
              </w:rPr>
            </w:pPr>
            <w:r>
              <w:rPr>
                <w:rStyle w:val="80"/>
                <w:rFonts w:hint="default" w:ascii="Times New Roman" w:hAnsi="Times New Roman" w:cs="Times New Roman"/>
                <w:b/>
                <w:bCs/>
                <w:i w:val="0"/>
                <w:iCs w:val="0"/>
                <w:color w:val="auto"/>
                <w:highlight w:val="none"/>
                <w:lang w:val="en-US" w:eastAsia="zh-CN" w:bidi="ar"/>
              </w:rPr>
              <w:t>必检项目</w:t>
            </w:r>
          </w:p>
        </w:tc>
        <w:tc>
          <w:tcPr>
            <w:tcW w:w="6132" w:type="dxa"/>
            <w:tcBorders>
              <w:top w:val="single" w:color="auto" w:sz="4" w:space="0"/>
              <w:left w:val="single" w:color="000000" w:sz="4" w:space="0"/>
              <w:bottom w:val="single" w:color="000000" w:sz="4" w:space="0"/>
              <w:right w:val="single" w:color="000000" w:sz="4" w:space="0"/>
            </w:tcBorders>
            <w:shd w:val="clear" w:color="auto" w:fill="auto"/>
            <w:vAlign w:val="center"/>
          </w:tcPr>
          <w:p w14:paraId="2CB7F5E4">
            <w:pPr>
              <w:keepNext w:val="0"/>
              <w:keepLines w:val="0"/>
              <w:widowControl/>
              <w:suppressLineNumbers w:val="0"/>
              <w:jc w:val="center"/>
              <w:textAlignment w:val="center"/>
              <w:rPr>
                <w:rStyle w:val="80"/>
                <w:rFonts w:hint="default" w:ascii="Times New Roman" w:hAnsi="Times New Roman" w:cs="Times New Roman"/>
                <w:b/>
                <w:bCs/>
                <w:i w:val="0"/>
                <w:iCs w:val="0"/>
                <w:color w:val="auto"/>
                <w:highlight w:val="none"/>
                <w:lang w:val="en-US" w:eastAsia="zh-CN" w:bidi="ar"/>
              </w:rPr>
            </w:pPr>
            <w:r>
              <w:rPr>
                <w:rStyle w:val="80"/>
                <w:rFonts w:hint="default" w:ascii="Times New Roman" w:hAnsi="Times New Roman" w:cs="Times New Roman"/>
                <w:b/>
                <w:bCs/>
                <w:i w:val="0"/>
                <w:iCs w:val="0"/>
                <w:color w:val="auto"/>
                <w:highlight w:val="none"/>
                <w:lang w:val="en-US" w:eastAsia="zh-CN" w:bidi="ar"/>
              </w:rPr>
              <w:t>可选项目</w:t>
            </w:r>
          </w:p>
        </w:tc>
        <w:tc>
          <w:tcPr>
            <w:tcW w:w="1200" w:type="dxa"/>
            <w:tcBorders>
              <w:top w:val="single" w:color="auto" w:sz="4" w:space="0"/>
              <w:left w:val="single" w:color="000000" w:sz="4" w:space="0"/>
              <w:bottom w:val="single" w:color="000000" w:sz="4" w:space="0"/>
              <w:right w:val="single" w:color="000000" w:sz="4" w:space="0"/>
            </w:tcBorders>
            <w:shd w:val="clear" w:color="auto" w:fill="auto"/>
            <w:vAlign w:val="center"/>
          </w:tcPr>
          <w:p w14:paraId="06E9C133">
            <w:pPr>
              <w:keepNext w:val="0"/>
              <w:keepLines w:val="0"/>
              <w:widowControl/>
              <w:suppressLineNumbers w:val="0"/>
              <w:jc w:val="center"/>
              <w:textAlignment w:val="center"/>
              <w:rPr>
                <w:rStyle w:val="80"/>
                <w:rFonts w:hint="default" w:ascii="Times New Roman" w:hAnsi="Times New Roman" w:cs="Times New Roman"/>
                <w:b/>
                <w:bCs/>
                <w:i w:val="0"/>
                <w:iCs w:val="0"/>
                <w:color w:val="auto"/>
                <w:highlight w:val="none"/>
                <w:lang w:val="en-US" w:eastAsia="zh-CN" w:bidi="ar"/>
              </w:rPr>
            </w:pPr>
            <w:r>
              <w:rPr>
                <w:rStyle w:val="80"/>
                <w:rFonts w:hint="default" w:ascii="Times New Roman" w:hAnsi="Times New Roman" w:cs="Times New Roman"/>
                <w:b/>
                <w:bCs/>
                <w:i w:val="0"/>
                <w:iCs w:val="0"/>
                <w:color w:val="auto"/>
                <w:highlight w:val="none"/>
                <w:lang w:val="en-US" w:eastAsia="zh-CN" w:bidi="ar"/>
              </w:rPr>
              <w:t>备注</w:t>
            </w:r>
          </w:p>
        </w:tc>
        <w:tc>
          <w:tcPr>
            <w:tcW w:w="831"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3788EDB2">
            <w:pPr>
              <w:keepNext w:val="0"/>
              <w:keepLines w:val="0"/>
              <w:widowControl/>
              <w:suppressLineNumbers w:val="0"/>
              <w:jc w:val="center"/>
              <w:textAlignment w:val="center"/>
              <w:rPr>
                <w:rStyle w:val="80"/>
                <w:rFonts w:hint="default" w:ascii="Times New Roman" w:hAnsi="Times New Roman" w:cs="Times New Roman"/>
                <w:b/>
                <w:bCs/>
                <w:i w:val="0"/>
                <w:iCs w:val="0"/>
                <w:color w:val="auto"/>
                <w:highlight w:val="none"/>
                <w:lang w:val="en-US" w:eastAsia="zh-CN" w:bidi="ar"/>
              </w:rPr>
            </w:pPr>
            <w:r>
              <w:rPr>
                <w:rStyle w:val="80"/>
                <w:rFonts w:hint="eastAsia" w:ascii="Times New Roman" w:hAnsi="Times New Roman" w:cs="Times New Roman"/>
                <w:b/>
                <w:bCs/>
                <w:i w:val="0"/>
                <w:iCs w:val="0"/>
                <w:color w:val="auto"/>
                <w:highlight w:val="none"/>
                <w:lang w:val="en-US" w:eastAsia="zh-CN" w:bidi="ar"/>
              </w:rPr>
              <w:t>批次</w:t>
            </w:r>
          </w:p>
        </w:tc>
      </w:tr>
      <w:tr w14:paraId="62C7D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FE52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 1 </w:t>
            </w:r>
          </w:p>
        </w:tc>
        <w:tc>
          <w:tcPr>
            <w:tcW w:w="1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BF55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畜禽肉及副产品</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6E93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畜禽肉及副产品</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FB75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畜肉</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4B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猪肉</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132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恩诺沙星、氟苯尼考、磺胺类（总量）、氯霉素、沙丁胺醇、多西环素</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5F62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挥发性盐基氮、水分、呋喃唑酮代谢物、呋喃西林代谢物、克伦特罗、莱克多巴胺、喹乙醇、替米考星、甲氧苄啶、地塞米松、甲硝唑、氯丙嗪、林可霉素、土霉素/金霉素/四环素（组合含量 ）</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E0B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restart"/>
            <w:tcBorders>
              <w:top w:val="single" w:color="000000" w:sz="4" w:space="0"/>
              <w:left w:val="single" w:color="000000" w:sz="4" w:space="0"/>
              <w:right w:val="single" w:color="000000" w:sz="4" w:space="0"/>
            </w:tcBorders>
            <w:shd w:val="clear" w:color="auto" w:fill="auto"/>
            <w:vAlign w:val="center"/>
          </w:tcPr>
          <w:p w14:paraId="192C07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142</w:t>
            </w:r>
          </w:p>
        </w:tc>
      </w:tr>
      <w:tr w14:paraId="206E8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F40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981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D86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610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87D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牛肉</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FAA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地塞米松、恩诺沙星、磺胺类（总量）、克伦特罗、氯霉素、氟苯尼考</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FB5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挥发性盐基氮、水分、呋喃唑酮代谢物、呋喃西林代谢物、莱克多巴胺、沙丁胺醇、甲氧苄啶、氟尼辛、多西环素、林可霉素、倍他米松、土霉素/金霉素/四环素（组合含量）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98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vAlign w:val="center"/>
          </w:tcPr>
          <w:p w14:paraId="0EECCC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B638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5"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249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72A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861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40F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F7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羊肉</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C9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恩诺沙星、磺胺类（总量）、克伦特罗、氯霉素</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C76E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水分、呋喃唑酮代谢物、呋喃西林代谢物、莱克多巴胺、沙丁胺醇、氟苯尼考、林可霉素、土霉素/金霉素/四环素（组合含量）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9F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vAlign w:val="center"/>
          </w:tcPr>
          <w:p w14:paraId="6C5777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8064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B58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9F9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CC7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CD54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禽肉</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F81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鸡肉</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59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多西环素、恩诺沙星、磺胺类（总量）、甲氧苄啶、氯霉素</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665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挥发性盐基氮、水分、呋喃唑酮代谢物、呋喃西林代谢物、呋喃它酮代谢物、氧氟沙星、培氟沙星、诺氟沙星、沙拉沙星、替米考星、氟苯尼考、甲硝唑、尼卡巴嗪、环丙氨嗪、土霉素/金霉素/四环素（组合含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AE0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74E7FD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461E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7E5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B12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917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ABE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5C5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鸭肉</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E6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AB9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呋喃唑酮代谢物、呋喃妥因代谢物、氯霉素、氧氟沙星、恩诺沙星、磺胺类（总量）、氟苯尼考、多西环素、甲硝唑</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E99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1FC744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75AA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D0B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832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EDD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FB4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79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其他禽肉（重点品种：鸽肉）</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556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恩诺沙星、甲硝唑、多西环素</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8024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呋喃唑酮代谢物、氯霉素、氧氟沙星、培氟沙星、洛美沙星、达氟沙星、磺胺类（总量）、环丙氨嗪</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AC1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321734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BF3F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FF5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4E8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F11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174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畜副产品</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772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猪肝</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5B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恩诺沙星、磺胺类（总量）、甲氧苄啶</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6F3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镉（以Cd计）、呋喃唑酮代谢物、呋喃西林代谢物、氯霉素、克伦特罗、莱克多巴胺、沙丁胺醇、氯丙嗪、双氯芬酸</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8C1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259F9D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8F55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E31E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2 </w:t>
            </w:r>
          </w:p>
        </w:tc>
        <w:tc>
          <w:tcPr>
            <w:tcW w:w="1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0900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F989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5050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豆类蔬菜</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9B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菜豆</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C9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噻虫胺、乙酰甲胺磷、甲胺磷、氧乐果、甲氨基阿维菌素苯甲酸盐</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2EF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倍硫磷、吡虫啉、毒死蜱、多菌灵、克百威、氯氟氰菊酯和高效氯氟氰菊酯、灭蝇胺、水胺硫磷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320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restart"/>
            <w:tcBorders>
              <w:top w:val="single" w:color="000000" w:sz="4" w:space="0"/>
              <w:left w:val="single" w:color="000000" w:sz="4" w:space="0"/>
              <w:right w:val="single" w:color="000000" w:sz="4" w:space="0"/>
            </w:tcBorders>
            <w:shd w:val="clear" w:color="auto" w:fill="auto"/>
            <w:noWrap/>
            <w:vAlign w:val="center"/>
          </w:tcPr>
          <w:p w14:paraId="0980A8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280</w:t>
            </w:r>
          </w:p>
        </w:tc>
      </w:tr>
      <w:tr w14:paraId="092EB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49B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261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6DF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CD4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49A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豇豆</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D90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噻虫胺、噻虫嗪、倍硫磷、氧乐果、灭蝇胺、克百威、啶虫脒、毒死蜱</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B0F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阿维菌素、氟虫腈、甲氨基阿维菌素苯甲酸盐、甲胺磷、甲拌磷、甲基异柳磷、乐果、氯氟氰菊酯和高效氯氟氰菊酯、三唑磷、水胺硫磷、乙酰甲胺磷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8C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7B04A5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6190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51C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E05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0AC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397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343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食荚豌豆</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31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吡唑醚菌酯、多菌灵、噻虫胺、烯酰吗啉、乙酰甲胺磷、氧乐果</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4BB7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苯醚甲环唑、毒死蜱、甲氨基阿维菌素苯甲酸盐、甲胺磷、灭蝇胺、噻虫嗪</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85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7BBE93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8FF2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75C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038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DD3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2F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豆芽</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8F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豆芽</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896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4-氯苯氧乙酸钠（以4-氯苯氧乙酸计）、6-苄基腺嘌呤（6-BA）、亚硫酸盐（以SO2计）、总汞（以Hg计）</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00BF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141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5C5E4B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5F34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757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E48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C5E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B8DA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根茎类和薯芋类蔬菜</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013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甘薯</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27B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氯氟氰菊酯和高效氯氟氰菊酯、毒死蜱、氯氰菊酯和高效氯氰菊酯、噻虫嗪</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CDBB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铅（以Pb计）、苯醚甲环唑、氟虫腈、甲拌磷、联苯菊酯、杀扑磷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657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36433D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F8B1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15B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A31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FA97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358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28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胡萝卜</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20F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噻虫胺、甲拌磷、氟虫腈、氯氟氰菊酯和高效氯氟氰菊酯、毒死蜱</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1FC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铅（以Pb计）、腈菌唑、乐果、噻虫嗪、辛硫磷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DB1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60E13E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F62E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AF9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5C2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E72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47E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32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姜</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9FF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噻虫胺、铅（以Pb计）、镉（以Cd计）、噻虫嗪、毒死蜱、吡虫啉、二氧化硫残留量</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1E3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吡唑醚菌酯、敌敌畏、甲拌磷、克百威、六六六、氯氟氰菊酯和高效氯氟氰菊酯、氯氰菊酯和高效氯氰菊酯、氯唑磷、咪鲜胺和咪鲜胺锰盐</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A2D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7BD1B8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3B4A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235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292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78E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039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AE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萝卜</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F1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噻虫嗪、氯氟氰菊酯和高效氯氟氰菊酯、毒死蜱</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79C9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铅（以Pb计）、甲胺磷、甲拌磷、噻虫胺、氧乐果</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77F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46157B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7217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902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286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738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3FE0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根茎类和薯芋类蔬菜</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62E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马铃薯</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6E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毒死蜱、噻虫嗪、氯氟氰菊酯和高效氯氟氰菊酯、镉（以Cd计）、甲拌磷</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2BC1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铅（以Pb计）、氯氰菊酯和高效氯氰菊酯、乙酰甲胺磷、二氧化硫残留量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F44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30EE95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CE62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38E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B9E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23A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97C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00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山药</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868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咪鲜胺和咪鲜胺锰盐、涕灭威、毒死蜱</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B558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铅（以Pb计）、氯氟氰菊酯和高效氯氟氰菊酯</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0E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vAlign w:val="center"/>
          </w:tcPr>
          <w:p w14:paraId="757CBF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2778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4E3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974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712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4BF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42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芜菁（恰玛古）</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F9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BBC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阿维菌素、吡虫啉、马拉硫磷、噻虫胺、倍硫磷</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79D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vAlign w:val="center"/>
          </w:tcPr>
          <w:p w14:paraId="72898E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5715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16D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70A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222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9DE5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鳞茎类蔬菜</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208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葱</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63E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噻虫嗪、丙环唑、戊唑醇、镉（以Cd计）、毒死蜱、氯氟氰菊酯和高效氯氟氰菊酯</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DA9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铅（以Pb计）、氟虫腈、甲拌磷、甲基异柳磷、克百威、乐果、三唑磷、水胺硫磷、氧乐果、乙酰甲胺磷</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610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vAlign w:val="center"/>
          </w:tcPr>
          <w:p w14:paraId="0BA2D0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C94D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A61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67F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B44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8AD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74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韭菜</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03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镉（以Cd计）、毒死蜱、氯氟氰菊酯和高效氯氟氰菊酯、克百威、氧乐果、乙酰甲胺磷</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EDE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铅（以Pb计）、阿维菌素、敌敌畏、多菌灵、二甲戊灵、腐霉利、甲胺磷、甲拌磷、乐果、氯氰菊酯和高效氯氰菊酯、三唑磷、辛硫磷</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F52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vAlign w:val="center"/>
          </w:tcPr>
          <w:p w14:paraId="3C05A4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4FEF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844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130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A72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326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4DA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洋葱</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B9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FF1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铅（以Pb计）、镉（以Cd计）、阿维菌素、氧乐果、水胺硫磷、灭多威、吡唑醚菌酯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317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7E4138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224C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6C8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BB2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535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0A51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茄果类蔬菜</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FA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辣椒</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16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噻虫胺、镉（以Cd计）、啶虫脒、毒死蜱、呋虫胺、氧乐果、噻虫嗪、倍硫磷</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F14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吡虫啉、吡唑醚菌酯、丙溴磷、敌敌畏、氟吡菌胺、氟虫腈、甲氨基阿维菌素苯甲酸盐、甲胺磷、甲拌磷、克百威、乐果、联苯菊酯、氯氟氰菊酯和高效氯氟氰菊酯、三唑磷、杀扑磷、水胺硫磷、乙酰甲胺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1D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3E37E5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4CFB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90D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CB2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E63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51D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AB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茄子</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444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镉（以Cd计）、噻虫胺、噻虫嗪、氧乐果、毒死蜱</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C27F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铅（以Pb计）、吡唑醚菌酯、甲氨基阿维菌素苯甲酸盐、甲胺磷、甲拌磷、克百威、霜霉威和霜霉威盐酸盐、水胺硫磷、乙酰甲胺磷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602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2A32AD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4B5C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EDD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DAE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59A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2F5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56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甜椒</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587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噻虫胺、吡虫啉、毒死蜱、噻虫嗪</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B97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镉（以Cd计）、阿维菌素、倍硫磷、吡唑醚菌酯、氟啶虫酰胺、氧乐果</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A0A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13D0D0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DE97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459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A79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169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42A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12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番茄</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93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6A3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铅（以Pb计）、镉（以Cd计）、吡唑醚菌酯、敌敌畏、毒死蜱、腐霉利、甲拌磷、氯氟氰菊酯和高效氯氟氰菊酯、噻虫嗪、烯酰吗啉、氧乐果、乙酰甲胺磷</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AD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vAlign w:val="center"/>
          </w:tcPr>
          <w:p w14:paraId="45FF3A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A4BB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079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E81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73B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BEF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叶菜类蔬菜</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49D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菠菜</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89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毒死蜱、铬（以Cri计）、镉（以Cd计）、阿维菌素</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520E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铅（以Pb计）、氟虫腈、腐霉利、甲拌磷、克百威、氯氟氰菊酯和高效氯氟氰菊酯、氧乐果</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19E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vAlign w:val="center"/>
          </w:tcPr>
          <w:p w14:paraId="093B74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1275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57B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C98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6AD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F8B2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叶菜类蔬菜</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708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普通白菜</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05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毒死蜱、啶虫脒、氟虫腈、阿维菌素、吡虫啉</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E256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镉（以Cd计）、敌敌畏、氟氯氰菊酯和高效氟氯氰菊酯、甲氨基阿维菌素苯甲酸盐、甲拌磷、甲基异柳磷、克百威、氯氟氰菊酯和高效氯氟氰菊酯、氯氰菊酯和高效氯氰菊酯、噻虫胺、氧乐果、乙酰甲胺磷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CE4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24EFD7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4088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01F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D5A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28D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569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E51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芹菜</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6CE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噻虫胺、毒死蜱、氧乐果、甲拌磷、噻虫嗪、氯氟氰菊酯和高效氯氟氰菊酯、辛硫磷</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691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铅（以Pb计）、镉（以Cd计）、阿维菌素、百菌清、苯醚甲环唑、敌敌畏、啶虫眯、二甲戊灵、氟虫腈、甲基异柳磷、腈菌唑、克百威、乐果、氯氰菊酯和高效氯氰菊酯、三氯杀螨醇、水胺硫磷、乙酰甲胺磷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08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37DFA6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B63B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A3A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D20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8DF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A86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C9E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油麦菜</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A1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阿维菌素、甲氨基阿维菌素苯甲酸盐、腈菌唑、毒死蜱</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6BA9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吡虫啉、啶虫脒、氟虫腈、甲拌磷、氯氟氰菊酯和高效氯氟氰菊酯、灭多威、噻虫嗪、氧乐果、乙酰甲胺磷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298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042E8A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47C5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3E4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507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44A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F58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瓜类蔬菜</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558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黄瓜</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AC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噻虫嗪、乙螨唑、阿维菌素、毒死蜱、哒螨灵</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095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敌敌畏、腐霉利、甲氨基阿维菌素苯甲酸盐、甲拌磷、克百威、乐果、氧乐果、乙酰甲胺磷、异丙威</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958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79EBB5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2A42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09E5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3 </w:t>
            </w:r>
          </w:p>
        </w:tc>
        <w:tc>
          <w:tcPr>
            <w:tcW w:w="1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26D4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水产品</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A8B5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水产品</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98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贝类</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E7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贝类</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669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镉（以Cd计）、氯霉素</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5F33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无机砷（以As计）、孔雀石绿、呋喃唑酮代谢物、呋喃西林代谢物、呋喃妥因代谢物、五氯酚酸钠（以五氯酚计）、恩诺沙星、氟苯尼考、磺胺类（总量）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AD1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restart"/>
            <w:tcBorders>
              <w:top w:val="single" w:color="000000" w:sz="4" w:space="0"/>
              <w:left w:val="single" w:color="000000" w:sz="4" w:space="0"/>
              <w:right w:val="single" w:color="000000" w:sz="4" w:space="0"/>
            </w:tcBorders>
            <w:shd w:val="clear" w:color="auto" w:fill="auto"/>
            <w:noWrap/>
            <w:vAlign w:val="center"/>
          </w:tcPr>
          <w:p w14:paraId="23DA9F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20</w:t>
            </w:r>
          </w:p>
        </w:tc>
      </w:tr>
      <w:tr w14:paraId="1A9C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13E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BC4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93B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2AC2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淡水产品</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AD1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淡水鱼</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27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恩诺沙星、孔雀石绿、磺胺类（总量）、氧氟沙星、呋喃唑酮代谢物</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78B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挥发性盐基氮、镉（以Cd计）、氯霉素、呋喃西林代谢物、呋喃妥因代谢物、五氯酚酸钠（以五氯酚计）、沙拉沙星、甲氧苄啶、氟苯尼考、甲硝唑、地西泮、培氟沙星、诺氟沙星</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357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4DCFF2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1B09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DE4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CE9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A0E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C3B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06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淡水虾（重点品种：罗氏沼虾）</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C59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恩诺沙星、呋喃唑酮代谢物</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2E7E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镉（以Cd计）、孔雀石绿、氯霉素、呋喃妥因代谢物、五氯酚酸钠（以五氯酚计）、磺胺类（总量）、土霉素/金霉素/四环素（组合含量）、氧氟沙星、诺氟沙星</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4A7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13CD43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3527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FE6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BEE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9E3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32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海水产品</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87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海水虾</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91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镉（以Cd计）、恩诺沙星、土霉素/金霉素/四环素（组合含量）、二氧化硫残留量、呋喃唑酮代谢物</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66E1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挥发性盐基氮、孔雀石绿、氯霉素、磺胺类（总量）、诺氟沙星</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C80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372D5C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06F5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3C9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EEF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712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E4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海水产品</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D4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海水鱼</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EE3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恩诺沙星、呋喃唑酮代谢物、甲硝唑</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87D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挥发性盐基氮、组胺、镉（以Cd计）、柠檬黄、孔雀石绿、氯霉素、呋喃它酮代谢物、呋喃西林代谢物、呋喃妥因代谢物、五氯酚酸钠（以五氯酚计）、磺胺类（总量）、土霉素/金霉素/四环素（组合含量）、甲氧苄啶、氧氟沙星、培氟沙星、诺氟沙星</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3F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28BA5D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453B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578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C01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E03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37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其他水产品</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B3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其他水产品（恩诺沙星、氟苯尼考重点品种：牛蛙；镉重点品种：鱿鱼 ）</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430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恩诺沙星a、氟苯尼考a、氧氟沙星a、呋喃唑酮代谢物、 镉（以Cd计）b</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FA7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孔雀石绿、氯霉素、呋喃西林代谢物、呋喃妥因代谢物、五氯酚酸钠（以五氯酚计）、磺胺类（总量）、甲硝唑、氧氟沙星、诺氟沙星</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9C4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a.仅蛙科、鳖科食品动物检测。</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b.限头足类、腹足类、棘皮类检测。</w:t>
            </w:r>
          </w:p>
        </w:tc>
        <w:tc>
          <w:tcPr>
            <w:tcW w:w="83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504468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D282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68CE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4 </w:t>
            </w:r>
          </w:p>
        </w:tc>
        <w:tc>
          <w:tcPr>
            <w:tcW w:w="1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E7F0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水果类</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F385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水果类</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499A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柑橘类水果</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BE3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橙</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4DE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氯唑磷、联苯菊酯、苯醚甲环唑、丙溴磷、2,4-滴和2,4-滴钠盐</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B795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克百威、三唑磷、杀扑磷、水胺硫磷、氧乐果、敌敌畏、氯氟氰菊酯和高效氯氟氰菊酯、乙酰甲胺磷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BA1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restart"/>
            <w:tcBorders>
              <w:top w:val="single" w:color="000000" w:sz="4" w:space="0"/>
              <w:left w:val="single" w:color="000000" w:sz="4" w:space="0"/>
              <w:right w:val="single" w:color="000000" w:sz="4" w:space="0"/>
            </w:tcBorders>
            <w:shd w:val="clear" w:color="auto" w:fill="auto"/>
            <w:noWrap/>
            <w:vAlign w:val="center"/>
          </w:tcPr>
          <w:p w14:paraId="5B0900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150</w:t>
            </w:r>
          </w:p>
        </w:tc>
      </w:tr>
      <w:tr w14:paraId="6AE27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6A4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96B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EE6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3A7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F3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柑、橘</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EB7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联苯菊酯、苯醚甲环唑、丙溴磷、2,4-滴和2,4-滴钠盐、氯氟氰菊酯和高效氯氟氰菊酯、三唑磷</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015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克百威、氯唑磷、水胺硫磷、氧乐果、甲拌磷、狄氏剂、杀扑磷、敌敌畏、联苯肼酯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D54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1D5C41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6DEF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183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B6D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6CD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97A4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浆果和其他小型水果</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63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葡萄</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59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3D39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苯醚甲环唑、己唑醇、克百威、氯氰菊酯和高效氯氰菊酯、霜霉威和霜霉威盐酸盐、氧乐果、氯氟氰菊酯和高效氯氟氰菊酯、氟虫腈、氯吡脲、联苯菊酯、氟唑菌酰胺、戊唑醇、腈苯唑</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356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5B3851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E69F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3D9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B1F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883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324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D37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草莓</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18E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B2AD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阿维菌素、敌敌畏、多菌灵、克百威、烯酰吗啉、氧乐果、戊菌唑、吡虫啉、乙酰甲胺磷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8D3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3D78A1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E28C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198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CC8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3BD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281F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核果类水果</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11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桃</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630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AB1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苯醚甲环唑、敌敌畏、多菌灵、氟硅唑、甲胺磷、克百威、氧乐果、溴氰菊酯、吡虫啉、氯氟氰菊酯和高效氯氟氰菊酯、噻虫胺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4F3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17E445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3D2E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DE4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226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4BF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1BF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B99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杏</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DF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467B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克百威、氧乐果、氟硅唑、腈苯唑、抗蚜威、氯氰菊酯和高效氯氰菊酯、敌敌畏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36C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297E98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DDD5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360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C93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134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C8C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337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枣</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A96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1987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多菌灵、氟虫腈、氰戊菊酯和S-氰戊菊酯、氧乐果、糖精钠（以糖精计）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724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0D286A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43F6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001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BE9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BE4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67A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CE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西梅</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617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888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克百威、氧乐果、甲胺磷、敌敌畏、倍硫磷、啶虫脒、氟虫腈</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5DE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71AD46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D45D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66C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64E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0C2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A8C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3C5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油桃</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C9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噻虫胺、克百威</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1C7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甲胺磷、氧乐果、敌敌畏、苯醚甲环唑</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F88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4E9704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738D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C32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2C5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45C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05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浆果和其他小型水果</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ED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桑葚</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66D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脱氢乙酸及其钠盐（以脱氢乙酸计）、糖精钠（以糖精计）、甜蜜素（以环己基氨基磺酸计）、多菌灵</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90D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苯甲酸及其钠盐（以苯甲酸计）、山梨酸及其钾盐（以山梨酸计）、三氯蔗糖、氯氟氰菊酯和高效氯氟氰菊酯、纽甜</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08F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5F4261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6F95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7AB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BF6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5D9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4E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热带和亚热带水果</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09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番木瓜</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9F8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噻虫胺、噻虫嗪、乙酰甲胺磷</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065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克百威、氧乐果</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BFE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045B3E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A322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80A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07F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479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DA61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热带和亚热带水果</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020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荔枝</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96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氯氟氰菊酯和高效氯氟氰菊酯、吡唑醚菌酯、除虫脲、苯醚甲环唑、氰霜唑</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8244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多菌灵、氧乐果、毒死蜱、氯氰菊酯和高效氯氰菊酯、氟吗啉、咪鲜胺和咪鲜胺锰盐、乐果、溴氰菊酯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13B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5D22DA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F6ED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09F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944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729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A79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BA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龙眼</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95D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二氧化硫残留量、氯氰菊酯和高效氯氰菊酯、氧乐果</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EAAD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克百威、氟虫腈</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642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2794DE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FD84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D15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B3E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D79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B38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D13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芒果</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9C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吡唑醚菌酯、噻虫胺、戊唑醇、苯醚甲环唑、乙酰甲胺磷、噻嗪酮、吡虫啉</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B67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氧乐果、噻虫嗪、氯氟氰菊酯和高效氯氟氰菊酯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D50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591985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5621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CE9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65F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F85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34A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36F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香蕉</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80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吡虫啉、噻虫嗪、噻虫胺、腈苯唑、氟唑菌酰胺</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6D5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苯醚甲环唑、吡唑醚菌酯、氟虫腈、联苯菊酯、百菌清、氧乐果、氯氟氰菊酯和高效氯氟氰菊酯</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8D6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2F602D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3CCE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14E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974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CC9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924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8A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石榴</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B3B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DE9E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克百威、啶虫脒、敌敌畏、倍硫磷、吡虫啉</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812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0949A4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89CA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407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46A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DCE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137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84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杨梅</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08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脱氢乙酸及其钠盐（以脱氢乙酸计）、甜蜜素（以环己基氨基磺酸计）、糖精钠（以糖精计）、啶虫脒</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AC4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山梨酸及其钾盐（以山梨酸计）、三氯蔗糖、氧乐果、阿维菌素、纽甜</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931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242864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1C34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CEC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9BA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490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3229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仁果类水果</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FD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梨</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DE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乙螨唑、咪鲜胺和咪鲜胺锰盐、苯醚甲环唑、氯氟氰菊酯和高效氯氟氰菊酯</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0AE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吡虫啉、敌敌畏、毒死蜱、多菌灵、克百威、氧乐果、水胺硫磷、噻虫嗪、乙酰甲胺磷、阿维菌素</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6D3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212C49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0E89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808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601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0D7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37E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22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苹果</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8A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51C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敌敌畏、啶虫脒、毒死蜱、甲拌磷、克百威、氧乐果、三氯杀螨醇、丙溴磷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770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7AA8A7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E1D0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0AE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5E50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2B8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A168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瓜果类水果</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54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西瓜</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301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C96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克百威、噻虫嗪、氧乐果、乙酰甲胺磷、苯醚甲环唑</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054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right w:val="single" w:color="000000" w:sz="4" w:space="0"/>
            </w:tcBorders>
            <w:shd w:val="clear" w:color="auto" w:fill="auto"/>
            <w:noWrap/>
            <w:vAlign w:val="center"/>
          </w:tcPr>
          <w:p w14:paraId="551E2E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5646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A87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480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B4F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8C1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35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甜瓜类</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07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6D73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克百威、烯酰吗啉、氧乐果、乙酰甲胺磷</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5EF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5EDB5D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6F6B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12E6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5 </w:t>
            </w:r>
          </w:p>
        </w:tc>
        <w:tc>
          <w:tcPr>
            <w:tcW w:w="1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623B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鲜蛋</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9013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鲜蛋</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4547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鲜蛋</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E9D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鸡蛋</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7E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多西环素、甲氧苄啶、磺胺类（总量）、甲硝唑、氟苯尼考、地美硝唑、恩诺沙星、托曲珠利</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AB7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呋喃唑酮代谢物、呋喃西林代谢物、氟虫腈、氯霉素、甲砜霉素、氧氟沙星、沙拉沙星、地克珠利</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B02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restart"/>
            <w:tcBorders>
              <w:top w:val="single" w:color="000000" w:sz="4" w:space="0"/>
              <w:left w:val="single" w:color="000000" w:sz="4" w:space="0"/>
              <w:right w:val="single" w:color="000000" w:sz="4" w:space="0"/>
            </w:tcBorders>
            <w:shd w:val="clear" w:color="auto" w:fill="auto"/>
            <w:noWrap/>
            <w:vAlign w:val="center"/>
          </w:tcPr>
          <w:p w14:paraId="22E852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26</w:t>
            </w:r>
          </w:p>
        </w:tc>
      </w:tr>
      <w:tr w14:paraId="74293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224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E73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4F7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661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68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其他禽蛋</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61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多西环素、磺胺类（总量）</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BDCE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呋喃唑酮代谢物、氯霉素</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23E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仅鸭蛋、鹅蛋检测多西环素。</w:t>
            </w:r>
          </w:p>
        </w:tc>
        <w:tc>
          <w:tcPr>
            <w:tcW w:w="831" w:type="dxa"/>
            <w:gridSpan w:val="2"/>
            <w:vMerge w:val="continue"/>
            <w:tcBorders>
              <w:left w:val="single" w:color="000000" w:sz="4" w:space="0"/>
              <w:bottom w:val="single" w:color="000000" w:sz="4" w:space="0"/>
              <w:right w:val="single" w:color="000000" w:sz="4" w:space="0"/>
            </w:tcBorders>
            <w:shd w:val="clear" w:color="auto" w:fill="auto"/>
            <w:noWrap/>
            <w:vAlign w:val="center"/>
          </w:tcPr>
          <w:p w14:paraId="02DACD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3D49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35C7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6 </w:t>
            </w:r>
          </w:p>
        </w:tc>
        <w:tc>
          <w:tcPr>
            <w:tcW w:w="1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22D8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生干坚果与籽类食品</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6B56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生干坚果与籽类食品</w:t>
            </w:r>
          </w:p>
        </w:tc>
        <w:tc>
          <w:tcPr>
            <w:tcW w:w="10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67C6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生干坚果与籽类食品</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CB7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花生</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A73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酸价、黄曲霉毒素B₁</w:t>
            </w:r>
          </w:p>
        </w:tc>
        <w:tc>
          <w:tcPr>
            <w:tcW w:w="6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1F4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过氧化值（以脂肪计）、铅（以Pb计）、镉（以Cd计）、噻虫嗪、噻虫胺</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F5A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restart"/>
            <w:tcBorders>
              <w:top w:val="single" w:color="000000" w:sz="4" w:space="0"/>
              <w:left w:val="single" w:color="000000" w:sz="4" w:space="0"/>
              <w:right w:val="single" w:color="000000" w:sz="4" w:space="0"/>
            </w:tcBorders>
            <w:shd w:val="clear" w:color="auto" w:fill="auto"/>
            <w:noWrap/>
            <w:vAlign w:val="center"/>
          </w:tcPr>
          <w:p w14:paraId="3F67AE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10</w:t>
            </w:r>
          </w:p>
        </w:tc>
      </w:tr>
      <w:tr w14:paraId="3FF09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3"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25BEA0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40"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780CAD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36"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057A58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62"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1106B1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075" w:type="dxa"/>
            <w:tcBorders>
              <w:top w:val="single" w:color="000000" w:sz="4" w:space="0"/>
              <w:left w:val="single" w:color="000000" w:sz="4" w:space="0"/>
              <w:bottom w:val="single" w:color="auto" w:sz="4" w:space="0"/>
              <w:right w:val="single" w:color="000000" w:sz="4" w:space="0"/>
            </w:tcBorders>
            <w:shd w:val="clear" w:color="auto" w:fill="auto"/>
            <w:vAlign w:val="center"/>
          </w:tcPr>
          <w:p w14:paraId="25A7E7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生干坚果</w:t>
            </w:r>
          </w:p>
        </w:tc>
        <w:tc>
          <w:tcPr>
            <w:tcW w:w="2800" w:type="dxa"/>
            <w:tcBorders>
              <w:top w:val="single" w:color="000000" w:sz="4" w:space="0"/>
              <w:left w:val="single" w:color="000000" w:sz="4" w:space="0"/>
              <w:bottom w:val="single" w:color="auto" w:sz="4" w:space="0"/>
              <w:right w:val="single" w:color="000000" w:sz="4" w:space="0"/>
            </w:tcBorders>
            <w:shd w:val="clear" w:color="auto" w:fill="auto"/>
            <w:vAlign w:val="center"/>
          </w:tcPr>
          <w:p w14:paraId="099BB0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6132" w:type="dxa"/>
            <w:tcBorders>
              <w:top w:val="single" w:color="000000" w:sz="4" w:space="0"/>
              <w:left w:val="single" w:color="000000" w:sz="4" w:space="0"/>
              <w:bottom w:val="single" w:color="auto" w:sz="4" w:space="0"/>
              <w:right w:val="single" w:color="000000" w:sz="4" w:space="0"/>
            </w:tcBorders>
            <w:shd w:val="clear" w:color="auto" w:fill="auto"/>
            <w:vAlign w:val="center"/>
          </w:tcPr>
          <w:p w14:paraId="35676CF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酸价（以脂肪计）（KOH）、过氧化值（以脂肪计）、二氧化硫残留量、吡虫啉</w:t>
            </w:r>
          </w:p>
        </w:tc>
        <w:tc>
          <w:tcPr>
            <w:tcW w:w="12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1D6B9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831" w:type="dxa"/>
            <w:gridSpan w:val="2"/>
            <w:vMerge w:val="continue"/>
            <w:tcBorders>
              <w:left w:val="single" w:color="000000" w:sz="4" w:space="0"/>
              <w:bottom w:val="single" w:color="auto" w:sz="4" w:space="0"/>
              <w:right w:val="single" w:color="000000" w:sz="4" w:space="0"/>
            </w:tcBorders>
            <w:shd w:val="clear" w:color="auto" w:fill="auto"/>
            <w:noWrap/>
            <w:vAlign w:val="center"/>
          </w:tcPr>
          <w:p w14:paraId="59E4CC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8CF5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15028" w:type="dxa"/>
            <w:gridSpan w:val="8"/>
            <w:tcBorders>
              <w:top w:val="single" w:color="auto" w:sz="4" w:space="0"/>
              <w:left w:val="single" w:color="auto" w:sz="4" w:space="0"/>
              <w:bottom w:val="single" w:color="auto" w:sz="4" w:space="0"/>
              <w:right w:val="single" w:color="auto" w:sz="4" w:space="0"/>
            </w:tcBorders>
            <w:shd w:val="clear" w:color="auto" w:fill="auto"/>
            <w:vAlign w:val="center"/>
          </w:tcPr>
          <w:p w14:paraId="3B6387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合计</w:t>
            </w:r>
          </w:p>
        </w:tc>
        <w:tc>
          <w:tcPr>
            <w:tcW w:w="83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48A6B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628</w:t>
            </w:r>
          </w:p>
        </w:tc>
      </w:tr>
    </w:tbl>
    <w:p w14:paraId="69CA9A22">
      <w:pPr>
        <w:pStyle w:val="2"/>
        <w:rPr>
          <w:rFonts w:hint="default" w:ascii="Times New Roman" w:hAnsi="Times New Roman" w:cs="Times New Roman"/>
          <w:color w:val="auto"/>
          <w:highlight w:val="none"/>
        </w:rPr>
        <w:sectPr>
          <w:pgSz w:w="16838" w:h="11906" w:orient="landscape"/>
          <w:pgMar w:top="1304" w:right="1134" w:bottom="1304" w:left="1134" w:header="851" w:footer="992" w:gutter="0"/>
          <w:cols w:space="425" w:num="1"/>
          <w:docGrid w:type="lines" w:linePitch="312" w:charSpace="0"/>
        </w:sectPr>
      </w:pPr>
    </w:p>
    <w:p w14:paraId="1A62811C">
      <w:pPr>
        <w:spacing w:line="440" w:lineRule="exact"/>
        <w:jc w:val="center"/>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eastAsia="zh-CN"/>
        </w:rPr>
        <w:t>乌鲁木齐市市场监督管理局（乌鲁木齐市知识产权局）</w:t>
      </w:r>
      <w:r>
        <w:rPr>
          <w:rFonts w:hint="default" w:ascii="Times New Roman" w:hAnsi="Times New Roman" w:cs="Times New Roman"/>
          <w:b/>
          <w:bCs/>
          <w:color w:val="auto"/>
          <w:sz w:val="24"/>
          <w:highlight w:val="none"/>
        </w:rPr>
        <w:t>202</w:t>
      </w:r>
      <w:r>
        <w:rPr>
          <w:rFonts w:hint="default" w:ascii="Times New Roman" w:hAnsi="Times New Roman" w:cs="Times New Roman"/>
          <w:b/>
          <w:bCs/>
          <w:color w:val="auto"/>
          <w:sz w:val="24"/>
          <w:highlight w:val="none"/>
          <w:lang w:val="en-US" w:eastAsia="zh-CN"/>
        </w:rPr>
        <w:t>6</w:t>
      </w:r>
      <w:r>
        <w:rPr>
          <w:rFonts w:hint="default" w:ascii="Times New Roman" w:hAnsi="Times New Roman" w:cs="Times New Roman"/>
          <w:b/>
          <w:bCs/>
          <w:color w:val="auto"/>
          <w:sz w:val="24"/>
          <w:highlight w:val="none"/>
        </w:rPr>
        <w:t>年乌鲁木齐市食品安全监督抽检服务项目</w:t>
      </w:r>
    </w:p>
    <w:p w14:paraId="3A4B445A">
      <w:pPr>
        <w:keepNext w:val="0"/>
        <w:keepLines w:val="0"/>
        <w:pageBreakBefore w:val="0"/>
        <w:widowControl w:val="0"/>
        <w:tabs>
          <w:tab w:val="center" w:pos="4832"/>
          <w:tab w:val="left" w:pos="7140"/>
        </w:tabs>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标项</w:t>
      </w:r>
      <w:r>
        <w:rPr>
          <w:rFonts w:hint="eastAsia" w:ascii="Times New Roman" w:hAnsi="Times New Roman" w:cs="Times New Roman"/>
          <w:b/>
          <w:color w:val="auto"/>
          <w:sz w:val="24"/>
          <w:szCs w:val="24"/>
          <w:highlight w:val="none"/>
          <w:lang w:val="en-US" w:eastAsia="zh-CN"/>
        </w:rPr>
        <w:t>四</w:t>
      </w:r>
      <w:r>
        <w:rPr>
          <w:rFonts w:hint="default" w:ascii="Times New Roman" w:hAnsi="Times New Roman" w:cs="Times New Roman"/>
          <w:b/>
          <w:color w:val="auto"/>
          <w:sz w:val="24"/>
          <w:szCs w:val="24"/>
          <w:highlight w:val="none"/>
          <w:lang w:val="en-US" w:eastAsia="zh-CN"/>
        </w:rPr>
        <w:t xml:space="preserve">  </w:t>
      </w:r>
      <w:r>
        <w:rPr>
          <w:rFonts w:hint="default" w:ascii="Times New Roman" w:hAnsi="Times New Roman" w:cs="Times New Roman"/>
          <w:b/>
          <w:color w:val="auto"/>
          <w:sz w:val="24"/>
          <w:szCs w:val="24"/>
          <w:highlight w:val="none"/>
        </w:rPr>
        <w:t>技术分册</w:t>
      </w:r>
    </w:p>
    <w:p w14:paraId="687A4943">
      <w:pPr>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一、工作任务</w:t>
      </w:r>
    </w:p>
    <w:p w14:paraId="253AC8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标项</w:t>
      </w:r>
      <w:r>
        <w:rPr>
          <w:rFonts w:hint="eastAsia" w:ascii="Times New Roman" w:hAnsi="Times New Roman" w:eastAsia="宋体" w:cs="Times New Roman"/>
          <w:color w:val="auto"/>
          <w:sz w:val="24"/>
          <w:highlight w:val="none"/>
          <w:lang w:val="en-US" w:eastAsia="zh-CN"/>
        </w:rPr>
        <w:t>四</w:t>
      </w:r>
      <w:r>
        <w:rPr>
          <w:rFonts w:hint="default" w:ascii="Times New Roman" w:hAnsi="Times New Roman" w:cs="Times New Roman"/>
          <w:color w:val="auto"/>
          <w:sz w:val="24"/>
          <w:highlight w:val="none"/>
        </w:rPr>
        <w:t>：202</w:t>
      </w:r>
      <w:r>
        <w:rPr>
          <w:rFonts w:hint="default" w:ascii="Times New Roman" w:hAnsi="Times New Roman" w:cs="Times New Roman"/>
          <w:color w:val="auto"/>
          <w:sz w:val="24"/>
          <w:highlight w:val="none"/>
          <w:lang w:val="en-US" w:eastAsia="zh-CN"/>
        </w:rPr>
        <w:t>6年</w:t>
      </w:r>
      <w:r>
        <w:rPr>
          <w:rFonts w:hint="eastAsia" w:ascii="Times New Roman" w:hAnsi="Times New Roman" w:eastAsia="宋体" w:cs="Times New Roman"/>
          <w:color w:val="auto"/>
          <w:sz w:val="24"/>
          <w:szCs w:val="24"/>
          <w:highlight w:val="none"/>
          <w:lang w:eastAsia="zh-CN"/>
        </w:rPr>
        <w:t>乌鲁木齐市市场监督管理局（乌鲁木齐市知识产权局）</w:t>
      </w:r>
      <w:r>
        <w:rPr>
          <w:rFonts w:hint="eastAsia" w:ascii="Times New Roman" w:hAnsi="Times New Roman" w:eastAsia="宋体" w:cs="Times New Roman"/>
          <w:color w:val="auto"/>
          <w:kern w:val="0"/>
          <w:sz w:val="24"/>
          <w:szCs w:val="24"/>
          <w:highlight w:val="none"/>
          <w:lang w:val="en-US" w:eastAsia="zh-CN"/>
        </w:rPr>
        <w:t>网络专项</w:t>
      </w:r>
      <w:r>
        <w:rPr>
          <w:rFonts w:hint="default" w:ascii="Times New Roman" w:hAnsi="Times New Roman" w:eastAsia="宋体" w:cs="Times New Roman"/>
          <w:color w:val="auto"/>
          <w:kern w:val="0"/>
          <w:sz w:val="24"/>
          <w:szCs w:val="24"/>
          <w:highlight w:val="none"/>
        </w:rPr>
        <w:t>抽检</w:t>
      </w:r>
      <w:r>
        <w:rPr>
          <w:rFonts w:hint="eastAsia" w:ascii="Times New Roman" w:hAnsi="Times New Roman" w:cs="Times New Roman"/>
          <w:color w:val="auto"/>
          <w:kern w:val="0"/>
          <w:sz w:val="24"/>
          <w:highlight w:val="none"/>
          <w:lang w:val="en-US" w:eastAsia="zh-CN"/>
        </w:rPr>
        <w:t>857</w:t>
      </w:r>
      <w:r>
        <w:rPr>
          <w:rFonts w:hint="default" w:ascii="Times New Roman" w:hAnsi="Times New Roman" w:cs="Times New Roman"/>
          <w:color w:val="auto"/>
          <w:kern w:val="0"/>
          <w:sz w:val="24"/>
          <w:highlight w:val="none"/>
        </w:rPr>
        <w:t>批次，单价</w:t>
      </w:r>
      <w:r>
        <w:rPr>
          <w:rFonts w:hint="eastAsia" w:ascii="Times New Roman" w:hAnsi="Times New Roman" w:cs="Times New Roman"/>
          <w:color w:val="auto"/>
          <w:kern w:val="0"/>
          <w:sz w:val="24"/>
          <w:highlight w:val="none"/>
          <w:lang w:val="en-US" w:eastAsia="zh-CN"/>
        </w:rPr>
        <w:t>1764</w:t>
      </w:r>
      <w:r>
        <w:rPr>
          <w:rFonts w:hint="default" w:ascii="Times New Roman" w:hAnsi="Times New Roman" w:cs="Times New Roman"/>
          <w:color w:val="auto"/>
          <w:kern w:val="0"/>
          <w:sz w:val="24"/>
          <w:highlight w:val="none"/>
        </w:rPr>
        <w:t>，合计</w:t>
      </w:r>
      <w:r>
        <w:rPr>
          <w:rFonts w:hint="eastAsia" w:ascii="Times New Roman" w:hAnsi="Times New Roman" w:cs="Times New Roman"/>
          <w:color w:val="auto"/>
          <w:kern w:val="0"/>
          <w:sz w:val="24"/>
          <w:highlight w:val="none"/>
          <w:lang w:val="en-US" w:eastAsia="zh-CN"/>
        </w:rPr>
        <w:t>1511748</w:t>
      </w:r>
      <w:r>
        <w:rPr>
          <w:rFonts w:hint="default" w:ascii="Times New Roman" w:hAnsi="Times New Roman" w:cs="Times New Roman"/>
          <w:color w:val="auto"/>
          <w:kern w:val="0"/>
          <w:sz w:val="24"/>
          <w:highlight w:val="none"/>
        </w:rPr>
        <w:t>元</w:t>
      </w:r>
      <w:r>
        <w:rPr>
          <w:rFonts w:hint="default" w:ascii="Times New Roman" w:hAnsi="Times New Roman" w:cs="Times New Roman"/>
          <w:color w:val="auto"/>
          <w:kern w:val="0"/>
          <w:sz w:val="24"/>
          <w:highlight w:val="none"/>
          <w:lang w:val="en-US" w:eastAsia="zh-CN"/>
        </w:rPr>
        <w:t>。</w:t>
      </w:r>
    </w:p>
    <w:p w14:paraId="34F9EC5C">
      <w:pPr>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二、抽检对象、品种及项目</w:t>
      </w:r>
    </w:p>
    <w:p w14:paraId="326D2A2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202</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年</w:t>
      </w:r>
      <w:r>
        <w:rPr>
          <w:rFonts w:hint="eastAsia" w:ascii="Times New Roman" w:hAnsi="Times New Roman" w:eastAsia="宋体" w:cs="Times New Roman"/>
          <w:color w:val="auto"/>
          <w:sz w:val="24"/>
          <w:szCs w:val="24"/>
          <w:highlight w:val="none"/>
          <w:lang w:eastAsia="zh-CN"/>
        </w:rPr>
        <w:t>乌鲁木齐市市场监督管理局（乌鲁木齐市知识产权局）</w:t>
      </w:r>
      <w:r>
        <w:rPr>
          <w:rFonts w:hint="eastAsia" w:ascii="Times New Roman" w:hAnsi="Times New Roman" w:eastAsia="宋体" w:cs="Times New Roman"/>
          <w:color w:val="auto"/>
          <w:sz w:val="24"/>
          <w:szCs w:val="24"/>
          <w:highlight w:val="none"/>
          <w:lang w:val="en-US" w:eastAsia="zh-CN"/>
        </w:rPr>
        <w:t>网络食品</w:t>
      </w:r>
      <w:r>
        <w:rPr>
          <w:rFonts w:hint="default" w:ascii="Times New Roman" w:hAnsi="Times New Roman" w:eastAsia="宋体" w:cs="Times New Roman"/>
          <w:color w:val="auto"/>
          <w:sz w:val="24"/>
          <w:szCs w:val="24"/>
          <w:highlight w:val="none"/>
        </w:rPr>
        <w:t>抽检</w:t>
      </w:r>
      <w:r>
        <w:rPr>
          <w:rFonts w:hint="eastAsia" w:ascii="Times New Roman" w:hAnsi="Times New Roman" w:cs="Times New Roman"/>
          <w:color w:val="auto"/>
          <w:sz w:val="24"/>
          <w:highlight w:val="none"/>
          <w:lang w:val="en-US" w:eastAsia="zh-CN"/>
        </w:rPr>
        <w:t>857</w:t>
      </w:r>
      <w:r>
        <w:rPr>
          <w:rFonts w:hint="default" w:ascii="Times New Roman" w:hAnsi="Times New Roman" w:cs="Times New Roman"/>
          <w:color w:val="auto"/>
          <w:sz w:val="24"/>
          <w:highlight w:val="none"/>
        </w:rPr>
        <w:t>批次</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涵盖预包装食品、</w:t>
      </w:r>
      <w:r>
        <w:rPr>
          <w:rFonts w:hint="default" w:ascii="Times New Roman" w:hAnsi="Times New Roman" w:cs="Times New Roman"/>
          <w:color w:val="auto"/>
          <w:sz w:val="24"/>
          <w:highlight w:val="none"/>
          <w:lang w:eastAsia="zh-CN"/>
        </w:rPr>
        <w:t>餐饮</w:t>
      </w:r>
      <w:r>
        <w:rPr>
          <w:rFonts w:hint="default" w:ascii="Times New Roman" w:hAnsi="Times New Roman" w:cs="Times New Roman"/>
          <w:color w:val="auto"/>
          <w:sz w:val="24"/>
          <w:highlight w:val="none"/>
          <w:lang w:val="en-US" w:eastAsia="zh-CN"/>
        </w:rPr>
        <w:t>食品</w:t>
      </w:r>
      <w:r>
        <w:rPr>
          <w:rFonts w:hint="default" w:ascii="Times New Roman" w:hAnsi="Times New Roman" w:cs="Times New Roman"/>
          <w:color w:val="auto"/>
          <w:sz w:val="24"/>
          <w:highlight w:val="none"/>
        </w:rPr>
        <w:t>，抽检品种及检验项目详见招标文件附表。</w:t>
      </w:r>
    </w:p>
    <w:p w14:paraId="55393DF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三、抽样时间和频次</w:t>
      </w:r>
    </w:p>
    <w:p w14:paraId="3E871780">
      <w:pPr>
        <w:keepNext w:val="0"/>
        <w:keepLines w:val="0"/>
        <w:pageBreakBefore w:val="0"/>
        <w:widowControl w:val="0"/>
        <w:kinsoku/>
        <w:wordWrap/>
        <w:overflowPunct/>
        <w:topLinePunct w:val="0"/>
        <w:bidi w:val="0"/>
        <w:spacing w:line="360" w:lineRule="auto"/>
        <w:ind w:firstLine="352" w:firstLineChars="147"/>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应严格落实</w:t>
      </w:r>
      <w:r>
        <w:rPr>
          <w:rFonts w:hint="eastAsia" w:ascii="Times New Roman" w:hAnsi="Times New Roman" w:eastAsia="宋体" w:cs="Times New Roman"/>
          <w:color w:val="auto"/>
          <w:sz w:val="24"/>
          <w:szCs w:val="24"/>
          <w:highlight w:val="none"/>
          <w:lang w:val="en-US" w:eastAsia="zh-CN"/>
        </w:rPr>
        <w:t>网络</w:t>
      </w:r>
      <w:r>
        <w:rPr>
          <w:rFonts w:hint="default" w:ascii="Times New Roman" w:hAnsi="Times New Roman" w:eastAsia="宋体" w:cs="Times New Roman"/>
          <w:color w:val="auto"/>
          <w:sz w:val="24"/>
          <w:szCs w:val="24"/>
          <w:highlight w:val="none"/>
        </w:rPr>
        <w:t>抽检时间与频次，均衡完成抽检任务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按</w:t>
      </w:r>
      <w:r>
        <w:rPr>
          <w:rFonts w:hint="default" w:ascii="Times New Roman" w:hAnsi="Times New Roman" w:eastAsia="宋体" w:cs="Times New Roman"/>
          <w:color w:val="auto"/>
          <w:sz w:val="24"/>
          <w:szCs w:val="24"/>
          <w:highlight w:val="none"/>
        </w:rPr>
        <w:t>规定期限完成。</w:t>
      </w:r>
    </w:p>
    <w:p w14:paraId="28E9B5C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四、抽样场所</w:t>
      </w:r>
    </w:p>
    <w:p w14:paraId="39FC5A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kern w:val="0"/>
          <w:sz w:val="24"/>
          <w:highlight w:val="none"/>
          <w:lang w:val="en-US" w:eastAsia="zh-CN"/>
        </w:rPr>
        <w:t>对消费者高度关注的网络平台直播带货，外卖平台热销食品部署开展网络抽检。</w:t>
      </w:r>
    </w:p>
    <w:p w14:paraId="1BFD0B9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五、抽样检验</w:t>
      </w:r>
    </w:p>
    <w:p w14:paraId="6E1511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抽样和检测等工作的实施应严格执行有关法律法规、规章以及《食品安全抽样检验管理办法》（总局第15号令）、《国家食品安全监督抽检实施细则（202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年版）》、《食用农产品抽样检验和核查处置规定》；抽样过程应严格按照监督抽检工作程序，履行相应的法定手续，应使用规范的抽样文书。</w:t>
      </w:r>
    </w:p>
    <w:p w14:paraId="077D22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验人员应按照食品安全标准和检验规范对食品进行检验，保证数据和结论客观、公正。承检机构对不合格样品必须进行复核，确保检验结果准确可靠。此外，检验报告编号应该与抽样编号保持一致（或是在检验报告封皮醒目处加注抽样编号），便于不合格样品的核查处置。</w:t>
      </w:r>
    </w:p>
    <w:p w14:paraId="6BFD8A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对易腐烂变质的蔬菜、水果等食用农产品样品，需进行均质备份样品的，应当在现场抽样时主动向食用农产品销售者告知确认，可采取拍照或摄像等方式对样品均质备份进行记录。</w:t>
      </w:r>
    </w:p>
    <w:p w14:paraId="6C0836A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六、任务完成时限</w:t>
      </w:r>
    </w:p>
    <w:p w14:paraId="5E88E0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网络抽检</w:t>
      </w:r>
      <w:r>
        <w:rPr>
          <w:rFonts w:hint="default" w:ascii="Times New Roman" w:hAnsi="Times New Roman" w:eastAsia="宋体" w:cs="Times New Roman"/>
          <w:color w:val="auto"/>
          <w:kern w:val="0"/>
          <w:sz w:val="24"/>
          <w:szCs w:val="24"/>
          <w:highlight w:val="none"/>
          <w:lang w:val="en-US" w:eastAsia="zh-CN"/>
        </w:rPr>
        <w:t>任务</w:t>
      </w:r>
      <w:r>
        <w:rPr>
          <w:rFonts w:hint="default" w:ascii="Times New Roman" w:hAnsi="Times New Roman" w:eastAsia="宋体" w:cs="Times New Roman"/>
          <w:color w:val="auto"/>
          <w:sz w:val="24"/>
          <w:szCs w:val="24"/>
          <w:highlight w:val="none"/>
        </w:rPr>
        <w:t>为乌鲁木齐市</w:t>
      </w:r>
      <w:r>
        <w:rPr>
          <w:rFonts w:hint="eastAsia" w:ascii="Times New Roman" w:hAnsi="Times New Roman" w:eastAsia="宋体" w:cs="Times New Roman"/>
          <w:color w:val="auto"/>
          <w:sz w:val="24"/>
          <w:szCs w:val="24"/>
          <w:highlight w:val="none"/>
          <w:lang w:val="en-US" w:eastAsia="zh-CN"/>
        </w:rPr>
        <w:t>省抽</w:t>
      </w:r>
      <w:r>
        <w:rPr>
          <w:rFonts w:hint="default" w:ascii="Times New Roman" w:hAnsi="Times New Roman" w:eastAsia="宋体" w:cs="Times New Roman"/>
          <w:color w:val="auto"/>
          <w:sz w:val="24"/>
          <w:szCs w:val="24"/>
          <w:highlight w:val="none"/>
        </w:rPr>
        <w:t>任务。</w:t>
      </w:r>
    </w:p>
    <w:p w14:paraId="7BF13B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rPr>
        <w:t>需达到均衡抽检要求，</w:t>
      </w:r>
      <w:r>
        <w:rPr>
          <w:rFonts w:hint="default" w:ascii="Times New Roman" w:hAnsi="Times New Roman" w:eastAsia="宋体" w:cs="Times New Roman"/>
          <w:color w:val="auto"/>
          <w:sz w:val="24"/>
          <w:highlight w:val="none"/>
          <w:lang w:val="en-US" w:eastAsia="zh-CN"/>
        </w:rPr>
        <w:t>202</w:t>
      </w:r>
      <w:r>
        <w:rPr>
          <w:rFonts w:hint="eastAsia"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年</w:t>
      </w:r>
      <w:r>
        <w:rPr>
          <w:rFonts w:hint="eastAsia"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30</w:t>
      </w:r>
      <w:r>
        <w:rPr>
          <w:rFonts w:hint="default" w:ascii="Times New Roman" w:hAnsi="Times New Roman" w:eastAsia="宋体" w:cs="Times New Roman"/>
          <w:color w:val="auto"/>
          <w:sz w:val="24"/>
          <w:highlight w:val="none"/>
        </w:rPr>
        <w:t>日前完成完成所有抽检任务。</w:t>
      </w:r>
    </w:p>
    <w:p w14:paraId="4542251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七、数据报送</w:t>
      </w:r>
    </w:p>
    <w:p w14:paraId="0D544F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1.承检机构应严格按照有关法律法规、规章和有关要求，将检验工作中发现的食品安全问题和有关检验报告及时上报组织实施抽检工作的市场监管部门。</w:t>
      </w:r>
    </w:p>
    <w:p w14:paraId="4EFAFD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2.发现不合格样品中可能存在重大风险隐患或急性健康风险的，应当在确认检验结果后24小时之内填写《食品安全抽样检验限时报告情况表》，报告</w:t>
      </w:r>
      <w:r>
        <w:rPr>
          <w:rFonts w:hint="eastAsia" w:ascii="Times New Roman" w:hAnsi="Times New Roman" w:eastAsia="宋体" w:cs="Times New Roman"/>
          <w:color w:val="auto"/>
          <w:sz w:val="24"/>
          <w:szCs w:val="24"/>
          <w:highlight w:val="none"/>
          <w:lang w:eastAsia="zh-CN"/>
        </w:rPr>
        <w:t>乌鲁木齐市市场监督管理局（乌鲁木齐市知识产权局）</w:t>
      </w:r>
      <w:r>
        <w:rPr>
          <w:rFonts w:hint="default" w:ascii="Times New Roman" w:hAnsi="Times New Roman" w:eastAsia="宋体" w:cs="Times New Roman"/>
          <w:color w:val="auto"/>
          <w:sz w:val="24"/>
          <w:szCs w:val="24"/>
          <w:highlight w:val="none"/>
        </w:rPr>
        <w:t>，并抄送自治区市场监管局。</w:t>
      </w:r>
    </w:p>
    <w:p w14:paraId="743386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3.所有抽检数据须录入国抽平台。</w:t>
      </w:r>
    </w:p>
    <w:p w14:paraId="3DEF9E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4.须形成</w:t>
      </w:r>
      <w:r>
        <w:rPr>
          <w:rFonts w:hint="eastAsia" w:ascii="Times New Roman" w:hAnsi="Times New Roman" w:eastAsia="宋体" w:cs="Times New Roman"/>
          <w:color w:val="auto"/>
          <w:sz w:val="24"/>
          <w:szCs w:val="24"/>
          <w:highlight w:val="none"/>
          <w:lang w:val="en-US" w:eastAsia="zh-CN"/>
        </w:rPr>
        <w:t>网络抽检</w:t>
      </w:r>
      <w:r>
        <w:rPr>
          <w:rFonts w:hint="default" w:ascii="Times New Roman" w:hAnsi="Times New Roman" w:cs="Times New Roman"/>
          <w:color w:val="auto"/>
          <w:sz w:val="24"/>
          <w:highlight w:val="none"/>
        </w:rPr>
        <w:t>半年及全年分析报告</w:t>
      </w:r>
      <w:r>
        <w:rPr>
          <w:rFonts w:hint="default" w:ascii="Times New Roman" w:hAnsi="Times New Roman" w:eastAsia="宋体" w:cs="Times New Roman"/>
          <w:color w:val="auto"/>
          <w:sz w:val="24"/>
          <w:szCs w:val="24"/>
          <w:highlight w:val="none"/>
          <w:lang w:val="en-US" w:eastAsia="zh-CN"/>
        </w:rPr>
        <w:t>。</w:t>
      </w:r>
    </w:p>
    <w:p w14:paraId="553980A8">
      <w:pPr>
        <w:pStyle w:val="29"/>
        <w:rPr>
          <w:rFonts w:hint="default" w:ascii="Times New Roman" w:hAnsi="Times New Roman" w:eastAsia="宋体" w:cs="Times New Roman"/>
          <w:color w:val="auto"/>
          <w:sz w:val="24"/>
          <w:szCs w:val="24"/>
          <w:highlight w:val="none"/>
          <w:lang w:val="en-US" w:eastAsia="zh-CN"/>
        </w:rPr>
      </w:pPr>
    </w:p>
    <w:p w14:paraId="46B58C82">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八、验收、续签合同、付款</w:t>
      </w:r>
    </w:p>
    <w:p w14:paraId="3379ED03">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（一）验收</w:t>
      </w:r>
    </w:p>
    <w:p w14:paraId="02F36228">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cs="Times New Roman"/>
          <w:color w:val="auto"/>
          <w:highlight w:val="none"/>
        </w:rPr>
      </w:pPr>
      <w:r>
        <w:rPr>
          <w:rFonts w:hint="eastAsia" w:ascii="Times New Roman" w:hAnsi="Times New Roman" w:eastAsia="宋体" w:cs="Times New Roman"/>
          <w:color w:val="auto"/>
          <w:kern w:val="2"/>
          <w:sz w:val="24"/>
          <w:szCs w:val="24"/>
          <w:highlight w:val="none"/>
          <w:lang w:val="en-US" w:eastAsia="zh-CN" w:bidi="ar"/>
        </w:rPr>
        <w:t>乌鲁木齐市市场监督管理局（乌鲁木齐市知识产权局）</w:t>
      </w:r>
      <w:r>
        <w:rPr>
          <w:rFonts w:hint="default" w:ascii="Times New Roman" w:hAnsi="Times New Roman" w:eastAsia="宋体" w:cs="Times New Roman"/>
          <w:color w:val="auto"/>
          <w:kern w:val="2"/>
          <w:sz w:val="24"/>
          <w:szCs w:val="24"/>
          <w:highlight w:val="none"/>
          <w:lang w:val="en-US" w:eastAsia="zh-CN" w:bidi="ar"/>
        </w:rPr>
        <w:t>按照合同执行情况，对该年度承担任务的承检机构进行质量验收，确认验收报告。</w:t>
      </w:r>
    </w:p>
    <w:p w14:paraId="1AF35C34">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（二）项目办结及付款</w:t>
      </w:r>
    </w:p>
    <w:p w14:paraId="35207A6A">
      <w:pPr>
        <w:pStyle w:val="1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highlight w:val="none"/>
        </w:rPr>
        <w:t>采购人凭项目合同、验收报告、发票原件在合同约定的时间内办理采购款支付手续。</w:t>
      </w:r>
    </w:p>
    <w:p w14:paraId="5F7C3B14">
      <w:pPr>
        <w:pStyle w:val="13"/>
        <w:rPr>
          <w:rFonts w:hint="default" w:ascii="Times New Roman" w:hAnsi="Times New Roman" w:cs="Times New Roman"/>
          <w:color w:val="auto"/>
          <w:highlight w:val="none"/>
        </w:rPr>
        <w:sectPr>
          <w:pgSz w:w="11906" w:h="16838"/>
          <w:pgMar w:top="1134" w:right="1417" w:bottom="1134" w:left="1417" w:header="851" w:footer="992" w:gutter="0"/>
          <w:cols w:space="425" w:num="1"/>
          <w:docGrid w:type="lines" w:linePitch="312" w:charSpace="0"/>
        </w:sectPr>
      </w:pPr>
    </w:p>
    <w:tbl>
      <w:tblPr>
        <w:tblStyle w:val="30"/>
        <w:tblW w:w="15380" w:type="dxa"/>
        <w:tblInd w:w="-22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0"/>
        <w:gridCol w:w="1228"/>
        <w:gridCol w:w="1215"/>
        <w:gridCol w:w="1271"/>
        <w:gridCol w:w="1214"/>
        <w:gridCol w:w="6979"/>
        <w:gridCol w:w="1709"/>
        <w:gridCol w:w="964"/>
      </w:tblGrid>
      <w:tr w14:paraId="6768C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0" w:hRule="atLeast"/>
        </w:trPr>
        <w:tc>
          <w:tcPr>
            <w:tcW w:w="15380" w:type="dxa"/>
            <w:gridSpan w:val="8"/>
            <w:tcBorders>
              <w:top w:val="nil"/>
              <w:left w:val="nil"/>
              <w:bottom w:val="single" w:color="auto" w:sz="4" w:space="0"/>
              <w:right w:val="nil"/>
            </w:tcBorders>
            <w:shd w:val="clear" w:color="auto" w:fill="auto"/>
            <w:vAlign w:val="center"/>
          </w:tcPr>
          <w:p w14:paraId="19D1C6A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方正小标宋_GBK" w:cs="Times New Roman"/>
                <w:b w:val="0"/>
                <w:bCs w:val="0"/>
                <w:i w:val="0"/>
                <w:iCs w:val="0"/>
                <w:color w:val="auto"/>
                <w:kern w:val="0"/>
                <w:sz w:val="44"/>
                <w:szCs w:val="44"/>
                <w:highlight w:val="none"/>
                <w:u w:val="none"/>
                <w:lang w:val="en-US" w:eastAsia="zh-CN" w:bidi="ar"/>
              </w:rPr>
            </w:pPr>
            <w:r>
              <w:rPr>
                <w:rFonts w:hint="eastAsia" w:ascii="宋体" w:hAnsi="宋体" w:eastAsia="宋体" w:cs="宋体"/>
                <w:b/>
                <w:bCs/>
                <w:i w:val="0"/>
                <w:iCs w:val="0"/>
                <w:color w:val="auto"/>
                <w:kern w:val="0"/>
                <w:sz w:val="44"/>
                <w:szCs w:val="44"/>
                <w:highlight w:val="none"/>
                <w:u w:val="none"/>
                <w:lang w:val="en-US" w:eastAsia="zh-CN" w:bidi="ar"/>
              </w:rPr>
              <w:t>2026年乌鲁木齐网络抽检食品安全监督抽检任务分配表</w:t>
            </w:r>
          </w:p>
        </w:tc>
      </w:tr>
      <w:tr w14:paraId="57818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800" w:type="dxa"/>
            <w:tcBorders>
              <w:top w:val="single" w:color="auto" w:sz="4" w:space="0"/>
              <w:left w:val="single" w:color="000000" w:sz="4" w:space="0"/>
              <w:bottom w:val="single" w:color="000000" w:sz="4" w:space="0"/>
              <w:right w:val="single" w:color="000000" w:sz="4" w:space="0"/>
            </w:tcBorders>
            <w:shd w:val="clear" w:color="auto" w:fill="auto"/>
            <w:vAlign w:val="center"/>
          </w:tcPr>
          <w:p w14:paraId="0FD1271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序号</w:t>
            </w:r>
          </w:p>
        </w:tc>
        <w:tc>
          <w:tcPr>
            <w:tcW w:w="1228" w:type="dxa"/>
            <w:tcBorders>
              <w:top w:val="single" w:color="auto" w:sz="4" w:space="0"/>
              <w:left w:val="single" w:color="000000" w:sz="4" w:space="0"/>
              <w:bottom w:val="single" w:color="000000" w:sz="4" w:space="0"/>
              <w:right w:val="single" w:color="000000" w:sz="4" w:space="0"/>
            </w:tcBorders>
            <w:shd w:val="clear" w:color="auto" w:fill="auto"/>
            <w:vAlign w:val="center"/>
          </w:tcPr>
          <w:p w14:paraId="5412B66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食品大类（一级）</w:t>
            </w:r>
          </w:p>
        </w:tc>
        <w:tc>
          <w:tcPr>
            <w:tcW w:w="1215" w:type="dxa"/>
            <w:tcBorders>
              <w:top w:val="single" w:color="auto" w:sz="4" w:space="0"/>
              <w:left w:val="single" w:color="000000" w:sz="4" w:space="0"/>
              <w:bottom w:val="single" w:color="000000" w:sz="4" w:space="0"/>
              <w:right w:val="single" w:color="000000" w:sz="4" w:space="0"/>
            </w:tcBorders>
            <w:shd w:val="clear" w:color="auto" w:fill="auto"/>
            <w:vAlign w:val="center"/>
          </w:tcPr>
          <w:p w14:paraId="1CB67F7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食品亚类（二级）</w:t>
            </w:r>
          </w:p>
        </w:tc>
        <w:tc>
          <w:tcPr>
            <w:tcW w:w="1271" w:type="dxa"/>
            <w:tcBorders>
              <w:top w:val="single" w:color="auto" w:sz="4" w:space="0"/>
              <w:left w:val="single" w:color="000000" w:sz="4" w:space="0"/>
              <w:bottom w:val="single" w:color="000000" w:sz="4" w:space="0"/>
              <w:right w:val="single" w:color="000000" w:sz="4" w:space="0"/>
            </w:tcBorders>
            <w:shd w:val="clear" w:color="auto" w:fill="auto"/>
            <w:vAlign w:val="center"/>
          </w:tcPr>
          <w:p w14:paraId="04EF9BE0">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食品品种（三级）</w:t>
            </w:r>
          </w:p>
        </w:tc>
        <w:tc>
          <w:tcPr>
            <w:tcW w:w="1214" w:type="dxa"/>
            <w:tcBorders>
              <w:top w:val="single" w:color="auto" w:sz="4" w:space="0"/>
              <w:left w:val="single" w:color="000000" w:sz="4" w:space="0"/>
              <w:bottom w:val="single" w:color="000000" w:sz="4" w:space="0"/>
              <w:right w:val="single" w:color="000000" w:sz="4" w:space="0"/>
            </w:tcBorders>
            <w:shd w:val="clear" w:color="auto" w:fill="auto"/>
            <w:vAlign w:val="center"/>
          </w:tcPr>
          <w:p w14:paraId="479750C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食品细类（四级）</w:t>
            </w:r>
          </w:p>
        </w:tc>
        <w:tc>
          <w:tcPr>
            <w:tcW w:w="6979" w:type="dxa"/>
            <w:tcBorders>
              <w:top w:val="single" w:color="auto" w:sz="4" w:space="0"/>
              <w:left w:val="single" w:color="000000" w:sz="4" w:space="0"/>
              <w:bottom w:val="single" w:color="000000" w:sz="4" w:space="0"/>
              <w:right w:val="single" w:color="000000" w:sz="4" w:space="0"/>
            </w:tcBorders>
            <w:shd w:val="clear" w:color="auto" w:fill="auto"/>
            <w:vAlign w:val="center"/>
          </w:tcPr>
          <w:p w14:paraId="6CDF89B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抽检项目</w:t>
            </w:r>
          </w:p>
        </w:tc>
        <w:tc>
          <w:tcPr>
            <w:tcW w:w="1709" w:type="dxa"/>
            <w:tcBorders>
              <w:top w:val="single" w:color="auto" w:sz="4" w:space="0"/>
              <w:left w:val="single" w:color="000000" w:sz="4" w:space="0"/>
              <w:bottom w:val="single" w:color="000000" w:sz="4" w:space="0"/>
              <w:right w:val="single" w:color="000000" w:sz="4" w:space="0"/>
            </w:tcBorders>
            <w:shd w:val="clear" w:color="auto" w:fill="auto"/>
            <w:vAlign w:val="center"/>
          </w:tcPr>
          <w:p w14:paraId="519E1C66">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区配套限定抽检品种及项目</w:t>
            </w:r>
          </w:p>
        </w:tc>
        <w:tc>
          <w:tcPr>
            <w:tcW w:w="964" w:type="dxa"/>
            <w:tcBorders>
              <w:top w:val="single" w:color="auto" w:sz="4" w:space="0"/>
              <w:left w:val="single" w:color="000000" w:sz="4" w:space="0"/>
              <w:bottom w:val="single" w:color="000000" w:sz="4" w:space="0"/>
              <w:right w:val="single" w:color="000000" w:sz="4" w:space="0"/>
            </w:tcBorders>
            <w:shd w:val="clear" w:color="auto" w:fill="auto"/>
            <w:vAlign w:val="center"/>
          </w:tcPr>
          <w:p w14:paraId="560CF71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eastAsia" w:ascii="Times New Roman" w:hAnsi="Times New Roman" w:eastAsia="宋体" w:cs="Times New Roman"/>
                <w:b/>
                <w:bCs/>
                <w:i w:val="0"/>
                <w:iCs w:val="0"/>
                <w:color w:val="auto"/>
                <w:kern w:val="0"/>
                <w:sz w:val="20"/>
                <w:szCs w:val="20"/>
                <w:highlight w:val="none"/>
                <w:u w:val="none"/>
                <w:lang w:val="en-US" w:eastAsia="zh-CN" w:bidi="ar"/>
              </w:rPr>
              <w:t>批次</w:t>
            </w:r>
          </w:p>
        </w:tc>
      </w:tr>
      <w:tr w14:paraId="074FE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C00A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E1DE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粮食加工品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C16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73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FB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9878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铅（以Pb计）、镉（以Cd计）、苯并[a]芘、玉米赤霉烯酮、脱氧雪腐镰刀菌烯醇、赭曲霉毒素A、黄曲霉毒素B₁ 、偶氮甲酰胺、过氧化苯甲酰</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B5F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2A78E4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36</w:t>
            </w:r>
          </w:p>
          <w:p w14:paraId="0F2409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A2E4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A25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B2E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7F0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大米</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C26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大米</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E8F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大米</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EE7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铅（以Pb计）、镉（以Cd计）、无机砷（以As计）、苯并[a]芘、黄曲霉毒素B₁ 、赭曲霉毒素A</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A2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4C8AA9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F879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2E3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0FC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5A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挂面</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144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挂面</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42F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挂面</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F871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铅（以Pb计）、黄曲霉毒素B₁ 、脱氢乙酸及其钠盐（以脱氢乙酸计）、合成着色剂（柠檬黄、日落黄、胭脂红、苋菜红、诱惑红、亮蓝）</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E5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05FE0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068F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B45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599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D6CC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其他粮食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E9F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谷物加工品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4F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谷物加工品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817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铅（以Pb计）、镉（以Cd计）、黄曲霉毒素B₁ 、赭曲霉毒素A</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B0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15781D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CBDF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2FB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574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9A76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79D1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谷物碾磨</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A9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玉米粉</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（片、渣 ）</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3670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苯并[a]芘、黄曲霉毒素B₁ 、赭曲霉毒素A、玉米赤霉烯酮、脱氧雪腐镰刀菌烯醇</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475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5BC1F6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EA8B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F7E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900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30F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34A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03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米粉</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F7F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铅（以Pb计）、镉（以Cd计）、总汞（以Hg计）、无机砷（以As计）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0F2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727A8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77FD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AE0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A8B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EFF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DEA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9F7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其他谷物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碾磨加工品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6A3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铅（以Pb计）、铬（以Cr计）、赭曲霉毒素A</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C1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477B1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9456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DD7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9D4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8EB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83F3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谷物粉类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制成品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B10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生湿面制品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123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铅（以Pb计）、苯甲酸及其钠盐（以苯甲酸计）、山梨酸及其钾盐（以山梨酸计）、脱氢乙酸及其钠盐（以脱氢乙酸计）、二氧化硫残留量、合成着色剂（柠檬黄）</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03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AACF0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92CE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C52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9BA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66C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175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A28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发酵面制品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B27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糖精钠（以糖精计）、甜蜜素（以环己基氨基磺酸计）、安赛蜜、合成着色剂（柠檬黄、胭脂红）、菌落总数、大肠菌群</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70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13A12D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9D14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7DC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022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2710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其他粮食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F58E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谷物粉类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制成品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BE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米粉制品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B321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二氧化硫残留量、合成着色剂（柠檬黄、日落黄、喹啉黄、亮蓝、靛蓝）、甜蜜素（以环己基氨基磺酸计）、菌落总数、大肠菌群</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FD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964" w:type="dxa"/>
            <w:vMerge w:val="continue"/>
            <w:tcBorders>
              <w:left w:val="single" w:color="000000" w:sz="4" w:space="0"/>
              <w:right w:val="single" w:color="000000" w:sz="4" w:space="0"/>
            </w:tcBorders>
            <w:shd w:val="clear" w:color="auto" w:fill="auto"/>
            <w:vAlign w:val="center"/>
          </w:tcPr>
          <w:p w14:paraId="5548C6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9C43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394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3BD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F1B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F65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6B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其他谷物粉类制成品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9C9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黄曲霉毒素B₁ 、苯甲酸及其钠盐（以苯甲酸计）、山梨酸及其钾盐（以山梨酸计）、脱氢乙酸及其钠盐（以脱氢乙酸计）、合成着色剂（柠檬黄、日落黄、胭脂红、苋菜红、亮蓝）、菌落总数、大肠菌群</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1B8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7CDF04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8863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2628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FFB8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食用油、油脂及其制品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D7AB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食用植物油</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A5F9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食用植物油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0C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花生油</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7C92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酸值/酸价、过氧化值、黄曲霉毒素B₁ 、苯并[a]芘、溶剂残留量、特丁基对苯二酚（TBHQ）、铅（以Pb计）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5E1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7B24A9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49</w:t>
            </w:r>
          </w:p>
          <w:p w14:paraId="04C326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D285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A17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22B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CD6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0F6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3E7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玉米油</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BBB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酸值/酸价、过氧化值、黄曲霉毒素B₁ 、苯并[a]芘、特丁基对苯二酚（TBHQ）</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F1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5EDEF9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1FF4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FD2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3C0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C7E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BCF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848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芝麻油</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FBA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酸值/酸价、过氧化值、苯并[a]芘、溶剂残留量、乙基麦芽酚</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1B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6226A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D990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7EB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62C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859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48A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4DF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橄榄油、油橄榄果渣油</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598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酸值/酸价、过氧化值、溶剂残留量、特丁基对苯二酚（TBHQ）</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AA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599E44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7769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8CF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492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CF3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480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54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菜籽油</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3B2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酸值/酸价、过氧化值、苯并[a]芘、溶剂残留量、特丁基对苯二酚（TBHQ）、乙基麦芽酚、铅（以Pb计）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55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42A59C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0E60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016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3B5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5B3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B1E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88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大豆油</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65EC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酸值/酸价、过氧化值、苯并[a]芘、溶剂残留量、特丁基对苯二酚（TBHQ）、铅（以Pb计）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E8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239AA4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104E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758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0B9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AF9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32B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D9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食用植物调和油</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DC8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酸价、过氧化值、苯并[a]芘、溶剂残留量、特丁基对苯二酚（TBHQ）、乙基麦芽酚、铅</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（以Pb计）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EB6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28BAF9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8C75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F71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582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132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E7A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BE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油茶籽油</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C60A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酸值/酸价、过氧化值、苯并[a]芘、溶剂残留量、特丁基对苯二酚（TBHQ）、铅（以Pb计）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2C6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94060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C477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CE6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1CA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873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FAF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BD6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其他食用植物油</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1FD5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64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20B176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8712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269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692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2C0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食用动物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油脂</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5E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食用动物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油脂</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17A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食用动物油脂</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E61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酸价、过氧化值、丙二醛、苯并[a]芘、铅（以Pb计）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7FD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69905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DFF9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CFE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3C6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E49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食用油脂</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23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食用油脂</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31F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食用油脂制品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116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酸价（以脂肪计）、过氧化值（以脂肪计）、大肠菌群、霉菌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FB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26D464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6DBC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88BF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3</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AA1B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C0D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酱油</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A4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69F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酱油</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1BF4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全氮（以氮计）、铵盐（以占氨基酸态氮的百分比计）、苯甲酸及其钠盐（以苯甲酸计）、山梨酸及其钾盐（以山梨酸计）、脱氢乙酸及其钠盐（以脱氢乙酸计）、对羟基苯甲酸酯类及其钠盐（以对羟基苯甲酸计）、防腐剂混合使用时各自用量占其最大使用量的比例之和、糖精钠（以糖精计）、甜蜜素（以环己基氨基磺酸计）、菌落总数、大肠菌群</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A6B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266843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42</w:t>
            </w:r>
          </w:p>
        </w:tc>
      </w:tr>
      <w:tr w14:paraId="3A0D7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0FC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11E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59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食醋</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9E4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食醋</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FBC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食醋</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2CC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酸（以乙酸计）、不挥发酸（以乳酸计）、苯甲酸及其钠盐（以苯甲酸计）、山梨酸及其钾盐（以山梨酸计）、脱氢乙酸及其钠盐（以脱氢乙酸计）、对羟基苯甲酸酯类及其钠盐（以对羟基苯甲酸计）、防腐剂混合使用时各自用量占其最大使用量的比例之和、糖精钠（以糖精计）、甜蜜素（以环己基氨基磺酸计）、三氯蔗糖、菌落总数</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DD6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4BD061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89DC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797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D93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06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酱类</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B4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酿造酱</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0F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黄豆酱、甜面酱等</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4A18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氨基酸态氮、黄曲霉毒素B₁ 、苯甲酸及其钠盐（以苯甲酸计）、山梨酸及其钾盐（以山梨酸计）、脱氢乙酸及其钠盐（以脱氢乙酸计）、防腐剂混合使用时各自用量占其最大使用量的比例之和、糖精钠（以糖精计）、甜蜜素（以环己基氨基磺酸计）、安赛蜜、大肠菌群</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2F0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660591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81F7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B20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9CB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B03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调味料酒</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76A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E7F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料酒</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67F1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氨基酸态氮（以氮计）、苯甲酸及其钠盐（以苯甲酸计）、山梨酸及其钾盐（以山梨酸计）、脱氢乙酸及其钠盐（以脱氢乙酸计）、甜蜜素（以环己基氨基磺酸计）、三氯蔗糖</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31C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2A6335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2AD2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E2D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834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DF93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香辛料类</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2DFD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香辛料类</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87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香辛料调味油</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D40D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酸价/酸值、过氧化值</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6F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4CDBFA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6349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F9D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0BE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A68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A3D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5EE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辣椒、花椒、辣椒粉、花椒</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粉</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7EEB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铅（以Pb计）、罗丹明B、苏丹红I、苏丹红Ⅱ、苏丹红Ⅲ、苏丹红IV、脱氢乙酸及其钠盐（以脱氢乙酸计）、山梨酸及其钾盐（以山梨酸计）、二氧化硫残留量、合成着色剂（柠檬黄、日落黄、胭脂红）</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A1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1E610E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A8D0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2FE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5E9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B9B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D8B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B26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其他香辛料调味品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6AA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脱氢乙酸及其钠盐（以脱氢乙酸计）、二氧化硫残留量、甜蜜素（以环己基氨基磺酸计）、合成着色剂（柠檬黄、日落黄、苋菜红、胭脂红、亮蓝）、丙溴磷、氯氰菊酯和高效氯氰菊酯、多菌灵、毒死蜱、克百威、沙门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55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6A9315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FD14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9CE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3B6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B196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D99A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固体复合调味料</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3B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鸡粉、鸡精调味料</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324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谷氨酸钠、呈味核苷酸二钠、总氮（以N计）、铅（以Pb计）、糖精钠（以糖精计）、甜蜜素（以环己基氨基磺酸计）、菌落总数、大肠菌群、安赛蜜</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9A4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15A6D4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D58B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640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BFF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988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786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FBE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其他固体调味料</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A59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苏丹红I、苏丹红Ⅱ、苏丹红Ⅲ、苏丹红IV、罂粟碱、吗啡、可待因、那可丁、苯甲酸及其钠盐（以苯甲酸计）、山梨酸及其钾盐（以山梨酸计）、脱氢乙酸及其钠盐（以脱氢乙酸计）、防腐剂混合使用时各自用量占其最大使用量的比例之和、糖精钠（以糖精计）、甜蜜素（以环己基氨基磺酸计）、安赛蜜、阿斯巴甜、二氧化硫残留量</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0BA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5C7603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DC6F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4B3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148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1C9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0ED2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半固体复合调味料</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6A8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蛋黄酱、沙拉酱</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6B4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二氧化钛</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7E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594B22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7799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908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C1F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B76C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E7F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49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坚果与籽类的泥（酱）</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1891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酸价/酸值、过氧化值、铅（以Pb计）、黄曲霉毒素B₁</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19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40CCE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1A6C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DF0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246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B5A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7E7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220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辣椒酱</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1D6B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甜蜜素（以环己基氨基磺酸计）、二氧化硫残留量</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4A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A00AD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6DC5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245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152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F58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AEC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0C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火锅底料、麻辣烫底料</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A27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罂粟碱、吗啡、可待因、那可丁、苯甲酸及其钠盐（以苯甲酸计）、山梨酸及其钾盐（以山梨酸计）、脱氢乙酸及其钠盐（以脱氢乙酸计）、防腐剂混合使用时各自用量占其最大使用量的比例之和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59E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514C45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71B7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57D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4F1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DC5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9A8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866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其他半固体调味料</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7907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罗丹明B、罂粟碱、吗啡、可待因、那可丁、苯甲酸及其钠盐（以苯甲酸计）、山梨酸及其钾盐（以山梨酸计）、脱氢乙酸及其钠盐（以脱氢乙酸计）、防腐剂混合使用时各自用量占其最大使用量的比例之和、甜蜜素（以环己基氨基磺酸计）、安赛蜜</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192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224E58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5251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DB4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350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13A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2F74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液体复合</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调味料</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FD0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蚝油、虾油、鱼露</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9054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氨基酸态氮、苯甲酸及其钠盐（以苯甲酸计）、山梨酸及其钾盐（以山梨酸计）、脱氢乙酸及其钠盐（以脱氢乙酸计）、防腐剂混合使用时各自用量占其最大使用量的比例之和、菌落总数</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E8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6352A0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5D2F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0C8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398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185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4E7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EFC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其他液体调味料</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6F23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糖精钠（以糖精计）、甜蜜素（以环己基氨基磺酸计）、合成着色剂（柠檬黄、日落黄、胭脂红、诱惑红）、相同色泽着色剂混合使用时各自用量占其最大使用量的比例之和、菌落总数</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A64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1F8EBA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69A7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29C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E3B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FC1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味精</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76C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味精</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1E3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味精</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0B3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谷氨酸钠</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8B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4BD546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BE9D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58D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51E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717E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食盐</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56F4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食用盐</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E96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普通食用盐</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0BFE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氯化钠、钡（以Ba计）、碘（以I计）、铅（以Pb计）、总砷（以As计）、镉（以Cd计）、总汞（以Hg计）、亚铁氰化钾/亚铁氰化钠（以亚铁氰根计）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F1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6A1311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9F7D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F75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765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5C0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703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13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低钠食用盐</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0C16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氯化钾、钡（以Ba计）、碘（以I计）、铅（以Pb计）、总砷（以As计）、镉（以Cd计）、总汞（以Hg计）、亚铁氰化钾/亚铁氰化钠（以亚铁氰根计）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44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EB06C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86D3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CC6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249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FBA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032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514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风味食用盐</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B0F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钡（以Ba计）、铅（以Pb计）、总砷（以As计）、镉（以Cd计）、总汞（以Hg计）、亚铁氰化钾/亚铁氰化钠（以亚铁氰根计）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4C7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60079A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B715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88A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443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E38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3B2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6C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特殊工艺食用盐</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06A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氯化钠、钡（以Ba计）、碘（以I计）、铅（以Pb计）、总砷（以As计）、镉（以Cd计）、总汞（以Hg计）、亚铁氰化钾/亚铁氰化钠（以亚铁氰根计）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952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46EDE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935A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403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5F9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1E3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D40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食品生产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加工用盐</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BBD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食品生产加工用盐</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C889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铅（以Pb计）、总砷（以As计）、镉（以Cd计）、总汞（以Hg计）、亚铁氰化钾/亚铁氰化钠（以亚铁氰根计）、亚硝酸盐（以NaNO₂计）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44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022966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DAC0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3C42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4</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C257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肉制品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13E7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预制肉制品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0E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调理肉制品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AE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调理肉制品（非速冻）</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C3C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72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0F2B6E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59</w:t>
            </w:r>
          </w:p>
          <w:p w14:paraId="5A8769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CF23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7C5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74A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22A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AF3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腌腊肉制品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CB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腌腊肉制品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B33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总砷（以As计）、亚硝酸盐（以亚硝酸钠计）、苯甲酸及其钠盐（以苯甲酸计）、山梨酸及其钾盐（以山梨酸计）、脱氢乙酸及其钠盐（以脱氢乙酸计）、合成着色剂（柠檬黄、日落黄、胭脂红、诱惑红、苋菜红、酸性红）、红2G、氯霉素</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2AD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964" w:type="dxa"/>
            <w:vMerge w:val="continue"/>
            <w:tcBorders>
              <w:left w:val="single" w:color="000000" w:sz="4" w:space="0"/>
              <w:right w:val="single" w:color="000000" w:sz="4" w:space="0"/>
            </w:tcBorders>
            <w:shd w:val="clear" w:color="auto" w:fill="auto"/>
            <w:vAlign w:val="center"/>
          </w:tcPr>
          <w:p w14:paraId="2C22B1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C447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476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CDE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FAF7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3F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发酵肉制品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D73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发酵肉制品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DFB4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亚硝酸盐（以亚硝酸钠计）、沙门氏菌、金黄色葡萄球菌、单核细胞增生李斯特氏菌、致泻大肠埃希氏菌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BE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288C74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E23C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2E7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071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0AC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E5B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酱卤肉制品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65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酱卤肉制品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DD11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镉（以Cd计）、铬（以Cr计）、总砷（以As计）、N-二甲基亚硝胺、亚硝酸盐（以亚硝酸钠计）、苯甲酸及其钠盐（以苯甲酸计）、山梨酸及其钾盐（以山梨酸计）、脱氢乙酸及其钠盐（以脱氢乙酸计）、纳他霉素、防腐剂混合使用时各自用量占其最大使用量的比例之和、糖精钠（以糖精计）、合成着色剂（柠檬黄、日落黄、胭脂红、诱惑红）、氯霉素、菌落总数、大肠菌群、沙门氏菌、金黄色葡萄球菌、单核细胞增生李斯特氏菌、致泻大肠埃希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1C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964" w:type="dxa"/>
            <w:vMerge w:val="continue"/>
            <w:tcBorders>
              <w:left w:val="single" w:color="000000" w:sz="4" w:space="0"/>
              <w:right w:val="single" w:color="000000" w:sz="4" w:space="0"/>
            </w:tcBorders>
            <w:shd w:val="clear" w:color="auto" w:fill="auto"/>
            <w:vAlign w:val="center"/>
          </w:tcPr>
          <w:p w14:paraId="186BEA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A9FD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427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FF4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24C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3B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油炸肉制品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E39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油炸肉制品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52D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N-二甲基亚硝胺、亚硝酸盐（以亚硝酸钠计）、苯甲酸及其钠盐（以苯甲酸计）、山梨酸及其钾盐（以山梨酸计）、沙门氏菌、金黄色葡萄球菌、单核细胞增生李斯特氏菌、致泻大肠埃希氏菌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FCB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9BF5B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FD3D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7C7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60A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145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66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熟肉干制品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7F3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熟肉干制品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C90C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N-二甲基亚硝胺、苯甲酸及其钠盐（以苯甲酸计）、山梨酸及其钾盐（以山梨酸计）、脱氢乙酸及其钠盐（以脱氢乙酸计）、防腐剂混合使用时各自用量占其最大使用量的比例之和、合成着色剂（胭脂红、诱惑红）、氯霉素、菌落总数、大肠菌群、沙门氏菌、金黄色葡萄球菌、单核细胞增生李斯特氏菌、致泻大肠埃希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F7A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964" w:type="dxa"/>
            <w:vMerge w:val="continue"/>
            <w:tcBorders>
              <w:left w:val="single" w:color="000000" w:sz="4" w:space="0"/>
              <w:right w:val="single" w:color="000000" w:sz="4" w:space="0"/>
            </w:tcBorders>
            <w:shd w:val="clear" w:color="auto" w:fill="auto"/>
            <w:vAlign w:val="center"/>
          </w:tcPr>
          <w:p w14:paraId="3E6FE3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67FF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EC2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5EE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10C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B5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熏烧烤肉</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3D0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熏烧烤肉制品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285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并[a]芘、N-二甲基亚硝胺、亚硝酸盐（以亚硝酸钠计）、苯甲酸及其钠盐（以苯甲酸计）、山梨酸及其钾盐（以山梨酸计）、纳他霉素、合成着色剂（柠檬黄、日落黄、胭脂红）、氯霉素、菌落总数、大肠菌群、沙门氏菌、金黄色葡萄球菌、单核细胞增生李斯特氏菌、致泻大肠埃希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C8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964" w:type="dxa"/>
            <w:vMerge w:val="continue"/>
            <w:tcBorders>
              <w:left w:val="single" w:color="000000" w:sz="4" w:space="0"/>
              <w:right w:val="single" w:color="000000" w:sz="4" w:space="0"/>
            </w:tcBorders>
            <w:shd w:val="clear" w:color="auto" w:fill="auto"/>
            <w:vAlign w:val="center"/>
          </w:tcPr>
          <w:p w14:paraId="4E3546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8AE3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4BD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BFC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D8F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A6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熏煮香肠</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火腿制品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10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熏煮香肠火腿制品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DCD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亚硝酸盐（以亚硝酸钠计）、苯甲酸及其钠盐（以苯甲酸计）、山梨酸及其钾盐（以山梨酸计）、脱氢乙酸及其钠盐（以脱氢乙酸计）、防腐剂混合使用时各自用量占其最大使用量的比例之和、合成着色剂（胭脂红、诱惑红）、氯霉素、菌落总数、大肠菌群、沙门氏菌、金黄色葡萄球菌、单核细胞增生李斯特氏菌、致泻大肠埃希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3F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02E2FB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47F5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F6AB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ED4D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39A9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乳制品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77D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液体乳</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C2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灭菌乳</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1256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蛋白质、非脂乳固体、酸度、脂肪、三聚氰胺、铅（以Pb计）、黄曲霉毒素M₁、丙二醇、商业无菌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F73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6BF7BD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38</w:t>
            </w:r>
          </w:p>
          <w:p w14:paraId="5FF624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E9EE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5CB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93F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275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4FE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3D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巴氏杀菌乳</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C4CB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蛋白质、酸度、三聚氰胺、铅（以Pb计）、黄曲霉毒素M₁ 、丙二醇、沙门氏菌、金黄色葡萄球菌、菌落总数、大肠菌群</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F3D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DA217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41EC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5B2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43E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798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0815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液体乳</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D0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调制乳</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A9E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蛋白质、三聚氰胺、铅（以Pb计）、黄曲霉毒素M₁ 、商业无菌、菌落总数、大肠菌群</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71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同左，增加纽甜</w:t>
            </w:r>
          </w:p>
        </w:tc>
        <w:tc>
          <w:tcPr>
            <w:tcW w:w="964" w:type="dxa"/>
            <w:vMerge w:val="continue"/>
            <w:tcBorders>
              <w:left w:val="single" w:color="000000" w:sz="4" w:space="0"/>
              <w:right w:val="single" w:color="000000" w:sz="4" w:space="0"/>
            </w:tcBorders>
            <w:shd w:val="clear" w:color="auto" w:fill="auto"/>
            <w:vAlign w:val="center"/>
          </w:tcPr>
          <w:p w14:paraId="218874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EFAE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3DC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F15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F54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C98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9F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发酵乳</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F4D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蛋白质、脂肪、酸度、三聚氰胺、铅（以Pb计）、黄曲霉毒素M₁ 、山梨酸及其钾盐（以山梨酸计）、甜蜜素（以环己基氨基磺酸计）、阿斯巴甜、安赛蜜、沙门氏菌、金黄色葡萄球菌、大肠菌群、霉菌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29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61D9E1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A9B8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791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B61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318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38D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683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高温杀菌乳</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FF99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蛋白质、酸度、三聚氰胺、铅（以Pb计）、黄曲霉毒素M₁ 、丙二醇、沙门氏菌、菌落总数、大肠菌群</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FA5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ADACC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9508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83C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1BC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16B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D8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乳粉</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33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乳粉（全脂、脱脂、部分脱脂）和调制乳粉</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054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蛋白质、脂肪、复原乳酸度、杂质度、水分、三聚氰胺、铅（以Pb计）、菌落总数、大肠菌群</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11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950C4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083A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EFE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64F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8D5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1E6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乳清粉和乳清蛋白粉（企业原料 ）</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238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脱盐乳清粉、非脱盐乳清粉、浓缩乳清蛋白粉、分离乳清蛋白粉</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3184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403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1E7162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E740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5F5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3EF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040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5253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其他乳制品（浓缩乳制品、奶油、干酪、固态成型产品）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51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浓缩乳制品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88A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蛋白质、三聚氰胺、商业无菌、菌落总数、大肠菌群</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2C6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25C8D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40D9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F47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386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AE1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B5D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4D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稀奶油、奶油和无水奶油</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EEE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脂肪、酸度、三聚氰胺、脱氢乙酸及其钠盐（以脱氢乙酸计）、商业无菌、沙门氏菌、菌落总数、大肠菌群、霉菌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C9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AF1FE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9413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53E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1FC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588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198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FC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干酪、再制干酪、干酪制品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F48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三聚氰胺、金黄色葡萄球菌、沙门氏菌、单核细胞增生李斯特氏菌、菌落总数、大肠菌群、霉菌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A46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BC138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10C2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155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A33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7C6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7AE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0C3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奶片、奶条等固态成型产品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5993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蛋白质、三聚氰胺、脱氢乙酸及其钠盐（以脱氢乙酸计）、沙门氏菌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68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4A751A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5440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F285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6</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19D9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AB77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A1A5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包装饮用水</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40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饮用天然</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矿泉水</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0B9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界限指标、铅（以Pb计）、总砷（以As计）、镉（以Cd计）、总汞（以Hg计）、镍、溴酸盐、硝酸盐（以NO₃-计）、亚硝酸盐（以NO₂-计）、大肠菌群、铜绿假单胞菌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2CB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21CFA0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48</w:t>
            </w:r>
          </w:p>
          <w:p w14:paraId="7E3E06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FF68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444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21C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ABF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657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13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饮用纯净水</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C2A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电导率、耗氧量（以O₂计）、铅（以Pb计）、总砷（以As计）、镉（以Cd计）、亚硝酸盐（以NO₂-计）、余氯（游离氯）、溴酸盐、三氯甲烷、大肠菌群、铜绿假单胞菌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0E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5261FF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6083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C55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521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3C8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F82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46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其他类饮用水</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F2CE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耗氧量（以O₂计）、铅（以Pb计）、总砷（以As计）、镉（以Cd计）、亚硝酸盐（以NO₂-计）、余氯（游离氯）、溴酸盐、三氯甲烷、大肠菌群、铜绿假单胞菌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55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208F6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E851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AD6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017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728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ED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果蔬汁类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及其饮料</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A7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果蔬汁类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及其饮料</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2DDC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展青霉素、苯甲酸及其钠盐（以苯甲酸计）、山梨酸及其钾盐（以山梨酸计）、脱氢乙酸及其钠盐（以脱氢乙酸计）、纳他霉素、防腐剂混合使用时各自用量占其最大使用量的比例之和、安赛蜜、甜蜜素（以环己基氨基磺酸计）、阿斯巴甜、合成着色剂（柠檬黄、新红、苋菜红、靛蓝、胭脂红、日落黄、诱惑红、亮蓝、酸性红、喹啉黄、赤藓红）、菌落总数、大肠菌群、霉菌、酵母</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48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650BE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939C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ED5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D3E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9C3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EB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蛋白饮料</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6B0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蛋白饮料</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85A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蛋白质、乳酸菌数、氰化物（以HCN计）、三聚氰胺、脱氢乙酸及其钠盐（以脱氢乙酸计）、安赛蜜、甜蜜素（以环己基氨基磺酸计）、阿斯巴甜、菌落总数、大肠菌群、霉菌、酵母、商业无菌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15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33F95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2FDC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7DE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822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372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9F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碳酸饮料（汽水）</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92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碳酸饮料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（汽水）</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F69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二氧化碳气容量、苯甲酸及其钠盐（以苯甲酸计）、山梨酸及其钾盐（以山梨酸计）、防腐剂混合使用时各自用量占其最大使用量的比例之和、安赛蜜、甜蜜素（以环己基氨基磺酸计）、阿斯巴甜、菌落总数、霉菌、酵母</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93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2921B6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7DB8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90F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6E6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701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CA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茶饮料</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315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茶饮料</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BD64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茶多酚、咖啡因、脱氢乙酸及其钠盐（以脱氢乙酸计）、安赛蜜、甜蜜素（以环己基氨基磺酸计）、阿斯巴甜、菌落总数</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CBA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8DE92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FF8C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59D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BBA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2BF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496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固体饮料</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8DA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固体饮料</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8F4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乳酸菌数、西地那非、他达拉非、西布曲明、比沙可啶、铅（以Pb计）、氰化物（以HCN计）、苯甲酸及其钠盐（以苯甲酸计）、山梨酸及其钾盐（以山梨酸计）、防腐剂混合使用时各自用量占其最大使用量的比例之和、糖精钠（以糖精计）、安赛蜜、甜蜜素（以环己基氨基磺酸计）、阿斯巴甜、合成着色剂（柠檬黄、新红、苋菜红、靛蓝、胭脂红、日落黄、诱惑红、亮蓝、酸性红、喹啉黄、赤藓红）、相同色泽着色剂混合使用时各自用量占其最大使用量的比例之和、菌落总数、大肠菌群、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F01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那红地那非、红地那非、伐地那非、羟基豪莫西地那非、豪莫西地那非、氨基他达拉非、硫代艾地那非、伪伐地那非、那莫西地那非、去甲基他达拉非、育亨宾、西布曲明、N-单去甲基西布曲明、N,N-双去甲基西布曲明、氯代西戊曲明（西布曲明二氯代异戊基替代物）（限有功能声称的产品）</w:t>
            </w:r>
          </w:p>
        </w:tc>
        <w:tc>
          <w:tcPr>
            <w:tcW w:w="964" w:type="dxa"/>
            <w:vMerge w:val="continue"/>
            <w:tcBorders>
              <w:left w:val="single" w:color="000000" w:sz="4" w:space="0"/>
              <w:right w:val="single" w:color="000000" w:sz="4" w:space="0"/>
            </w:tcBorders>
            <w:shd w:val="clear" w:color="auto" w:fill="auto"/>
            <w:vAlign w:val="center"/>
          </w:tcPr>
          <w:p w14:paraId="1C25F4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42AB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B28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540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FE9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43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其他饮料</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01F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其他饮料</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9EA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糖精钠（以糖精计）、安赛蜜、甜蜜素（以环己基氨基磺酸计）、阿斯巴甜、合成着色剂（柠檬黄、新红、苋菜红、靛蓝、胭脂红、日落黄、诱惑红、亮蓝、酸性红、喹啉黄、赤藓红）、菌落总数、大肠菌群、霉菌、酵母</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E51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西地那非、他达拉非、西布曲明、比沙可啶环丙甲酰替代物、那红地那非、红地那非、伐地那非、羟基豪莫西地那非、豪莫西地那非、氨基他达拉非、硫代艾地那非、伪伐地那非、那莫西地那非、去甲基他达拉非、育亨宾、西布曲明、N-单去甲基西布曲明、N,N-双去甲基西布曲明、氯代西戊曲明（西布曲明二氯代异戊基替代物）（限有功能声称的产品）</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02CC98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E664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6152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7</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5B4C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方便食品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AC29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方便食品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E801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方便面</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8B8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油炸面、非油炸面</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BD8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水分、酸价（以脂肪计）（KOH）、过氧化值（以脂肪计）、菌落总数、大肠菌群、霉菌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74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74B14B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18</w:t>
            </w:r>
          </w:p>
          <w:p w14:paraId="639C06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CBCF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153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376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E50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56F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76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方便米粉</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（米线 ）</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0776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水分、菌落总数、大肠菌群、霉菌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AA1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5B349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C659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EF6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990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F14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739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AA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方便粉丝</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87D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水分、菌落总数、大肠菌群、霉菌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ABD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A21F5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D035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343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5E3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FD6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A6B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25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其他方便面</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D2A5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水分、酸价（以脂肪计）（KOH）、过氧化值（以脂肪计）、菌落总数、大肠菌群、霉菌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41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3E6A2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A769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78B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A8E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B7D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F15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调味面制品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EBA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调味面制品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EEC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苯甲酸及其钠盐（以苯甲酸计）、山梨酸及其钾盐（以山梨酸计）、脱氢乙酸及其钠盐（以脱氢乙酸计）、糖精钠（以糖精计）、甜蜜素（以环己基氨基磺酸计）、安赛蜜、三氯蔗糖、合成着色剂（柠檬黄、日落黄、诱惑红、苋菜红、胭脂红）、菌落总数、大肠菌群、霉菌、沙门氏菌、金黄色葡萄球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EF3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同左，增加纽甜</w:t>
            </w:r>
          </w:p>
        </w:tc>
        <w:tc>
          <w:tcPr>
            <w:tcW w:w="964" w:type="dxa"/>
            <w:vMerge w:val="continue"/>
            <w:tcBorders>
              <w:left w:val="single" w:color="000000" w:sz="4" w:space="0"/>
              <w:right w:val="single" w:color="000000" w:sz="4" w:space="0"/>
            </w:tcBorders>
            <w:shd w:val="clear" w:color="auto" w:fill="auto"/>
            <w:vAlign w:val="center"/>
          </w:tcPr>
          <w:p w14:paraId="0DCFB1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066C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5EF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0C5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D0F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1F82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F1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冲调类方便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F870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、苯甲酸及其钠盐（以苯甲酸计）、山梨酸及其钾盐（以山梨酸计）、糖精钠（以糖精计）、菌落总数、大肠菌群、霉菌、沙门氏菌、金黄色葡萄球菌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8C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46AB1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A0C2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A73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3D2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614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ED2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A9B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主食类方便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219B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苯甲酸及其钠盐（以苯甲酸计）、山梨酸及其钾盐（以山梨酸计）、脱氢乙酸及其钠盐（以脱氢乙酸计）、糖精钠（以糖精计）、菌落总数、大肠菌群、霉菌、沙门氏菌、金黄色葡萄球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57E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54C14A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7083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E21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D62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4A8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59F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A0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其他类方便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66B8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苯甲酸及其钠盐（以苯甲酸计）、山梨酸及其钾盐（以山梨酸计）、糖精钠（以糖精计）、菌落总数、大肠菌群、霉菌、沙门氏菌、金黄色葡萄球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A6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608D81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2490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67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8</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1B3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32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EBC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419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745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山梨酸及其钾盐（以山梨酸计）、铝的残留量（干样品，以Al计）、脱氢乙酸及其钠盐（以脱氢乙酸计）、甜蜜素（以环己基氨基磺酸计）、糖精钠（以糖精计）、二氧化硫残留量、苯甲酸及其钠盐（以苯甲酸计）、合成着色剂（柠檬黄、日落黄、胭脂红、苋菜红、亮蓝、靛蓝、诱惑红）、菌落总数、大肠菌群、金黄色葡萄球菌、沙门氏菌、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FCC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EB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18</w:t>
            </w:r>
          </w:p>
        </w:tc>
      </w:tr>
      <w:tr w14:paraId="20F33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244E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9</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03F9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3FE0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13BE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畜禽水产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63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畜禽肉类罐头</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A74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铅（以Pb计）、镉（以Cd计）、脱氢乙酸及其钠盐（以脱氢乙酸计）、苯甲酸及其钠盐（以苯甲酸计）、山梨酸及其钾盐（以山梨酸计）、商业无菌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F38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114A70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25</w:t>
            </w:r>
          </w:p>
          <w:p w14:paraId="271BDF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79BA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3FC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E1F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2E1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959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4B6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水产动物类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4F5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组胺、铅（以Pb计）、无机砷（以As计）、脱氢乙酸及其钠盐（以脱氢乙酸计）、苯甲酸及其钠盐（以苯甲酸计）、山梨酸及其钾盐（以山梨酸计）、糖精钠（以糖精计）、甜蜜素（以环己基氨基磺酸计）、商业无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73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C69EB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E2EB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9DC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834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D52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3FFE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果蔬罐头</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69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水果类罐头</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3E7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合成着色剂（柠檬黄、日落黄、苋菜红、胭脂红、赤藓红、诱惑红、亮蓝）、脱氢乙酸及其钠盐（以脱氢乙酸计）、苯甲酸及其钠盐（以苯甲酸计）、山梨酸及其钾盐（以山梨酸计）、糖精钠（以糖精计）、甜蜜素（以环己基氨基磺酸计）、二氧化硫残留量、商业无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DF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5A916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0508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5AD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243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766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DAF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59E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蔬菜类罐头</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446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铅（以Pb计）、合成着色剂（柠檬黄、日落黄）、脱氢乙酸及其钠盐（以脱氢乙酸计）、苯甲酸及其钠盐（以苯甲酸计）、山梨酸及其钾盐（以山梨酸计）、乙二胺四乙酸二钠、二氧化硫残留量、商业无菌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84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4AE90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B17F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839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B4B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5F2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8AA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C3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食用菌罐头</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B3F1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铅（以Pb计）、脱氢乙酸及其钠盐（以脱氢乙酸计）、苯甲酸及其钠盐（以苯甲酸计）、山梨酸及其钾盐（以山梨酸计）、乙二胺四乙酸二钠、二氧化硫残留量、商业无菌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51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F7966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57E7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3D3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6A2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FB2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DDD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其他罐头</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9AE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其他罐头</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943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黄曲霉毒素B₁ 、脱氢乙酸及其钠盐（以脱氢乙酸计）、苯甲酸及其钠盐（以苯甲酸计）、山梨酸及其钾盐（以山梨酸计）、乙二胺四乙酸二钠、商业无菌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C81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638F9F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3CA7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207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10</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CF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冷冻饮品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066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冷冻饮品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4B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冷冻饮品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C40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冰淇淋、雪糕、雪泥、冰棍、食用冰、甜味冰、其他类</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B97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甜蜜素（以环己基氨基磺酸计）、糖精钠（以糖精计）、安赛蜜、三氯蔗糖、合成着色剂（柠檬黄、日落黄、新红、苋菜红、靛蓝、胭脂红、诱惑红、亮蓝、酸性红、喹啉黄、赤藓红）、相同色泽着色剂混合使用时各自用量占其最大使用量的比例之和、菌落总数、大肠菌群、沙门氏菌、单核细胞增生李斯特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134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同左，增加纽甜</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4A5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8</w:t>
            </w:r>
          </w:p>
        </w:tc>
      </w:tr>
      <w:tr w14:paraId="2B3C5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562F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11</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3F84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速冻食品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53E3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E351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91F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640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过氧化值（以脂肪计）、铅（以Pb计）、糖精钠（以糖精计）、甜蜜素（以环己基氨基磺酸计）、合成着色剂（柠檬黄、日落黄、苋菜红、亮蓝、胭脂红）</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23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0DDC1C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26</w:t>
            </w:r>
          </w:p>
          <w:p w14:paraId="475D4F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90D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12D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9E0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05F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14A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42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746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过氧化值（以脂肪计）、铅（以Pb计）、糖精钠（以糖精计）、甜蜜素（以环己基氨基磺酸计）、合成着色剂（柠檬黄、日落黄、苋菜红、亮蓝、胭脂红）、菌落总数、大肠菌群、沙门氏菌、金黄色葡萄球菌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48B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275708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1508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FA9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82A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14DD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速冻调制</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AA7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速冻调理</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肉制品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F2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速冻调理</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肉制品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AF1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铬（以Cr计）、氯霉素、合成着色剂（胭脂红、柠檬黄、日落黄、诱惑红）、亚硝酸盐（以亚硝酸钠计）、苯甲酸及其钠盐（以苯甲酸计）、山梨酸及其钾盐（以山梨酸计）、菌落总数、大肠菌群、沙门氏菌、金黄色葡萄球菌、单核细胞增生李斯特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64D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081BB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E94E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91E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2E5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2F6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6D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速冻调制</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水产制品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D52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速冻调制水产制品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1D2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挥发性盐基氮、苯甲酸及其钠盐（以苯甲酸计）、山梨酸及其钾盐（以山梨酸计）、二氧化硫残留量、菌落总数、大肠菌群、沙门氏菌、副溶血性弧菌、单核细胞增生李斯特氏菌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4E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5F694E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55A8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7F7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3FF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25EE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速冻其他</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A4C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速冻谷物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B3D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速冻谷物食品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3DD9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铅（以Pb计）、黄曲霉毒素B₁</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0C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F19D7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9233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676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094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15D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BA3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速冻蔬菜</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AAA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速冻蔬菜制品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E0A4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铅（以Pb计）、镉（以Cd计）、糖精钠（以糖精计）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6B0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1E8386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CD3C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175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A8E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05E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E9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速冻水果</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6B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速冻水果制品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3813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铅（以Pb计）、镉（以Cd计）、菌落总数、大肠菌群、霉菌、沙门氏菌、金黄色葡萄球菌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5A3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68FD84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7B46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A145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12</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F966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薯类和膨化食品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F5F8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薯类和膨化食品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91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膨化食品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11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含油型膨化食品和非含油型膨化食品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A753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水分、酸价（以脂肪计）（KOH）、过氧化值（以脂肪计）、黄曲霉毒素B₁ 、糖精钠（以糖精计）、甜蜜素（以环己基氨基磺酸计）、三氯蔗糖、纽甜、合成着色剂（新红、苋菜红、酸性红、喹啉黄）、菌落总数、大肠菌群、沙门氏菌、金黄色葡萄球菌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8E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163357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14</w:t>
            </w:r>
          </w:p>
          <w:p w14:paraId="48CFB0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B826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B7D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25C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E70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981B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薯类食品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F19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干制薯类</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E90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酸价（以脂肪计）（KOH）、过氧化值（以脂肪计）、铅（以Pb计）、二氧化硫残留量、菌落总数、大肠菌群、沙门氏菌、金黄色葡萄球菌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DA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22337C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45E7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B89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4E9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54A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DB3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6D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冷冻薯类</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0E2F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045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558D9E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C327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F2A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9AD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F62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8F1D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薯类食品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89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薯泥（酱）类</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321C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铅（以Pb计）、苯甲酸及其钠盐（以苯甲酸计）、山梨酸及其钾盐（以山梨酸计）、商业无菌、沙门氏菌、金黄色葡萄球菌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67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C6768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D3C5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3D9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213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5A4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2CD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6E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薯粉类</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4D4A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997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54A7BA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F839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19A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353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214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02E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6E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其他薯类食品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DBB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铅（以Pb计）、沙门氏菌、金黄色葡萄球菌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7A3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69AD9D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2B3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466D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13</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6963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C224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糖果制品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（含巧克力及制品）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61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A3A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43B3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糖精钠（以糖精计）、甜蜜素（以环己基氨基磺酸计）、合成着色剂（柠檬黄、新红、苋菜红、靛蓝、胭脂红、日落黄、诱惑红、亮蓝、酸性红、喹啉黄、赤藓红）、相同色泽着色剂混合使用时各自用量占其最大使用量的比例之和、二氧化硫残留量、菌落总数、大肠菌群、西地那非、他达拉非、酚丁、双酚沙丁、双丙酚丁、脱乙酰比沙可啶</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81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同左，增加氯代西戊曲明（西布曲明二氯代异戊基替代物）（限有功能声称的产品）</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585FAC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9</w:t>
            </w:r>
          </w:p>
          <w:p w14:paraId="165A1E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4FA7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7A8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567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35A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AE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巧克力及巧克力制品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95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巧克力、巧克力制品、代可可脂巧克力及代可可脂巧克力制品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96F2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铅（以Pb计）、沙门氏菌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4A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9677D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0D33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2C2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C8F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BD0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467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果冻</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3D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果冻</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D0D1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山梨酸及其钾盐（以山梨酸计）、苯甲酸及其钠盐（以苯甲酸计）、糖精钠（以糖精计）、甜蜜素（以环己基氨基磺酸计）、安赛蜜、合成着色剂（柠檬黄、新红、苋菜红、靛蓝、胭脂红、日落黄、诱惑红、亮蓝、酸性红、喹啉黄、赤藓红）、相同色泽着色剂混合使用时各自用量占其最大使用量的比例之和、菌落总数、大肠菌群、霉菌、酵母、双丙酚丁、脱乙酰比沙可啶</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EC8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59116C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8CFD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EA40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14</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7897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茶叶及相关</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861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F8D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A5B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绿茶、红茶、乌龙茶、黄茶、白茶、黑茶、花茶、袋泡茶、紧压茶</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3E7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草甘膦、吡虫啉、乙酰甲胺磷、联苯菊酯、灭多威、三氯杀螨醇、氰戊菊酯和S-氰戊菊酯、甲拌磷、克百威、水胺硫磷、氧乐果、毒死蜱、啶虫脒、多菌灵、茚虫威、糖精钠（以糖精计）、甜蜜素（以环己基氨基磺酸计）、合成着色剂（柠檬黄、日落黄、胭脂红、亮蓝）</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3DD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4199D3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9</w:t>
            </w:r>
          </w:p>
          <w:p w14:paraId="0C3794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3C3C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A00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E98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2012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含茶制品和</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2EB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含茶制品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87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速溶茶类、其他含茶制品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7647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铅（以Pb计）、菌落总数、霉菌、霉菌及酵母、合成着色剂（柠檬黄、日落黄、胭脂红、亮蓝 ）</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C6A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C7F25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7221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1EC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D3D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D37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45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084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枸杞（干）</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6344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DE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50BFC7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15AE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CA5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546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4053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含茶制品和</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7677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3F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菊花（干）</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8FB5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4B5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62A367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7A9E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BC1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A51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348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327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B7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金银花（干）</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3E3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086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6966BB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8465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AE7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87C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8E1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BCC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45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苦丁茶</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BAE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840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14B020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FFC9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E19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931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CE6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213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1D2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其他代用茶</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74CA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2F0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1B40FC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3D28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F1D0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15</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733B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酒类</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E2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蒸馏酒</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B07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白酒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0E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白酒、白酒（液态）、白酒（原酒）</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346D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酒精度、铅（以Pb计）、甲醇、氰化物（以HCN计）、糖精钠（以糖精计）、甜蜜素（以环己基氨基磺酸计）、三氯蔗糖、安赛蜜、纽甜</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816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46FE26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28</w:t>
            </w:r>
          </w:p>
          <w:p w14:paraId="6029AA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BE7E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70F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38F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367C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发酵酒</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FB5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79C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黄酒</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9A0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酒精度、氨基酸态氮、苯甲酸及其钠盐（以苯甲酸计）、山梨酸及其钾盐（以山梨酸计）、糖精钠（以糖精计）、甜蜜素（以环己基氨基磺酸计）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40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4E9882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2BF2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5AD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621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1FE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A7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啤酒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DE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啤酒</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2646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酒精度、甲醛</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E3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1E24C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50AE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03F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03A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EA5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23A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葡萄酒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8D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葡萄酒</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786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甲醇、苯甲酸及其钠盐（以苯甲酸计）、山梨酸及其钾盐（以山梨酸计）、糖精钠（以糖精计）、二氧化硫残留量、甜蜜素（以环己基氨基磺酸计）、三氯蔗糖、合成着色剂（柠檬黄、日落黄、新红、胭脂红、赤藓红、苋菜红、诱惑红、酸性红、亮蓝）</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2CA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4137EB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CE4A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F1A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143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547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E0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6B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果酒</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5D8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酒精度、展青霉素、糖精钠（以糖精计）、甜蜜素（以环己基氨基磺酸计）、安赛蜜、二氧化硫残留量、酸性红</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9E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84D08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647D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67D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221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4FE7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其他酒</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8A11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配制酒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2F1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以蒸馏酒及食用酒精为酒基的配制酒</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1D4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甲醇、氰化物（以HCN计）、西地那非、豪莫西地那非、硫代艾地那非、他达拉非、二硫代去甲基卡巴地那非、那非乙酰酸、去甲基卡巴地那非、去甲基他达拉非、羟基豪莫西地那非、伐地那非、育亨宾、甜蜜素（以环己基氨基磺酸计）、安赛蜜、纽甜</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2C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CB4FC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6CB0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B51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ADA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CC6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AA2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57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以发酵酒为酒基的配制酒</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32DC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酒精度、苯甲酸及其钠盐（以苯甲酸计）、山梨酸及其钾盐（以山梨酸计）、甜蜜素（以环己基氨基磺酸计）、防腐剂混合使用时各自用量占其最大使用量的比例之和、安赛蜜</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047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6FE2A4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544F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C75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D29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9ED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CBB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其他蒸馏酒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E2D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其他蒸馏酒</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B4C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酒精度、铅（以Pb计）、甲醇、氰化物（以HCN计）、甜蜜素（以环己基氨基磺酸计）、三氯蔗糖</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F8E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6763C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2446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75F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B4E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BCF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1AB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其他发酵酒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916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其他发酵酒</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F931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酒精度、苯甲酸及其钠盐（以苯甲酸计）、山梨酸及其钾盐（以山梨酸计）、糖精钠（以糖精计）、甜蜜素（以环己基氨基磺酸计）、安赛蜜</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4F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206172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CCFF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E3B5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16</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81F2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417E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2C9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酱腌菜</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50B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酱腌菜</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49AF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亚硝酸盐（以NaNO₂计）、苯甲酸及其钠盐（以苯甲酸计）、山梨酸及其钾盐（以山梨酸计）、脱氢乙酸及其钠盐（以脱氢乙酸计）、糖精钠（以糖精计）、甜蜜素（以环己基氨基磺酸计）、阿斯巴甜、安赛蜜、纽甜、三氯蔗糖、二氧化硫残留量、防腐剂混合使用时各自用量占其最大使用量的比例之和、合成着色剂（柠檬黄、日落黄、胭脂红、诱惑红）、大肠菌群</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629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367945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18</w:t>
            </w:r>
          </w:p>
          <w:p w14:paraId="576D4E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46D9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A88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770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671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39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蔬菜干制品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37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蔬菜干制品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5CB9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铅（以Pb计）、苯甲酸及其钠盐（以苯甲酸计）、山梨酸及其钾盐（以山梨酸计）、二氧化硫残留量、合成着色剂（柠檬黄、日落黄、胭脂红、苋菜红、亮蓝）</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68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6149F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A09A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559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F69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CE1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39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其他蔬菜</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51F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其他蔬菜制品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521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铅（以Pb计）、苯甲酸及其钠盐（以苯甲酸计）、山梨酸及其钾盐（以山梨酸计）、脱氢乙酸及其钠盐（以脱氢乙酸计）、二氧化硫残留量</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CF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486B5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5C27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24F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610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F74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F928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食用菌制品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2A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干制食用菌</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02D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铅（以Pb计）、镉（以Cd计）、甲基汞（以Hg计）、无机砷（以As计）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CCA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21A1AE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EF0E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1CC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476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C7E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C74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B40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腌渍食用菌</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848E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78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6E02BC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57E2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C860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17</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1A29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438C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800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蜜饯</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E09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蜜饯类、凉果类、果脯类、话化类、果糕类</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B9D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防腐剂混合使用时各自用量占其最大使用量的比例之和、糖精钠（以糖精计）、甜蜜素（以环己基氨基磺酸计）、安赛蜜、二氧化硫残留量、合成着色剂（亮蓝、柠檬黄、日落黄、苋菜红、胭脂红、诱惑红、喹啉黄、赤藓红）、相同色泽着色剂混合使用时各自用量占其最大使用量的比例之和、乙二胺四乙酸二钠、菌落总数、大肠菌群、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46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同左，增加比沙可啶环丙甲酰替代物、双酚沙丁、脱乙酰比沙可啶（限有功能声称的产品）</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549B7E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20</w:t>
            </w:r>
          </w:p>
          <w:p w14:paraId="08B343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4970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2AD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E83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1B1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18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水果干制品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AB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水果干制品（含干枸杞）</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4F0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啶虫脒、吡虫啉、克百威、氯氟氰菊酯和高效氯氟氰菊酯、氯氰菊酯和高效氯氰菊酯、苯甲酸及其钠盐（以苯甲酸计）、山梨酸及其钾盐（以山梨酸计）、脱氢乙酸及其钠盐（以脱氢乙酸计）、糖精钠（以糖精计）、二氧化硫残留量、合成着色剂（亮蓝、柠檬黄、日落黄、苋菜红、胭脂红、诱惑红、喹啉黄、赤藓红）、菌落总数、大肠菌群、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55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E74EB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41E4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8BE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13B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220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C02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果酱</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17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果酱</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A601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脱氢乙酸及其钠盐（以脱氢乙酸计）、二氧化硫残留量、菌落总数、大肠菌群、霉菌、商业无菌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9B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5F5C32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C14F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5461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18</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69AB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炒货食品及</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坚果制品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8360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炒货食品及</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坚果制品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CC71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炒货食品及坚果制品（烘炒类、油炸类、其他类）</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880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瓜子</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1F7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、苯甲酸及其钠盐（以苯甲酸计）、山梨酸及其钾盐（以山梨酸计）、脱氢乙酸及其钠盐（以脱氢乙酸计）、二氧化硫残留量、糖精钠（以糖精计）、甜蜜素（以环己基氨基磺酸计）、安赛蜜、大肠菌群、霉菌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724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1D0AE7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16</w:t>
            </w:r>
          </w:p>
          <w:p w14:paraId="4C92A1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9775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501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C89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B4B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19F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98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花生制品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2C85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、苯甲酸及其钠盐（以苯甲酸计）、山梨酸及其钾盐（以山梨酸计）、脱氢乙酸及其钠盐（以脱氢乙酸计）、二氧化硫残留量、糖精钠（以糖精计）、甜蜜素（以环己基氨基磺酸计）、安赛蜜、大肠菌群、霉菌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49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96B28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4430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FD6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EF1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B9C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BBE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17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其他炒货食品及坚果制品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7C0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、脱氢乙酸及其钠盐（以脱氢乙酸计）、二氧化硫残留量、糖精钠（以糖精计）、甜蜜素（以环己基氨基磺酸计）、安赛蜜、大肠菌群、霉菌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18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3963B6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AA7D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3C3F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19</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FC3D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70A2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7B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再制蛋</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972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再制蛋</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BC8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铅（以Pb计）、苯甲酸及其钠盐（以苯甲酸计）、山梨酸及其钾盐（以山梨酸计）、菌落总数、大肠菌群、沙门氏菌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F5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3086FA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w:t>
            </w:r>
          </w:p>
          <w:p w14:paraId="07FA36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82C3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1F7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63A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88C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11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干蛋制品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81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干蛋制品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06FF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菌落总数、大肠菌群、沙门氏菌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C09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609F45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FB29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234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42D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3C4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37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冰蛋制品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8A9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冰蛋制品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84B4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菌落总数、大肠菌群、沙门氏菌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74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1EA8B8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FEA9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340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238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DF1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39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液蛋制品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A33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液蛋制品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1D3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铅（以Pb计）、苯甲酸及其钠盐（以苯甲酸计）、山梨酸及其钾盐（以山梨酸计）、脱氢乙酸及其钠盐（以脱氢乙酸计）、菌落总数、大肠菌群、沙门氏菌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BB3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531C67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16AA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532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CE5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F62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B89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热凝固蛋制品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42E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热凝固蛋制品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A8D3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铅（以Pb计）、苯甲酸及其钠盐（以苯甲酸计）、山梨酸及其钾盐（以山梨酸计）、脱氢乙酸及其钠盐（以脱氢乙酸计）、菌落总数、大肠菌群、沙门氏菌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5B1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48C7FD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8AF2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6A6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46C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3DF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F90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其他蛋制品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91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其他蛋制品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118C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铅（以Pb计）、苯甲酸及其钠盐（以苯甲酸计）、山梨酸及其钾盐（以山梨酸计）、脱氢乙酸及其钠盐（以脱氢乙酸计）、菌落总数、大肠菌群、沙门氏菌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1B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0EC45F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6957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E40E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20</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EA01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可可及焙烤</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咖啡产品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FA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焙炒咖啡</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B90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焙炒咖啡</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592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焙炒咖啡</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F8D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咖啡因、铅（以Pb计）、赭曲霉毒素A</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B50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56B703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w:t>
            </w:r>
          </w:p>
          <w:p w14:paraId="7F95FB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7BA9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EAE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654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4F6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9A9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5D6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4F4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铅（以Pb计）、沙门氏菌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82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084DC7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2539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A93C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21</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0C07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食糖</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A631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食糖</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AC8A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食糖</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26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白砂糖</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C297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蔗糖分、还原糖分、色值、干燥失重、二氧化硫残留量、螨</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E6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75D6AD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12</w:t>
            </w:r>
          </w:p>
          <w:p w14:paraId="5DB042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1D6F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E49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112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A43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482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C10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绵白糖</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B5A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总糖分、还原糖分、色值、干燥失重、二氧化硫残留量、螨</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9E9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4729D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E96C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049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FEF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7C5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526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01C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赤砂糖</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5F30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总糖分、不溶于水杂质、干燥失重、二氧化硫残留量、螨、合成着色剂（柠檬黄、新红、苋菜红、胭脂红、日落黄、诱惑红、酸性红、喹啉黄、赤藓红）</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204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13B113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4EA0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D35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D7A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E97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F4A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6A2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红糖</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57EA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总糖分、不溶于水杂质、干燥失重、二氧化硫残留量、螨、合成着色剂（柠檬黄、新红、苋菜红、胭脂红、日落黄、诱惑红、酸性红、喹啉黄、赤藓红）</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A7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6699D1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AFD4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CB2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F5F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5F6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D9D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CA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冰糖</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F525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蔗糖分、还原糖分、色值、干燥失重、二氧化硫残留量、螨、合成着色剂（柠檬黄、新红、苋菜红、胭脂红、日落黄、诱惑红、酸性红、喹啉黄、赤藓红）</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BA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0EC45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BDD0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45B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8BE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F8D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2BD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31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冰片糖</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9C07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总糖分、还原糖分、干燥失重、二氧化硫残留量、螨、合成着色剂（柠檬黄、新红、苋菜红、胭脂红、日落黄、诱惑红、酸性红、喹啉黄、赤藓红）</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3B7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240D5E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4F65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616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7E1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58D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3A5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5EE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方糖</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739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蔗糖分、还原糖分、色值、干燥失重、二氧化硫残留量、螨</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54C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251B6A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7E2A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EC0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CBC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AEA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15A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B3C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其他糖</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5BC8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蔗糖分、总糖分、色值、还原糖分、干燥失重、二氧化硫残留量、螨、合成着色剂（柠檬黄、新红、苋菜红、胭脂红、日落黄、诱惑红、酸性红、喹啉黄、赤藓红）、菌落总数、大肠菌群、霉菌、酵母菌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BC6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30BA54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9B44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268B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22</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D993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1F05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水产制品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F380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干制水产品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88E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藻类干制品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44D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铅（以Pb计）、菌落总数、大肠菌群</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1ED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5AEAF3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11</w:t>
            </w:r>
          </w:p>
          <w:p w14:paraId="3529F9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4F91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103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111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5BA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B8F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6E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预制动物性水产干制品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E35B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过氧化值（以脂肪计）、铅（以Pb计）、镉（以Cd计）、苯甲酸及其钠盐（以苯甲酸计）、山梨酸及其钾盐（以山梨酸计）、合成着色剂（柠檬黄、胭脂红、日落黄、诱惑红）</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D15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52A199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9D37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5D2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97C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E70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F1F3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盐渍水产品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8DF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盐渍鱼</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E77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过氧化值（以脂肪计）、组胺、镉（以Cd计）、苯甲酸及其钠盐（以苯甲酸计）、山梨酸及其钾盐（以山梨酸计）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906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72B24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A99B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0DD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AB0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CEA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B97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7D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盐渍藻</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0D4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B1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4142ED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54A8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C20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B17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F24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330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CE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其他盐渍水产品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E3C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D2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522F08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956A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921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5B2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3BE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74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鱼糜制品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2F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预制鱼糜制品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539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铅（以Pb计）、苯甲酸及其钠盐（以苯甲酸计）、山梨酸及其钾盐（以山梨酸计）、脱氢乙酸及其钠盐（以脱氢乙酸计）、合成着色剂（诱惑红、柠檬黄、日落黄）</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DB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B1208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5517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E3B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54D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E05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FAF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熟制动物性水产制品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C4D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熟制动物性水产制品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228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铅（以Pb计）、镉（以Cd计）、苯甲酸及其钠盐（以苯甲酸计）、山梨酸及其钾盐（以山梨酸计）、甜蜜素（以环己基氨基磺酸计）、脱氢乙酸及其钠盐（以脱氢乙酸计）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566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40F621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CC87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F22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4B0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3585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E49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生食水产品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46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生食动物性水产品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08F7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挥发性盐基氮、苯甲酸及其钠盐（以苯甲酸计）、山梨酸及其钾盐（以山梨酸计）、铝的残留量（以即食海蜇中Al计）、菌落总数、大肠菌群、沙门氏菌、副溶血性弧菌、单核细胞增生李斯特氏菌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0DF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35C22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3893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9F4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507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EAF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F1A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其他水产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BF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其他水产制品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DBA5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糖精钠（以糖精计）、脱氢乙酸及其钠盐（以脱氢乙酸计）、合成着色剂（柠檬黄）、甜蜜素（以环己基氨基磺酸计）、防腐剂混合使用时各自用量占其最大使用量的比例之和、菌落总数</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A0D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0E2A4E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E4C5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0AAF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23</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28E6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淀粉及淀粉制品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7991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淀粉及淀粉制品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8C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A69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EF69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铅（以Pb计）、霉菌和酵母、二氧化硫残留量、脱氢乙酸及其钠盐（以脱氢乙酸计）、葛根素、水分、氢氰酸</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34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120AE8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8</w:t>
            </w:r>
          </w:p>
        </w:tc>
      </w:tr>
      <w:tr w14:paraId="4E602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820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C49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CEB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BA61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3D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粉丝粉条</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7E19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铝的残留量（干样品，以Al计）、二氧化硫残留量、合成着色剂（柠檬黄、新红、苋菜红、靛蓝、胭脂红、诱惑红、日落黄、亮蓝、酸性红、喹啉黄、赤藓红）</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32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2812BF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4B19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EB7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273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D44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3F1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6F5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其他淀粉制品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EB1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铝的残留量（干样品，以Al计）、二氧化硫残留量、合成着色剂（柠檬黄、新红、苋菜红、靛蓝、胭脂红、日落黄、诱惑红、亮蓝、酸性红、喹啉黄、赤藓红）、相同色泽着色剂混合使用时各自用量占其最大使用量的比例之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80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60825D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2D6B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A4A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706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8E6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A7C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淀粉糖</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BA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淀粉糖</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69B0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总砷（以As计）、葡萄糖含量（以干基计，质量分数）、IMO含量（占干物质，质量分数）、IG₂+P+IG₃含量（占干物质，质量分数）、果糖（占干基比）、果糖+葡萄糖（占干基比）、5-羟甲基糠醛（以吸光度计）、果糖+葡萄糖含量（以干物质计）、果糖含量（以干物质计）、麦芽糖含量（以干物质计，质量分数）、干物质（固形物）、硫酸灰分</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F9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7F4B58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84CA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F070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24</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68ED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FB8A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BC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面包</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C7F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面包</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CA0F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富马酸二甲酯、苯甲酸及其钠盐（以苯甲酸计）、山梨酸及其钾盐（以山梨酸计）、糖精钠（以糖精计）、甜蜜素（以环己基氨基磺酸计）、安赛蜜、铝的残留量（干样品，以Al计）、丙酸及其钠盐、钙盐（以丙酸计）、脱氢乙酸及其钠盐（以脱氢乙酸计）、三氯蔗糖、合成着色剂（柠檬黄、日落黄、胭脂红、苋菜红、亮蓝、诱惑红、酸性红）、防腐剂混合使用时各自用量占其最大使用量的比例之和、菌落总数、大肠菌群、金黄色葡萄球菌、沙门氏菌、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11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1B2568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20</w:t>
            </w:r>
          </w:p>
          <w:p w14:paraId="5B3512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7E7B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367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835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411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4B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月饼</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B14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月饼</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7AEE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富马酸二甲酯、糖精钠（以糖精计）、苯甲酸及其钠盐（以苯甲酸计）、山梨酸及其钾盐（以山梨酸计）、铝的残留量（干样品，以Al计）、丙酸及其钠盐、钙盐（以丙酸计）、脱氢乙酸及其钠盐（以脱氢乙酸计）、纳他霉素、合成着色剂（柠檬黄、日落黄、胭脂红、苋菜红、亮蓝、赤藓红、诱惑红）、防腐剂混合使用时各自用量占其最大使用量的比例之和、菌落总数、大肠菌群、金黄色葡萄球菌、沙门氏菌、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B25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2879D5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DE51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E2B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052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8B4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753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粽子</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00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粽子</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A21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甜蜜素（以环己基氨基磺酸计）、脱氢乙酸及其钠盐（以脱氢乙酸计）、山梨酸及其钾盐（以山梨酸计）、糖精钠（以糖精计）、安赛蜜、菌落总数、大肠菌群、金黄色葡萄球菌、沙门氏菌、霉菌、商业无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F5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4728BC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41AC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CAE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0D3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D14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E34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FA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502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富马酸二甲酯、苯甲酸及其钠盐（以苯甲酸计）、山梨酸及其钾盐（以山梨酸计）、糖精钠（以糖精计）、甜蜜素（以环己基氨基磺酸计）、安赛蜜、铝的残留量（干样品，以Al计）、丙酸及其钠盐、钙盐（以丙酸计）、脱氢乙酸及其钠盐（以脱氢乙酸计）、纳他霉素、三氯蔗糖、丙二醇、合成着色剂（柠檬黄、日落黄、胭脂红、苋菜红、亮蓝、赤藓红、诱惑红）、防腐剂混合使用时各自用量占其最大使用量的比例之和、菌落总数、大肠菌群、金黄色葡萄球菌、沙门氏菌、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B7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357BFD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A556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6E1D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25</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DFCE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CC2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24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豆制品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3C6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腐乳、豆豉、纳豆等</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003E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铅（以Pb计）、黄曲霉毒素B₁ 、苯甲酸及其钠盐（以苯甲酸计）、山梨酸及其钾盐（以山梨酸计）、脱氢乙酸及其钠盐（以脱氢乙酸计）、糖精钠（以糖精计）、甜蜜素（以环己基氨基磺酸计）、铝的残留量（干样品，以Al计）、大肠菌群</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229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12D521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11</w:t>
            </w:r>
          </w:p>
          <w:p w14:paraId="3F5E9D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BC8F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36A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565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259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B163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非发酵性豆制品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24A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腐竹、油皮及其再制品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289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铅（以Pb计）、苯甲酸及其钠盐（以苯甲酸计）、山梨酸及其钾盐（以山梨酸计）、脱氢乙酸及其钠盐（以脱氢乙酸计）、二氧化硫残留量、铝的残留量（干样品，以Al计）、合成着色剂（柠檬黄、日落黄）</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826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60726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F8E5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7EC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AB3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B2A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BD8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B53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豆干、豆腐、豆皮等</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51F4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丙酸及其钠盐、钙盐（以丙酸计）、防腐剂混合使用时各自用量占其最大使用量的比例之和、糖精钠（以糖精计）、三氯蔗糖、甜蜜素（以环己基氨基磺酸计）、铝的残留量（干样品，以Al计）、合成着色剂（柠檬黄、日落黄）、大肠菌群、金黄色葡萄球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58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210369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4025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E98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984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4E2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370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其他豆制品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9CF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大豆蛋白类制品等</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D021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糖精钠（以糖精计）、三氯蔗糖、铝的残留量（干样品，以Al计）、合成着色剂（柠檬黄、日落黄）、大肠菌群</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6F5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72990B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C2D8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81D3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26</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AD22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E8E5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2E1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蜂蜜</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E75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蜂蜜</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E43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果糖和葡萄糖、蔗糖、山梨酸及其钾盐（以山梨酸计）、氯霉素、呋喃西林代谢物、呋喃唑酮代谢物、甲硝唑、双甲脒、氟胺氰菊酯、诺氟沙星、氧氟沙星、菌落总数、霉菌计数、嗜渗酵母计数</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65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同左，增加西地那非、他达拉非（限有功能声称的产品）</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0909A8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14</w:t>
            </w:r>
          </w:p>
          <w:p w14:paraId="19EDAE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9D57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F90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D5D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0BF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2D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蜂王浆（含蜂王浆冻干品 ）</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003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蜂王浆（含蜂王浆冻干品）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C8A8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10-羟基-2-癸烯酸、酸度、蛋白质、呋喃西林代谢物</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95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2B276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6E2B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402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3E2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FF0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25D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蜂花粉</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95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蜂花粉</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A1EF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铅（以Pb计）、菌落总数、大肠菌群、霉菌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7E7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5723BA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A72E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756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3B8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438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0B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E3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蜂产品制品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498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山梨酸及其钾盐（以山梨酸计）、合成着色剂（柠檬黄、日落黄）、菌落总数</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AB2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56F682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D43F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C4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27</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69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52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F6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F5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30F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10-羟基-2-癸烯酸、蛋白质、二十二碳六烯酸、二十碳五烯酸、泛酸、钙、还原糖、肌醇、赖氨酸、绿原酸、铁、维生素A、维生素B₁、维生素B₁₂、维生素B₂、维生素B₆、维生素C、维生素D、维生素D₃、维生素E、硒、锌、烟酰胺、叶酸、免疫球蛋白IgG、总黄酮、总皂苷、总蒽醌、吡啶甲酸铬、芦荟苷、总三萜、嗜酸乳杆菌、双歧杆菌、水分、可溶性固形物、酸价、过氧化值、崩解时限、灰分、铅（Pb）、总砷（As）、总汞（Hg）、硬胶囊壳中的铬、菌落总数、大肠菌群、霉菌和酵母、金黄色葡萄球菌、沙门氏菌、褪黑素、甘草酸、咖啡因、淫羊藿苷、葛根素、辅酶Q10、番茄红素、那红地那非、红地那非、伐地那非、羟基豪莫西地那非、西地那非、豪莫西地那非、氨基他达拉非、他达拉非、硫代艾地那非、伪伐地那非、那莫西地那非、去甲基他达拉非、育亨宾、西布曲明、N-单去甲基西布曲明、N,N-双去甲基西布曲明</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6C2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E71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10</w:t>
            </w:r>
          </w:p>
        </w:tc>
      </w:tr>
      <w:tr w14:paraId="5554B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0C83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28</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A376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餐饮食品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FE97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米面及其制品（自制）</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DC54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小麦粉制品（自制）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DE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馒头花卷</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C357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脱氢乙酸及其钠盐（以脱氢乙酸计）、甜蜜素（以环己基氨基磺酸计）、铅（以Pb计）、合成着色剂（柠檬黄、日落黄、胭脂红、苋菜红、亮蓝）</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325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1D2498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281</w:t>
            </w:r>
          </w:p>
        </w:tc>
      </w:tr>
      <w:tr w14:paraId="4B681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771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E59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D07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AEE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621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包子（自制）</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320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苯甲酸及其钠盐（以苯甲酸计）、山梨酸及其钾盐（以山梨酸计）、糖精钠（以糖精计）、脱氢乙酸及其钠盐（以脱氢乙酸计）、甜蜜素（以环己基氨基磺酸计）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41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B72C9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FD6B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8ED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6F8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74E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25B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33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其他生湿面制品（自制）</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EE15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11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铅（以Pb计）、苯甲酸及其钠盐（以苯甲酸计）、山梨酸及其钾盐（以山梨酸计）、脱氢乙酸及其钠盐（以脱氢乙酸计）、柠檬黄、日落黄</w:t>
            </w:r>
          </w:p>
        </w:tc>
        <w:tc>
          <w:tcPr>
            <w:tcW w:w="964" w:type="dxa"/>
            <w:vMerge w:val="continue"/>
            <w:tcBorders>
              <w:left w:val="single" w:color="000000" w:sz="4" w:space="0"/>
              <w:right w:val="single" w:color="000000" w:sz="4" w:space="0"/>
            </w:tcBorders>
            <w:shd w:val="clear" w:color="auto" w:fill="auto"/>
            <w:vAlign w:val="center"/>
          </w:tcPr>
          <w:p w14:paraId="23489D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C593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7F7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BD4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BB7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6B8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366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其他熟制面制品（自制）</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AD0F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B07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柠檬黄、日落黄</w:t>
            </w:r>
          </w:p>
        </w:tc>
        <w:tc>
          <w:tcPr>
            <w:tcW w:w="964" w:type="dxa"/>
            <w:vMerge w:val="continue"/>
            <w:tcBorders>
              <w:left w:val="single" w:color="000000" w:sz="4" w:space="0"/>
              <w:right w:val="single" w:color="000000" w:sz="4" w:space="0"/>
            </w:tcBorders>
            <w:shd w:val="clear" w:color="auto" w:fill="auto"/>
            <w:vAlign w:val="center"/>
          </w:tcPr>
          <w:p w14:paraId="4AB1AE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2668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DAE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46A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B6C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C81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9F7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其他油炸面制品（自制）</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BF0D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DCB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w:t>
            </w:r>
          </w:p>
        </w:tc>
        <w:tc>
          <w:tcPr>
            <w:tcW w:w="964" w:type="dxa"/>
            <w:vMerge w:val="continue"/>
            <w:tcBorders>
              <w:left w:val="single" w:color="000000" w:sz="4" w:space="0"/>
              <w:right w:val="single" w:color="000000" w:sz="4" w:space="0"/>
            </w:tcBorders>
            <w:shd w:val="clear" w:color="auto" w:fill="auto"/>
            <w:vAlign w:val="center"/>
          </w:tcPr>
          <w:p w14:paraId="796DC9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3CBD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298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0E3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3BE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222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5D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油饼油条</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6EB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86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25A370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5D3D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64F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BFB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672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F44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15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凉皮类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CCA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脱氢乙酸及其钠盐（以脱氢乙酸计）、柠檬黄</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0E6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58749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D28C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C5C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54B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D1C4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肉制品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B82E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熟肉制品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AE4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肉冻皮冻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5F5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铬（以Cr计）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8A4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2D8038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F220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248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15A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A1B5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716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00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熏烧烤肉类（自制）</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9A75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N-二甲基亚硝胺、苯并[a]芘、铅（以Pb计）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9B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同左，增加铬</w:t>
            </w:r>
          </w:p>
        </w:tc>
        <w:tc>
          <w:tcPr>
            <w:tcW w:w="964" w:type="dxa"/>
            <w:vMerge w:val="continue"/>
            <w:tcBorders>
              <w:left w:val="single" w:color="000000" w:sz="4" w:space="0"/>
              <w:right w:val="single" w:color="000000" w:sz="4" w:space="0"/>
            </w:tcBorders>
            <w:shd w:val="clear" w:color="auto" w:fill="auto"/>
            <w:vAlign w:val="center"/>
          </w:tcPr>
          <w:p w14:paraId="538D7F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FD87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CCE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458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C70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C7E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E1E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油炸肉类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top"/>
          </w:tcPr>
          <w:p w14:paraId="1CF715E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597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N-二甲基亚硝胺、苯甲酸及其钠盐（以苯甲酸计）、山梨酸及其钾盐（以山梨酸计）、合成着色剂（柠檬黄、日落黄）</w:t>
            </w:r>
          </w:p>
        </w:tc>
        <w:tc>
          <w:tcPr>
            <w:tcW w:w="964" w:type="dxa"/>
            <w:vMerge w:val="continue"/>
            <w:tcBorders>
              <w:left w:val="single" w:color="000000" w:sz="4" w:space="0"/>
              <w:right w:val="single" w:color="000000" w:sz="4" w:space="0"/>
            </w:tcBorders>
            <w:shd w:val="clear" w:color="auto" w:fill="auto"/>
            <w:vAlign w:val="center"/>
          </w:tcPr>
          <w:p w14:paraId="5FE4BE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60FD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806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16B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5755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调味料（自制 ）</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8D34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B69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火锅麻辣烫底料（自制）</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D32D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罂粟碱、吗啡、可待因、那可丁</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982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544F1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CBC4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C09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5FC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4C8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3E45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B5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蘸料（自制）</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4863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FB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罂粟碱、吗啡、可待因、那可丁，黄曲霉毒素B₁（限花生酱检测）</w:t>
            </w:r>
          </w:p>
        </w:tc>
        <w:tc>
          <w:tcPr>
            <w:tcW w:w="964" w:type="dxa"/>
            <w:vMerge w:val="continue"/>
            <w:tcBorders>
              <w:left w:val="single" w:color="000000" w:sz="4" w:space="0"/>
              <w:right w:val="single" w:color="000000" w:sz="4" w:space="0"/>
            </w:tcBorders>
            <w:shd w:val="clear" w:color="auto" w:fill="auto"/>
            <w:vAlign w:val="center"/>
          </w:tcPr>
          <w:p w14:paraId="6EE3B2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EFA9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D90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6AD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AA5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水产制品（自制）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A2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预制水产制品（自制）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016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生食动物性水产品（自制）</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55D6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铝的残留量（以即食海蜇中Al计）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D3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5CD97C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165F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569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07E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32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坚果及籽类食品（自制 ）</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12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坚果及籽类食品（自制 ）</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3C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花生制品（自制 ）</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138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黄曲霉毒素B₁ 、苯甲酸及其钠盐（以苯甲酸计）、山梨酸及其钾盐（以山梨酸计）、脱氢乙酸及其钠盐（以脱氢乙酸计）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8A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4A2EF1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757C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36D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8DE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A3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焙烤食品（自制）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47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焙烤食品（自制）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E5E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糕点（自制）</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2F2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酸价（以脂肪计）（KOH）、过氧化值（以脂肪计）、山梨酸及其钾盐（以山梨酸计）、脱氢乙酸及其钠盐（以脱氢乙酸计）、铝的残留量（干样品，以Al计）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398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964" w:type="dxa"/>
            <w:vMerge w:val="continue"/>
            <w:tcBorders>
              <w:left w:val="single" w:color="000000" w:sz="4" w:space="0"/>
              <w:right w:val="single" w:color="000000" w:sz="4" w:space="0"/>
            </w:tcBorders>
            <w:shd w:val="clear" w:color="auto" w:fill="auto"/>
            <w:vAlign w:val="center"/>
          </w:tcPr>
          <w:p w14:paraId="622287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EB27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A3A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BBC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C5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食用油、油脂及其制品（自制）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D7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食用油、油脂及其制品（自制）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B9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煎炸过程用油</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31FC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极性组分、酸价（KOH）</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70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219F7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003D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A8A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D58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BF5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淀粉制品（自制）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043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粉丝粉条（自制）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50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粉丝粉条（自制 ）</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166B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铝的残留量（干样品，以Al计）、脱氢乙酸及其钠盐（以脱氢乙酸计）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4D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E3F1E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5B8B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E49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BD9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14AA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329B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7E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奶茶（自制）</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562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AD1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89F9C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2AC5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14BB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FB6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A7D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BDE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6A1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果蔬汁类及其饮料（自制）</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EA4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24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甜蜜素（以环己基氨基磺酸钠计）、脱氢乙酸及其钠盐（以脱氢乙酸计）、合成着色剂（苋菜红、胭脂红、柠檬黄、日落黄、亮蓝）、防腐剂混合使用时各自用量占其最大使用量的比例之和</w:t>
            </w:r>
          </w:p>
        </w:tc>
        <w:tc>
          <w:tcPr>
            <w:tcW w:w="964" w:type="dxa"/>
            <w:vMerge w:val="continue"/>
            <w:tcBorders>
              <w:left w:val="single" w:color="000000" w:sz="4" w:space="0"/>
              <w:bottom w:val="single" w:color="000000" w:sz="4" w:space="0"/>
              <w:right w:val="single" w:color="000000" w:sz="4" w:space="0"/>
            </w:tcBorders>
            <w:shd w:val="clear" w:color="auto" w:fill="auto"/>
            <w:vAlign w:val="center"/>
          </w:tcPr>
          <w:p w14:paraId="2BF6A2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1D49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60DF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29</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8094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食品添加剂</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5585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食品添加剂</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BE8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复配食品添加剂</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A6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复配食品添加剂</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11FC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铅（Pb）、砷（以As计）、致病性微生物</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57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restart"/>
            <w:tcBorders>
              <w:top w:val="single" w:color="000000" w:sz="4" w:space="0"/>
              <w:left w:val="single" w:color="000000" w:sz="4" w:space="0"/>
              <w:right w:val="single" w:color="000000" w:sz="4" w:space="0"/>
            </w:tcBorders>
            <w:shd w:val="clear" w:color="auto" w:fill="auto"/>
            <w:vAlign w:val="center"/>
          </w:tcPr>
          <w:p w14:paraId="2C3C08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cs="Times New Roman"/>
                <w:i w:val="0"/>
                <w:iCs w:val="0"/>
                <w:color w:val="auto"/>
                <w:kern w:val="0"/>
                <w:sz w:val="20"/>
                <w:szCs w:val="20"/>
                <w:highlight w:val="none"/>
                <w:u w:val="none"/>
                <w:lang w:val="en-US" w:eastAsia="zh-CN" w:bidi="ar"/>
              </w:rPr>
              <w:t>0</w:t>
            </w:r>
          </w:p>
        </w:tc>
      </w:tr>
      <w:tr w14:paraId="2C4BD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895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BCF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C25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78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食品用香精</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8FA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食品用香精</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2B64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砷（以As计）含量/无机砷含量、菌落总数</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152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15AAA7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CB3C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E9E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41D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DA2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F474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单一食品添加剂</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93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明胶</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3751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铬（Cr）、铅（Pb）、总砷（As）、二氧化硫、过氧化物</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3E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3BF271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44F3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D9D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866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D10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FB1B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30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糖精钠</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5917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糖精钠含量、干燥失重、总砷（以As计）、铅（Pb）、酸度和碱度、苯甲酸盐和水杨酸盐</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67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004AD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9824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262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BD6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33D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679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2E4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环己基氨基磺酸钠（又名甜蜜素）</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7CD7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环己基氨基磺酸钠含量（以干基计）、硫酸盐（以SO₄计）、pH（100g/L水溶液）、干燥减量、氨基磺酸、环己胺、双环己胺、吸光值（100g/L溶液）、透明度（以100g/L溶液的透光率表示）、重金属（以Pb计）、砷（As）</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03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6404F9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52CC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A94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DAE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31A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118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8B0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碳酸钠</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E541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总碱量（以Na₂CO₃计）（以干基计）、总碱量（以Na₂CO₃计）（以湿基计）、水不溶物（以干基计）、氯化物（以NaCl计）（以干基计）、铁（Fe）（以干基计）、铅（Pb）（以干基计）、砷（As）（以干基计）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5C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4B78C8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1701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33E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B20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6A2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B41A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单一食品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添加剂</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550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碳酸氢钠</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6FF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总碱量（以NaHCO₃计）、干燥减量、pH（10g/L水溶液）、铵盐、澄清度、氯化物（以Cl计）、白度、砷（As）、重金属（以Pb计）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E83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6AF5D9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692D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78D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7AE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FDC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3CC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0F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焦糖色</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6541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吸光度          （610nm）、氨氮（以N计）、二氧化硫（以SO2计）、4-甲基咪唑、总氮（以N计）、总硫（以S计）、总砷（以As计）、铅（Pb）、总汞（以Hg计）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EE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769BA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92EE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911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D68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C10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CFF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F10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蜂蜡</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447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过氧化值，酸值（以KOH计），皂化值（以KOH计），熔程，甘油和其他多元醇，铅（Pb），巴西棕榈蜡，纯白地蜡、石蜡及其他蜡，脂肪、日本蜡、松脂和皂质</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C0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B615E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2CBC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6BE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89F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A83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A2A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B00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红曲米</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C3F9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水分、黄曲霉毒素B1、色价、细度150μm（100目）通过率、总砷（以As计）、重金属（以Pb计）、大肠菌群、沙门氏菌、志贺氏菌、金黄色葡萄球菌</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C0F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519F4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4A1E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CAA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847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DF5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0A4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5CD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红曲红</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843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色价         （495±10）nm、干燥减量、铅（Pb）、砷（As）</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40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40A83C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07F7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C9E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C10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CD8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608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031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红曲黄色素</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933F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色价        （476±10）nm、干燥减量、灼烧残渣、铅（Pb）、总砷（以As计）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428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019D1B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16A7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624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87B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8A5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003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胶基</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C2F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胶基</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75F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铅（Pb）、总砷（以As计）</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859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right w:val="single" w:color="000000" w:sz="4" w:space="0"/>
            </w:tcBorders>
            <w:shd w:val="clear" w:color="auto" w:fill="auto"/>
            <w:vAlign w:val="center"/>
          </w:tcPr>
          <w:p w14:paraId="73A9CE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1D5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1E7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F93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74A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62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食品工业用酶制剂</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1A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食品工业用酶制剂</w:t>
            </w:r>
          </w:p>
        </w:tc>
        <w:tc>
          <w:tcPr>
            <w:tcW w:w="6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EF8A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铅（Pb）、总砷（以As计）、菌落总数、大肠菌群、大肠埃希氏菌、沙门氏菌、抗菌活性</w:t>
            </w:r>
          </w:p>
        </w:tc>
        <w:tc>
          <w:tcPr>
            <w:tcW w:w="1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13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64" w:type="dxa"/>
            <w:vMerge w:val="continue"/>
            <w:tcBorders>
              <w:left w:val="single" w:color="000000" w:sz="4" w:space="0"/>
              <w:bottom w:val="single" w:color="auto" w:sz="4" w:space="0"/>
              <w:right w:val="single" w:color="000000" w:sz="4" w:space="0"/>
            </w:tcBorders>
            <w:shd w:val="clear" w:color="auto" w:fill="auto"/>
            <w:vAlign w:val="center"/>
          </w:tcPr>
          <w:p w14:paraId="27DF7E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1A79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14416" w:type="dxa"/>
            <w:gridSpan w:val="7"/>
            <w:tcBorders>
              <w:top w:val="single" w:color="000000" w:sz="4" w:space="0"/>
              <w:left w:val="single" w:color="000000" w:sz="4" w:space="0"/>
              <w:bottom w:val="single" w:color="000000" w:sz="4" w:space="0"/>
              <w:right w:val="single" w:color="auto" w:sz="4" w:space="0"/>
            </w:tcBorders>
            <w:shd w:val="clear" w:color="auto" w:fill="auto"/>
            <w:vAlign w:val="center"/>
          </w:tcPr>
          <w:p w14:paraId="624BA9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合计</w:t>
            </w:r>
          </w:p>
        </w:tc>
        <w:tc>
          <w:tcPr>
            <w:tcW w:w="964" w:type="dxa"/>
            <w:tcBorders>
              <w:top w:val="single" w:color="auto" w:sz="4" w:space="0"/>
              <w:left w:val="single" w:color="auto" w:sz="4" w:space="0"/>
              <w:bottom w:val="single" w:color="auto" w:sz="4" w:space="0"/>
              <w:right w:val="single" w:color="auto" w:sz="4" w:space="0"/>
            </w:tcBorders>
            <w:shd w:val="clear" w:color="auto" w:fill="auto"/>
            <w:vAlign w:val="center"/>
          </w:tcPr>
          <w:p w14:paraId="479A57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857</w:t>
            </w:r>
          </w:p>
        </w:tc>
      </w:tr>
    </w:tbl>
    <w:p w14:paraId="12908081">
      <w:pPr>
        <w:pStyle w:val="14"/>
        <w:rPr>
          <w:rFonts w:hint="default"/>
          <w:color w:val="auto"/>
          <w:highlight w:val="none"/>
        </w:rPr>
        <w:sectPr>
          <w:pgSz w:w="16838" w:h="11906" w:orient="landscape"/>
          <w:pgMar w:top="1417" w:right="1134" w:bottom="1417" w:left="1134" w:header="851" w:footer="992" w:gutter="0"/>
          <w:cols w:space="425" w:num="1"/>
          <w:docGrid w:type="lines" w:linePitch="312" w:charSpace="0"/>
        </w:sectPr>
      </w:pPr>
    </w:p>
    <w:p w14:paraId="1B2593C5">
      <w:pPr>
        <w:rPr>
          <w:rFonts w:hint="default"/>
          <w:color w:val="auto"/>
          <w:highlight w:val="none"/>
        </w:rPr>
      </w:pPr>
    </w:p>
    <w:p w14:paraId="130F85E1">
      <w:pPr>
        <w:spacing w:line="440" w:lineRule="exact"/>
        <w:jc w:val="center"/>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eastAsia="zh-CN"/>
        </w:rPr>
        <w:t>乌鲁木齐市市场监督管理局（乌鲁木齐市知识产权局）</w:t>
      </w:r>
      <w:r>
        <w:rPr>
          <w:rFonts w:hint="default" w:ascii="Times New Roman" w:hAnsi="Times New Roman" w:cs="Times New Roman"/>
          <w:b/>
          <w:bCs/>
          <w:color w:val="auto"/>
          <w:sz w:val="24"/>
          <w:highlight w:val="none"/>
        </w:rPr>
        <w:t>202</w:t>
      </w:r>
      <w:r>
        <w:rPr>
          <w:rFonts w:hint="default" w:ascii="Times New Roman" w:hAnsi="Times New Roman" w:cs="Times New Roman"/>
          <w:b/>
          <w:bCs/>
          <w:color w:val="auto"/>
          <w:sz w:val="24"/>
          <w:highlight w:val="none"/>
          <w:lang w:val="en-US" w:eastAsia="zh-CN"/>
        </w:rPr>
        <w:t>6</w:t>
      </w:r>
      <w:r>
        <w:rPr>
          <w:rFonts w:hint="default" w:ascii="Times New Roman" w:hAnsi="Times New Roman" w:cs="Times New Roman"/>
          <w:b/>
          <w:bCs/>
          <w:color w:val="auto"/>
          <w:sz w:val="24"/>
          <w:highlight w:val="none"/>
        </w:rPr>
        <w:t>年乌鲁木齐市食品安全监督抽检服务项目</w:t>
      </w:r>
    </w:p>
    <w:p w14:paraId="0CEE2690">
      <w:pPr>
        <w:keepNext w:val="0"/>
        <w:keepLines w:val="0"/>
        <w:pageBreakBefore w:val="0"/>
        <w:widowControl w:val="0"/>
        <w:tabs>
          <w:tab w:val="center" w:pos="4832"/>
          <w:tab w:val="left" w:pos="7140"/>
        </w:tabs>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cs="Times New Roman"/>
          <w:b/>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t>标项五  技术分册</w:t>
      </w:r>
    </w:p>
    <w:p w14:paraId="33BCBF05">
      <w:pPr>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一、工作任务</w:t>
      </w:r>
    </w:p>
    <w:p w14:paraId="4A6406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标项</w:t>
      </w:r>
      <w:r>
        <w:rPr>
          <w:rFonts w:hint="default" w:ascii="Times New Roman" w:hAnsi="Times New Roman" w:eastAsia="宋体" w:cs="Times New Roman"/>
          <w:color w:val="auto"/>
          <w:sz w:val="24"/>
          <w:highlight w:val="none"/>
          <w:lang w:val="en-US" w:eastAsia="zh-CN"/>
        </w:rPr>
        <w:t>五</w:t>
      </w:r>
      <w:r>
        <w:rPr>
          <w:rFonts w:hint="default" w:ascii="Times New Roman" w:hAnsi="Times New Roman" w:cs="Times New Roman"/>
          <w:color w:val="auto"/>
          <w:sz w:val="24"/>
          <w:highlight w:val="none"/>
        </w:rPr>
        <w:t>：202</w:t>
      </w:r>
      <w:r>
        <w:rPr>
          <w:rFonts w:hint="default" w:ascii="Times New Roman" w:hAnsi="Times New Roman" w:cs="Times New Roman"/>
          <w:color w:val="auto"/>
          <w:sz w:val="24"/>
          <w:highlight w:val="none"/>
          <w:lang w:val="en-US" w:eastAsia="zh-CN"/>
        </w:rPr>
        <w:t>6年</w:t>
      </w:r>
      <w:r>
        <w:rPr>
          <w:rFonts w:hint="eastAsia" w:ascii="Times New Roman" w:hAnsi="Times New Roman" w:eastAsia="宋体" w:cs="Times New Roman"/>
          <w:color w:val="auto"/>
          <w:sz w:val="24"/>
          <w:szCs w:val="24"/>
          <w:highlight w:val="none"/>
          <w:lang w:eastAsia="zh-CN"/>
        </w:rPr>
        <w:t>乌鲁木齐市市场监督管理局（乌鲁木齐市知识产权局）</w:t>
      </w:r>
      <w:r>
        <w:rPr>
          <w:rFonts w:hint="default" w:ascii="Times New Roman" w:hAnsi="Times New Roman" w:eastAsia="宋体" w:cs="Times New Roman"/>
          <w:color w:val="auto"/>
          <w:sz w:val="24"/>
          <w:szCs w:val="24"/>
          <w:highlight w:val="none"/>
          <w:lang w:val="en-US" w:eastAsia="zh-CN"/>
        </w:rPr>
        <w:t>重大活动及</w:t>
      </w:r>
      <w:r>
        <w:rPr>
          <w:rFonts w:hint="default" w:ascii="Times New Roman" w:hAnsi="Times New Roman" w:eastAsia="宋体" w:cs="Times New Roman"/>
          <w:color w:val="auto"/>
          <w:kern w:val="0"/>
          <w:sz w:val="24"/>
          <w:szCs w:val="24"/>
          <w:highlight w:val="none"/>
        </w:rPr>
        <w:t>节日保障抽检</w:t>
      </w:r>
      <w:r>
        <w:rPr>
          <w:rFonts w:hint="default" w:ascii="Times New Roman" w:hAnsi="Times New Roman" w:cs="Times New Roman"/>
          <w:color w:val="auto"/>
          <w:kern w:val="0"/>
          <w:sz w:val="24"/>
          <w:highlight w:val="none"/>
          <w:lang w:val="en-US" w:eastAsia="zh-CN"/>
        </w:rPr>
        <w:t>580</w:t>
      </w:r>
      <w:r>
        <w:rPr>
          <w:rFonts w:hint="default" w:ascii="Times New Roman" w:hAnsi="Times New Roman" w:cs="Times New Roman"/>
          <w:color w:val="auto"/>
          <w:kern w:val="0"/>
          <w:sz w:val="24"/>
          <w:highlight w:val="none"/>
        </w:rPr>
        <w:t>批次，单价1</w:t>
      </w:r>
      <w:r>
        <w:rPr>
          <w:rFonts w:hint="default" w:ascii="Times New Roman" w:hAnsi="Times New Roman" w:cs="Times New Roman"/>
          <w:color w:val="auto"/>
          <w:kern w:val="0"/>
          <w:sz w:val="24"/>
          <w:highlight w:val="none"/>
          <w:lang w:val="en-US" w:eastAsia="zh-CN"/>
        </w:rPr>
        <w:t>60</w:t>
      </w:r>
      <w:r>
        <w:rPr>
          <w:rFonts w:hint="default" w:ascii="Times New Roman" w:hAnsi="Times New Roman" w:cs="Times New Roman"/>
          <w:color w:val="auto"/>
          <w:kern w:val="0"/>
          <w:sz w:val="24"/>
          <w:highlight w:val="none"/>
        </w:rPr>
        <w:t>0，合计</w:t>
      </w:r>
      <w:r>
        <w:rPr>
          <w:rFonts w:hint="default" w:ascii="Times New Roman" w:hAnsi="Times New Roman" w:cs="Times New Roman"/>
          <w:color w:val="auto"/>
          <w:kern w:val="0"/>
          <w:sz w:val="24"/>
          <w:highlight w:val="none"/>
          <w:lang w:val="en-US" w:eastAsia="zh-CN"/>
        </w:rPr>
        <w:t>928000</w:t>
      </w:r>
      <w:r>
        <w:rPr>
          <w:rFonts w:hint="default" w:ascii="Times New Roman" w:hAnsi="Times New Roman" w:cs="Times New Roman"/>
          <w:color w:val="auto"/>
          <w:kern w:val="0"/>
          <w:sz w:val="24"/>
          <w:highlight w:val="none"/>
        </w:rPr>
        <w:t>元；</w:t>
      </w:r>
      <w:r>
        <w:rPr>
          <w:rFonts w:hint="default" w:ascii="Times New Roman" w:hAnsi="Times New Roman" w:cs="Times New Roman"/>
          <w:color w:val="auto"/>
          <w:kern w:val="0"/>
          <w:sz w:val="24"/>
          <w:highlight w:val="none"/>
          <w:lang w:val="en-US" w:eastAsia="zh-CN"/>
        </w:rPr>
        <w:t>你点我检抽检161批次，单价158</w:t>
      </w:r>
      <w:r>
        <w:rPr>
          <w:rFonts w:hint="eastAsia" w:ascii="Times New Roman" w:hAnsi="Times New Roman" w:cs="Times New Roman"/>
          <w:color w:val="auto"/>
          <w:kern w:val="0"/>
          <w:sz w:val="24"/>
          <w:highlight w:val="none"/>
          <w:lang w:val="en-US" w:eastAsia="zh-CN"/>
        </w:rPr>
        <w:t>1.565</w:t>
      </w:r>
      <w:r>
        <w:rPr>
          <w:rFonts w:hint="default" w:ascii="Times New Roman" w:hAnsi="Times New Roman" w:cs="Times New Roman"/>
          <w:color w:val="auto"/>
          <w:kern w:val="0"/>
          <w:sz w:val="24"/>
          <w:highlight w:val="none"/>
          <w:lang w:val="en-US" w:eastAsia="zh-CN"/>
        </w:rPr>
        <w:t>，合计254380元，总计11</w:t>
      </w:r>
      <w:r>
        <w:rPr>
          <w:rFonts w:hint="eastAsia" w:ascii="Times New Roman" w:hAnsi="Times New Roman" w:cs="Times New Roman"/>
          <w:color w:val="auto"/>
          <w:kern w:val="0"/>
          <w:sz w:val="24"/>
          <w:highlight w:val="none"/>
          <w:lang w:val="en-US" w:eastAsia="zh-CN"/>
        </w:rPr>
        <w:t>82632</w:t>
      </w:r>
      <w:r>
        <w:rPr>
          <w:rFonts w:hint="default" w:ascii="Times New Roman" w:hAnsi="Times New Roman" w:cs="Times New Roman"/>
          <w:color w:val="auto"/>
          <w:kern w:val="0"/>
          <w:sz w:val="24"/>
          <w:highlight w:val="none"/>
          <w:lang w:val="en-US" w:eastAsia="zh-CN"/>
        </w:rPr>
        <w:t>元。</w:t>
      </w:r>
    </w:p>
    <w:p w14:paraId="14BC5B24">
      <w:pPr>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二、抽检对象、品种及项目</w:t>
      </w:r>
    </w:p>
    <w:p w14:paraId="281234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rPr>
        <w:t>202</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年</w:t>
      </w:r>
      <w:r>
        <w:rPr>
          <w:rFonts w:hint="eastAsia" w:ascii="Times New Roman" w:hAnsi="Times New Roman" w:eastAsia="宋体" w:cs="Times New Roman"/>
          <w:color w:val="auto"/>
          <w:sz w:val="24"/>
          <w:szCs w:val="24"/>
          <w:highlight w:val="none"/>
          <w:lang w:eastAsia="zh-CN"/>
        </w:rPr>
        <w:t>乌鲁木齐市市场监督管理局（乌鲁木齐市知识产权局）</w:t>
      </w:r>
      <w:r>
        <w:rPr>
          <w:rFonts w:hint="default" w:ascii="Times New Roman" w:hAnsi="Times New Roman" w:eastAsia="宋体" w:cs="Times New Roman"/>
          <w:color w:val="auto"/>
          <w:sz w:val="24"/>
          <w:szCs w:val="24"/>
          <w:highlight w:val="none"/>
          <w:lang w:val="en-US" w:eastAsia="zh-CN"/>
        </w:rPr>
        <w:t>重大活动及</w:t>
      </w:r>
      <w:r>
        <w:rPr>
          <w:rFonts w:hint="default" w:ascii="Times New Roman" w:hAnsi="Times New Roman" w:eastAsia="宋体" w:cs="Times New Roman"/>
          <w:color w:val="auto"/>
          <w:kern w:val="0"/>
          <w:sz w:val="24"/>
          <w:szCs w:val="24"/>
          <w:highlight w:val="none"/>
        </w:rPr>
        <w:t>节日保障</w:t>
      </w:r>
      <w:r>
        <w:rPr>
          <w:rFonts w:hint="default" w:ascii="Times New Roman" w:hAnsi="Times New Roman" w:eastAsia="宋体" w:cs="Times New Roman"/>
          <w:color w:val="auto"/>
          <w:sz w:val="24"/>
          <w:szCs w:val="24"/>
          <w:highlight w:val="none"/>
        </w:rPr>
        <w:t>抽检</w:t>
      </w:r>
      <w:r>
        <w:rPr>
          <w:rFonts w:hint="default" w:ascii="Times New Roman" w:hAnsi="Times New Roman" w:cs="Times New Roman"/>
          <w:color w:val="auto"/>
          <w:sz w:val="24"/>
          <w:highlight w:val="none"/>
          <w:lang w:val="en-US" w:eastAsia="zh-CN"/>
        </w:rPr>
        <w:t>580</w:t>
      </w:r>
      <w:r>
        <w:rPr>
          <w:rFonts w:hint="default" w:ascii="Times New Roman" w:hAnsi="Times New Roman" w:cs="Times New Roman"/>
          <w:color w:val="auto"/>
          <w:sz w:val="24"/>
          <w:highlight w:val="none"/>
        </w:rPr>
        <w:t>批次</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你点我检161批次，</w:t>
      </w:r>
      <w:r>
        <w:rPr>
          <w:rFonts w:hint="default" w:ascii="Times New Roman" w:hAnsi="Times New Roman" w:cs="Times New Roman"/>
          <w:color w:val="auto"/>
          <w:sz w:val="24"/>
          <w:highlight w:val="none"/>
        </w:rPr>
        <w:t>涵盖预包装食品、</w:t>
      </w:r>
      <w:r>
        <w:rPr>
          <w:rFonts w:hint="default" w:ascii="Times New Roman" w:hAnsi="Times New Roman" w:cs="Times New Roman"/>
          <w:color w:val="auto"/>
          <w:sz w:val="24"/>
          <w:highlight w:val="none"/>
          <w:lang w:eastAsia="zh-CN"/>
        </w:rPr>
        <w:t>餐饮</w:t>
      </w:r>
      <w:r>
        <w:rPr>
          <w:rFonts w:hint="default" w:ascii="Times New Roman" w:hAnsi="Times New Roman" w:cs="Times New Roman"/>
          <w:color w:val="auto"/>
          <w:sz w:val="24"/>
          <w:highlight w:val="none"/>
          <w:lang w:val="en-US" w:eastAsia="zh-CN"/>
        </w:rPr>
        <w:t>食品</w:t>
      </w:r>
      <w:r>
        <w:rPr>
          <w:rFonts w:hint="default" w:ascii="Times New Roman" w:hAnsi="Times New Roman" w:cs="Times New Roman"/>
          <w:color w:val="auto"/>
          <w:sz w:val="24"/>
          <w:highlight w:val="none"/>
        </w:rPr>
        <w:t>，抽检品种及检验项目详见招标文件附表。</w:t>
      </w:r>
    </w:p>
    <w:p w14:paraId="5778006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三、抽样时间和频次</w:t>
      </w:r>
    </w:p>
    <w:p w14:paraId="347C54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按照</w:t>
      </w:r>
      <w:r>
        <w:rPr>
          <w:rFonts w:hint="eastAsia" w:ascii="Times New Roman" w:hAnsi="Times New Roman" w:eastAsia="宋体" w:cs="Times New Roman"/>
          <w:color w:val="auto"/>
          <w:sz w:val="24"/>
          <w:szCs w:val="24"/>
          <w:highlight w:val="none"/>
          <w:lang w:eastAsia="zh-CN"/>
        </w:rPr>
        <w:t>乌鲁木齐市市场监督管理局（乌鲁木齐市知识产权局）</w:t>
      </w:r>
      <w:r>
        <w:rPr>
          <w:rFonts w:hint="default" w:ascii="Times New Roman" w:hAnsi="Times New Roman" w:eastAsia="宋体" w:cs="Times New Roman"/>
          <w:color w:val="auto"/>
          <w:sz w:val="24"/>
          <w:szCs w:val="24"/>
          <w:highlight w:val="none"/>
          <w:lang w:val="en-US" w:eastAsia="zh-CN"/>
        </w:rPr>
        <w:t>重大活动保障任务及节日</w:t>
      </w:r>
      <w:r>
        <w:rPr>
          <w:rFonts w:hint="default" w:ascii="Times New Roman" w:hAnsi="Times New Roman" w:eastAsia="宋体" w:cs="Times New Roman"/>
          <w:color w:val="auto"/>
          <w:sz w:val="24"/>
          <w:szCs w:val="24"/>
          <w:highlight w:val="none"/>
        </w:rPr>
        <w:t>安排部署开展，</w:t>
      </w:r>
      <w:r>
        <w:rPr>
          <w:rFonts w:hint="default" w:ascii="Times New Roman" w:hAnsi="Times New Roman" w:eastAsia="宋体" w:cs="Times New Roman"/>
          <w:color w:val="auto"/>
          <w:sz w:val="24"/>
          <w:szCs w:val="24"/>
          <w:highlight w:val="none"/>
          <w:lang w:val="en-US" w:eastAsia="zh-CN"/>
        </w:rPr>
        <w:t>在相关节点开展你点我检全面工作</w:t>
      </w:r>
      <w:r>
        <w:rPr>
          <w:rFonts w:hint="default" w:ascii="Times New Roman" w:hAnsi="Times New Roman" w:eastAsia="宋体" w:cs="Times New Roman"/>
          <w:color w:val="auto"/>
          <w:sz w:val="24"/>
          <w:szCs w:val="24"/>
          <w:highlight w:val="none"/>
        </w:rPr>
        <w:t>。</w:t>
      </w:r>
    </w:p>
    <w:p w14:paraId="37178B3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四、抽样场所</w:t>
      </w:r>
    </w:p>
    <w:p w14:paraId="39D7C071">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1.覆盖重大活动（两会、3·15、亚欧博览会、中秋国庆</w:t>
      </w:r>
      <w:r>
        <w:rPr>
          <w:rFonts w:hint="default" w:ascii="Times New Roman" w:hAnsi="Times New Roman" w:eastAsia="宋体" w:cs="Times New Roman"/>
          <w:color w:val="auto"/>
          <w:sz w:val="24"/>
          <w:szCs w:val="24"/>
          <w:highlight w:val="none"/>
          <w:lang w:eastAsia="zh-CN"/>
        </w:rPr>
        <w:t>、元旦春节</w:t>
      </w:r>
      <w:r>
        <w:rPr>
          <w:rFonts w:hint="default" w:ascii="Times New Roman" w:hAnsi="Times New Roman" w:eastAsia="宋体" w:cs="Times New Roman"/>
          <w:color w:val="auto"/>
          <w:sz w:val="24"/>
          <w:szCs w:val="24"/>
          <w:highlight w:val="none"/>
        </w:rPr>
        <w:t>等</w:t>
      </w:r>
      <w:r>
        <w:rPr>
          <w:rFonts w:hint="default" w:ascii="Times New Roman" w:hAnsi="Times New Roman" w:eastAsia="宋体" w:cs="Times New Roman"/>
          <w:color w:val="auto"/>
          <w:sz w:val="24"/>
          <w:szCs w:val="24"/>
          <w:highlight w:val="none"/>
          <w:lang w:val="en-US" w:eastAsia="zh-CN"/>
        </w:rPr>
        <w:t>）保障现场各类抽检及你点我检任务。</w:t>
      </w:r>
    </w:p>
    <w:p w14:paraId="22B5E8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.覆盖农贸市场、商超、餐饮场所等</w:t>
      </w:r>
      <w:r>
        <w:rPr>
          <w:rFonts w:hint="default" w:ascii="Times New Roman" w:hAnsi="Times New Roman" w:eastAsia="宋体" w:cs="Times New Roman"/>
          <w:color w:val="auto"/>
          <w:sz w:val="24"/>
          <w:szCs w:val="24"/>
          <w:highlight w:val="none"/>
          <w:lang w:eastAsia="zh-CN"/>
        </w:rPr>
        <w:t>活动</w:t>
      </w:r>
      <w:r>
        <w:rPr>
          <w:rFonts w:hint="default" w:ascii="Times New Roman" w:hAnsi="Times New Roman" w:eastAsia="宋体" w:cs="Times New Roman"/>
          <w:color w:val="auto"/>
          <w:sz w:val="24"/>
          <w:szCs w:val="24"/>
          <w:highlight w:val="none"/>
        </w:rPr>
        <w:t>场所。</w:t>
      </w:r>
    </w:p>
    <w:p w14:paraId="67F65D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kern w:val="0"/>
          <w:sz w:val="24"/>
          <w:highlight w:val="none"/>
          <w:lang w:val="en-US" w:eastAsia="zh-CN"/>
        </w:rPr>
        <w:t>3.对消费者高度关注的网络平台直播带货，外卖平台热销食品部署开展网络抽检。</w:t>
      </w:r>
    </w:p>
    <w:p w14:paraId="0C18AE9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五、抽样检验</w:t>
      </w:r>
    </w:p>
    <w:p w14:paraId="49F309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抽样和检测等工作的实施应严格执行有关法律法规、规章以及《食品安全抽样检验管理办法》（总局第15号令）、《国家食品安全监督抽检实施细则（202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年版）》、《食用农产品抽样检验和核查处置规定》；抽样过程应严格按照监督抽检工作程序，履行相应的法定手续，应使用规范的抽样文书。</w:t>
      </w:r>
    </w:p>
    <w:p w14:paraId="486BC9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验人员应按照食品安全标准和检验规范对食品进行检验，保证数据和结论客观、公正。承检机构对不合格样品必须进行复核，确保检验结果准确可靠。此外，检验报告编号应该与抽样编号保持一致（或是在检验报告封皮醒目处加注抽样编号），便于不合格样品的核查处置。</w:t>
      </w:r>
    </w:p>
    <w:p w14:paraId="206179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对易腐烂变质的蔬菜、水果等食用农产品样品，需进行均质备份样品的，应当在现场抽样时主动向食用农产品销售者告知确认，可采取拍照或摄像等方式对样品均质备份进行记录。</w:t>
      </w:r>
    </w:p>
    <w:p w14:paraId="50A1416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六、任务完成时限</w:t>
      </w:r>
    </w:p>
    <w:p w14:paraId="05153F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重大活动及</w:t>
      </w:r>
      <w:r>
        <w:rPr>
          <w:rFonts w:hint="default" w:ascii="Times New Roman" w:hAnsi="Times New Roman" w:eastAsia="宋体" w:cs="Times New Roman"/>
          <w:color w:val="auto"/>
          <w:kern w:val="0"/>
          <w:sz w:val="24"/>
          <w:szCs w:val="24"/>
          <w:highlight w:val="none"/>
        </w:rPr>
        <w:t>节日保障</w:t>
      </w:r>
      <w:r>
        <w:rPr>
          <w:rFonts w:hint="default" w:ascii="Times New Roman" w:hAnsi="Times New Roman" w:eastAsia="宋体" w:cs="Times New Roman"/>
          <w:color w:val="auto"/>
          <w:kern w:val="0"/>
          <w:sz w:val="24"/>
          <w:szCs w:val="24"/>
          <w:highlight w:val="none"/>
          <w:lang w:val="en-US" w:eastAsia="zh-CN"/>
        </w:rPr>
        <w:t>任务</w:t>
      </w:r>
      <w:r>
        <w:rPr>
          <w:rFonts w:hint="default" w:ascii="Times New Roman" w:hAnsi="Times New Roman" w:eastAsia="宋体" w:cs="Times New Roman"/>
          <w:color w:val="auto"/>
          <w:sz w:val="24"/>
          <w:szCs w:val="24"/>
          <w:highlight w:val="none"/>
        </w:rPr>
        <w:t>为乌鲁木齐市本级任务。</w:t>
      </w:r>
    </w:p>
    <w:p w14:paraId="2C311D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highlight w:val="none"/>
        </w:rPr>
        <w:t>需达到均衡抽检要求，</w:t>
      </w:r>
      <w:r>
        <w:rPr>
          <w:rFonts w:hint="default" w:ascii="Times New Roman" w:hAnsi="Times New Roman" w:eastAsia="宋体" w:cs="Times New Roman"/>
          <w:color w:val="auto"/>
          <w:sz w:val="24"/>
          <w:highlight w:val="none"/>
          <w:lang w:val="en-US" w:eastAsia="zh-CN"/>
        </w:rPr>
        <w:t>2027年4</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30</w:t>
      </w:r>
      <w:r>
        <w:rPr>
          <w:rFonts w:hint="default" w:ascii="Times New Roman" w:hAnsi="Times New Roman" w:eastAsia="宋体" w:cs="Times New Roman"/>
          <w:color w:val="auto"/>
          <w:sz w:val="24"/>
          <w:highlight w:val="none"/>
        </w:rPr>
        <w:t>日前完成完成所有抽检任务。</w:t>
      </w:r>
    </w:p>
    <w:p w14:paraId="2653DB6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七、数据报送</w:t>
      </w:r>
    </w:p>
    <w:p w14:paraId="12E965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1.承检机构应严格按照有关法律法规、规章和有关要求，将检验工作中发现的食品安全问题和有关检验报告及时上报组织实施抽检工作的市场监管部门。</w:t>
      </w:r>
    </w:p>
    <w:p w14:paraId="686EFD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2.发现不合格样品中可能存在重大风险隐患或急性健康风险的，应当在确认检验结果后24小时之内填写《食品安全抽样检验限时报告情况表》，报告</w:t>
      </w:r>
      <w:r>
        <w:rPr>
          <w:rFonts w:hint="eastAsia" w:ascii="Times New Roman" w:hAnsi="Times New Roman" w:eastAsia="宋体" w:cs="Times New Roman"/>
          <w:color w:val="auto"/>
          <w:sz w:val="24"/>
          <w:szCs w:val="24"/>
          <w:highlight w:val="none"/>
          <w:lang w:eastAsia="zh-CN"/>
        </w:rPr>
        <w:t>乌鲁木齐市市场监督管理局（乌鲁木齐市知识产权局）</w:t>
      </w:r>
      <w:r>
        <w:rPr>
          <w:rFonts w:hint="default" w:ascii="Times New Roman" w:hAnsi="Times New Roman" w:eastAsia="宋体" w:cs="Times New Roman"/>
          <w:color w:val="auto"/>
          <w:sz w:val="24"/>
          <w:szCs w:val="24"/>
          <w:highlight w:val="none"/>
        </w:rPr>
        <w:t>，并抄送自治区市场监管局。</w:t>
      </w:r>
    </w:p>
    <w:p w14:paraId="0B7370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3.所有抽检数据须录入国抽平台。</w:t>
      </w:r>
    </w:p>
    <w:p w14:paraId="1F40A7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4.须形成</w:t>
      </w:r>
      <w:r>
        <w:rPr>
          <w:rFonts w:hint="default" w:ascii="Times New Roman" w:hAnsi="Times New Roman" w:eastAsia="宋体" w:cs="Times New Roman"/>
          <w:color w:val="auto"/>
          <w:sz w:val="24"/>
          <w:szCs w:val="24"/>
          <w:highlight w:val="none"/>
          <w:lang w:val="en-US" w:eastAsia="zh-CN"/>
        </w:rPr>
        <w:t>重大活动及节日保障</w:t>
      </w:r>
      <w:r>
        <w:rPr>
          <w:rFonts w:hint="default" w:ascii="Times New Roman" w:hAnsi="Times New Roman" w:cs="Times New Roman"/>
          <w:color w:val="auto"/>
          <w:sz w:val="24"/>
          <w:highlight w:val="none"/>
        </w:rPr>
        <w:t>半年及全年分析报告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你点我检年度分析报告。</w:t>
      </w:r>
    </w:p>
    <w:p w14:paraId="76720A14">
      <w:pPr>
        <w:pStyle w:val="29"/>
        <w:rPr>
          <w:rFonts w:hint="default" w:ascii="Times New Roman" w:hAnsi="Times New Roman" w:eastAsia="宋体" w:cs="Times New Roman"/>
          <w:color w:val="auto"/>
          <w:sz w:val="24"/>
          <w:szCs w:val="24"/>
          <w:highlight w:val="none"/>
          <w:lang w:val="en-US" w:eastAsia="zh-CN"/>
        </w:rPr>
      </w:pPr>
    </w:p>
    <w:p w14:paraId="08C89AE6">
      <w:pPr>
        <w:bidi w:val="0"/>
        <w:rPr>
          <w:rFonts w:hint="default" w:cs="Times New Roman"/>
          <w:b/>
          <w:bCs/>
          <w:color w:val="auto"/>
          <w:sz w:val="24"/>
          <w:szCs w:val="32"/>
          <w:highlight w:val="none"/>
        </w:rPr>
      </w:pPr>
      <w:r>
        <w:rPr>
          <w:rFonts w:hint="default" w:cs="Times New Roman"/>
          <w:b/>
          <w:bCs/>
          <w:color w:val="auto"/>
          <w:sz w:val="24"/>
          <w:szCs w:val="32"/>
          <w:highlight w:val="none"/>
        </w:rPr>
        <w:t>*其他要求：抽检餐饮服务食品应具备4小时内转运样品至实验室的能力（以新疆昆仑宾馆为起点，检测实验室为终点，通过两个以上地图类工具软件验证）</w:t>
      </w:r>
    </w:p>
    <w:p w14:paraId="39413668">
      <w:pPr>
        <w:bidi w:val="0"/>
        <w:rPr>
          <w:rFonts w:hint="default" w:cs="Times New Roman"/>
          <w:b/>
          <w:bCs/>
          <w:color w:val="auto"/>
          <w:sz w:val="24"/>
          <w:szCs w:val="32"/>
          <w:highlight w:val="none"/>
        </w:rPr>
      </w:pPr>
      <w:r>
        <w:rPr>
          <w:rFonts w:hint="default" w:cs="Times New Roman"/>
          <w:b/>
          <w:bCs/>
          <w:color w:val="auto"/>
          <w:sz w:val="24"/>
          <w:szCs w:val="32"/>
          <w:highlight w:val="none"/>
        </w:rPr>
        <w:t>注：加*条款为重要条款，若不满足将导致符合性审查不合格。</w:t>
      </w:r>
    </w:p>
    <w:p w14:paraId="1B1B8C88">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八、验收、续签合同、付款</w:t>
      </w:r>
    </w:p>
    <w:p w14:paraId="6217FA38">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（一）验收</w:t>
      </w:r>
    </w:p>
    <w:p w14:paraId="342B216D">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cs="Times New Roman"/>
          <w:color w:val="auto"/>
          <w:highlight w:val="none"/>
        </w:rPr>
      </w:pPr>
      <w:r>
        <w:rPr>
          <w:rFonts w:hint="eastAsia" w:ascii="Times New Roman" w:hAnsi="Times New Roman" w:eastAsia="宋体" w:cs="Times New Roman"/>
          <w:color w:val="auto"/>
          <w:kern w:val="2"/>
          <w:sz w:val="24"/>
          <w:szCs w:val="24"/>
          <w:highlight w:val="none"/>
          <w:lang w:val="en-US" w:eastAsia="zh-CN" w:bidi="ar"/>
        </w:rPr>
        <w:t>乌鲁木齐市市场监督管理局（乌鲁木齐市知识产权局）</w:t>
      </w:r>
      <w:r>
        <w:rPr>
          <w:rFonts w:hint="default" w:ascii="Times New Roman" w:hAnsi="Times New Roman" w:eastAsia="宋体" w:cs="Times New Roman"/>
          <w:color w:val="auto"/>
          <w:kern w:val="2"/>
          <w:sz w:val="24"/>
          <w:szCs w:val="24"/>
          <w:highlight w:val="none"/>
          <w:lang w:val="en-US" w:eastAsia="zh-CN" w:bidi="ar"/>
        </w:rPr>
        <w:t>按照合同执行情况，对该年度承担任务的承检机构进行质量验收，确认验收报告。</w:t>
      </w:r>
    </w:p>
    <w:p w14:paraId="75C352C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（二）项目办结及付款</w:t>
      </w:r>
    </w:p>
    <w:p w14:paraId="5669712E">
      <w:pPr>
        <w:pStyle w:val="13"/>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sz w:val="24"/>
          <w:highlight w:val="none"/>
        </w:rPr>
        <w:sectPr>
          <w:pgSz w:w="11906" w:h="16838"/>
          <w:pgMar w:top="1134" w:right="1417" w:bottom="1134" w:left="1417" w:header="851" w:footer="992" w:gutter="0"/>
          <w:cols w:space="425" w:num="1"/>
          <w:docGrid w:type="lines" w:linePitch="312" w:charSpace="0"/>
        </w:sectPr>
      </w:pPr>
      <w:r>
        <w:rPr>
          <w:rFonts w:hint="default" w:ascii="Times New Roman" w:hAnsi="Times New Roman" w:cs="Times New Roman"/>
          <w:color w:val="auto"/>
          <w:sz w:val="24"/>
          <w:highlight w:val="none"/>
        </w:rPr>
        <w:t>采购人凭项目合同、验收报告、发票原件在合同约定的时间内办理采购款支付手续。</w:t>
      </w:r>
    </w:p>
    <w:tbl>
      <w:tblPr>
        <w:tblStyle w:val="30"/>
        <w:tblW w:w="15566" w:type="dxa"/>
        <w:tblInd w:w="-22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0"/>
        <w:gridCol w:w="1228"/>
        <w:gridCol w:w="1215"/>
        <w:gridCol w:w="1271"/>
        <w:gridCol w:w="1214"/>
        <w:gridCol w:w="88"/>
        <w:gridCol w:w="6837"/>
        <w:gridCol w:w="463"/>
        <w:gridCol w:w="1164"/>
        <w:gridCol w:w="436"/>
        <w:gridCol w:w="628"/>
        <w:gridCol w:w="222"/>
      </w:tblGrid>
      <w:tr w14:paraId="63A40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0" w:hRule="atLeast"/>
        </w:trPr>
        <w:tc>
          <w:tcPr>
            <w:tcW w:w="15566" w:type="dxa"/>
            <w:gridSpan w:val="12"/>
            <w:tcBorders>
              <w:top w:val="nil"/>
              <w:left w:val="nil"/>
              <w:bottom w:val="single" w:color="auto" w:sz="4" w:space="0"/>
              <w:right w:val="nil"/>
            </w:tcBorders>
            <w:shd w:val="clear" w:color="auto" w:fill="auto"/>
            <w:vAlign w:val="center"/>
          </w:tcPr>
          <w:p w14:paraId="10F43AE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方正小标宋_GBK" w:cs="Times New Roman"/>
                <w:b w:val="0"/>
                <w:bCs w:val="0"/>
                <w:i w:val="0"/>
                <w:iCs w:val="0"/>
                <w:color w:val="auto"/>
                <w:kern w:val="0"/>
                <w:sz w:val="44"/>
                <w:szCs w:val="44"/>
                <w:highlight w:val="none"/>
                <w:u w:val="none"/>
                <w:lang w:val="en-US" w:eastAsia="zh-CN" w:bidi="ar"/>
              </w:rPr>
            </w:pPr>
            <w:r>
              <w:rPr>
                <w:rFonts w:hint="eastAsia" w:ascii="宋体" w:hAnsi="宋体" w:eastAsia="宋体" w:cs="宋体"/>
                <w:b/>
                <w:bCs/>
                <w:i w:val="0"/>
                <w:iCs w:val="0"/>
                <w:color w:val="auto"/>
                <w:kern w:val="0"/>
                <w:sz w:val="44"/>
                <w:szCs w:val="44"/>
                <w:highlight w:val="none"/>
                <w:u w:val="none"/>
                <w:lang w:val="en-US" w:eastAsia="zh-CN" w:bidi="ar"/>
              </w:rPr>
              <w:t>2026年乌鲁木齐重大活动及节日保障食品安全监督抽检任务分配表</w:t>
            </w:r>
          </w:p>
        </w:tc>
      </w:tr>
      <w:tr w14:paraId="38E81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trPr>
        <w:tc>
          <w:tcPr>
            <w:tcW w:w="800" w:type="dxa"/>
            <w:tcBorders>
              <w:top w:val="single" w:color="auto" w:sz="4" w:space="0"/>
              <w:left w:val="single" w:color="000000" w:sz="4" w:space="0"/>
              <w:bottom w:val="single" w:color="000000" w:sz="4" w:space="0"/>
              <w:right w:val="single" w:color="000000" w:sz="4" w:space="0"/>
            </w:tcBorders>
            <w:shd w:val="clear" w:color="auto" w:fill="auto"/>
            <w:vAlign w:val="center"/>
          </w:tcPr>
          <w:p w14:paraId="3032222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序号</w:t>
            </w:r>
          </w:p>
        </w:tc>
        <w:tc>
          <w:tcPr>
            <w:tcW w:w="1228" w:type="dxa"/>
            <w:tcBorders>
              <w:top w:val="single" w:color="auto" w:sz="4" w:space="0"/>
              <w:left w:val="single" w:color="000000" w:sz="4" w:space="0"/>
              <w:bottom w:val="single" w:color="000000" w:sz="4" w:space="0"/>
              <w:right w:val="single" w:color="000000" w:sz="4" w:space="0"/>
            </w:tcBorders>
            <w:shd w:val="clear" w:color="auto" w:fill="auto"/>
            <w:vAlign w:val="center"/>
          </w:tcPr>
          <w:p w14:paraId="1328B79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食品大类（一级）</w:t>
            </w:r>
          </w:p>
        </w:tc>
        <w:tc>
          <w:tcPr>
            <w:tcW w:w="1215" w:type="dxa"/>
            <w:tcBorders>
              <w:top w:val="single" w:color="auto" w:sz="4" w:space="0"/>
              <w:left w:val="single" w:color="000000" w:sz="4" w:space="0"/>
              <w:bottom w:val="single" w:color="000000" w:sz="4" w:space="0"/>
              <w:right w:val="single" w:color="000000" w:sz="4" w:space="0"/>
            </w:tcBorders>
            <w:shd w:val="clear" w:color="auto" w:fill="auto"/>
            <w:vAlign w:val="center"/>
          </w:tcPr>
          <w:p w14:paraId="288C912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食品亚类（二级）</w:t>
            </w:r>
          </w:p>
        </w:tc>
        <w:tc>
          <w:tcPr>
            <w:tcW w:w="1271" w:type="dxa"/>
            <w:tcBorders>
              <w:top w:val="single" w:color="auto" w:sz="4" w:space="0"/>
              <w:left w:val="single" w:color="000000" w:sz="4" w:space="0"/>
              <w:bottom w:val="single" w:color="000000" w:sz="4" w:space="0"/>
              <w:right w:val="single" w:color="000000" w:sz="4" w:space="0"/>
            </w:tcBorders>
            <w:shd w:val="clear" w:color="auto" w:fill="auto"/>
            <w:vAlign w:val="center"/>
          </w:tcPr>
          <w:p w14:paraId="216370B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食品品种（三级）</w:t>
            </w:r>
          </w:p>
        </w:tc>
        <w:tc>
          <w:tcPr>
            <w:tcW w:w="130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6D06FD8B">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食品细类（四级）</w:t>
            </w:r>
          </w:p>
        </w:tc>
        <w:tc>
          <w:tcPr>
            <w:tcW w:w="7300"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691B617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抽检项目</w:t>
            </w:r>
          </w:p>
        </w:tc>
        <w:tc>
          <w:tcPr>
            <w:tcW w:w="1600"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468E2570">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区配套限定抽检品种及项目</w:t>
            </w:r>
          </w:p>
        </w:tc>
        <w:tc>
          <w:tcPr>
            <w:tcW w:w="850"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339E1D78">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eastAsia" w:ascii="Times New Roman" w:hAnsi="Times New Roman" w:eastAsia="宋体" w:cs="Times New Roman"/>
                <w:b/>
                <w:bCs/>
                <w:i w:val="0"/>
                <w:iCs w:val="0"/>
                <w:color w:val="auto"/>
                <w:kern w:val="0"/>
                <w:sz w:val="20"/>
                <w:szCs w:val="20"/>
                <w:highlight w:val="none"/>
                <w:u w:val="none"/>
                <w:lang w:val="en-US" w:eastAsia="zh-CN" w:bidi="ar"/>
              </w:rPr>
              <w:t>批次</w:t>
            </w:r>
          </w:p>
        </w:tc>
      </w:tr>
      <w:tr w14:paraId="04B28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C70A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8FA0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粮食加工品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2D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9EB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D36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ECAA8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铅（以Pb计）、镉（以Cd计）、苯并[a]芘、玉米赤霉烯酮、脱氧雪腐镰刀菌烯醇、赭曲霉毒素A、黄曲霉毒素B₁ 、偶氮甲酰胺、过氧化苯甲酰</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4F381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6D2CE5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64</w:t>
            </w:r>
          </w:p>
        </w:tc>
      </w:tr>
      <w:tr w14:paraId="38C01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56F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EDE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E86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大米</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2CE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大米</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2067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大米</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CE578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铅（以Pb计）、镉（以Cd计）、无机砷（以As计）、苯并[a]芘、黄曲霉毒素B₁ 、赭曲霉毒素A</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4397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8AE172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B299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C59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85F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B0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挂面</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17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挂面</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7BF1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挂面</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A637C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铅（以Pb计）、黄曲霉毒素B₁ 、脱氢乙酸及其钠盐（以脱氢乙酸计）、合成着色剂（柠檬黄、日落黄、胭脂红、苋菜红、诱惑红、亮蓝）</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1132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776411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F051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3D3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A5C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9167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其他粮食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52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谷物加工品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166D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谷物加工品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50339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铅（以Pb计）、镉（以Cd计）、黄曲霉毒素B₁ 、赭曲霉毒素A</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D76BA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42B3C9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4632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438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FD5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161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B867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谷物碾磨</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0FD7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玉米粉</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（片、渣 ）</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2328F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苯并[a]芘、黄曲霉毒素B₁ 、赭曲霉毒素A、玉米赤霉烯酮、脱氧雪腐镰刀菌烯醇</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A747D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179C6DA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F508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C5B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00E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116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45C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218C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米粉</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AF5C8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铅（以Pb计）、镉（以Cd计）、总汞（以Hg计）、无机砷（以As计）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C8F89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CC2434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FD84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D723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F51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333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03A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87B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其他谷物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碾磨加工品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39DA7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铅（以Pb计）、铬（以Cr计）、赭曲霉毒素A</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BFFCA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628B547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1229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0C6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F49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843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8301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谷物粉类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制成品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9101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生湿面制品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B406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铅（以Pb计）、苯甲酸及其钠盐（以苯甲酸计）、山梨酸及其钾盐（以山梨酸计）、脱氢乙酸及其钠盐（以脱氢乙酸计）、二氧化硫残留量、合成着色剂（柠檬黄）</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5DBD7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C1D2A9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B76E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7BA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C35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A9F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5F3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25C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发酵面制品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63EA1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糖精钠（以糖精计）、甜蜜素（以环己基氨基磺酸计）、安赛蜜、合成着色剂（柠檬黄、胭脂红）、菌落总数、大肠菌群</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3E22B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D5A588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38E6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B44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3C4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ED8F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其他粮食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1731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谷物粉类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制成品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190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米粉制品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56198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二氧化硫残留量、合成着色剂（柠檬黄、日落黄、喹啉黄、亮蓝、靛蓝）、甜蜜素（以环己基氨基磺酸计）、菌落总数、大肠菌群</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2F15F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850" w:type="dxa"/>
            <w:gridSpan w:val="2"/>
            <w:vMerge w:val="continue"/>
            <w:tcBorders>
              <w:left w:val="single" w:color="000000" w:sz="4" w:space="0"/>
              <w:right w:val="single" w:color="000000" w:sz="4" w:space="0"/>
            </w:tcBorders>
            <w:shd w:val="clear" w:color="auto" w:fill="auto"/>
            <w:vAlign w:val="center"/>
          </w:tcPr>
          <w:p w14:paraId="65D0E87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7B19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F64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138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F27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757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FEF3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其他谷物粉类制成品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6883A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黄曲霉毒素B₁ 、苯甲酸及其钠盐（以苯甲酸计）、山梨酸及其钾盐（以山梨酸计）、脱氢乙酸及其钠盐（以脱氢乙酸计）、合成着色剂（柠檬黄、日落黄、胭脂红、苋菜红、亮蓝）、菌落总数、大肠菌群</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B1EAA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2FA997E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FAAD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D37A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07EB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食用油、油脂及其制品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79F5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食用植物油</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01F0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食用植物油</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668E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花生油</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DA020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酸值/酸价、过氧化值、黄曲霉毒素B₁ 、苯并[a]芘、溶剂残留量、特丁基对苯二酚（TBHQ）、铅（以Pb计）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61EF3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286611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33</w:t>
            </w:r>
          </w:p>
        </w:tc>
      </w:tr>
      <w:tr w14:paraId="47F61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415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9FE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E43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00B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1163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玉米油</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78B79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酸值/酸价、过氧化值、黄曲霉毒素B₁ 、苯并[a]芘、特丁基对苯二酚（TBHQ）</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4C877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66A10F6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508D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705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31C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2E8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405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9451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芝麻油</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A2112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酸值/酸价、过氧化值、苯并[a]芘、溶剂残留量、乙基麦芽酚</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7F226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7CA71ED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5A51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9C3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58E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517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F64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033E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橄榄油、油橄榄果渣油</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0AAA8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酸值/酸价、过氧化值、溶剂残留量、特丁基对苯二酚（TBHQ）</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ED432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B8EC9C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C022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77F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301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E1E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366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C449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菜籽油</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133D1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酸值/酸价、过氧化值、苯并[a]芘、溶剂残留量、特丁基对苯二酚（TBHQ）、乙基麦芽酚、铅（以Pb计）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769B9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4B6C21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D3A3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571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7D6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27D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092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72CE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大豆油</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FC4B9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酸值/酸价、过氧化值、苯并[a]芘、溶剂残留量、特丁基对苯二酚（TBHQ）、铅（以Pb计）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16F64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DAF4F5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9D5B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0B9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189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29E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7B63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F56B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食用植物调和油</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F3529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酸价、过氧化值、苯并[a]芘、溶剂残留量、特丁基对苯二酚（TBHQ）、乙基麦芽酚、铅</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（以Pb计）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07F6F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1C47FE5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C64D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E28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9AD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08C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BC5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F0AC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油茶籽油</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40F1D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酸值/酸价、过氧化值、苯并[a]芘、溶剂残留量、特丁基对苯二酚（TBHQ）、铅（以Pb计）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24FA7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96CAE1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386D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2D6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CE6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C48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7B3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85D0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其他食用植物油</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CCDA3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FB6D8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66539E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7249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67E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47B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C46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食用动物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油脂</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08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食用动物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油脂</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7157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食用动物油脂</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E9EAF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酸价、过氧化值、丙二醛、苯并[a]芘、铅（以Pb计）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6A8B9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2F4D23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6806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56E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A42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AA2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食用油脂</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F1B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食用油脂</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4820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食用油脂制品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B8349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酸价（以脂肪计）、过氧化值（以脂肪计）、大肠菌群、霉菌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2DF0B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64A40BF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0A26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384F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3</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3EDF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5FD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酱油</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B0F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酱油</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2F39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酱油</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3CCA3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全氮（以氮计）、铵盐（以占氨基酸态氮的百分比计）、苯甲酸及其钠盐（以苯甲酸计）、山梨酸及其钾盐（以山梨酸计）、脱氢乙酸及其钠盐（以脱氢乙酸计）、对羟基苯甲酸酯类及其钠盐（以对羟基苯甲酸计）、防腐剂混合使用时各自用量占其最大使用量的比例之和、糖精钠（以糖精计）、甜蜜素（以环己基氨基磺酸计）、菌落总数、大肠菌群</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9477E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46AFD3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52</w:t>
            </w:r>
          </w:p>
        </w:tc>
      </w:tr>
      <w:tr w14:paraId="0D575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863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B47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49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食醋</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43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食醋</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0C4A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食醋</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61364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酸（以乙酸计）、不挥发酸（以乳酸计）、苯甲酸及其钠盐（以苯甲酸计）、山梨酸及其钾盐（以山梨酸计）、脱氢乙酸及其钠盐（以脱氢乙酸计）、对羟基苯甲酸酯类及其钠盐（以对羟基苯甲酸计）、防腐剂混合使用时各自用量占其最大使用量的比例之和、糖精钠（以糖精计）、甜蜜素（以环己基氨基磺酸计）、三氯蔗糖、菌落总数</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5F1BB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7CA17F3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7DD2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33A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E23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AA5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酱类</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0CF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酿造酱</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6816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黄豆酱、甜面酱等</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12C87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氨基酸态氮、黄曲霉毒素B₁ 、苯甲酸及其钠盐（以苯甲酸计）、山梨酸及其钾盐（以山梨酸计）、脱氢乙酸及其钠盐（以脱氢乙酸计）、防腐剂混合使用时各自用量占其最大使用量的比例之和、糖精钠（以糖精计）、甜蜜素（以环己基氨基磺酸计）、安赛蜜、大肠菌群</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AD56E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4E1262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E7DD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D61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C54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A05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调味料酒</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AE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调味料酒</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D0EB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料酒</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49115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氨基酸态氮（以氮计）、苯甲酸及其钠盐（以苯甲酸计）、山梨酸及其钾盐（以山梨酸计）、脱氢乙酸及其钠盐（以脱氢乙酸计）、甜蜜素（以环己基氨基磺酸计）、三氯蔗糖</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DBEC3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62F44E4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92D2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CF7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63F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8E16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香辛料类</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C72B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香辛料类</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4C0F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香辛料调味油</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01061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酸价/酸值、过氧化值</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BA560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31AF87C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C60E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0A0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F8E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01C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5E0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AA33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辣椒、花椒、辣椒粉、花椒</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粉</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D2D04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铅（以Pb计）、罗丹明B、苏丹红I、苏丹红Ⅱ、苏丹红Ⅲ、苏丹红IV、脱氢乙酸及其钠盐（以脱氢乙酸计）、山梨酸及其钾盐（以山梨酸计）、二氧化硫残留量、合成着色剂（柠檬黄、日落黄、胭脂红）</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ADE8D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F66DD5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6C63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397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F37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BA3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658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002A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其他香辛料调味品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0A4AE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脱氢乙酸及其钠盐（以脱氢乙酸计）、二氧化硫残留量、甜蜜素（以环己基氨基磺酸计）、合成着色剂（柠檬黄、日落黄、苋菜红、胭脂红、亮蓝）、丙溴磷、氯氰菊酯和高效氯氰菊酯、多菌灵、毒死蜱、克百威、沙门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35965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64804D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EF1B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03A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609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3550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F94C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固体复合调味料</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419D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鸡粉、鸡精调味料</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E6C4D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谷氨酸钠、呈味核苷酸二钠、总氮（以N计）、铅（以Pb计）、糖精钠（以糖精计）、甜蜜素（以环己基氨基磺酸计）、菌落总数、大肠菌群、安赛蜜</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A971D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CE5749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D93D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3F9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5C2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858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A75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26A4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其他固体调味料</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2F296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苏丹红I、苏丹红Ⅱ、苏丹红Ⅲ、苏丹红IV、罂粟碱、吗啡、可待因、那可丁、苯甲酸及其钠盐（以苯甲酸计）、山梨酸及其钾盐（以山梨酸计）、脱氢乙酸及其钠盐（以脱氢乙酸计）、防腐剂混合使用时各自用量占其最大使用量的比例之和、糖精钠（以糖精计）、甜蜜素（以环己基氨基磺酸计）、安赛蜜、阿斯巴甜、二氧化硫残留量</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7C533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8A54DA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82AE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1CC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647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B9B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F3D7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半固体复合调味料</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4C86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蛋黄酱、沙拉酱</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0DB9E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二氧化钛</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05850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317B909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6D0D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E22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140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8DE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8AB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71D9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坚果与籽类的泥（酱）</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CBC93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酸价/酸值、过氧化值、铅（以Pb计）、黄曲霉毒素B₁</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66D0F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F6A048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7D3F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9C2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404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9C8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6DF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1056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辣椒酱</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16416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甜蜜素（以环己基氨基磺酸计）、二氧化硫残留量</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E447D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6732542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3819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8A2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ADF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89D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D71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DE71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火锅底料、麻辣烫底料</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8FF6C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罂粟碱、吗啡、可待因、那可丁、苯甲酸及其钠盐（以苯甲酸计）、山梨酸及其钾盐（以山梨酸计）、脱氢乙酸及其钠盐（以脱氢乙酸计）、防腐剂混合使用时各自用量占其最大使用量的比例之和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DD8D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2ABAC3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5302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AF1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BC0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5C3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903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4BE5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其他半固体调味料</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4F77F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罗丹明B、罂粟碱、吗啡、可待因、那可丁、苯甲酸及其钠盐（以苯甲酸计）、山梨酸及其钾盐（以山梨酸计）、脱氢乙酸及其钠盐（以脱氢乙酸计）、防腐剂混合使用时各自用量占其最大使用量的比例之和、甜蜜素（以环己基氨基磺酸计）、安赛蜜</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71D44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DE4DC4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7B89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855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5D7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77F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6B84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液体复合</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调味料</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504A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蚝油、虾油、鱼露</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B9D63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氨基酸态氮、苯甲酸及其钠盐（以苯甲酸计）、山梨酸及其钾盐（以山梨酸计）、脱氢乙酸及其钠盐（以脱氢乙酸计）、防腐剂混合使用时各自用量占其最大使用量的比例之和、菌落总数</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F02AF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70B3C7F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CEE4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A1B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D6C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995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2C4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70CA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其他液体调味料</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CAE33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糖精钠（以糖精计）、甜蜜素（以环己基氨基磺酸计）、合成着色剂（柠檬黄、日落黄、胭脂红、诱惑红）、相同色泽着色剂混合使用时各自用量占其最大使用量的比例之和、菌落总数</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0BDC0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3E7ACD1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C2E4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F7F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ABD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E52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味精</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CCD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味精</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FDDF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味精</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0B4C5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谷氨酸钠</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40D15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CD2E7A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7D89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BAF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ABA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8F5D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食盐</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2104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食用盐</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F613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普通食用盐</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A08EE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氯化钠、钡（以Ba计）、碘（以I计）、铅（以Pb计）、总砷（以As计）、镉（以Cd计）、总汞（以Hg计）、亚铁氰化钾/亚铁氰化钠（以亚铁氰根计）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4A3CA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7963A27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50C0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E01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749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E87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203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6E47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低钠食用盐</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816A6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氯化钾、钡（以Ba计）、碘（以I计）、铅（以Pb计）、总砷（以As计）、镉（以Cd计）、总汞（以Hg计）、亚铁氰化钾/亚铁氰化钠（以亚铁氰根计）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73BAD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34C0B94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2957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F81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991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D7C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146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2EF5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风味食用盐</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5BAB1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钡（以Ba计）、铅（以Pb计）、总砷（以As计）、镉（以Cd计）、总汞（以Hg计）、亚铁氰化钾/亚铁氰化钠（以亚铁氰根计）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14D3D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480CF9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3A54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438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27F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7E6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8EA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C646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特殊工艺食用盐</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C8EA7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氯化钠、钡（以Ba计）、碘（以I计）、铅（以Pb计）、总砷（以As计）、镉（以Cd计）、总汞（以Hg计）、亚铁氰化钾/亚铁氰化钠（以亚铁氰根计）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9FBAF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1CEF5BF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FAFE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7A9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FC8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085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E54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食品生产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加工用盐</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1F64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食品生产加工用盐</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E5F80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铅（以Pb计）、总砷（以As计）、镉（以Cd计）、总汞（以Hg计）、亚铁氰化钾/亚铁氰化钠（以亚铁氰根计）、亚硝酸盐（以NaNO₂计）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105F3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1FA5B47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D7B5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BB3F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4</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5659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肉制品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A8C4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预制肉制品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FA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调理肉制品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922D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调理肉制品（非速冻）</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CA88B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7C92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6BFADA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52</w:t>
            </w:r>
          </w:p>
        </w:tc>
      </w:tr>
      <w:tr w14:paraId="232BE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DAA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2B1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C24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67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腌腊肉制品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757A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腌腊肉制品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20E2C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总砷（以As计）、亚硝酸盐（以亚硝酸钠计）、苯甲酸及其钠盐（以苯甲酸计）、山梨酸及其钾盐（以山梨酸计）、脱氢乙酸及其钠盐（以脱氢乙酸计）、合成着色剂（柠檬黄、日落黄、胭脂红、诱惑红、苋菜红、酸性红）、红2G、氯霉素</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B515F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850" w:type="dxa"/>
            <w:gridSpan w:val="2"/>
            <w:vMerge w:val="continue"/>
            <w:tcBorders>
              <w:left w:val="single" w:color="000000" w:sz="4" w:space="0"/>
              <w:right w:val="single" w:color="000000" w:sz="4" w:space="0"/>
            </w:tcBorders>
            <w:shd w:val="clear" w:color="auto" w:fill="auto"/>
            <w:vAlign w:val="center"/>
          </w:tcPr>
          <w:p w14:paraId="31EEF47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175D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017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508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4169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ED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发酵肉制品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A9F7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发酵肉制品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8615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亚硝酸盐（以亚硝酸钠计）、沙门氏菌、金黄色葡萄球菌、单核细胞增生李斯特氏菌、致泻大肠埃希氏菌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39036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3FAC0CA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C0F8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5F2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4F6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A45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CD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酱卤肉制品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1E8C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酱卤肉制品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1471B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镉（以Cd计）、铬（以Cr计）、总砷（以As计）、N-二甲基亚硝胺、亚硝酸盐（以亚硝酸钠计）、苯甲酸及其钠盐（以苯甲酸计）、山梨酸及其钾盐（以山梨酸计）、脱氢乙酸及其钠盐（以脱氢乙酸计）、纳他霉素、防腐剂混合使用时各自用量占其最大使用量的比例之和、糖精钠（以糖精计）、合成着色剂（柠檬黄、日落黄、胭脂红、诱惑红）、氯霉素、菌落总数、大肠菌群、沙门氏菌、金黄色葡萄球菌、单核细胞增生李斯特氏菌、致泻大肠埃希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55952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850" w:type="dxa"/>
            <w:gridSpan w:val="2"/>
            <w:vMerge w:val="continue"/>
            <w:tcBorders>
              <w:left w:val="single" w:color="000000" w:sz="4" w:space="0"/>
              <w:right w:val="single" w:color="000000" w:sz="4" w:space="0"/>
            </w:tcBorders>
            <w:shd w:val="clear" w:color="auto" w:fill="auto"/>
            <w:vAlign w:val="center"/>
          </w:tcPr>
          <w:p w14:paraId="65DDB3B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EECB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5BB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044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8E5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0A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油炸肉制品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AE83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油炸肉制品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AE185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N-二甲基亚硝胺、亚硝酸盐（以亚硝酸钠计）、苯甲酸及其钠盐（以苯甲酸计）、山梨酸及其钾盐（以山梨酸计）、沙门氏菌、金黄色葡萄球菌、单核细胞增生李斯特氏菌、致泻大肠埃希氏菌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E1C57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B007E9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4AE2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B66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6E8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72C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71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熟肉干制品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A00E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熟肉干制品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284E8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N-二甲基亚硝胺、苯甲酸及其钠盐（以苯甲酸计）、山梨酸及其钾盐（以山梨酸计）、脱氢乙酸及其钠盐（以脱氢乙酸计）、防腐剂混合使用时各自用量占其最大使用量的比例之和、合成着色剂（胭脂红、诱惑红）、氯霉素、菌落总数、大肠菌群、沙门氏菌、金黄色葡萄球菌、单核细胞增生李斯特氏菌、致泻大肠埃希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6A131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850" w:type="dxa"/>
            <w:gridSpan w:val="2"/>
            <w:vMerge w:val="continue"/>
            <w:tcBorders>
              <w:left w:val="single" w:color="000000" w:sz="4" w:space="0"/>
              <w:right w:val="single" w:color="000000" w:sz="4" w:space="0"/>
            </w:tcBorders>
            <w:shd w:val="clear" w:color="auto" w:fill="auto"/>
            <w:vAlign w:val="center"/>
          </w:tcPr>
          <w:p w14:paraId="19201E8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241E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9F9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7AF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8CB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467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熏烧烤肉</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1B22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熏烧烤肉制品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FA82D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并[a]芘、N-二甲基亚硝胺、亚硝酸盐（以亚硝酸钠计）、苯甲酸及其钠盐（以苯甲酸计）、山梨酸及其钾盐（以山梨酸计）、纳他霉素、合成着色剂（柠檬黄、日落黄、胭脂红）、氯霉素、菌落总数、大肠菌群、沙门氏菌、金黄色葡萄球菌、单核细胞增生李斯特氏菌、致泻大肠埃希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999D7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850" w:type="dxa"/>
            <w:gridSpan w:val="2"/>
            <w:vMerge w:val="continue"/>
            <w:tcBorders>
              <w:left w:val="single" w:color="000000" w:sz="4" w:space="0"/>
              <w:right w:val="single" w:color="000000" w:sz="4" w:space="0"/>
            </w:tcBorders>
            <w:shd w:val="clear" w:color="auto" w:fill="auto"/>
            <w:vAlign w:val="center"/>
          </w:tcPr>
          <w:p w14:paraId="2D7D5B9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39B5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E8B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293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557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E9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熏煮香肠</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火腿制品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10A8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熏煮香肠火腿制品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BF221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亚硝酸盐（以亚硝酸钠计）、苯甲酸及其钠盐（以苯甲酸计）、山梨酸及其钾盐（以山梨酸计）、脱氢乙酸及其钠盐（以脱氢乙酸计）、防腐剂混合使用时各自用量占其最大使用量的比例之和、合成着色剂（胭脂红、诱惑红）、氯霉素、菌落总数、大肠菌群、沙门氏菌、金黄色葡萄球菌、单核细胞增生李斯特氏菌、致泻大肠埃希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E5428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74EF66F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EDC8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09C6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38C3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7D9D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乳制品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F3ED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液体乳</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C95D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灭菌乳</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AC95C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蛋白质、非脂乳固体、酸度、脂肪、三聚氰胺、铅（以Pb计）、黄曲霉毒素M₁、丙二醇、商业无菌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3329C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45D1CF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44</w:t>
            </w:r>
          </w:p>
        </w:tc>
      </w:tr>
      <w:tr w14:paraId="19DC4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DE5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3D2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660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949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DF64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巴氏杀菌乳</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BC8C9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蛋白质、酸度、三聚氰胺、铅（以Pb计）、黄曲霉毒素M₁ 、丙二醇、沙门氏菌、金黄色葡萄球菌、菌落总数、大肠菌群</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43466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783DB17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7CB2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5C8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2D2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AAF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A4EF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液体乳</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EDA2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调制乳</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86301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蛋白质、三聚氰胺、铅（以Pb计）、黄曲霉毒素M₁ 、商业无菌、菌落总数、大肠菌群</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4375F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同左，增加纽甜</w:t>
            </w:r>
          </w:p>
        </w:tc>
        <w:tc>
          <w:tcPr>
            <w:tcW w:w="850" w:type="dxa"/>
            <w:gridSpan w:val="2"/>
            <w:vMerge w:val="continue"/>
            <w:tcBorders>
              <w:left w:val="single" w:color="000000" w:sz="4" w:space="0"/>
              <w:right w:val="single" w:color="000000" w:sz="4" w:space="0"/>
            </w:tcBorders>
            <w:shd w:val="clear" w:color="auto" w:fill="auto"/>
            <w:vAlign w:val="center"/>
          </w:tcPr>
          <w:p w14:paraId="620DC34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F08E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220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F90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1D4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035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CC20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发酵乳</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96384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蛋白质、脂肪、酸度、三聚氰胺、铅（以Pb计）、黄曲霉毒素M₁ 、山梨酸及其钾盐（以山梨酸计）、甜蜜素（以环己基氨基磺酸计）、阿斯巴甜、安赛蜜、沙门氏菌、金黄色葡萄球菌、大肠菌群、霉菌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C8B56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DBE99F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D716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AB3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D2D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2B7E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5797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4978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高温杀菌乳</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0C53D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蛋白质、酸度、三聚氰胺、铅（以Pb计）、黄曲霉毒素M₁ 、丙二醇、沙门氏菌、菌落总数、大肠菌群</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6C36D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69AD28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204C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E70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4BD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53C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08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乳粉</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0BD1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乳粉（全脂、脱脂、部分脱脂）和调制乳粉</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03ED7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蛋白质、脂肪、复原乳酸度、杂质度、水分、三聚氰胺、铅（以Pb计）、菌落总数、大肠菌群</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3F43D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71D20F0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7B3C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C4B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57B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AD2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BA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乳清粉和乳清蛋白粉（企业原料 ）</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D79E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脱盐乳清粉、非脱盐乳清粉、浓缩乳清蛋白粉、分离乳清蛋白粉</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152F0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43037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1D0B33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E14B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2F5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2D2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964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E83F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其他乳制品（浓缩乳制品、奶油、干酪、固态成型产品）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1BCB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浓缩乳制品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72F2B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蛋白质、三聚氰胺、商业无菌、菌落总数、大肠菌群</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B06B8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20FB77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15F3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AEC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A3F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EB1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4E4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E5EC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稀奶油、奶油和无水奶油</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62A79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脂肪、酸度、三聚氰胺、脱氢乙酸及其钠盐（以脱氢乙酸计）、商业无菌、沙门氏菌、菌落总数、大肠菌群、霉菌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8C02A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75CD84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F62B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E5F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3DE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E04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660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4334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干酪、再制干酪、干酪制品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FC6B5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三聚氰胺、金黄色葡萄球菌、沙门氏菌、单核细胞增生李斯特氏菌、菌落总数、大肠菌群、霉菌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84903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3D12770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10ED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BAB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7F1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9A0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6C0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E58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奶片、奶条等固态成型产品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BAB08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蛋白质、三聚氰胺、脱氢乙酸及其钠盐（以脱氢乙酸计）、沙门氏菌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8E59A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04B48B4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AE6C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EC49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6</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2AD3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C600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083C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包装饮用水</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FC1A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饮用天然</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矿泉水</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3F097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界限指标、铅（以Pb计）、总砷（以As计）、镉（以Cd计）、总汞（以Hg计）、镍、溴酸盐、硝酸盐（以NO₃-计）、亚硝酸盐（以NO₂-计）、大肠菌群、铜绿假单胞菌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6197C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7F0D03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52</w:t>
            </w:r>
          </w:p>
        </w:tc>
      </w:tr>
      <w:tr w14:paraId="54D5A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E11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F9D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8E9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DE6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DB6B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饮用纯净水</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258DB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电导率、耗氧量（以O₂计）、铅（以Pb计）、总砷（以As计）、镉（以Cd计）、亚硝酸盐（以NO₂-计）、余氯（游离氯）、溴酸盐、三氯甲烷、大肠菌群、铜绿假单胞菌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B6095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BDD93C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08B5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377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E7C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475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ED6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A4CB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其他类饮用水</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1BB0C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耗氧量（以O₂计）、铅（以Pb计）、总砷（以As计）、镉（以Cd计）、亚硝酸盐（以NO₂-计）、余氯（游离氯）、溴酸盐、三氯甲烷、大肠菌群、铜绿假单胞菌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4257E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A2A0F3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5139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573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69F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5D3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F92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果蔬汁类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及其饮料</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118F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果蔬汁类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及其饮料</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63255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展青霉素、苯甲酸及其钠盐（以苯甲酸计）、山梨酸及其钾盐（以山梨酸计）、脱氢乙酸及其钠盐（以脱氢乙酸计）、纳他霉素、防腐剂混合使用时各自用量占其最大使用量的比例之和、安赛蜜、甜蜜素（以环己基氨基磺酸计）、阿斯巴甜、合成着色剂（柠檬黄、新红、苋菜红、靛蓝、胭脂红、日落黄、诱惑红、亮蓝、酸性红、喹啉黄、赤藓红）、菌落总数、大肠菌群、霉菌、酵母</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9D180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21EAD2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7B46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131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C9A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6DD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BE7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蛋白饮料</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1B6D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蛋白饮料</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39030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蛋白质、乳酸菌数、氰化物（以HCN计）、三聚氰胺、脱氢乙酸及其钠盐（以脱氢乙酸计）、安赛蜜、甜蜜素（以环己基氨基磺酸计）、阿斯巴甜、菌落总数、大肠菌群、霉菌、酵母、商业无菌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79C7A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11ABE98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7A42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CC1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CEC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6E8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49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碳酸饮料（汽水）</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EE81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碳酸饮料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（汽水）</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9E65A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二氧化碳气容量、苯甲酸及其钠盐（以苯甲酸计）、山梨酸及其钾盐（以山梨酸计）、防腐剂混合使用时各自用量占其最大使用量的比例之和、安赛蜜、甜蜜素（以环己基氨基磺酸计）、阿斯巴甜、菌落总数、霉菌、酵母</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40375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C3248B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DB2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1E3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F0F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138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29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茶饮料</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D217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茶饮料</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33DB5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茶多酚、咖啡因、脱氢乙酸及其钠盐（以脱氢乙酸计）、安赛蜜、甜蜜素（以环己基氨基磺酸计）、阿斯巴甜、菌落总数</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77D9C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7DBD3A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908B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A3C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5BC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719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5AE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固体饮料</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7D61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固体饮料</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66D71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乳酸菌数、西地那非、他达拉非、西布曲明、比沙可啶、铅（以Pb计）、氰化物（以HCN计）、苯甲酸及其钠盐（以苯甲酸计）、山梨酸及其钾盐（以山梨酸计）、防腐剂混合使用时各自用量占其最大使用量的比例之和、糖精钠（以糖精计）、安赛蜜、甜蜜素（以环己基氨基磺酸计）、阿斯巴甜、合成着色剂（柠檬黄、新红、苋菜红、靛蓝、胭脂红、日落黄、诱惑红、亮蓝、酸性红、喹啉黄、赤藓红）、相同色泽着色剂混合使用时各自用量占其最大使用量的比例之和、菌落总数、大肠菌群、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910AB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那红地那非、红地那非、伐地那非、羟基豪莫西地那非、豪莫西地那非、氨基他达拉非、硫代艾地那非、伪伐地那非、那莫西地那非、去甲基他达拉非、育亨宾、西布曲明、N-单去甲基西布曲明、N,N-双去甲基西布曲明、氯代西戊曲明（西布曲明二氯代异戊基替代物）（限有功能声称的产品）</w:t>
            </w:r>
          </w:p>
        </w:tc>
        <w:tc>
          <w:tcPr>
            <w:tcW w:w="850" w:type="dxa"/>
            <w:gridSpan w:val="2"/>
            <w:vMerge w:val="continue"/>
            <w:tcBorders>
              <w:left w:val="single" w:color="000000" w:sz="4" w:space="0"/>
              <w:right w:val="single" w:color="000000" w:sz="4" w:space="0"/>
            </w:tcBorders>
            <w:shd w:val="clear" w:color="auto" w:fill="auto"/>
            <w:vAlign w:val="center"/>
          </w:tcPr>
          <w:p w14:paraId="3195870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49DC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5AB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5FB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59B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6F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其他饮料</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4038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其他饮料</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AC7FB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糖精钠（以糖精计）、安赛蜜、甜蜜素（以环己基氨基磺酸计）、阿斯巴甜、合成着色剂（柠檬黄、新红、苋菜红、靛蓝、胭脂红、日落黄、诱惑红、亮蓝、酸性红、喹啉黄、赤藓红）、菌落总数、大肠菌群、霉菌、酵母</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CB8C5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西地那非、他达拉非、西布曲明、比沙可啶环丙甲酰替代物、那红地那非、红地那非、伐地那非、羟基豪莫西地那非、豪莫西地那非、氨基他达拉非、硫代艾地那非、伪伐地那非、那莫西地那非、去甲基他达拉非、育亨宾、西布曲明、N-单去甲基西布曲明、N,N-双去甲基西布曲明、氯代西戊曲明（西布曲明二氯代异戊基替代物）（限有功能声称的产品）</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446B6E2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3E5F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991B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7</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3A6A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方便食品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7F3A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方便食品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E054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方便面</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0D32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油炸面、非油炸面</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CE749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水分、酸价（以脂肪计）（KOH）、过氧化值（以脂肪计）、菌落总数、大肠菌群、霉菌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46C7E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4649F2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12</w:t>
            </w:r>
          </w:p>
        </w:tc>
      </w:tr>
      <w:tr w14:paraId="32B6A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59C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C64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8EE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F10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A72B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方便米粉</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（米线 ）</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B0701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水分、菌落总数、大肠菌群、霉菌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27633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68BE50A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5886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597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3DD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22D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670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D18E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方便粉丝</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2D8A6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水分、菌落总数、大肠菌群、霉菌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9F70C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702F35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F72D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8B0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67D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E0B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329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DF02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其他方便面</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9994C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水分、酸价（以脂肪计）（KOH）、过氧化值（以脂肪计）、菌落总数、大肠菌群、霉菌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58070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B99DDE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C1B7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DAD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693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2F6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F3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调味面制品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6692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调味面制品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77E9D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苯甲酸及其钠盐（以苯甲酸计）、山梨酸及其钾盐（以山梨酸计）、脱氢乙酸及其钠盐（以脱氢乙酸计）、糖精钠（以糖精计）、甜蜜素（以环己基氨基磺酸计）、安赛蜜、三氯蔗糖、合成着色剂（柠檬黄、日落黄、诱惑红、苋菜红、胭脂红）、菌落总数、大肠菌群、霉菌、沙门氏菌、金黄色葡萄球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130C0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同左，增加纽甜</w:t>
            </w:r>
          </w:p>
        </w:tc>
        <w:tc>
          <w:tcPr>
            <w:tcW w:w="850" w:type="dxa"/>
            <w:gridSpan w:val="2"/>
            <w:vMerge w:val="continue"/>
            <w:tcBorders>
              <w:left w:val="single" w:color="000000" w:sz="4" w:space="0"/>
              <w:right w:val="single" w:color="000000" w:sz="4" w:space="0"/>
            </w:tcBorders>
            <w:shd w:val="clear" w:color="auto" w:fill="auto"/>
            <w:vAlign w:val="center"/>
          </w:tcPr>
          <w:p w14:paraId="07D6DD4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9AFE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433F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8C6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1AC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9482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F76A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冲调类方便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11680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、苯甲酸及其钠盐（以苯甲酸计）、山梨酸及其钾盐（以山梨酸计）、糖精钠（以糖精计）、菌落总数、大肠菌群、霉菌、沙门氏菌、金黄色葡萄球菌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C0BB4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3A36AF2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E64C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B3D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41D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BA5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07C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42DD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主食类方便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FED63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苯甲酸及其钠盐（以苯甲酸计）、山梨酸及其钾盐（以山梨酸计）、脱氢乙酸及其钠盐（以脱氢乙酸计）、糖精钠（以糖精计）、菌落总数、大肠菌群、霉菌、沙门氏菌、金黄色葡萄球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0B34F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F5E33E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CB49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26C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267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E1B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CAC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FB50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其他类方便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25B6E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苯甲酸及其钠盐（以苯甲酸计）、山梨酸及其钾盐（以山梨酸计）、糖精钠（以糖精计）、菌落总数、大肠菌群、霉菌、沙门氏菌、金黄色葡萄球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F906C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2EF46A1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2711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FC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8</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18C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F8E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03F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5A28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3CB6D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山梨酸及其钾盐（以山梨酸计）、铝的残留量（干样品，以Al计）、脱氢乙酸及其钠盐（以脱氢乙酸计）、甜蜜素（以环己基氨基磺酸计）、糖精钠（以糖精计）、二氧化硫残留量、苯甲酸及其钠盐（以苯甲酸计）、合成着色剂（柠檬黄、日落黄、胭脂红、苋菜红、亮蓝、靛蓝、诱惑红）、菌落总数、大肠菌群、金黄色葡萄球菌、沙门氏菌、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BEB45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CFD8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16</w:t>
            </w:r>
          </w:p>
        </w:tc>
      </w:tr>
      <w:tr w14:paraId="64A88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BD6C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9</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E37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39EB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DDEA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畜禽水产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BC78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畜禽肉类罐头</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21565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铅（以Pb计）、镉（以Cd计）、脱氢乙酸及其钠盐（以脱氢乙酸计）、苯甲酸及其钠盐（以苯甲酸计）、山梨酸及其钾盐（以山梨酸计）、商业无菌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9D050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60BB3C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10</w:t>
            </w:r>
          </w:p>
        </w:tc>
      </w:tr>
      <w:tr w14:paraId="0FD52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3CC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4C7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183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809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1975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水产动物类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E16DC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组胺、铅（以Pb计）、无机砷（以As计）、脱氢乙酸及其钠盐（以脱氢乙酸计）、苯甲酸及其钠盐（以苯甲酸计）、山梨酸及其钾盐（以山梨酸计）、糖精钠（以糖精计）、甜蜜素（以环己基氨基磺酸计）、商业无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28914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68BC1C4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5A69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E37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E87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7B3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9634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果蔬罐头</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A85D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水果类罐头</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28574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合成着色剂（柠檬黄、日落黄、苋菜红、胭脂红、赤藓红、诱惑红、亮蓝）、脱氢乙酸及其钠盐（以脱氢乙酸计）、苯甲酸及其钠盐（以苯甲酸计）、山梨酸及其钾盐（以山梨酸计）、糖精钠（以糖精计）、甜蜜素（以环己基氨基磺酸计）、二氧化硫残留量、商业无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60CBF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11DE63A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91B3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421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D21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C93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3AC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826A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蔬菜类罐头</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1B973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铅（以Pb计）、合成着色剂（柠檬黄、日落黄）、脱氢乙酸及其钠盐（以脱氢乙酸计）、苯甲酸及其钠盐（以苯甲酸计）、山梨酸及其钾盐（以山梨酸计）、乙二胺四乙酸二钠、二氧化硫残留量、商业无菌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A1990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0096D7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C4F2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476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310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720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D1D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2129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食用菌罐头</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D4AA9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铅（以Pb计）、脱氢乙酸及其钠盐（以脱氢乙酸计）、苯甲酸及其钠盐（以苯甲酸计）、山梨酸及其钾盐（以山梨酸计）、乙二胺四乙酸二钠、二氧化硫残留量、商业无菌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B2BA8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5ED8F6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0DF5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B13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DA2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A47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C3F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其他罐头</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A975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其他罐头</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8C172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黄曲霉毒素B₁ 、脱氢乙酸及其钠盐（以脱氢乙酸计）、苯甲酸及其钠盐（以苯甲酸计）、山梨酸及其钾盐（以山梨酸计）、乙二胺四乙酸二钠、商业无菌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F7BB2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35F4E3C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8337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1EB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10</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08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冷冻饮品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BA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冷冻饮品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83B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冷冻饮品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A463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冰淇淋、雪糕、雪泥、冰棍、食用冰、甜味冰、其他类</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E10A0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甜蜜素（以环己基氨基磺酸计）、糖精钠（以糖精计）、安赛蜜、三氯蔗糖、合成着色剂（柠檬黄、日落黄、新红、苋菜红、靛蓝、胭脂红、诱惑红、亮蓝、酸性红、喹啉黄、赤藓红）、相同色泽着色剂混合使用时各自用量占其最大使用量的比例之和、菌落总数、大肠菌群、沙门氏菌、单核细胞增生李斯特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0CBF0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同左，增加纽甜</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61B9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w:t>
            </w:r>
          </w:p>
        </w:tc>
      </w:tr>
      <w:tr w14:paraId="1909A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DCB6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11</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62AD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速冻食品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2178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64A6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4EB4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2434B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过氧化值（以脂肪计）、铅（以Pb计）、糖精钠（以糖精计）、甜蜜素（以环己基氨基磺酸计）、合成着色剂（柠檬黄、日落黄、苋菜红、亮蓝、胭脂红）</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268CF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5A9ECD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25</w:t>
            </w:r>
          </w:p>
        </w:tc>
      </w:tr>
      <w:tr w14:paraId="7562D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E8D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36D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B95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40E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65C3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D5AE6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过氧化值（以脂肪计）、铅（以Pb计）、糖精钠（以糖精计）、甜蜜素（以环己基氨基磺酸计）、合成着色剂（柠檬黄、日落黄、苋菜红、亮蓝、胭脂红）、菌落总数、大肠菌群、沙门氏菌、金黄色葡萄球菌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5E336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1DB5A6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8B2B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0A8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64D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3EB8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速冻调制</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5FF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速冻调理</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肉制品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F60E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速冻调理</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肉制品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FF991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铬（以Cr计）、氯霉素、合成着色剂（胭脂红、柠檬黄、日落黄、诱惑红）、亚硝酸盐（以亚硝酸钠计）、苯甲酸及其钠盐（以苯甲酸计）、山梨酸及其钾盐（以山梨酸计）、菌落总数、大肠菌群、沙门氏菌、金黄色葡萄球菌、单核细胞增生李斯特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77E3D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3A0464D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25C1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055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B2D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3E4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B5A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速冻调制</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水产制品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3A50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速冻调制水产制品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57E39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挥发性盐基氮、苯甲酸及其钠盐（以苯甲酸计）、山梨酸及其钾盐（以山梨酸计）、二氧化硫残留量、菌落总数、大肠菌群、沙门氏菌、副溶血性弧菌、单核细胞增生李斯特氏菌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1DF1A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2FCC0D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9D92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24E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0CD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EAC4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速冻其他</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246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速冻谷物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6245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速冻谷物食品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9B4CD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铅（以Pb计）、黄曲霉毒素B₁</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D038A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A0D221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B757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74E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B9D1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B8E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EB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速冻蔬菜</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C12F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速冻蔬菜制品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AE0F8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铅（以Pb计）、镉（以Cd计）、糖精钠（以糖精计）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EC45A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C3D2EC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D112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D68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321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734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B09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速冻水果</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A9BF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速冻水果制品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848DD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铅（以Pb计）、镉（以Cd计）、菌落总数、大肠菌群、霉菌、沙门氏菌、金黄色葡萄球菌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0DF8F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2C93CF7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B24B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DF03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12</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F0B7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薯类和膨化食品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EDAB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薯类和膨化食品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5A7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膨化食品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F809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含油型膨化食品和非含油型膨化食品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74CFB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水分、酸价（以脂肪计）（KOH）、过氧化值（以脂肪计）、黄曲霉毒素B₁ 、糖精钠（以糖精计）、甜蜜素（以环己基氨基磺酸计）、三氯蔗糖、纽甜、合成着色剂（新红、苋菜红、酸性红、喹啉黄）、菌落总数、大肠菌群、沙门氏菌、金黄色葡萄球菌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3EC1D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09D698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10</w:t>
            </w:r>
          </w:p>
        </w:tc>
      </w:tr>
      <w:tr w14:paraId="4B0B5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F4D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4C8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C75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795C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薯类食品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780D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干制薯类</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EB93C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酸价（以脂肪计）（KOH）、过氧化值（以脂肪计）、铅（以Pb计）、二氧化硫残留量、菌落总数、大肠菌群、沙门氏菌、金黄色葡萄球菌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A4FCA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7C3D167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AE6E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672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170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A21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F90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D777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冷冻薯类</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6F9C1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C2ED3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0B5F51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B0D0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323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1CE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896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3698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薯类食品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4715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薯泥（酱）类</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890CB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铅（以Pb计）、苯甲酸及其钠盐（以苯甲酸计）、山梨酸及其钾盐（以山梨酸计）、商业无菌、沙门氏菌、金黄色葡萄球菌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6BF8B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18A4BA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8255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632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6AB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545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4FE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3669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薯粉类</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7EC7A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6ED0D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65BA3E4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B347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782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63C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9C6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542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94CA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其他薯类食品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38E69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铅（以Pb计）、沙门氏菌、金黄色葡萄球菌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D9B5C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723E980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9CDC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CB09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13</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E956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307B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糖果制品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（含巧力</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及制品）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E80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56CF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625A2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糖精钠（以糖精计）、甜蜜素（以环己基氨基磺酸计）、合成着色剂（柠檬黄、新红、苋菜红、靛蓝、胭脂红、日落黄、诱惑红、亮蓝、酸性红、喹啉黄、赤藓红）、相同色泽着色剂混合使用时各自用量占其最大使用量的比例之和、二氧化硫残留量、菌落总数、大肠菌群、西地那非、他达拉非、酚丁、双酚沙丁、双丙酚丁、脱乙酰比沙可啶</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B0213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同左，增加氯代西戊曲明（西布曲明二氯代异戊基替代物）（限有功能声称的产品）</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0A653E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10</w:t>
            </w:r>
          </w:p>
        </w:tc>
      </w:tr>
      <w:tr w14:paraId="3A4F5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ECC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B22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895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9DE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巧克力及巧克力制品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7E7A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巧克力、巧克力制品、代可可脂巧克力及代可可脂巧克力制品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01395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铅（以Pb计）、沙门氏菌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94550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700C72B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B3C6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E02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557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EDF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3C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果冻</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44E6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果冻</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44FEB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山梨酸及其钾盐（以山梨酸计）、苯甲酸及其钠盐（以苯甲酸计）、糖精钠（以糖精计）、甜蜜素（以环己基氨基磺酸计）、安赛蜜、合成着色剂（柠檬黄、新红、苋菜红、靛蓝、胭脂红、日落黄、诱惑红、亮蓝、酸性红、喹啉黄、赤藓红）、相同色泽着色剂混合使用时各自用量占其最大使用量的比例之和、菌落总数、大肠菌群、霉菌、酵母、双丙酚丁、脱乙酰比沙可啶</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3BF59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3E2AA58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69F2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3139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14</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27E7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茶叶及相关</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23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20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茶叶</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15B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绿茶、红茶、乌龙茶、黄茶、白茶、黑茶、花茶、袋泡茶、紧压茶</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F3D91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草甘膦、吡虫啉、乙酰甲胺磷、联苯菊酯、灭多威、三氯杀螨醇、氰戊菊酯和S-氰戊菊酯、甲拌磷、克百威、水胺硫磷、氧乐果、毒死蜱、啶虫脒、多菌灵、茚虫威、糖精钠（以糖精计）、甜蜜素（以环己基氨基磺酸计）、合成着色剂（柠檬黄、日落黄、胭脂红、亮蓝）</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E5EF5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305CD7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10</w:t>
            </w:r>
          </w:p>
        </w:tc>
      </w:tr>
      <w:tr w14:paraId="06A42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F1B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EFC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3FC7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含茶制品和</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4AE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含茶制品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D78C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速溶茶类、其他含茶制品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5BF05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铅（以Pb计）、菌落总数、霉菌、霉菌及酵母、合成着色剂（柠檬黄、日落黄、胭脂红、亮蓝 ）</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3BC6E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659A879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7817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673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17A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CA7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53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5194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枸杞（干）</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455F7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3143D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B2EF47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022D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F3E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DA0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90E2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含茶制品和</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5EDD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4168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菊花（干）</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ACEAB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DCF4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7CB7FF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B62C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19A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920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72E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0C6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138B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金银花（干）</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048A2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6CFBF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72627AE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5742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199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14D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A9E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1FB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6194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苦丁茶</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063E0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9ABB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27040D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B263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EEF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4EB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20E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D32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8F7C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其他代用茶</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1E107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099D9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3543AE5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2197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9E84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15</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F8C5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酒类</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6B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蒸馏酒</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F5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白酒</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C894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白酒、白酒（液态）、白酒（原酒）</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D8844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酒精度、铅（以Pb计）、甲醇、氰化物（以HCN计）、糖精钠（以糖精计）、甜蜜素（以环己基氨基磺酸计）、三氯蔗糖、安赛蜜、纽甜</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B5495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211BE2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20</w:t>
            </w:r>
          </w:p>
        </w:tc>
      </w:tr>
      <w:tr w14:paraId="258A9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F6D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C1D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7DB7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发酵酒</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DFE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黄酒</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3E62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黄酒</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C706F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酒精度、氨基酸态氮、苯甲酸及其钠盐（以苯甲酸计）、山梨酸及其钾盐（以山梨酸计）、糖精钠（以糖精计）、甜蜜素（以环己基氨基磺酸计）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C8BC3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CA9696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D142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A9E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2F2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F05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606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啤酒</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4070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啤酒</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0C074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酒精度、甲醛</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CC120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B82400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F29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CA3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873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0A8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71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葡萄酒</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0A76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葡萄酒</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74C5D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甲醇、苯甲酸及其钠盐（以苯甲酸计）、山梨酸及其钾盐（以山梨酸计）、糖精钠（以糖精计）、二氧化硫残留量、甜蜜素（以环己基氨基磺酸计）、三氯蔗糖、合成着色剂（柠檬黄、日落黄、新红、胭脂红、赤藓红、苋菜红、诱惑红、酸性红、亮蓝）</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CA43B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EA04E4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A9B4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50D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91E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91E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C6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果酒</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13CA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果酒</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95A4E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酒精度、展青霉素、糖精钠（以糖精计）、甜蜜素（以环己基氨基磺酸计）、安赛蜜、二氧化硫残留量、酸性红</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5CC55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72689E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5CB8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EB0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4C2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0B1C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其他酒</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8596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配制酒</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A5C2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以蒸馏酒及食用酒精为酒基的配制酒</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D510E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甲醇、氰化物（以HCN计）、西地那非、豪莫西地那非、硫代艾地那非、他达拉非、二硫代去甲基卡巴地那非、那非乙酰酸、去甲基卡巴地那非、去甲基他达拉非、羟基豪莫西地那非、伐地那非、育亨宾、甜蜜素（以环己基氨基磺酸计）、安赛蜜、纽甜</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319BE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34CE430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AA63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AD0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2E2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BE7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C88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98FB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以发酵酒为酒基的配制酒</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FC84A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酒精度、苯甲酸及其钠盐（以苯甲酸计）、山梨酸及其钾盐（以山梨酸计）、甜蜜素（以环己基氨基磺酸计）、防腐剂混合使用时各自用量占其最大使用量的比例之和、安赛蜜</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8506C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12B28AF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4E15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C7B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90C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8E0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93C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其他蒸馏酒</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217E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其他蒸馏酒</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9ADC6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酒精度、铅（以Pb计）、甲醇、氰化物（以HCN计）、甜蜜素（以环己基氨基磺酸计）、三氯蔗糖</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AD4C5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10CF198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B5E7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E9D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AC4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71B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DC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其他发酵酒</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4DD2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其他发酵酒</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D58FB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酒精度、苯甲酸及其钠盐（以苯甲酸计）、山梨酸及其钾盐（以山梨酸计）、糖精钠（以糖精计）、甜蜜素（以环己基氨基磺酸计）、安赛蜜</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557DE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7206A44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1353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4F6E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16</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C976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26A1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F11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酱腌菜</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10A4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酱腌菜</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81C45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亚硝酸盐（以NaNO₂计）、苯甲酸及其钠盐（以苯甲酸计）、山梨酸及其钾盐（以山梨酸计）、脱氢乙酸及其钠盐（以脱氢乙酸计）、糖精钠（以糖精计）、甜蜜素（以环己基氨基磺酸计）、阿斯巴甜、安赛蜜、纽甜、三氯蔗糖、二氧化硫残留量、防腐剂混合使用时各自用量占其最大使用量的比例之和、合成着色剂（柠檬黄、日落黄、胭脂红、诱惑红）、大肠菌群</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365B8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1FF6C4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10</w:t>
            </w:r>
          </w:p>
        </w:tc>
      </w:tr>
      <w:tr w14:paraId="69551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46C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018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580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3D5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蔬菜干制品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566B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蔬菜干制品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458E0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铅（以Pb计）、苯甲酸及其钠盐（以苯甲酸计）、山梨酸及其钾盐（以山梨酸计）、二氧化硫残留量、合成着色剂（柠檬黄、日落黄、胭脂红、苋菜红、亮蓝）</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1B324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1E0037D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D347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738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760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48E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FC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其他蔬菜</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B0CF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其他蔬菜制品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20852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铅（以Pb计）、苯甲酸及其钠盐（以苯甲酸计）、山梨酸及其钾盐（以山梨酸计）、脱氢乙酸及其钠盐（以脱氢乙酸计）、二氧化硫残留量</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14EF0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740691B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27D6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741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11B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825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1E50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食用菌制品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913B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干制食用菌</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1381F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铅（以Pb计）、镉（以Cd计）、甲基汞（以Hg计）、无机砷（以As计）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1BB33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37FB1C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EA41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016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F90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404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B29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2F1A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腌渍食用菌</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BF76E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4FD61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727012B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EF26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9C72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17</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39B8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B428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9AA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蜜饯</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D446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蜜饯类、凉果类、果脯类、话化类、果糕类</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F832C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防腐剂混合使用时各自用量占其最大使用量的比例之和、糖精钠（以糖精计）、甜蜜素（以环己基氨基磺酸计）、安赛蜜、二氧化硫残留量、合成着色剂（亮蓝、柠檬黄、日落黄、苋菜红、胭脂红、诱惑红、喹啉黄、赤藓红）、相同色泽着色剂混合使用时各自用量占其最大使用量的比例之和、乙二胺四乙酸二钠、菌落总数、大肠菌群、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33143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同左，增加比沙可啶环丙甲酰替代物、双酚沙丁、脱乙酰比沙可啶（限有功能声称的产品）</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4AA679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15</w:t>
            </w:r>
          </w:p>
        </w:tc>
      </w:tr>
      <w:tr w14:paraId="11FC6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B15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229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5B9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A75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水果干制品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754C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水果干制品（含干枸杞）</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EFD79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啶虫脒、吡虫啉、克百威、氯氟氰菊酯和高效氯氟氰菊酯、氯氰菊酯和高效氯氰菊酯、苯甲酸及其钠盐（以苯甲酸计）、山梨酸及其钾盐（以山梨酸计）、脱氢乙酸及其钠盐（以脱氢乙酸计）、糖精钠（以糖精计）、二氧化硫残留量、合成着色剂（亮蓝、柠檬黄、日落黄、苋菜红、胭脂红、诱惑红、喹啉黄、赤藓红）、菌落总数、大肠菌群、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64B38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1CCD34A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90BC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EFA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2B4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0F0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256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果酱</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95A1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果酱</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84955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脱氢乙酸及其钠盐（以脱氢乙酸计）、二氧化硫残留量、菌落总数、大肠菌群、霉菌、商业无菌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FC72B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4256DAC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A53F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1067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18</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C524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炒货食品及</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坚果制品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F1A1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炒货食品及</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坚果制品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A4FB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炒货食品及坚果制品（烘炒类、油炸类、其他类）</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7BC6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瓜子</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72991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、苯甲酸及其钠盐（以苯甲酸计）、山梨酸及其钾盐（以山梨酸计）、脱氢乙酸及其钠盐（以脱氢乙酸计）、二氧化硫残留量、糖精钠（以糖精计）、甜蜜素（以环己基氨基磺酸计）、安赛蜜、大肠菌群、霉菌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5DED3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554835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12</w:t>
            </w:r>
          </w:p>
        </w:tc>
      </w:tr>
      <w:tr w14:paraId="3E6CA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041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389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7C1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3DF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6653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花生制品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8E4CC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、苯甲酸及其钠盐（以苯甲酸计）、山梨酸及其钾盐（以山梨酸计）、脱氢乙酸及其钠盐（以脱氢乙酸计）、二氧化硫残留量、糖精钠（以糖精计）、甜蜜素（以环己基氨基磺酸计）、安赛蜜、大肠菌群、霉菌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A369B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490927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3AF8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A4E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28F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ECB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E4D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4C20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其他炒货食品及坚果制品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D9860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、脱氢乙酸及其钠盐（以脱氢乙酸计）、二氧化硫残留量、糖精钠（以糖精计）、甜蜜素（以环己基氨基磺酸计）、安赛蜜、大肠菌群、霉菌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E9C71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67BACD0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4AF9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DE7D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19</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AFF4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C371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6FE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再制蛋</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0570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再制蛋</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3FD2D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铅（以Pb计）、苯甲酸及其钠盐（以苯甲酸计）、山梨酸及其钾盐（以山梨酸计）、菌落总数、大肠菌群、沙门氏菌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2B8B9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672F10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3</w:t>
            </w:r>
          </w:p>
        </w:tc>
      </w:tr>
      <w:tr w14:paraId="2D2C8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F0E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D3D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C38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2AC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干蛋制品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B2CA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干蛋制品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FC5C9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菌落总数、大肠菌群、沙门氏菌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A22E9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68B1164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9AC0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363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FCE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108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735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冰蛋制品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99ED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冰蛋制品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2CAB7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菌落总数、大肠菌群、沙门氏菌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279B1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99C01D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1865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A56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9AC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526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ABE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液蛋制品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0C1D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液蛋制品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E4F4F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铅（以Pb计）、苯甲酸及其钠盐（以苯甲酸计）、山梨酸及其钾盐（以山梨酸计）、脱氢乙酸及其钠盐（以脱氢乙酸计）、菌落总数、大肠菌群、沙门氏菌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A8E3D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35041BE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F90A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134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673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D55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7D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热凝固蛋制品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803E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热凝固蛋制品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25945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铅（以Pb计）、苯甲酸及其钠盐（以苯甲酸计）、山梨酸及其钾盐（以山梨酸计）、脱氢乙酸及其钠盐（以脱氢乙酸计）、菌落总数、大肠菌群、沙门氏菌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52B48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1492E15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D787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C7E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355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ED5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19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其他蛋制品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A422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其他蛋制品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F653C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铅（以Pb计）、苯甲酸及其钠盐（以苯甲酸计）、山梨酸及其钾盐（以山梨酸计）、脱氢乙酸及其钠盐（以脱氢乙酸计）、菌落总数、大肠菌群、沙门氏菌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7161C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2E01822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1A9C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23AA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20</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C2BB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可可及焙烤</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咖啡产品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0A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焙炒咖啡</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BD9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焙炒咖啡</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BB1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焙炒咖啡</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0F295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咖啡因、铅（以Pb计）、赭曲霉毒素A</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B64E1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554637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w:t>
            </w:r>
          </w:p>
        </w:tc>
      </w:tr>
      <w:tr w14:paraId="7D1A9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2DA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046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2A1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B0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28AD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ACD79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铅（以Pb计）、沙门氏菌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72372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1EB2598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9A87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0770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21</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DD4D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食糖</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380C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食糖</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BD0D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食糖</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1A6F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白砂糖</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69261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蔗糖分、还原糖分、色值、干燥失重、二氧化硫残留量、螨</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B1BEE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5B2436E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A06E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49D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BE8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C50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20F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F0D1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绵白糖</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86D98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总糖分、还原糖分、色值、干燥失重、二氧化硫残留量、螨</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D09F2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6B15137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0A46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51B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6D5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08F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EF9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5793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赤砂糖</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104E3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总糖分、不溶于水杂质、干燥失重、二氧化硫残留量、螨、合成着色剂（柠檬黄、新红、苋菜红、胭脂红、日落黄、诱惑红、酸性红、喹啉黄、赤藓红）</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C32B2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D81DDB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26CA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A10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72F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124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5D1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7299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红糖</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DF7BD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总糖分、不溶于水杂质、干燥失重、二氧化硫残留量、螨、合成着色剂（柠檬黄、新红、苋菜红、胭脂红、日落黄、诱惑红、酸性红、喹啉黄、赤藓红）</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EF5F7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11572A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CA17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3C9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B80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2E7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F49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19B7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冰糖</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40515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蔗糖分、还原糖分、色值、干燥失重、二氧化硫残留量、螨、合成着色剂（柠檬黄、新红、苋菜红、胭脂红、日落黄、诱惑红、酸性红、喹啉黄、赤藓红）</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F1808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F84F7B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BE58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95E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228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3E0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4F2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A08C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冰片糖</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E35EC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总糖分、还原糖分、干燥失重、二氧化硫残留量、螨、合成着色剂（柠檬黄、新红、苋菜红、胭脂红、日落黄、诱惑红、酸性红、喹啉黄、赤藓红）</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A4AC7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87D50E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B9D0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9EB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703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F87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2E8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1209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方糖</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1AB4F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蔗糖分、还原糖分、色值、干燥失重、二氧化硫残留量、螨</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2D525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7A299E7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DC7F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EDF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01B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7A4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DDD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D6E3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其他糖</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D88E6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蔗糖分、总糖分、色值、还原糖分、干燥失重、二氧化硫残留量、螨、合成着色剂（柠檬黄、新红、苋菜红、胭脂红、日落黄、诱惑红、酸性红、喹啉黄、赤藓红）、菌落总数、大肠菌群、霉菌、酵母菌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0791B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1A947D4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9EFA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919F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22</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DF6C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73D7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水产制品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9E79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干制水产品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09CA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藻类干制品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B9FE0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铅（以Pb计）、菌落总数、大肠菌群</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1A8D6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56D17C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w:t>
            </w:r>
          </w:p>
        </w:tc>
      </w:tr>
      <w:tr w14:paraId="53080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504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D4B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C3E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2AE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8EC4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预制动物性水产干制品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1E66E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过氧化值（以脂肪计）、铅（以Pb计）、镉（以Cd计）、苯甲酸及其钠盐（以苯甲酸计）、山梨酸及其钾盐（以山梨酸计）、合成着色剂（柠檬黄、胭脂红、日落黄、诱惑红）</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2768D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670CB81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666E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CB3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D22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CFA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0A59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盐渍水产品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3A52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盐渍鱼</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AC892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过氧化值（以脂肪计）、组胺、镉（以Cd计）、苯甲酸及其钠盐（以苯甲酸计）、山梨酸及其钾盐（以山梨酸计）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D6AE5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15055DF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4EB0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EC4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E64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87B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04B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6156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盐渍藻</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F2D0A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4BA46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70A270E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739A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152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F42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10B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8C4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F244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其他盐渍水产品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106F3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A66EC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1DB8DDD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1666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A8A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6AA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DE7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1C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鱼糜制品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C3EB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预制鱼糜制品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5B723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铅（以Pb计）、苯甲酸及其钠盐（以苯甲酸计）、山梨酸及其钾盐（以山梨酸计）、脱氢乙酸及其钠盐（以脱氢乙酸计）、合成着色剂（诱惑红、柠檬黄、日落黄）</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815FC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CA12B6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32AD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A41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93E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36E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C6E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熟制动物性水产制品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F95B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熟制动物性水产制品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A3A8D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铅（以Pb计）、镉（以Cd计）、苯甲酸及其钠盐（以苯甲酸计）、山梨酸及其钾盐（以山梨酸计）、甜蜜素（以环己基氨基磺酸计）、脱氢乙酸及其钠盐（以脱氢乙酸计）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32E1F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71E67A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0164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071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96D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BCE8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C1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生食水产品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D4D3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生食动物性水产品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56D53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挥发性盐基氮、苯甲酸及其钠盐（以苯甲酸计）、山梨酸及其钾盐（以山梨酸计）、铝的残留量（以即食海蜇中Al计）、菌落总数、大肠菌群、沙门氏菌、副溶血性弧菌、单核细胞增生李斯特氏菌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0F832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768B701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4166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7CA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D49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DF7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83C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其他水产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8C2C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其他水产制品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634AA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糖精钠（以糖精计）、脱氢乙酸及其钠盐（以脱氢乙酸计）、合成着色剂（柠檬黄）、甜蜜素（以环己基氨基磺酸计）、防腐剂混合使用时各自用量占其最大使用量的比例之和、菌落总数</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8A50E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79FAFB6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019E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9B04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23</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704F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淀粉及淀粉制品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E7AD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淀粉及淀粉制品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5B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F180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29EB7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铅（以Pb计）、霉菌和酵母、二氧化硫残留量、脱氢乙酸及其钠盐（以脱氢乙酸计）、葛根素、水分、氢氰酸</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94F58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024B87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w:t>
            </w:r>
          </w:p>
        </w:tc>
      </w:tr>
      <w:tr w14:paraId="7D02F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100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315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036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920A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53C9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粉丝粉条</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73011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铝的残留量（干样品，以Al计）、二氧化硫残留量、合成着色剂（柠檬黄、新红、苋菜红、靛蓝、胭脂红、诱惑红、日落黄、亮蓝、酸性红、喹啉黄、赤藓红）</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C5256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745B90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1218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2F7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67C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7DA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561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1447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其他淀粉制品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A2415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铝的残留量（干样品，以Al计）、二氧化硫残留量、合成着色剂（柠檬黄、新红、苋菜红、靛蓝、胭脂红、日落黄、诱惑红、亮蓝、酸性红、喹啉黄、赤藓红）、相同色泽着色剂混合使用时各自用量占其最大使用量的比例之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FA337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7669E43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BC42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21E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490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43E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2E4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淀粉糖</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C657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淀粉糖</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EE88C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总砷（以As计）、葡萄糖含量（以干基计，质量分数）、IMO含量（占干物质，质量分数）、IG₂+P+IG₃含量（占干物质，质量分数）、果糖（占干基比）、果糖+葡萄糖（占干基比）、5-羟甲基糠醛（以吸光度计）、果糖+葡萄糖含量（以干物质计）、果糖含量（以干物质计）、麦芽糖含量（以干物质计，质量分数）、干物质（固形物）、硫酸灰分</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EB918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5AE8C9D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DB64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C8D9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24</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8543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EFA1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AE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面包</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34FD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面包</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48EAF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富马酸二甲酯、苯甲酸及其钠盐（以苯甲酸计）、山梨酸及其钾盐（以山梨酸计）、糖精钠（以糖精计）、甜蜜素（以环己基氨基磺酸计）、安赛蜜、铝的残留量（干样品，以Al计）、丙酸及其钠盐、钙盐（以丙酸计）、脱氢乙酸及其钠盐（以脱氢乙酸计）、三氯蔗糖、合成着色剂（柠檬黄、日落黄、胭脂红、苋菜红、亮蓝、诱惑红、酸性红）、防腐剂混合使用时各自用量占其最大使用量的比例之和、菌落总数、大肠菌群、金黄色葡萄球菌、沙门氏菌、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41D95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44A172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30</w:t>
            </w:r>
          </w:p>
        </w:tc>
      </w:tr>
      <w:tr w14:paraId="2A6BD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615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139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341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9C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月饼</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8A2D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月饼</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BC231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富马酸二甲酯、糖精钠（以糖精计）、苯甲酸及其钠盐（以苯甲酸计）、山梨酸及其钾盐（以山梨酸计）、铝的残留量（干样品，以Al计）、丙酸及其钠盐、钙盐（以丙酸计）、脱氢乙酸及其钠盐（以脱氢乙酸计）、纳他霉素、合成着色剂（柠檬黄、日落黄、胭脂红、苋菜红、亮蓝、赤藓红、诱惑红）、防腐剂混合使用时各自用量占其最大使用量的比例之和、菌落总数、大肠菌群、金黄色葡萄球菌、沙门氏菌、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7BF49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EDE237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6196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8BB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B239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DE7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29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粽子</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30CD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粽子</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FC582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甜蜜素（以环己基氨基磺酸计）、脱氢乙酸及其钠盐（以脱氢乙酸计）、山梨酸及其钾盐（以山梨酸计）、糖精钠（以糖精计）、安赛蜜、菌落总数、大肠菌群、金黄色葡萄球菌、沙门氏菌、霉菌、商业无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E43AD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11F9910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50EB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66D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F8D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FC4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9E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CAF7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406F6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富马酸二甲酯、苯甲酸及其钠盐（以苯甲酸计）、山梨酸及其钾盐（以山梨酸计）、糖精钠（以糖精计）、甜蜜素（以环己基氨基磺酸计）、安赛蜜、铝的残留量（干样品，以Al计）、丙酸及其钠盐、钙盐（以丙酸计）、脱氢乙酸及其钠盐（以脱氢乙酸计）、纳他霉素、三氯蔗糖、丙二醇、合成着色剂（柠檬黄、日落黄、胭脂红、苋菜红、亮蓝、赤藓红、诱惑红）、防腐剂混合使用时各自用量占其最大使用量的比例之和、菌落总数、大肠菌群、金黄色葡萄球菌、沙门氏菌、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DCDD7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333CF83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FDB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438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25</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B25E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F31A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6F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豆制品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2762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腐乳、豆豉、纳豆等</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5B51C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铅（以Pb计）、黄曲霉毒素B₁ 、苯甲酸及其钠盐（以苯甲酸计）、山梨酸及其钾盐（以山梨酸计）、脱氢乙酸及其钠盐（以脱氢乙酸计）、糖精钠（以糖精计）、甜蜜素（以环己基氨基磺酸计）、铝的残留量（干样品，以Al计）、大肠菌群</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A44C9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338E4D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w:t>
            </w:r>
          </w:p>
        </w:tc>
      </w:tr>
      <w:tr w14:paraId="6442D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342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138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93D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C81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非发酵性豆制品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93A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腐竹、油皮及其再制品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B2472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铅（以Pb计）、苯甲酸及其钠盐（以苯甲酸计）、山梨酸及其钾盐（以山梨酸计）、脱氢乙酸及其钠盐（以脱氢乙酸计）、二氧化硫残留量、铝的残留量（干样品，以Al计）、合成着色剂（柠檬黄、日落黄）</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B2CB5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639D7B7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F370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057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3FE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7E8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7BA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F3F3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豆干、豆腐、豆皮等</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F4FF1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丙酸及其钠盐、钙盐（以丙酸计）、防腐剂混合使用时各自用量占其最大使用量的比例之和、糖精钠（以糖精计）、三氯蔗糖、甜蜜素（以环己基氨基磺酸计）、铝的残留量（干样品，以Al计）、合成着色剂（柠檬黄、日落黄）、大肠菌群、金黄色葡萄球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83AAE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C5277D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306F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3B4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542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781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5A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其他豆制品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757C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大豆蛋白类制品等</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4018D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糖精钠（以糖精计）、三氯蔗糖、铝的残留量（干样品，以Al计）、合成着色剂（柠檬黄、日落黄）、大肠菌群</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AC2DD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04C7C8C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B589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F86E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26</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83D9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7677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2AE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蜂蜜</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13D4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蜂蜜</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2B3F6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果糖和葡萄糖、蔗糖、山梨酸及其钾盐（以山梨酸计）、氯霉素、呋喃西林代谢物、呋喃唑酮代谢物、甲硝唑、双甲脒、氟胺氰菊酯、诺氟沙星、氧氟沙星、菌落总数、霉菌计数、嗜渗酵母计数</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DA414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同左，增加西地那非、他达拉非（限有功能声称的产品）</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70A7EB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15</w:t>
            </w:r>
          </w:p>
        </w:tc>
      </w:tr>
      <w:tr w14:paraId="2FAD5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5F5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D9D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76C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FC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蜂王浆（含蜂王浆冻干品 ）</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28BE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蜂王浆（含蜂王浆冻干品）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043AC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10-羟基-2-癸烯酸、酸度、蛋白质、呋喃西林代谢物</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9D784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691A205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A619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8F3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B05C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800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52B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蜂花粉</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4864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蜂花粉</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CD627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铅（以Pb计）、菌落总数、大肠菌群、霉菌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57DB5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70AFB4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90E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675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849B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165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1E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蜂产品制品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A62C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蜂产品制品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5C8E2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山梨酸及其钾盐（以山梨酸计）、合成着色剂（柠檬黄、日落黄）、菌落总数</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639C1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6C480A0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ACE6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F7E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27</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C25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30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44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1735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6221D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10-羟基-2-癸烯酸、蛋白质、二十二碳六烯酸、二十碳五烯酸、泛酸、钙、还原糖、肌醇、赖氨酸、绿原酸、铁、维生素A、维生素B₁、维生素B₁₂、维生素B₂、维生素B₆、维生素C、维生素D、维生素D₃、维生素E、硒、锌、烟酰胺、叶酸、免疫球蛋白IgG、总黄酮、总皂苷、总蒽醌、吡啶甲酸铬、芦荟苷、总三萜、嗜酸乳杆菌、双歧杆菌、水分、可溶性固形物、酸价、过氧化值、崩解时限、灰分、铅（Pb）、总砷（As）、总汞（Hg）、硬胶囊壳中的铬、菌落总数、大肠菌群、霉菌和酵母、金黄色葡萄球菌、沙门氏菌、褪黑素、甘草酸、咖啡因、淫羊藿苷、葛根素、辅酶Q10、番茄红素、那红地那非、红地那非、伐地那非、羟基豪莫西地那非、西地那非、豪莫西地那非、氨基他达拉非、他达拉非、硫代艾地那非、伪伐地那非、那莫西地那非、去甲基他达拉非、育亨宾、西布曲明、N-单去甲基西布曲明、N,N-双去甲基西布曲明</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8AA6A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4AF7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10</w:t>
            </w:r>
          </w:p>
        </w:tc>
      </w:tr>
      <w:tr w14:paraId="765CE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5A0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28</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8B29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餐饮食品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C900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米面及其制品（自制）</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76D8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小麦粉制品（自制）</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2B25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馒头花卷</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22483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脱氢乙酸及其钠盐（以脱氢乙酸计）、甜蜜素（以环己基氨基磺酸计）、铅（以Pb计）、合成着色剂（柠檬黄、日落黄、胭脂红、苋菜红、亮蓝）</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417B5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6E3344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45</w:t>
            </w:r>
          </w:p>
        </w:tc>
      </w:tr>
      <w:tr w14:paraId="43EB9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7D8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93A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9A1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D9C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6035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包子（自制）</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C4E58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苯甲酸及其钠盐（以苯甲酸计）、山梨酸及其钾盐（以山梨酸计）、糖精钠（以糖精计）、脱氢乙酸及其钠盐（以脱氢乙酸计）、甜蜜素（以环己基氨基磺酸计）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85AB7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30FF9A1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7DC9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5B0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B8A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DA0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D5A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AE2C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其他生湿面制品（自制）</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7D67A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C49C7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铅（以Pb计）、苯甲酸及其钠盐（以苯甲酸计）、山梨酸及其钾盐（以山梨酸计）、脱氢乙酸及其钠盐（以脱氢乙酸计）、柠檬黄、日落黄</w:t>
            </w:r>
          </w:p>
        </w:tc>
        <w:tc>
          <w:tcPr>
            <w:tcW w:w="850" w:type="dxa"/>
            <w:gridSpan w:val="2"/>
            <w:vMerge w:val="continue"/>
            <w:tcBorders>
              <w:left w:val="single" w:color="000000" w:sz="4" w:space="0"/>
              <w:right w:val="single" w:color="000000" w:sz="4" w:space="0"/>
            </w:tcBorders>
            <w:shd w:val="clear" w:color="auto" w:fill="auto"/>
            <w:vAlign w:val="center"/>
          </w:tcPr>
          <w:p w14:paraId="18574F0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F9E8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C37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076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1B0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B7A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1CA0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其他熟制面制品（自制）</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21DDB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29716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柠檬黄、日落黄</w:t>
            </w:r>
          </w:p>
        </w:tc>
        <w:tc>
          <w:tcPr>
            <w:tcW w:w="850" w:type="dxa"/>
            <w:gridSpan w:val="2"/>
            <w:vMerge w:val="continue"/>
            <w:tcBorders>
              <w:left w:val="single" w:color="000000" w:sz="4" w:space="0"/>
              <w:right w:val="single" w:color="000000" w:sz="4" w:space="0"/>
            </w:tcBorders>
            <w:shd w:val="clear" w:color="auto" w:fill="auto"/>
            <w:vAlign w:val="center"/>
          </w:tcPr>
          <w:p w14:paraId="3EA6FD5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4DD4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116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A08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0F0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506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6CE8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其他油炸面制品（自制）</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C3C6F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58D10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w:t>
            </w:r>
          </w:p>
        </w:tc>
        <w:tc>
          <w:tcPr>
            <w:tcW w:w="850" w:type="dxa"/>
            <w:gridSpan w:val="2"/>
            <w:vMerge w:val="continue"/>
            <w:tcBorders>
              <w:left w:val="single" w:color="000000" w:sz="4" w:space="0"/>
              <w:right w:val="single" w:color="000000" w:sz="4" w:space="0"/>
            </w:tcBorders>
            <w:shd w:val="clear" w:color="auto" w:fill="auto"/>
            <w:vAlign w:val="center"/>
          </w:tcPr>
          <w:p w14:paraId="0DCEC16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140D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73D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AA2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F4C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DF2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BD49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油饼油条</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5CD2B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BE07D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12DF942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8B9C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399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53B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C26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A54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AC41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凉皮类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49219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脱氢乙酸及其钠盐（以脱氢乙酸计）、柠檬黄</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5F4B7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7751840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F396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FAF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66E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21DD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肉制品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3164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熟肉制品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5C8D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肉冻皮冻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FCAF8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铬（以Cr计）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C85AB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16FD73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D572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C11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A4D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13D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D1C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312F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熏烧烤肉类（自制）</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F1C5A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N-二甲基亚硝胺、苯并[a]芘、铅（以Pb计）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2BB38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同左，增加铬</w:t>
            </w:r>
          </w:p>
        </w:tc>
        <w:tc>
          <w:tcPr>
            <w:tcW w:w="850" w:type="dxa"/>
            <w:gridSpan w:val="2"/>
            <w:vMerge w:val="continue"/>
            <w:tcBorders>
              <w:left w:val="single" w:color="000000" w:sz="4" w:space="0"/>
              <w:right w:val="single" w:color="000000" w:sz="4" w:space="0"/>
            </w:tcBorders>
            <w:shd w:val="clear" w:color="auto" w:fill="auto"/>
            <w:vAlign w:val="center"/>
          </w:tcPr>
          <w:p w14:paraId="56B3BDD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D853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AB1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C3F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C3D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97B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3508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油炸肉类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5682EC8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99C7A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N-二甲基亚硝胺、苯甲酸及其钠盐（以苯甲酸计）、山梨酸及其钾盐（以山梨酸计）、合成着色剂（柠檬黄、日落黄）</w:t>
            </w:r>
          </w:p>
        </w:tc>
        <w:tc>
          <w:tcPr>
            <w:tcW w:w="850" w:type="dxa"/>
            <w:gridSpan w:val="2"/>
            <w:vMerge w:val="continue"/>
            <w:tcBorders>
              <w:left w:val="single" w:color="000000" w:sz="4" w:space="0"/>
              <w:right w:val="single" w:color="000000" w:sz="4" w:space="0"/>
            </w:tcBorders>
            <w:shd w:val="clear" w:color="auto" w:fill="auto"/>
            <w:vAlign w:val="center"/>
          </w:tcPr>
          <w:p w14:paraId="03D6BEF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2D1A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2C4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5DE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4C56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调味料（自制 ）</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1CBC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C489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火锅麻辣烫底料（自制）</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AAB1D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罂粟碱、吗啡、可待因、那可丁</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F47FB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67A6923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B34D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FB8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B3B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91B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1D2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4441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蘸料（自制）</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6AF43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1DA53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罂粟碱、吗啡、可待因、那可丁，黄曲霉毒素B₁（限花生酱检测）</w:t>
            </w:r>
          </w:p>
        </w:tc>
        <w:tc>
          <w:tcPr>
            <w:tcW w:w="850" w:type="dxa"/>
            <w:gridSpan w:val="2"/>
            <w:vMerge w:val="continue"/>
            <w:tcBorders>
              <w:left w:val="single" w:color="000000" w:sz="4" w:space="0"/>
              <w:right w:val="single" w:color="000000" w:sz="4" w:space="0"/>
            </w:tcBorders>
            <w:shd w:val="clear" w:color="auto" w:fill="auto"/>
            <w:vAlign w:val="center"/>
          </w:tcPr>
          <w:p w14:paraId="7E92C1C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367C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4F7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743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D0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水产制品（自制）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41A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预制水产制品（自制）</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1F36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生食动物性水产品（自制）</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6E3DC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铝的残留量（以即食海蜇中Al计）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D75A0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950A70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3F1E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09A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781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FA9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坚果及籽类食品（自制 ）</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20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坚果及籽类食品（自制 ）</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A624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花生制品（自制 ）</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76762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黄曲霉毒素B₁ 、苯甲酸及其钠盐（以苯甲酸计）、山梨酸及其钾盐（以山梨酸计）、脱氢乙酸及其钠盐（以脱氢乙酸计）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EA0C1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FB8FEF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BEC6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F46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F47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AC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焙烤食品（自制）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11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焙烤食品（自制）</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7027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糕点（自制）</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7492E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酸价（以脂肪计）（KOH）、过氧化值（以脂肪计）、山梨酸及其钾盐（以山梨酸计）、脱氢乙酸及其钠盐（以脱氢乙酸计）、铝的残留量（干样品，以Al计）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0A6F3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850" w:type="dxa"/>
            <w:gridSpan w:val="2"/>
            <w:vMerge w:val="continue"/>
            <w:tcBorders>
              <w:left w:val="single" w:color="000000" w:sz="4" w:space="0"/>
              <w:right w:val="single" w:color="000000" w:sz="4" w:space="0"/>
            </w:tcBorders>
            <w:shd w:val="clear" w:color="auto" w:fill="auto"/>
            <w:vAlign w:val="center"/>
          </w:tcPr>
          <w:p w14:paraId="39446F5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614E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7B9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2FF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DE9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食用油、油脂及其制品（自制）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9C5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食用油、油脂及其制品（自制）</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41C7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煎炸过程用油</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D3B92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极性组分、酸价（KOH）</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BE47F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44A74C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120B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AD0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86E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2B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淀粉制品（自制）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6B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粉丝粉条（自制）</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8771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粉丝粉条（自制 ）</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92102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铝的残留量（干样品，以Al计）、脱氢乙酸及其钠盐（以脱氢乙酸计）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F9315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6C7F80C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13FB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E82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990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4332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37EC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0181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奶茶（自制）</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1BB15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109B4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14006C7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72C2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2EE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6C9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07E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734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7217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果蔬汁类及其饮料（自制）</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E1ABA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BB020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甜蜜素（以环己基氨基磺酸钠计）、脱氢乙酸及其钠盐（以脱氢乙酸计）、合成着色剂（苋菜红、胭脂红、柠檬黄、日落黄、亮蓝）、防腐剂混合使用时各自用量占其最大使用量的比例之和</w:t>
            </w:r>
          </w:p>
        </w:tc>
        <w:tc>
          <w:tcPr>
            <w:tcW w:w="850" w:type="dxa"/>
            <w:gridSpan w:val="2"/>
            <w:vMerge w:val="continue"/>
            <w:tcBorders>
              <w:left w:val="single" w:color="000000" w:sz="4" w:space="0"/>
              <w:right w:val="single" w:color="000000" w:sz="4" w:space="0"/>
            </w:tcBorders>
            <w:shd w:val="clear" w:color="auto" w:fill="auto"/>
            <w:vAlign w:val="center"/>
          </w:tcPr>
          <w:p w14:paraId="484E56A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83D2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E6A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4EF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D188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餐饮具</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BCA7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复用餐饮具</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59B9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复用餐饮具</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（餐馆自行消毒 ）</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26993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阴离子合成洗涤剂（以十二烷基苯磺酸钠计）、大肠菌群</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9E4C0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7D9F8F7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C2E5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B40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0AA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EBA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049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DE42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复用餐饮具（集中清洗消毒服务单位消毒 ）</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5AD1C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阴离子合成洗涤剂（以十二烷基苯磺酸钠计）、大肠菌群</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C80E9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18F6FB6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DCDE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8C13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29</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C50C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食品添加剂</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46E3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食品添加剂</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39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复配食品添加剂</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4A18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复配食品添加剂</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5A8DB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铅（Pb）、砷（以As计）、致病性微生物</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27B49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restart"/>
            <w:tcBorders>
              <w:top w:val="single" w:color="000000" w:sz="4" w:space="0"/>
              <w:left w:val="single" w:color="000000" w:sz="4" w:space="0"/>
              <w:right w:val="single" w:color="000000" w:sz="4" w:space="0"/>
            </w:tcBorders>
            <w:shd w:val="clear" w:color="auto" w:fill="auto"/>
            <w:vAlign w:val="center"/>
          </w:tcPr>
          <w:p w14:paraId="6D7507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w:t>
            </w:r>
          </w:p>
        </w:tc>
      </w:tr>
      <w:tr w14:paraId="0157F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796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E24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DC8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83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食品用香精</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3713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食品用香精</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6F6B0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砷（以As计）含量/无机砷含量、菌落总数</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DA382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826437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1FC7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5E85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0A1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7F4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81ED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单一食品添加剂</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F79C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明胶</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B14C1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铬（Cr）、铅（Pb）、总砷（As）、二氧化硫、过氧化物</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81F97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E1C26F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7EAC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2E8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8F1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E22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9EF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AF56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糖精钠</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F347F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糖精钠含量、干燥失重、总砷（以As计）、铅（Pb）、酸度和碱度、苯甲酸盐和水杨酸盐</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B10DC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1D2E976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E1AD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025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00B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9E5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B3C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C250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环己基氨基磺酸钠（又名甜蜜素）</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057DC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环己基氨基磺酸钠含量（以干基计）、硫酸盐（以SO₄计）、pH（100g/L水溶液）、干燥减量、氨基磺酸、环己胺、双环己胺、吸光值（100g/L溶液）、透明度（以100g/L溶液的透光率表示）、重金属（以Pb计）、砷（As）</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9C2A7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9B0D0F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1F4D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DEC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DD4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B33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917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8C8A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碳酸钠</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3EE5C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总碱量（以Na₂CO₃计）（以干基计）、总碱量（以Na₂CO₃计）（以湿基计）、水不溶物（以干基计）、氯化物（以NaCl计）（以干基计）、铁（Fe）（以干基计）、铅（Pb）（以干基计）、砷（As）（以干基计）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663AD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8982EA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8A0E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4D1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2AC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376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A864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单一食品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添加剂</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6703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碳酸氢钠</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4D583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总碱量（以NaHCO₃计）、干燥减量、pH（10g/L水溶液）、铵盐、澄清度、氯化物（以Cl计）、白度、砷（As）、重金属（以Pb计）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4327B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240083A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6EF3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C1E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009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D55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280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3FFF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焦糖色</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B1C59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吸光度          （610nm）、氨氮（以N计）、二氧化硫（以SO2计）、4-甲基咪唑、总氮（以N计）、总硫（以S计）、总砷（以As计）、铅（Pb）、总汞（以Hg计）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9ED16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39E9BEA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6CCF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9D4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2F2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DC3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DD6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16D8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蜂蜡</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3A60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过氧化值，酸值（以KOH计），皂化值（以KOH计），熔程，甘油和其他多元醇，铅（Pb），巴西棕榈蜡，纯白地蜡、石蜡及其他蜡，脂肪、日本蜡、松脂和皂质</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6BD34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759F423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2DB7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F8E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F66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E13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D3C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C9BF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红曲米</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C7C55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水分、黄曲霉毒素B1、色价、细度150μm（100目）通过率、总砷（以As计）、重金属（以Pb计）、大肠菌群、沙门氏菌、志贺氏菌、金黄色葡萄球菌</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C1DAB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694830C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ED52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963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1E5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5E5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3FD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4C07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红曲红</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6673F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色价（495±10）nm、干燥减量、铅（Pb）、砷（As）</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ACE1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4081E52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1F67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2D5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C87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1EA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E83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AAE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红曲黄色素</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35A3B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色价（476±10）nm、干燥减量、灼烧残渣、铅（Pb）、总砷（以As计）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4D019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543BDC2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E395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641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1BF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0A4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80B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胶基</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9C91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胶基</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22362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铅（Pb）、总砷（以As计）</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2BEC9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right w:val="single" w:color="000000" w:sz="4" w:space="0"/>
            </w:tcBorders>
            <w:shd w:val="clear" w:color="auto" w:fill="auto"/>
            <w:vAlign w:val="center"/>
          </w:tcPr>
          <w:p w14:paraId="090CD34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0741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9D0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4DB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E98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6E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食品工业用酶制剂</w:t>
            </w:r>
          </w:p>
        </w:tc>
        <w:tc>
          <w:tcPr>
            <w:tcW w:w="13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E506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食品工业用酶制剂</w:t>
            </w:r>
          </w:p>
        </w:tc>
        <w:tc>
          <w:tcPr>
            <w:tcW w:w="73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72BC0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铅（Pb）、总砷（以As计）、菌落总数、大肠菌群、大肠埃希氏菌、沙门氏菌、抗菌活性</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2CAF3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gridSpan w:val="2"/>
            <w:vMerge w:val="continue"/>
            <w:tcBorders>
              <w:left w:val="single" w:color="000000" w:sz="4" w:space="0"/>
              <w:bottom w:val="single" w:color="000000" w:sz="4" w:space="0"/>
              <w:right w:val="single" w:color="000000" w:sz="4" w:space="0"/>
            </w:tcBorders>
            <w:shd w:val="clear" w:color="auto" w:fill="auto"/>
            <w:vAlign w:val="center"/>
          </w:tcPr>
          <w:p w14:paraId="115F6D0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EB97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trPr>
        <w:tc>
          <w:tcPr>
            <w:tcW w:w="14716" w:type="dxa"/>
            <w:gridSpan w:val="10"/>
            <w:tcBorders>
              <w:top w:val="single" w:color="000000" w:sz="4" w:space="0"/>
              <w:left w:val="single" w:color="000000" w:sz="4" w:space="0"/>
              <w:bottom w:val="single" w:color="000000" w:sz="4" w:space="0"/>
              <w:right w:val="single" w:color="auto" w:sz="4" w:space="0"/>
            </w:tcBorders>
            <w:shd w:val="clear" w:color="auto" w:fill="auto"/>
            <w:vAlign w:val="center"/>
          </w:tcPr>
          <w:p w14:paraId="715B08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合计</w:t>
            </w:r>
          </w:p>
        </w:tc>
        <w:tc>
          <w:tcPr>
            <w:tcW w:w="8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2026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580</w:t>
            </w:r>
          </w:p>
        </w:tc>
      </w:tr>
      <w:tr w14:paraId="08D8E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90" w:hRule="atLeast"/>
        </w:trPr>
        <w:tc>
          <w:tcPr>
            <w:tcW w:w="15344" w:type="dxa"/>
            <w:gridSpan w:val="11"/>
            <w:tcBorders>
              <w:top w:val="nil"/>
              <w:left w:val="nil"/>
              <w:bottom w:val="single" w:color="auto" w:sz="4" w:space="0"/>
              <w:right w:val="nil"/>
            </w:tcBorders>
            <w:shd w:val="clear" w:color="auto" w:fill="auto"/>
            <w:vAlign w:val="center"/>
          </w:tcPr>
          <w:p w14:paraId="615F223F">
            <w:pPr>
              <w:pStyle w:val="2"/>
              <w:rPr>
                <w:rFonts w:hint="default" w:ascii="Times New Roman" w:hAnsi="Times New Roman" w:eastAsia="方正小标宋_GBK" w:cs="Times New Roman"/>
                <w:b w:val="0"/>
                <w:bCs w:val="0"/>
                <w:i w:val="0"/>
                <w:iCs w:val="0"/>
                <w:color w:val="auto"/>
                <w:kern w:val="0"/>
                <w:sz w:val="44"/>
                <w:szCs w:val="44"/>
                <w:highlight w:val="none"/>
                <w:u w:val="none"/>
                <w:lang w:val="en-US" w:eastAsia="zh-CN" w:bidi="ar"/>
              </w:rPr>
            </w:pPr>
          </w:p>
          <w:p w14:paraId="7C816DC7">
            <w:pPr>
              <w:pStyle w:val="2"/>
              <w:rPr>
                <w:rFonts w:hint="default" w:ascii="Times New Roman" w:hAnsi="Times New Roman" w:eastAsia="方正小标宋_GBK" w:cs="Times New Roman"/>
                <w:b w:val="0"/>
                <w:bCs w:val="0"/>
                <w:i w:val="0"/>
                <w:iCs w:val="0"/>
                <w:color w:val="auto"/>
                <w:kern w:val="0"/>
                <w:sz w:val="44"/>
                <w:szCs w:val="44"/>
                <w:highlight w:val="none"/>
                <w:u w:val="none"/>
                <w:lang w:val="en-US" w:eastAsia="zh-CN" w:bidi="ar"/>
              </w:rPr>
            </w:pPr>
          </w:p>
          <w:p w14:paraId="74D42A7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Times New Roman" w:hAnsi="Times New Roman" w:eastAsia="方正小标宋_GBK" w:cs="Times New Roman"/>
                <w:b w:val="0"/>
                <w:bCs w:val="0"/>
                <w:i w:val="0"/>
                <w:iCs w:val="0"/>
                <w:color w:val="auto"/>
                <w:kern w:val="0"/>
                <w:sz w:val="44"/>
                <w:szCs w:val="44"/>
                <w:highlight w:val="none"/>
                <w:u w:val="none"/>
                <w:lang w:val="en-US" w:eastAsia="zh-CN" w:bidi="ar"/>
              </w:rPr>
            </w:pPr>
            <w:r>
              <w:rPr>
                <w:rFonts w:hint="eastAsia" w:ascii="宋体" w:hAnsi="宋体" w:eastAsia="宋体" w:cs="宋体"/>
                <w:b/>
                <w:bCs/>
                <w:i w:val="0"/>
                <w:iCs w:val="0"/>
                <w:color w:val="auto"/>
                <w:kern w:val="0"/>
                <w:sz w:val="44"/>
                <w:szCs w:val="44"/>
                <w:highlight w:val="none"/>
                <w:u w:val="none"/>
                <w:lang w:val="en-US" w:eastAsia="zh-CN" w:bidi="ar"/>
              </w:rPr>
              <w:t>2026年乌鲁木齐市你点我检抽检品种、项目、任务表分配表</w:t>
            </w:r>
          </w:p>
        </w:tc>
      </w:tr>
      <w:tr w14:paraId="0C3D6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694" w:hRule="atLeast"/>
        </w:trPr>
        <w:tc>
          <w:tcPr>
            <w:tcW w:w="800" w:type="dxa"/>
            <w:tcBorders>
              <w:top w:val="single" w:color="auto" w:sz="4" w:space="0"/>
              <w:left w:val="single" w:color="000000" w:sz="4" w:space="0"/>
              <w:bottom w:val="single" w:color="000000" w:sz="4" w:space="0"/>
              <w:right w:val="single" w:color="000000" w:sz="4" w:space="0"/>
            </w:tcBorders>
            <w:shd w:val="clear" w:color="auto" w:fill="auto"/>
            <w:vAlign w:val="center"/>
          </w:tcPr>
          <w:p w14:paraId="3C1F38C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序号</w:t>
            </w:r>
          </w:p>
        </w:tc>
        <w:tc>
          <w:tcPr>
            <w:tcW w:w="1228" w:type="dxa"/>
            <w:tcBorders>
              <w:top w:val="single" w:color="auto" w:sz="4" w:space="0"/>
              <w:left w:val="single" w:color="000000" w:sz="4" w:space="0"/>
              <w:bottom w:val="single" w:color="000000" w:sz="4" w:space="0"/>
              <w:right w:val="single" w:color="000000" w:sz="4" w:space="0"/>
            </w:tcBorders>
            <w:shd w:val="clear" w:color="auto" w:fill="auto"/>
            <w:vAlign w:val="center"/>
          </w:tcPr>
          <w:p w14:paraId="1C6397C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食品大类（一级）</w:t>
            </w:r>
          </w:p>
        </w:tc>
        <w:tc>
          <w:tcPr>
            <w:tcW w:w="1215" w:type="dxa"/>
            <w:tcBorders>
              <w:top w:val="single" w:color="auto" w:sz="4" w:space="0"/>
              <w:left w:val="single" w:color="000000" w:sz="4" w:space="0"/>
              <w:bottom w:val="single" w:color="000000" w:sz="4" w:space="0"/>
              <w:right w:val="single" w:color="000000" w:sz="4" w:space="0"/>
            </w:tcBorders>
            <w:shd w:val="clear" w:color="auto" w:fill="auto"/>
            <w:vAlign w:val="center"/>
          </w:tcPr>
          <w:p w14:paraId="649953F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食品亚类（二级）</w:t>
            </w:r>
          </w:p>
        </w:tc>
        <w:tc>
          <w:tcPr>
            <w:tcW w:w="1271" w:type="dxa"/>
            <w:tcBorders>
              <w:top w:val="single" w:color="auto" w:sz="4" w:space="0"/>
              <w:left w:val="single" w:color="000000" w:sz="4" w:space="0"/>
              <w:bottom w:val="single" w:color="000000" w:sz="4" w:space="0"/>
              <w:right w:val="single" w:color="000000" w:sz="4" w:space="0"/>
            </w:tcBorders>
            <w:shd w:val="clear" w:color="auto" w:fill="auto"/>
            <w:vAlign w:val="center"/>
          </w:tcPr>
          <w:p w14:paraId="3F63D26A">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食品品种（三级）</w:t>
            </w:r>
          </w:p>
        </w:tc>
        <w:tc>
          <w:tcPr>
            <w:tcW w:w="1214" w:type="dxa"/>
            <w:tcBorders>
              <w:top w:val="single" w:color="auto" w:sz="4" w:space="0"/>
              <w:left w:val="single" w:color="000000" w:sz="4" w:space="0"/>
              <w:bottom w:val="single" w:color="000000" w:sz="4" w:space="0"/>
              <w:right w:val="nil"/>
            </w:tcBorders>
            <w:shd w:val="clear" w:color="auto" w:fill="auto"/>
            <w:vAlign w:val="center"/>
          </w:tcPr>
          <w:p w14:paraId="760283AA">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食品细类（四级）</w:t>
            </w:r>
          </w:p>
        </w:tc>
        <w:tc>
          <w:tcPr>
            <w:tcW w:w="6925" w:type="dxa"/>
            <w:gridSpan w:val="2"/>
            <w:tcBorders>
              <w:top w:val="nil"/>
              <w:left w:val="nil"/>
              <w:bottom w:val="nil"/>
              <w:right w:val="nil"/>
            </w:tcBorders>
            <w:shd w:val="clear" w:color="auto" w:fill="auto"/>
            <w:vAlign w:val="center"/>
          </w:tcPr>
          <w:p w14:paraId="6BE6475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抽检项目</w:t>
            </w:r>
          </w:p>
        </w:tc>
        <w:tc>
          <w:tcPr>
            <w:tcW w:w="1627" w:type="dxa"/>
            <w:gridSpan w:val="2"/>
            <w:tcBorders>
              <w:top w:val="single" w:color="auto" w:sz="4" w:space="0"/>
              <w:left w:val="nil"/>
              <w:bottom w:val="single" w:color="000000" w:sz="4" w:space="0"/>
              <w:right w:val="single" w:color="000000" w:sz="4" w:space="0"/>
            </w:tcBorders>
            <w:shd w:val="clear" w:color="auto" w:fill="auto"/>
            <w:vAlign w:val="center"/>
          </w:tcPr>
          <w:p w14:paraId="396AA6E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区配套限定抽检品种及项目</w:t>
            </w:r>
          </w:p>
        </w:tc>
        <w:tc>
          <w:tcPr>
            <w:tcW w:w="1064"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132C56AB">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eastAsia" w:ascii="Times New Roman" w:hAnsi="Times New Roman" w:eastAsia="宋体" w:cs="Times New Roman"/>
                <w:b/>
                <w:bCs/>
                <w:i w:val="0"/>
                <w:iCs w:val="0"/>
                <w:color w:val="auto"/>
                <w:kern w:val="0"/>
                <w:sz w:val="20"/>
                <w:szCs w:val="20"/>
                <w:highlight w:val="none"/>
                <w:u w:val="none"/>
                <w:lang w:val="en-US" w:eastAsia="zh-CN" w:bidi="ar"/>
              </w:rPr>
              <w:t>批次</w:t>
            </w:r>
          </w:p>
        </w:tc>
      </w:tr>
      <w:tr w14:paraId="6C6D1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40"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5912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84BD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粮食加工品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DC0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78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60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w:t>
            </w:r>
          </w:p>
        </w:tc>
        <w:tc>
          <w:tcPr>
            <w:tcW w:w="6925" w:type="dxa"/>
            <w:gridSpan w:val="2"/>
            <w:tcBorders>
              <w:top w:val="nil"/>
              <w:left w:val="single" w:color="000000" w:sz="4" w:space="0"/>
              <w:bottom w:val="single" w:color="000000" w:sz="4" w:space="0"/>
              <w:right w:val="single" w:color="000000" w:sz="4" w:space="0"/>
            </w:tcBorders>
            <w:shd w:val="clear" w:color="auto" w:fill="auto"/>
            <w:vAlign w:val="center"/>
          </w:tcPr>
          <w:p w14:paraId="22D7E59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铅（以Pb计）、镉（以Cd计）、苯并[a]芘、玉米赤霉烯酮、脱氧雪腐镰刀菌烯醇、赭曲霉毒素A、黄曲霉毒素B₁ 、偶氮甲酰胺、过氧化苯甲酰</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3573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35624A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10</w:t>
            </w:r>
          </w:p>
        </w:tc>
      </w:tr>
      <w:tr w14:paraId="40351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66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13B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71B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07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大米</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50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大米</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77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大米</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61833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铅（以Pb计）、镉（以Cd计）、无机砷（以As计）、苯并[a]芘、黄曲霉毒素B₁ 、赭曲霉毒素A</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E8D3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FCFAF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453D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66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811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7A6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C4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挂面</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E3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挂面</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D33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挂面</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7DAC2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铅（以Pb计）、黄曲霉毒素B₁ 、脱氢乙酸及其钠盐（以脱氢乙酸计）、合成着色剂（柠檬黄、日落黄、胭脂红、苋菜红、诱惑红、亮蓝）</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B457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01F38F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3652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638"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09D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2D2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99CA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其他粮食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28A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谷物加工品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9A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谷物加工品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36CAD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铅（以Pb计）、镉（以Cd计）、黄曲霉毒素B₁ 、赭曲霉毒素A</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EE33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86773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9F67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638"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0B1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DC5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130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0BCA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谷物碾磨</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7B8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玉米粉</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（片、渣 ）</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DC3C5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苯并[a]芘、黄曲霉毒素B₁ 、赭曲霉毒素A、玉米赤霉烯酮、脱氧雪腐镰刀菌烯醇</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B551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0E0AFF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890D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0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4C1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ACC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80F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D64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D6B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米粉</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5BBBE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铅（以Pb计）、镉（以Cd计）、总汞（以Hg计）、无机砷（以As计）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BBA8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006C6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ACE6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66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6FD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DA8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41F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8E3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FE8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其他谷物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碾磨加工品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1FFDC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铅（以Pb计）、铬（以Cr计）、赭曲霉毒素A</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3185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F2F40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1F23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106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A1F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95C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89D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8A13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谷物粉类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制成品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1B3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生湿面制品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864F4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铅（以Pb计）、苯甲酸及其钠盐（以苯甲酸计）、山梨酸及其钾盐（以山梨酸计）、脱氢乙酸及其钠盐（以脱氢乙酸计）、二氧化硫残留量、合成着色剂（柠檬黄）</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5732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A72F7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DF1B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99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B7F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0A7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CD9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698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D9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发酵面制品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EFF15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糖精钠（以糖精计）、甜蜜素（以环己基氨基磺酸计）、安赛蜜、合成着色剂（柠檬黄、胭脂红）、菌落总数、大肠菌群</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2F0D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22BA13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CA75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990"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1F1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74A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A71B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其他粮食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6351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谷物粉类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制成品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A4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米粉制品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54ABA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二氧化硫残留量、合成着色剂（柠檬黄、日落黄、喹啉黄、亮蓝、靛蓝）、甜蜜素（以环己基氨基磺酸计）、菌落总数、大肠菌群</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7B7D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1064" w:type="dxa"/>
            <w:gridSpan w:val="2"/>
            <w:vMerge w:val="continue"/>
            <w:tcBorders>
              <w:left w:val="single" w:color="000000" w:sz="4" w:space="0"/>
              <w:right w:val="single" w:color="000000" w:sz="4" w:space="0"/>
            </w:tcBorders>
            <w:shd w:val="clear" w:color="auto" w:fill="auto"/>
            <w:vAlign w:val="center"/>
          </w:tcPr>
          <w:p w14:paraId="7DB048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DCC9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6A9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FEA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417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79D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7E0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其他谷物粉类制成品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2E26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黄曲霉毒素B₁ 、苯甲酸及其钠盐（以苯甲酸计）、山梨酸及其钾盐（以山梨酸计）、脱氢乙酸及其钠盐（以脱氢乙酸计）、合成着色剂（柠檬黄、日落黄、胭脂红、苋菜红、亮蓝）、菌落总数、大肠菌群</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6D97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3A8F6E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DB7D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B4EE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B0E2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食用油、油脂及其制品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C662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食用植物油</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9BB3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食用植物油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B6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花生油</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3A7CD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酸值/酸价、过氧化值、黄曲霉毒素B₁ 、苯并[a]芘、溶剂残留量、特丁基对苯二酚（TBHQ）、铅（以Pb计）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0208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4C0D23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10</w:t>
            </w:r>
          </w:p>
        </w:tc>
      </w:tr>
      <w:tr w14:paraId="171F9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C38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06D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9F8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5B1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3D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玉米油</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0AFE6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酸值/酸价、过氧化值、黄曲霉毒素B₁ 、苯并[a]芘、特丁基对苯二酚（TBHQ）</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BE72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4C46D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F6A0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94C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EB7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6A3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E86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78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芝麻油</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26FAA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酸值/酸价、过氧化值、苯并[a]芘、溶剂残留量、乙基麦芽酚</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F2DA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8FC83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E5A3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A85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EA2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C1A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FD3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A2F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橄榄油、油橄榄果渣油</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CBA74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酸值/酸价、过氧化值、溶剂残留量、特丁基对苯二酚（TBHQ）</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3122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1B4B3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B351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127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A5F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EE3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23B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7E8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菜籽油</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EF336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酸值/酸价、过氧化值、苯并[a]芘、溶剂残留量、特丁基对苯二酚（TBHQ）、乙基麦芽酚、铅（以Pb计）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4CD1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2BBB31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64EA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5E2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AD4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FBD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00D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F1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大豆油</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0DE2A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酸值/酸价、过氧化值、苯并[a]芘、溶剂残留量、特丁基对苯二酚（TBHQ）、铅（以Pb计）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AA2E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84472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F8A7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5FF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CF6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249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DED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B11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食用植物调和油</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BBC79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酸价、过氧化值、苯并[a]芘、溶剂残留量、特丁基对苯二酚（TBHQ）、乙基麦芽酚、铅</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（以Pb计）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C6F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2DC97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6C10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C97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74F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05A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623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8B1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油茶籽油</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5A3F0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酸值/酸价、过氧化值、苯并[a]芘、溶剂残留量、特丁基对苯二酚（TBHQ）、铅（以Pb计）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0FD5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C3EE5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911A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3E8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27F0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952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53D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AA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其他食用植物油</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1E10D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FCBB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6253F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1255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1C5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E71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CA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食用动物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油脂</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46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食用动物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油脂</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CD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食用动物油脂</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3CA26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酸价、过氧化值、丙二醛、苯并[a]芘、铅（以Pb计）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1A05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229BF4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75A3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16C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AE9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D0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食用油脂</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7A7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食用油脂</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29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食用油脂制品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4DC1B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酸价（以脂肪计）、过氧化值（以脂肪计）、大肠菌群、霉菌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135F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25E727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A3DB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CFF2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3</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40F1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52A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酱油</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6B9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090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酱油</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306B5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全氮（以氮计）、铵盐（以占氨基酸态氮的百分比计）、苯甲酸及其钠盐（以苯甲酸计）、山梨酸及其钾盐（以山梨酸计）、脱氢乙酸及其钠盐（以脱氢乙酸计）、对羟基苯甲酸酯类及其钠盐（以对羟基苯甲酸计）、防腐剂混合使用时各自用量占其最大使用量的比例之和、糖精钠（以糖精计）、甜蜜素（以环己基氨基磺酸计）、菌落总数、大肠菌群</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79AB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07F4C4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15</w:t>
            </w:r>
          </w:p>
        </w:tc>
      </w:tr>
      <w:tr w14:paraId="66CCE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3BA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804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43A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食醋</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556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食醋</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323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食醋</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9921E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酸（以乙酸计）、不挥发酸（以乳酸计）、苯甲酸及其钠盐（以苯甲酸计）、山梨酸及其钾盐（以山梨酸计）、脱氢乙酸及其钠盐（以脱氢乙酸计）、对羟基苯甲酸酯类及其钠盐（以对羟基苯甲酸计）、防腐剂混合使用时各自用量占其最大使用量的比例之和、糖精钠（以糖精计）、甜蜜素（以环己基氨基磺酸计）、三氯蔗糖、菌落总数</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A6DD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022742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1AD4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AD3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256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E5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酱类</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67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酿造酱</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49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黄豆酱、甜面酱等</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102FD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氨基酸态氮、黄曲霉毒素B₁ 、苯甲酸及其钠盐（以苯甲酸计）、山梨酸及其钾盐（以山梨酸计）、脱氢乙酸及其钠盐（以脱氢乙酸计）、防腐剂混合使用时各自用量占其最大使用量的比例之和、糖精钠（以糖精计）、甜蜜素（以环己基氨基磺酸计）、安赛蜜、大肠菌群</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FC2D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28DA7F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BB30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7BD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F7F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ACE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调味料酒</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FA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F17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料酒</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EFDA4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氨基酸态氮（以氮计）、苯甲酸及其钠盐（以苯甲酸计）、山梨酸及其钾盐（以山梨酸计）、脱氢乙酸及其钠盐（以脱氢乙酸计）、甜蜜素（以环己基氨基磺酸计）、三氯蔗糖</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B137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859E1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6D5E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24F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472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6320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香辛料类</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D54A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香辛料类</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FA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香辛料调味油</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01A73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酸价/酸值、过氧化值</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D26C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2F72CB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CCF2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B7E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E07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E96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2EE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BA1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辣椒、花椒、辣椒粉、花椒</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粉</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C8091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铅（以Pb计）、罗丹明B、苏丹红I、苏丹红Ⅱ、苏丹红Ⅲ、苏丹红IV、脱氢乙酸及其钠盐（以脱氢乙酸计）、山梨酸及其钾盐（以山梨酸计）、二氧化硫残留量、合成着色剂（柠檬黄、日落黄、胭脂红）</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F08E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6BD95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B36D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BE0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D3E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0E4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027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14E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其他香辛料调味品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C83E1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脱氢乙酸及其钠盐（以脱氢乙酸计）、二氧化硫残留量、甜蜜素（以环己基氨基磺酸计）、合成着色剂（柠檬黄、日落黄、苋菜红、胭脂红、亮蓝）、丙溴磷、氯氰菊酯和高效氯氰菊酯、多菌灵、毒死蜱、克百威、沙门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9C3F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760F6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A52C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BEC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E7A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C4A4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6E6B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固体复合调味料</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897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鸡粉、鸡精调味料</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C229D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谷氨酸钠、呈味核苷酸二钠、总氮（以N计）、铅（以Pb计）、糖精钠（以糖精计）、甜蜜素（以环己基氨基磺酸计）、菌落总数、大肠菌群、安赛蜜</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0DB7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3C3311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66C9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670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8B9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33F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829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415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其他固体调味料</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A6F18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苏丹红I、苏丹红Ⅱ、苏丹红Ⅲ、苏丹红IV、罂粟碱、吗啡、可待因、那可丁、苯甲酸及其钠盐（以苯甲酸计）、山梨酸及其钾盐（以山梨酸计）、脱氢乙酸及其钠盐（以脱氢乙酸计）、防腐剂混合使用时各自用量占其最大使用量的比例之和、糖精钠（以糖精计）、甜蜜素（以环己基氨基磺酸计）、安赛蜜、阿斯巴甜、二氧化硫残留量</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B28C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11B30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9F95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D9F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540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480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2A6D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半固体复合调味料</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E6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蛋黄酱、沙拉酱</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06247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二氧化钛</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6DFA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FB487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6AD3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BD7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8EE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305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E718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B9A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坚果与籽类的泥（酱）</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78D59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酸价/酸值、过氧化值、铅（以Pb计）、黄曲霉毒素B₁</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E1B2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996E2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58B4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3D2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5C4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31C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508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700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辣椒酱</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FD1D3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甜蜜素（以环己基氨基磺酸计）、二氧化硫残留量</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03F2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785A3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A363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980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D0C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6AF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364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D7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火锅底料、麻辣烫底料</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40C1C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罂粟碱、吗啡、可待因、那可丁、苯甲酸及其钠盐（以苯甲酸计）、山梨酸及其钾盐（以山梨酸计）、脱氢乙酸及其钠盐（以脱氢乙酸计）、防腐剂混合使用时各自用量占其最大使用量的比例之和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606C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5CAFCC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A5D7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023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AC1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585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44E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F1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其他半固体调味料</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4631A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罗丹明B、罂粟碱、吗啡、可待因、那可丁、苯甲酸及其钠盐（以苯甲酸计）、山梨酸及其钾盐（以山梨酸计）、脱氢乙酸及其钠盐（以脱氢乙酸计）、防腐剂混合使用时各自用量占其最大使用量的比例之和、甜蜜素（以环己基氨基磺酸计）、安赛蜜</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6BAD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3EA2CE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06B7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A1B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D48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FC9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EE59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液体复合</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调味料</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DD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蚝油、虾油、鱼露</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DD7BB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氨基酸态氮、苯甲酸及其钠盐（以苯甲酸计）、山梨酸及其钾盐（以山梨酸计）、脱氢乙酸及其钠盐（以脱氢乙酸计）、防腐剂混合使用时各自用量占其最大使用量的比例之和、菌落总数</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28E3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9D3EF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0A9F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193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ECA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2BD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F06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02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其他液体调味料</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481A8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糖精钠（以糖精计）、甜蜜素（以环己基氨基磺酸计）、合成着色剂（柠檬黄、日落黄、胭脂红、诱惑红）、相同色泽着色剂混合使用时各自用量占其最大使用量的比例之和、菌落总数</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D30B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367E1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92AA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D85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F81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289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味精</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F2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味精</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E5F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味精</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70CCF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谷氨酸钠</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D097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584BFF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A1FC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F07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0AC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CCDB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食盐</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D3B9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食用盐</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09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普通食用盐</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C0C31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氯化钠、钡（以Ba计）、碘（以I计）、铅（以Pb计）、总砷（以As计）、镉（以Cd计）、总汞（以Hg计）、亚铁氰化钾/亚铁氰化钠（以亚铁氰根计）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6B32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D3FA5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527F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DB1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952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561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A8D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5AE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低钠食用盐</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EE127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氯化钾、钡（以Ba计）、碘（以I计）、铅（以Pb计）、总砷（以As计）、镉（以Cd计）、总汞（以Hg计）、亚铁氰化钾/亚铁氰化钠（以亚铁氰根计）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59AA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B2CCD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5925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56A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5DF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4AD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7AA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17C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风味食用盐</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E2CC7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钡（以Ba计）、铅（以Pb计）、总砷（以As计）、镉（以Cd计）、总汞（以Hg计）、亚铁氰化钾/亚铁氰化钠（以亚铁氰根计）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C3FF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56057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AB99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E19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DA7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75A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EB2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7B3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特殊工艺食用盐</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B2145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氯化钠、钡（以Ba计）、碘（以I计）、铅（以Pb计）、总砷（以As计）、镉（以Cd计）、总汞（以Hg计）、亚铁氰化钾/亚铁氰化钠（以亚铁氰根计）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20F6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BA426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E673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626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DFD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9F5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BD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食品生产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加工用盐</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548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食品生产加工用盐</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45BEE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铅（以Pb计）、总砷（以As计）、镉（以Cd计）、总汞（以Hg计）、亚铁氰化钾/亚铁氰化钠（以亚铁氰根计）、亚硝酸盐（以NaNO₂计）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3749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300FD0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828F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5AA3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4</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4226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肉制品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2F36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预制肉制品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76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调理肉制品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42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调理肉制品（非速冻）</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0EC3A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9AE5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44412D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10</w:t>
            </w:r>
          </w:p>
        </w:tc>
      </w:tr>
      <w:tr w14:paraId="70442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97B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449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0B0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93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腌腊肉制品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D3E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腌腊肉制品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FD5EB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总砷（以As计）、亚硝酸盐（以亚硝酸钠计）、苯甲酸及其钠盐（以苯甲酸计）、山梨酸及其钾盐（以山梨酸计）、脱氢乙酸及其钠盐（以脱氢乙酸计）、合成着色剂（柠檬黄、日落黄、胭脂红、诱惑红、苋菜红、酸性红）、红2G、氯霉素</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AE0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1064" w:type="dxa"/>
            <w:gridSpan w:val="2"/>
            <w:vMerge w:val="continue"/>
            <w:tcBorders>
              <w:left w:val="single" w:color="000000" w:sz="4" w:space="0"/>
              <w:right w:val="single" w:color="000000" w:sz="4" w:space="0"/>
            </w:tcBorders>
            <w:shd w:val="clear" w:color="auto" w:fill="auto"/>
            <w:vAlign w:val="center"/>
          </w:tcPr>
          <w:p w14:paraId="125899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BAAE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4E8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9CC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E418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1A8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发酵肉制品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CE3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发酵肉制品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C581E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亚硝酸盐（以亚硝酸钠计）、沙门氏菌、金黄色葡萄球菌、单核细胞增生李斯特氏菌、致泻大肠埃希氏菌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F6EA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B47C0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6124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03F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3BC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EA0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BD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酱卤肉制品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142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酱卤肉制品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E3882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镉（以Cd计）、铬（以Cr计）、总砷（以As计）、N-二甲基亚硝胺、亚硝酸盐（以亚硝酸钠计）、苯甲酸及其钠盐（以苯甲酸计）、山梨酸及其钾盐（以山梨酸计）、脱氢乙酸及其钠盐（以脱氢乙酸计）、纳他霉素、防腐剂混合使用时各自用量占其最大使用量的比例之和、糖精钠（以糖精计）、合成着色剂（柠檬黄、日落黄、胭脂红、诱惑红）、氯霉素、菌落总数、大肠菌群、沙门氏菌、金黄色葡萄球菌、单核细胞增生李斯特氏菌、致泻大肠埃希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1911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1064" w:type="dxa"/>
            <w:gridSpan w:val="2"/>
            <w:vMerge w:val="continue"/>
            <w:tcBorders>
              <w:left w:val="single" w:color="000000" w:sz="4" w:space="0"/>
              <w:right w:val="single" w:color="000000" w:sz="4" w:space="0"/>
            </w:tcBorders>
            <w:shd w:val="clear" w:color="auto" w:fill="auto"/>
            <w:vAlign w:val="center"/>
          </w:tcPr>
          <w:p w14:paraId="6FEA26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0677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C62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FDB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B03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59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油炸肉制品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0A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油炸肉制品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48E3F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N-二甲基亚硝胺、亚硝酸盐（以亚硝酸钠计）、苯甲酸及其钠盐（以苯甲酸计）、山梨酸及其钾盐（以山梨酸计）、沙门氏菌、金黄色葡萄球菌、单核细胞增生李斯特氏菌、致泻大肠埃希氏菌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31BD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8E812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9CA8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1AE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0C0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26A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E16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熟肉干制品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A3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熟肉干制品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70F8E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N-二甲基亚硝胺、苯甲酸及其钠盐（以苯甲酸计）、山梨酸及其钾盐（以山梨酸计）、脱氢乙酸及其钠盐（以脱氢乙酸计）、防腐剂混合使用时各自用量占其最大使用量的比例之和、合成着色剂（胭脂红、诱惑红）、氯霉素、菌落总数、大肠菌群、沙门氏菌、金黄色葡萄球菌、单核细胞增生李斯特氏菌、致泻大肠埃希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AC69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1064" w:type="dxa"/>
            <w:gridSpan w:val="2"/>
            <w:vMerge w:val="continue"/>
            <w:tcBorders>
              <w:left w:val="single" w:color="000000" w:sz="4" w:space="0"/>
              <w:right w:val="single" w:color="000000" w:sz="4" w:space="0"/>
            </w:tcBorders>
            <w:shd w:val="clear" w:color="auto" w:fill="auto"/>
            <w:vAlign w:val="center"/>
          </w:tcPr>
          <w:p w14:paraId="4C4C67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809A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A5B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7DA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75A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25E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熏烧烤肉</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133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熏烧烤肉制品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D70D3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并[a]芘、N-二甲基亚硝胺、亚硝酸盐（以亚硝酸钠计）、苯甲酸及其钠盐（以苯甲酸计）、山梨酸及其钾盐（以山梨酸计）、纳他霉素、合成着色剂（柠檬黄、日落黄、胭脂红）、氯霉素、菌落总数、大肠菌群、沙门氏菌、金黄色葡萄球菌、单核细胞增生李斯特氏菌、致泻大肠埃希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5375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1064" w:type="dxa"/>
            <w:gridSpan w:val="2"/>
            <w:vMerge w:val="continue"/>
            <w:tcBorders>
              <w:left w:val="single" w:color="000000" w:sz="4" w:space="0"/>
              <w:right w:val="single" w:color="000000" w:sz="4" w:space="0"/>
            </w:tcBorders>
            <w:shd w:val="clear" w:color="auto" w:fill="auto"/>
            <w:vAlign w:val="center"/>
          </w:tcPr>
          <w:p w14:paraId="69C868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6142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117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7E12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5CE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87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熏煮香肠</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火腿制品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ADF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熏煮香肠火腿制品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DD20E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亚硝酸盐（以亚硝酸钠计）、苯甲酸及其钠盐（以苯甲酸计）、山梨酸及其钾盐（以山梨酸计）、脱氢乙酸及其钠盐（以脱氢乙酸计）、防腐剂混合使用时各自用量占其最大使用量的比例之和、合成着色剂（胭脂红、诱惑红）、氯霉素、菌落总数、大肠菌群、沙门氏菌、金黄色葡萄球菌、单核细胞增生李斯特氏菌、致泻大肠埃希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94AD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1CE956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1C09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C9ED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2342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A79D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乳制品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AEAC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液体乳</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5A8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灭菌乳</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E637B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蛋白质、非脂乳固体、酸度、脂肪、三聚氰胺、铅（以Pb计）、黄曲霉毒素M₁、丙二醇、商业无菌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DBE2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0E9535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10</w:t>
            </w:r>
          </w:p>
        </w:tc>
      </w:tr>
      <w:tr w14:paraId="4016A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109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D9D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EE7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2F3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4E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巴氏杀菌乳</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30A08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蛋白质、酸度、三聚氰胺、铅（以Pb计）、黄曲霉毒素M₁ 、丙二醇、沙门氏菌、金黄色葡萄球菌、菌落总数、大肠菌群</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3BB2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560AA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F14A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0FF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F03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397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B3BC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液体乳</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3F9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调制乳</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0E5C3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蛋白质、三聚氰胺、铅（以Pb计）、黄曲霉毒素M₁ 、商业无菌、菌落总数、大肠菌群</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F6A2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同左，增加纽甜</w:t>
            </w:r>
          </w:p>
        </w:tc>
        <w:tc>
          <w:tcPr>
            <w:tcW w:w="1064" w:type="dxa"/>
            <w:gridSpan w:val="2"/>
            <w:vMerge w:val="continue"/>
            <w:tcBorders>
              <w:left w:val="single" w:color="000000" w:sz="4" w:space="0"/>
              <w:right w:val="single" w:color="000000" w:sz="4" w:space="0"/>
            </w:tcBorders>
            <w:shd w:val="clear" w:color="auto" w:fill="auto"/>
            <w:vAlign w:val="center"/>
          </w:tcPr>
          <w:p w14:paraId="1B05C2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7AD3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614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A2F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F4D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75C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79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发酵乳</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C633F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蛋白质、脂肪、酸度、三聚氰胺、铅（以Pb计）、黄曲霉毒素M₁ 、山梨酸及其钾盐（以山梨酸计）、甜蜜素（以环己基氨基磺酸计）、阿斯巴甜、安赛蜜、沙门氏菌、金黄色葡萄球菌、大肠菌群、霉菌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3F0A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C0F59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0DB5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ACA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B42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D70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5AD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79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高温杀菌乳</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BB985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蛋白质、酸度、三聚氰胺、铅（以Pb计）、黄曲霉毒素M₁ 、丙二醇、沙门氏菌、菌落总数、大肠菌群</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E42A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2FB6C5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29BE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407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5ED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38D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C5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乳粉</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B7B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乳粉（全脂、脱脂、部分脱脂）和调制乳粉</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01294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蛋白质、脂肪、复原乳酸度、杂质度、水分、三聚氰胺、铅（以Pb计）、菌落总数、大肠菌群</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7F95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65EA4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B8BE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F65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882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D38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A8A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乳清粉和乳清蛋白粉（企业原料 ）</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A9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脱盐乳清粉、非脱盐乳清粉、浓缩乳清蛋白粉、分离乳清蛋白粉</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ECDA6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6473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B9603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FF7B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9A8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11E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D01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6CB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其他乳制品（浓缩乳制品、奶油、干酪、固态成型产品）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B3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浓缩乳制品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96DB4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蛋白质、三聚氰胺、商业无菌、菌落总数、大肠菌群</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1E7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BD219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602A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6B9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ACA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78C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5B9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C88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稀奶油、奶油和无水奶油</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65C6C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脂肪、酸度、三聚氰胺、脱氢乙酸及其钠盐（以脱氢乙酸计）、商业无菌、沙门氏菌、菌落总数、大肠菌群、霉菌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C068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DC973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09F6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D0E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E64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BD2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965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B8A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干酪、再制干酪、干酪制品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A0D03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三聚氰胺、金黄色葡萄球菌、沙门氏菌、单核细胞增生李斯特氏菌、菌落总数、大肠菌群、霉菌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C89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FF193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53BA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EB1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C63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6DE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0DC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87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奶片、奶条等固态成型产品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68D43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蛋白质、三聚氰胺、脱氢乙酸及其钠盐（以脱氢乙酸计）、沙门氏菌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2914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41CBA3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4355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2641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6</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3481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DA7F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8B42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包装饮用水</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13A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饮用天然</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矿泉水</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74B46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界限指标、铅（以Pb计）、总砷（以As计）、镉（以Cd计）、总汞（以Hg计）、镍、溴酸盐、硝酸盐（以NO₃-计）、亚硝酸盐（以NO₂-计）、大肠菌群、铜绿假单胞菌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FB45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620079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10</w:t>
            </w:r>
          </w:p>
        </w:tc>
      </w:tr>
      <w:tr w14:paraId="303D1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4DB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5D6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744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9ED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93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饮用纯净水</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B5655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电导率、耗氧量（以O₂计）、铅（以Pb计）、总砷（以As计）、镉（以Cd计）、亚硝酸盐（以NO₂-计）、余氯（游离氯）、溴酸盐、三氯甲烷、大肠菌群、铜绿假单胞菌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F1A4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29CA6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6614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D75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3E3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940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C55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278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其他类饮用水</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85995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耗氧量（以O₂计）、铅（以Pb计）、总砷（以As计）、镉（以Cd计）、亚硝酸盐（以NO₂-计）、余氯（游离氯）、溴酸盐、三氯甲烷、大肠菌群、铜绿假单胞菌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EDBC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5399A6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D07D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EAC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615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717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76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果蔬汁类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及其饮料</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D3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果蔬汁类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及其饮料</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492DA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展青霉素、苯甲酸及其钠盐（以苯甲酸计）、山梨酸及其钾盐（以山梨酸计）、脱氢乙酸及其钠盐（以脱氢乙酸计）、纳他霉素、防腐剂混合使用时各自用量占其最大使用量的比例之和、安赛蜜、甜蜜素（以环己基氨基磺酸计）、阿斯巴甜、合成着色剂（柠檬黄、新红、苋菜红、靛蓝、胭脂红、日落黄、诱惑红、亮蓝、酸性红、喹啉黄、赤藓红）、菌落总数、大肠菌群、霉菌、酵母</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9785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DEF17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4303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24A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774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983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8E6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蛋白饮料</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82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蛋白饮料</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AF728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蛋白质、乳酸菌数、氰化物（以HCN计）、三聚氰胺、脱氢乙酸及其钠盐（以脱氢乙酸计）、安赛蜜、甜蜜素（以环己基氨基磺酸计）、阿斯巴甜、菌落总数、大肠菌群、霉菌、酵母、商业无菌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B2CD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24E25F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3AD2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8A8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B8A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E60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2A5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碳酸饮料（汽水）</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A66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碳酸饮料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（汽水）</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AA3EE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二氧化碳气容量、苯甲酸及其钠盐（以苯甲酸计）、山梨酸及其钾盐（以山梨酸计）、防腐剂混合使用时各自用量占其最大使用量的比例之和、安赛蜜、甜蜜素（以环己基氨基磺酸计）、阿斯巴甜、菌落总数、霉菌、酵母</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FEF4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09EDB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D8A1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B15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938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A76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345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茶饮料</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FC2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茶饮料</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13B76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茶多酚、咖啡因、脱氢乙酸及其钠盐（以脱氢乙酸计）、安赛蜜、甜蜜素（以环己基氨基磺酸计）、阿斯巴甜、菌落总数</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4C43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AFF14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5FAA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17E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6E8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13C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289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固体饮料</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12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固体饮料</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914CA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乳酸菌数、西地那非、他达拉非、西布曲明、比沙可啶、铅（以Pb计）、氰化物（以HCN计）、苯甲酸及其钠盐（以苯甲酸计）、山梨酸及其钾盐（以山梨酸计）、防腐剂混合使用时各自用量占其最大使用量的比例之和、糖精钠（以糖精计）、安赛蜜、甜蜜素（以环己基氨基磺酸计）、阿斯巴甜、合成着色剂（柠檬黄、新红、苋菜红、靛蓝、胭脂红、日落黄、诱惑红、亮蓝、酸性红、喹啉黄、赤藓红）、相同色泽着色剂混合使用时各自用量占其最大使用量的比例之和、菌落总数、大肠菌群、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5111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那红地那非、红地那非、伐地那非、羟基豪莫西地那非、豪莫西地那非、氨基他达拉非、硫代艾地那非、伪伐地那非、那莫西地那非、去甲基他达拉非、育亨宾、西布曲明、N-单去甲基西布曲明、N,N-双去甲基西布曲明、氯代西戊曲明（西布曲明二氯代异戊基替代物）（限有功能声称的产品）</w:t>
            </w:r>
          </w:p>
        </w:tc>
        <w:tc>
          <w:tcPr>
            <w:tcW w:w="1064" w:type="dxa"/>
            <w:gridSpan w:val="2"/>
            <w:vMerge w:val="continue"/>
            <w:tcBorders>
              <w:left w:val="single" w:color="000000" w:sz="4" w:space="0"/>
              <w:right w:val="single" w:color="000000" w:sz="4" w:space="0"/>
            </w:tcBorders>
            <w:shd w:val="clear" w:color="auto" w:fill="auto"/>
            <w:vAlign w:val="center"/>
          </w:tcPr>
          <w:p w14:paraId="0B7A9B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8374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A32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D31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234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161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其他饮料</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CFC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其他饮料</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2D657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糖精钠（以糖精计）、安赛蜜、甜蜜素（以环己基氨基磺酸计）、阿斯巴甜、合成着色剂（柠檬黄、新红、苋菜红、靛蓝、胭脂红、日落黄、诱惑红、亮蓝、酸性红、喹啉黄、赤藓红）、菌落总数、大肠菌群、霉菌、酵母</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6A68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西地那非、他达拉非、西布曲明、比沙可啶环丙甲酰替代物、那红地那非、红地那非、伐地那非、羟基豪莫西地那非、豪莫西地那非、氨基他达拉非、硫代艾地那非、伪伐地那非、那莫西地那非、去甲基他达拉非、育亨宾、西布曲明、N-单去甲基西布曲明、N,N-双去甲基西布曲明、氯代西戊曲明（西布曲明二氯代异戊基替代物）（限有功能声称的产品）</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544633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F8FB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A6F4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7</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F69A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方便食品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FEE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方便食品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5084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方便面</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54D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油炸面、非油炸面</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5C1CA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水分、酸价（以脂肪计）（KOH）、过氧化值（以脂肪计）、菌落总数、大肠菌群、霉菌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9FD0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2D1E53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w:t>
            </w:r>
          </w:p>
        </w:tc>
      </w:tr>
      <w:tr w14:paraId="64628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01D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A48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5D2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695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786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方便米粉</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（米线 ）</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1F2B0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水分、菌落总数、大肠菌群、霉菌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59A4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C9EA7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B2ED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2E8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ABA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C18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A0D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B5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方便粉丝</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73499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水分、菌落总数、大肠菌群、霉菌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5FAB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830E4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F77F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6BC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1F0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DD4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3D9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B4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其他方便面</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025E6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水分、酸价（以脂肪计）（KOH）、过氧化值（以脂肪计）、菌落总数、大肠菌群、霉菌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D1B0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6A9B6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AA68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2A2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CD9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D02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BC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调味面制品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75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调味面制品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1D859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苯甲酸及其钠盐（以苯甲酸计）、山梨酸及其钾盐（以山梨酸计）、脱氢乙酸及其钠盐（以脱氢乙酸计）、糖精钠（以糖精计）、甜蜜素（以环己基氨基磺酸计）、安赛蜜、三氯蔗糖、合成着色剂（柠檬黄、日落黄、诱惑红、苋菜红、胭脂红）、菌落总数、大肠菌群、霉菌、沙门氏菌、金黄色葡萄球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D255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同左，增加纽甜</w:t>
            </w:r>
          </w:p>
        </w:tc>
        <w:tc>
          <w:tcPr>
            <w:tcW w:w="1064" w:type="dxa"/>
            <w:gridSpan w:val="2"/>
            <w:vMerge w:val="continue"/>
            <w:tcBorders>
              <w:left w:val="single" w:color="000000" w:sz="4" w:space="0"/>
              <w:right w:val="single" w:color="000000" w:sz="4" w:space="0"/>
            </w:tcBorders>
            <w:shd w:val="clear" w:color="auto" w:fill="auto"/>
            <w:vAlign w:val="center"/>
          </w:tcPr>
          <w:p w14:paraId="44E6E5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A3B3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EB9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63D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802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CC4F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6D0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冲调类方便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1317F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、苯甲酸及其钠盐（以苯甲酸计）、山梨酸及其钾盐（以山梨酸计）、糖精钠（以糖精计）、菌落总数、大肠菌群、霉菌、沙门氏菌、金黄色葡萄球菌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BEE1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EEFAE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623D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1EB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866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2E3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A39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E3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主食类方便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F3056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苯甲酸及其钠盐（以苯甲酸计）、山梨酸及其钾盐（以山梨酸计）、脱氢乙酸及其钠盐（以脱氢乙酸计）、糖精钠（以糖精计）、菌落总数、大肠菌群、霉菌、沙门氏菌、金黄色葡萄球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602E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20693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19D0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C34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B86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443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DBF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78E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其他类方便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0881A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苯甲酸及其钠盐（以苯甲酸计）、山梨酸及其钾盐（以山梨酸计）、糖精钠（以糖精计）、菌落总数、大肠菌群、霉菌、沙门氏菌、金黄色葡萄球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834E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0F2C74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CC7B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ED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8</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6EA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DE6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19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595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E77C9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山梨酸及其钾盐（以山梨酸计）、铝的残留量（干样品，以Al计）、脱氢乙酸及其钠盐（以脱氢乙酸计）、甜蜜素（以环己基氨基磺酸计）、糖精钠（以糖精计）、二氧化硫残留量、苯甲酸及其钠盐（以苯甲酸计）、合成着色剂（柠檬黄、日落黄、胭脂红、苋菜红、亮蓝、靛蓝、诱惑红）、菌落总数、大肠菌群、金黄色葡萄球菌、沙门氏菌、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0EA3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E86F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w:t>
            </w:r>
          </w:p>
        </w:tc>
      </w:tr>
      <w:tr w14:paraId="4AFE7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43D6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9</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F60A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6CA9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96E3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畜禽水产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5A5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畜禽肉类罐头</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5657F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铅（以Pb计）、镉（以Cd计）、脱氢乙酸及其钠盐（以脱氢乙酸计）、苯甲酸及其钠盐（以苯甲酸计）、山梨酸及其钾盐（以山梨酸计）、商业无菌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8FB4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6E8D36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w:t>
            </w:r>
          </w:p>
        </w:tc>
      </w:tr>
      <w:tr w14:paraId="15332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18F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A40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C0A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CEC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F1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水产动物类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5B62A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组胺、铅（以Pb计）、无机砷（以As计）、脱氢乙酸及其钠盐（以脱氢乙酸计）、苯甲酸及其钠盐（以苯甲酸计）、山梨酸及其钾盐（以山梨酸计）、糖精钠（以糖精计）、甜蜜素（以环己基氨基磺酸计）、商业无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F2E9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390361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AF5B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6D1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C90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262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D0F6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果蔬罐头</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4B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水果类罐头</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782D6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合成着色剂（柠檬黄、日落黄、苋菜红、胭脂红、赤藓红、诱惑红、亮蓝）、脱氢乙酸及其钠盐（以脱氢乙酸计）、苯甲酸及其钠盐（以苯甲酸计）、山梨酸及其钾盐（以山梨酸计）、糖精钠（以糖精计）、甜蜜素（以环己基氨基磺酸计）、二氧化硫残留量、商业无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0C94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51935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A85A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A99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574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A46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700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A55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蔬菜类罐头</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66566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铅（以Pb计）、合成着色剂（柠檬黄、日落黄）、脱氢乙酸及其钠盐（以脱氢乙酸计）、苯甲酸及其钠盐（以苯甲酸计）、山梨酸及其钾盐（以山梨酸计）、乙二胺四乙酸二钠、二氧化硫残留量、商业无菌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BA7F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3DEADD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6DC3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9E4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DDF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B3B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8B4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AF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食用菌罐头</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4F593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铅（以Pb计）、脱氢乙酸及其钠盐（以脱氢乙酸计）、苯甲酸及其钠盐（以苯甲酸计）、山梨酸及其钾盐（以山梨酸计）、乙二胺四乙酸二钠、二氧化硫残留量、商业无菌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3AAA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254F09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33CD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A75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08B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857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12D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其他罐头</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03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其他罐头</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42CED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黄曲霉毒素B₁ 、脱氢乙酸及其钠盐（以脱氢乙酸计）、苯甲酸及其钠盐（以苯甲酸计）、山梨酸及其钾盐（以山梨酸计）、乙二胺四乙酸二钠、商业无菌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E6B7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643B83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FE43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7E2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10</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0A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冷冻饮品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AF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冷冻饮品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FC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冷冻饮品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B89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冰淇淋、雪糕、雪泥、冰棍、食用冰、甜味冰、其他类</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7D31B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甜蜜素（以环己基氨基磺酸计）、糖精钠（以糖精计）、安赛蜜、三氯蔗糖、合成着色剂（柠檬黄、日落黄、新红、苋菜红、靛蓝、胭脂红、诱惑红、亮蓝、酸性红、喹啉黄、赤藓红）、相同色泽着色剂混合使用时各自用量占其最大使用量的比例之和、菌落总数、大肠菌群、沙门氏菌、单核细胞增生李斯特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92DD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同左，增加纽甜</w:t>
            </w:r>
          </w:p>
        </w:tc>
        <w:tc>
          <w:tcPr>
            <w:tcW w:w="10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8C8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w:t>
            </w:r>
          </w:p>
        </w:tc>
      </w:tr>
      <w:tr w14:paraId="5A6CC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FF98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11</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EFCD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速冻食品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2949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6CFD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CA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9AAD9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过氧化值（以脂肪计）、铅（以Pb计）、糖精钠（以糖精计）、甜蜜素（以环己基氨基磺酸计）、合成着色剂（柠檬黄、日落黄、苋菜红、亮蓝、胭脂红）</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1BD8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6BFC71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w:t>
            </w:r>
          </w:p>
        </w:tc>
      </w:tr>
      <w:tr w14:paraId="53BAF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10B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A15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D23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4C0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16B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AC0E6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过氧化值（以脂肪计）、铅（以Pb计）、糖精钠（以糖精计）、甜蜜素（以环己基氨基磺酸计）、合成着色剂（柠檬黄、日落黄、苋菜红、亮蓝、胭脂红）、菌落总数、大肠菌群、沙门氏菌、金黄色葡萄球菌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4437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854A4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95D0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B96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E41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65DB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速冻调制</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D6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速冻调理</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肉制品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52E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速冻调理</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肉制品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3F60B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铬（以Cr计）、氯霉素、合成着色剂（胭脂红、柠檬黄、日落黄、诱惑红）、亚硝酸盐（以亚硝酸钠计）、苯甲酸及其钠盐（以苯甲酸计）、山梨酸及其钾盐（以山梨酸计）、菌落总数、大肠菌群、沙门氏菌、金黄色葡萄球菌、单核细胞增生李斯特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E49C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266B82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C219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5C5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86E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FDE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7F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速冻调制</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水产制品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86E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速冻调制水产制品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7D32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挥发性盐基氮、苯甲酸及其钠盐（以苯甲酸计）、山梨酸及其钾盐（以山梨酸计）、二氧化硫残留量、菌落总数、大肠菌群、沙门氏菌、副溶血性弧菌、单核细胞增生李斯特氏菌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379C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517D60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6287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FE67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A53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BFC9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速冻其他</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E2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速冻谷物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2FA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速冻谷物食品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3AC28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铅（以Pb计）、黄曲霉毒素B₁</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7997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3EB6B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7955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1EF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A6B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02E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A7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速冻蔬菜</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3FF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速冻蔬菜制品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15616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铅（以Pb计）、镉（以Cd计）、糖精钠（以糖精计）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1B9C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AF4BB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62B0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11A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BFC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B3D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E6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速冻水果</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B3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速冻水果制品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8326A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铅（以Pb计）、镉（以Cd计）、菌落总数、大肠菌群、霉菌、沙门氏菌、金黄色葡萄球菌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1407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356B08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59C9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926B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12</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D2DF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薯类和膨化食品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7584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薯类和膨化食品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31F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膨化食品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EE8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含油型膨化食品和非含油型膨化食品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9948B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水分、酸价（以脂肪计）（KOH）、过氧化值（以脂肪计）、黄曲霉毒素B₁ 、糖精钠（以糖精计）、甜蜜素（以环己基氨基磺酸计）、三氯蔗糖、纽甜、合成着色剂（新红、苋菜红、酸性红、喹啉黄）、菌落总数、大肠菌群、沙门氏菌、金黄色葡萄球菌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1A6F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7381F8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w:t>
            </w:r>
          </w:p>
        </w:tc>
      </w:tr>
      <w:tr w14:paraId="161BD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EA7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50F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47A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7DC2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薯类食品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940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干制薯类</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61375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酸价（以脂肪计）（KOH）、过氧化值（以脂肪计）、铅（以Pb计）、二氧化硫残留量、菌落总数、大肠菌群、沙门氏菌、金黄色葡萄球菌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84A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059E2C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A590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E6D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8A7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BFC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CA4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04C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冷冻薯类</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79F37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91DB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A425B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8A86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270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068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7EC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BFC4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薯类食品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D6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薯泥（酱）类</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CF067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铅（以Pb计）、苯甲酸及其钠盐（以苯甲酸计）、山梨酸及其钾盐（以山梨酸计）、商业无菌、沙门氏菌、金黄色葡萄球菌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359B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396988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02CE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412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5D8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822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223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6F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薯粉类</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20381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2C03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D3A43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C2A3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8A6F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2CC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56E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7BA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B3B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其他薯类食品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E13D3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铅（以Pb计）、沙门氏菌、金黄色葡萄球菌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80EA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42F3F2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0C9A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1AED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13</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6C10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3A04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糖果制品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（含巧克力</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及制品）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E6C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DFF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E1706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糖精钠（以糖精计）、甜蜜素（以环己基氨基磺酸计）、合成着色剂（柠檬黄、新红、苋菜红、靛蓝、胭脂红、日落黄、诱惑红、亮蓝、酸性红、喹啉黄、赤藓红）、相同色泽着色剂混合使用时各自用量占其最大使用量的比例之和、二氧化硫残留量、菌落总数、大肠菌群、西地那非、他达拉非、酚丁、双酚沙丁、双丙酚丁、脱乙酰比沙可啶</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8814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同左，增加氯代西戊曲明（西布曲明二氯代异戊基替代物）（限有功能声称的产品）</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50AF89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w:t>
            </w:r>
          </w:p>
        </w:tc>
      </w:tr>
      <w:tr w14:paraId="2B14F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28D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B56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914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6BA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巧克力及巧克力制品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346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巧克力、巧克力制品、代可可脂巧克力及代可可脂巧克力制品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8B146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铅（以Pb计）、沙门氏菌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E37B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76EAF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6CC2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AEF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B92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CA1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92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果冻</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BCE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果冻</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EB3F1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山梨酸及其钾盐（以山梨酸计）、苯甲酸及其钠盐（以苯甲酸计）、糖精钠（以糖精计）、甜蜜素（以环己基氨基磺酸计）、安赛蜜、合成着色剂（柠檬黄、新红、苋菜红、靛蓝、胭脂红、日落黄、诱惑红、亮蓝、酸性红、喹啉黄、赤藓红）、相同色泽着色剂混合使用时各自用量占其最大使用量的比例之和、菌落总数、大肠菌群、霉菌、酵母、双丙酚丁、脱乙酰比沙可啶</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F810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1B0D43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4427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A4A5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14</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32A3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茶叶及相关</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29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0BE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B6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绿茶、红茶、乌龙茶、黄茶、白茶、黑茶、花茶、袋泡茶、紧压茶</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47565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草甘膦、吡虫啉、乙酰甲胺磷、联苯菊酯、灭多威、三氯杀螨醇、氰戊菊酯和S-氰戊菊酯、甲拌磷、克百威、水胺硫磷、氧乐果、毒死蜱、啶虫脒、多菌灵、茚虫威、糖精钠（以糖精计）、甜蜜素（以环己基氨基磺酸计）、合成着色剂（柠檬黄、日落黄、胭脂红、亮蓝）</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0C0C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64ED12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w:t>
            </w:r>
          </w:p>
        </w:tc>
      </w:tr>
      <w:tr w14:paraId="39B3C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E1C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E59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E6CD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含茶制品和</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B52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含茶制品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15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速溶茶类、其他含茶制品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764AC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铅（以Pb计）、菌落总数、霉菌、霉菌及酵母、合成着色剂（柠檬黄、日落黄、胭脂红、亮蓝 ）</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BFD0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5EA92C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F210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0D1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934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4F8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E2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F67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枸杞（干）</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C8D8F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477E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E400D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777C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E91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8CF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0248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含茶制品和</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41D7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E4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菊花（干）</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3BE1A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BD89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FE920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AB8B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4AB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739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FAA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2F6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C9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金银花（干）</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8A19C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62B3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9AD17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CC47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2F0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D5F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FCD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0EBC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FB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苦丁茶</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123FA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80AB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2C5E02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D508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6D6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FE8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AC9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068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76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其他代用茶</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34B4F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EA46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479054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602B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98CE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15</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F8E0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酒类</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BA3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蒸馏酒</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FAA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白酒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52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白酒、白酒（液态）、白酒（原酒）</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273D4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酒精度、铅（以Pb计）、甲醇、氰化物（以HCN计）、糖精钠（以糖精计）、甜蜜素（以环己基氨基磺酸计）、三氯蔗糖、安赛蜜、纽甜</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7D30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56EAA9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7</w:t>
            </w:r>
          </w:p>
        </w:tc>
      </w:tr>
      <w:tr w14:paraId="33356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EFE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912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5270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发酵酒</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588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CB6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黄酒</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4C472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酒精度、氨基酸态氮、苯甲酸及其钠盐（以苯甲酸计）、山梨酸及其钾盐（以山梨酸计）、糖精钠（以糖精计）、甜蜜素（以环己基氨基磺酸计）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0F4F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DC556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5EB2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686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E9E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0B4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1A4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啤酒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E1A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啤酒</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3F087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酒精度、甲醛</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1E3A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94E72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2E9D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874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53F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FA3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1EB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葡萄酒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1D7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葡萄酒</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52749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甲醇、苯甲酸及其钠盐（以苯甲酸计）、山梨酸及其钾盐（以山梨酸计）、糖精钠（以糖精计）、二氧化硫残留量、甜蜜素（以环己基氨基磺酸计）、三氯蔗糖、合成着色剂（柠檬黄、日落黄、新红、胭脂红、赤藓红、苋菜红、诱惑红、酸性红、亮蓝）</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B82F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5A5C71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FCAF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026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29F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DFB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508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75A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果酒</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2C5A1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酒精度、展青霉素、糖精钠（以糖精计）、甜蜜素（以环己基氨基磺酸计）、安赛蜜、二氧化硫残留量、酸性红</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A705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08679D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8BA0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56A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5C6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9263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其他酒</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0A53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配制酒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87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以蒸馏酒及食用酒精为酒基的配制酒</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A18F6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甲醇、氰化物（以HCN计）、西地那非、豪莫西地那非、硫代艾地那非、他达拉非、二硫代去甲基卡巴地那非、那非乙酰酸、去甲基卡巴地那非、去甲基他达拉非、羟基豪莫西地那非、伐地那非、育亨宾、甜蜜素（以环己基氨基磺酸计）、安赛蜜、纽甜</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2CAB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81A0F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7A79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D0B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0F6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85D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197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B8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以发酵酒为酒基的配制酒</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A9BE0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酒精度、苯甲酸及其钠盐（以苯甲酸计）、山梨酸及其钾盐（以山梨酸计）、甜蜜素（以环己基氨基磺酸计）、防腐剂混合使用时各自用量占其最大使用量的比例之和、安赛蜜</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7921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6A56B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E891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4DE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331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8F6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C6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其他蒸馏酒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745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其他蒸馏酒</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723F1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酒精度、铅（以Pb计）、甲醇、氰化物（以HCN计）、甜蜜素（以环己基氨基磺酸计）、三氯蔗糖</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446D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381687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642B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7A0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A8E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A74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84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其他发酵酒</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4A4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其他发酵酒</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50D6E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酒精度、苯甲酸及其钠盐（以苯甲酸计）、山梨酸及其钾盐（以山梨酸计）、糖精钠（以糖精计）、甜蜜素（以环己基氨基磺酸计）、安赛蜜</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202A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2E5392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3D08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E209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16</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19CE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CD6F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2E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酱腌菜</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6BD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酱腌菜</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2D85F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亚硝酸盐（以NaNO₂计）、苯甲酸及其钠盐（以苯甲酸计）、山梨酸及其钾盐（以山梨酸计）、脱氢乙酸及其钠盐（以脱氢乙酸计）、糖精钠（以糖精计）、甜蜜素（以环己基氨基磺酸计）、阿斯巴甜、安赛蜜、纽甜、三氯蔗糖、二氧化硫残留量、防腐剂混合使用时各自用量占其最大使用量的比例之和、合成着色剂（柠檬黄、日落黄、胭脂红、诱惑红）、大肠菌群</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03A5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0C18F4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w:t>
            </w:r>
          </w:p>
        </w:tc>
      </w:tr>
      <w:tr w14:paraId="48F3D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271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7EB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A76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66B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蔬菜干制品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FF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蔬菜干制品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C2339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铅（以Pb计）、苯甲酸及其钠盐（以苯甲酸计）、山梨酸及其钾盐（以山梨酸计）、二氧化硫残留量、合成着色剂（柠檬黄、日落黄、胭脂红、苋菜红、亮蓝）</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95C3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B6FCA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43A2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A94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116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694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C5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其他蔬菜</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EBB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其他蔬菜制品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5A2F7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铅（以Pb计）、苯甲酸及其钠盐（以苯甲酸计）、山梨酸及其钾盐（以山梨酸计）、脱氢乙酸及其钠盐（以脱氢乙酸计）、二氧化硫残留量</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AC0F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A169E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B178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4901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5C6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011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B9D5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食用菌制品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B3E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干制食用菌</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3A720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铅（以Pb计）、镉（以Cd计）、甲基汞（以Hg计）、无机砷（以As计）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3C6A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469C3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0831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05B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DF9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CFF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B6B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6D5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腌渍食用菌</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F3281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3E6B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3EE0ED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3332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3F85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17</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59AE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9620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7CC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蜜饯</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2E5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蜜饯类、凉果类、果脯类、话化类、果糕类</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D1EDC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防腐剂混合使用时各自用量占其最大使用量的比例之和、糖精钠（以糖精计）、甜蜜素（以环己基氨基磺酸计）、安赛蜜、二氧化硫残留量、合成着色剂（亮蓝、柠檬黄、日落黄、苋菜红、胭脂红、诱惑红、喹啉黄、赤藓红）、相同色泽着色剂混合使用时各自用量占其最大使用量的比例之和、乙二胺四乙酸二钠、菌落总数、大肠菌群、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7B01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同左，增加比沙可啶环丙甲酰替代物、双酚沙丁、脱乙酰比沙可啶（限有功能声称的产品）</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07B132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w:t>
            </w:r>
          </w:p>
        </w:tc>
      </w:tr>
      <w:tr w14:paraId="63AC6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D86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A34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613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242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水果干制品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54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水果干制品（含干枸杞）</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FB0E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啶虫脒、吡虫啉、克百威、氯氟氰菊酯和高效氯氟氰菊酯、氯氰菊酯和高效氯氰菊酯、苯甲酸及其钠盐（以苯甲酸计）、山梨酸及其钾盐（以山梨酸计）、脱氢乙酸及其钠盐（以脱氢乙酸计）、糖精钠（以糖精计）、二氧化硫残留量、合成着色剂（亮蓝、柠檬黄、日落黄、苋菜红、胭脂红、诱惑红、喹啉黄、赤藓红）、菌落总数、大肠菌群、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9379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36D7B8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242E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E07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17B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4DF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A82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果酱</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9F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果酱</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AE010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脱氢乙酸及其钠盐（以脱氢乙酸计）、二氧化硫残留量、菌落总数、大肠菌群、霉菌、商业无菌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DBAD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6950C3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15D3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6567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18</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C20A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炒货食品及</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坚果制品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578F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炒货食品及</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坚果制品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D01F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炒货食品及坚果制品（烘炒类、油炸类、其他类）</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5D9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瓜子</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84524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、苯甲酸及其钠盐（以苯甲酸计）、山梨酸及其钾盐（以山梨酸计）、脱氢乙酸及其钠盐（以脱氢乙酸计）、二氧化硫残留量、糖精钠（以糖精计）、甜蜜素（以环己基氨基磺酸计）、安赛蜜、大肠菌群、霉菌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80C4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158B07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w:t>
            </w:r>
          </w:p>
        </w:tc>
      </w:tr>
      <w:tr w14:paraId="0DB57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2D3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47D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394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C1D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0D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花生制品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5ADA6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、苯甲酸及其钠盐（以苯甲酸计）、山梨酸及其钾盐（以山梨酸计）、脱氢乙酸及其钠盐（以脱氢乙酸计）、二氧化硫残留量、糖精钠（以糖精计）、甜蜜素（以环己基氨基磺酸计）、安赛蜜、大肠菌群、霉菌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14EF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319AF4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E8F3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19B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428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0B7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DF9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C82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其他炒货食品及坚果制品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B8E6A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、脱氢乙酸及其钠盐（以脱氢乙酸计）、二氧化硫残留量、糖精钠（以糖精计）、甜蜜素（以环己基氨基磺酸计）、安赛蜜、大肠菌群、霉菌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A214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77E1DB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C3AB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17F2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19</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1BAB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2C1C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46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再制蛋</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D7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再制蛋</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DE60A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铅（以Pb计）、苯甲酸及其钠盐（以苯甲酸计）、山梨酸及其钾盐（以山梨酸计）、菌落总数、大肠菌群、沙门氏菌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3404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32A659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3</w:t>
            </w:r>
          </w:p>
        </w:tc>
      </w:tr>
      <w:tr w14:paraId="53D54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81C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E05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CF3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42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干蛋制品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12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干蛋制品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59CC0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菌落总数、大肠菌群、沙门氏菌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E23E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7A2F1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1C95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13E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48A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37B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33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冰蛋制品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6F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冰蛋制品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4AF9E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菌落总数、大肠菌群、沙门氏菌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40DA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2CDEF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93A4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9AF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154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26A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69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液蛋制品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70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液蛋制品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13349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铅（以Pb计）、苯甲酸及其钠盐（以苯甲酸计）、山梨酸及其钾盐（以山梨酸计）、脱氢乙酸及其钠盐（以脱氢乙酸计）、菌落总数、大肠菌群、沙门氏菌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52A3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2E8ED5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32C4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752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E678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911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74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热凝固蛋制品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0C6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热凝固蛋制品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F0C68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铅（以Pb计）、苯甲酸及其钠盐（以苯甲酸计）、山梨酸及其钾盐（以山梨酸计）、脱氢乙酸及其钠盐（以脱氢乙酸计）、菌落总数、大肠菌群、沙门氏菌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E9FC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22469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C35A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711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246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A4C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30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其他蛋制品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8D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其他蛋制品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30EE8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铅（以Pb计）、苯甲酸及其钠盐（以苯甲酸计）、山梨酸及其钾盐（以山梨酸计）、脱氢乙酸及其钠盐（以脱氢乙酸计）、菌落总数、大肠菌群、沙门氏菌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E356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4BCAD4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2FBF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5921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20</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6124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可可及焙烤</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咖啡产品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D41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焙炒咖啡</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2FF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焙炒咖啡</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BD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焙炒咖啡</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B40A1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咖啡因、铅（以Pb计）、赭曲霉毒素A</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C0AD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2EBCF0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DE4A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5EC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10E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926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70B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8D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F1581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铅（以Pb计）、沙门氏菌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AA56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626E44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8B3D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7D3E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21</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F2FD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食糖</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83CA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食糖</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84F7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食糖</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F71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白砂糖</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D8024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蔗糖分、还原糖分、色值、干燥失重、二氧化硫残留量、螨</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B59C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334D01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3</w:t>
            </w:r>
          </w:p>
        </w:tc>
      </w:tr>
      <w:tr w14:paraId="71D72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0CA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0DA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27D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CF5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53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绵白糖</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C6C8D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总糖分、还原糖分、色值、干燥失重、二氧化硫残留量、螨</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00B2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C462A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D211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D2E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C76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5E2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4A3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61E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赤砂糖</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AC9E6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总糖分、不溶于水杂质、干燥失重、二氧化硫残留量、螨、合成着色剂（柠檬黄、新红、苋菜红、胭脂红、日落黄、诱惑红、酸性红、喹啉黄、赤藓红）</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1A9F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3A3448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F9E2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A40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A55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AF7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A877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E2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红糖</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11B5D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总糖分、不溶于水杂质、干燥失重、二氧化硫残留量、螨、合成着色剂（柠檬黄、新红、苋菜红、胭脂红、日落黄、诱惑红、酸性红、喹啉黄、赤藓红）</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A3C2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CF17B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93DE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C4F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55C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3F9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2A4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B7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冰糖</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05AA5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蔗糖分、还原糖分、色值、干燥失重、二氧化硫残留量、螨、合成着色剂（柠檬黄、新红、苋菜红、胭脂红、日落黄、诱惑红、酸性红、喹啉黄、赤藓红）</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00A7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374937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A186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600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673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12D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96F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F82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冰片糖</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FA2D7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总糖分、还原糖分、干燥失重、二氧化硫残留量、螨、合成着色剂（柠檬黄、新红、苋菜红、胭脂红、日落黄、诱惑红、酸性红、喹啉黄、赤藓红）</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F94A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06A5FA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09F3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A99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FCF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806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43F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FEB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方糖</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11459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蔗糖分、还原糖分、色值、干燥失重、二氧化硫残留量、螨</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2E5F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2D8FFC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2760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05C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778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B0E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06C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E4F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其他糖</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E656C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蔗糖分、总糖分、色值、还原糖分、干燥失重、二氧化硫残留量、螨、合成着色剂（柠檬黄、新红、苋菜红、胭脂红、日落黄、诱惑红、酸性红、喹啉黄、赤藓红）、菌落总数、大肠菌群、霉菌、酵母菌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B4EF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39F3F3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971E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86CD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22</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BD60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0816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水产制品</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F85A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干制水产品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B43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藻类干制品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A5B5E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铅（以Pb计）、菌落总数、大肠菌群</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5908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095181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3</w:t>
            </w:r>
          </w:p>
        </w:tc>
      </w:tr>
      <w:tr w14:paraId="2DC2C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E15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B4F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C43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0C0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4B9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预制动物性水产干制品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8613B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过氧化值（以脂肪计）、铅（以Pb计）、镉（以Cd计）、苯甲酸及其钠盐（以苯甲酸计）、山梨酸及其钾盐（以山梨酸计）、合成着色剂（柠檬黄、胭脂红、日落黄、诱惑红）</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8410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86507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0414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287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3A2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267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1D5C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盐渍水产品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80A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盐渍鱼</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3273F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过氧化值（以脂肪计）、组胺、镉（以Cd计）、苯甲酸及其钠盐（以苯甲酸计）、山梨酸及其钾盐（以山梨酸计）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CD51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233E97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2951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F54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A26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D9E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DA8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A2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盐渍藻</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4F8F8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8413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3D3D6E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FF62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82A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5E1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6B7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310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760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其他盐渍水产品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E2859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6560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A2FED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29CF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AC3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0E4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BB1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34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鱼糜制品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906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预制鱼糜制品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5C104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铅（以Pb计）、苯甲酸及其钠盐（以苯甲酸计）、山梨酸及其钾盐（以山梨酸计）、脱氢乙酸及其钠盐（以脱氢乙酸计）、合成着色剂（诱惑红、柠檬黄、日落黄）</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A8B0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B36EA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9394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4CA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9B4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7DB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E6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熟制动物性水产制品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292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熟制动物性水产制品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BFAA3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铅（以Pb计）、镉（以Cd计）、苯甲酸及其钠盐（以苯甲酸计）、山梨酸及其钾盐（以山梨酸计）、甜蜜素（以环己基氨基磺酸计）、脱氢乙酸及其钠盐（以脱氢乙酸计）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F77C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5843D5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459E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E88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8B7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090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A57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生食水产品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705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生食动物性水产品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F48A8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挥发性盐基氮、苯甲酸及其钠盐（以苯甲酸计）、山梨酸及其钾盐（以山梨酸计）、铝的残留量（以即食海蜇中Al计）、菌落总数、大肠菌群、沙门氏菌、副溶血性弧菌、单核细胞增生李斯特氏菌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4A75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1B2C0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46C0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694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E50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532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AA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其他水产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CD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其他水产制品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D1947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糖精钠（以糖精计）、脱氢乙酸及其钠盐（以脱氢乙酸计）、合成着色剂（柠檬黄）、甜蜜素（以环己基氨基磺酸计）、防腐剂混合使用时各自用量占其最大使用量的比例之和、菌落总数</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38A9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477BDF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5B84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A29D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23</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69EA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淀粉及淀粉制品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F1B1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淀粉及淀粉制品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76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07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4CD6A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铅（以Pb计）、霉菌和酵母、二氧化硫残留量、脱氢乙酸及其钠盐（以脱氢乙酸计）、葛根素、水分、氢氰酸</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19A8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554C96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3</w:t>
            </w:r>
          </w:p>
        </w:tc>
      </w:tr>
      <w:tr w14:paraId="224B5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874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4D5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306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1AB9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F86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粉丝粉条</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7950F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铝的残留量（干样品，以Al计）、二氧化硫残留量、合成着色剂（柠檬黄、新红、苋菜红、靛蓝、胭脂红、诱惑红、日落黄、亮蓝、酸性红、喹啉黄、赤藓红）</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E138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8FE37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FDEB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CFA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209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A1E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64E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ECD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其他淀粉制品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F1C46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铝的残留量（干样品，以Al计）、二氧化硫残留量、合成着色剂（柠檬黄、新红、苋菜红、靛蓝、胭脂红、日落黄、诱惑红、亮蓝、酸性红、喹啉黄、赤藓红）、相同色泽着色剂混合使用时各自用量占其最大使用量的比例之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600B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B4C5A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B019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B82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5A7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6A5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F94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淀粉糖</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28C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淀粉糖</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1AB56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总砷（以As计）、葡萄糖含量（以干基计，质量分数）、IMO含量（占干物质，质量分数）、IG₂+P+IG₃含量（占干物质，质量分数）、果糖（占干基比）、果糖+葡萄糖（占干基比）、5-羟甲基糠醛（以吸光度计）、果糖+葡萄糖含量（以干物质计）、果糖含量（以干物质计）、麦芽糖含量（以干物质计，质量分数）、干物质（固形物）、硫酸灰分</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F8A4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29176C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0CE1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4313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24</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AE5A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68F0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1FC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面包</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18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面包</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78291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富马酸二甲酯、苯甲酸及其钠盐（以苯甲酸计）、山梨酸及其钾盐（以山梨酸计）、糖精钠（以糖精计）、甜蜜素（以环己基氨基磺酸计）、安赛蜜、铝的残留量（干样品，以Al计）、丙酸及其钠盐、钙盐（以丙酸计）、脱氢乙酸及其钠盐（以脱氢乙酸计）、三氯蔗糖、合成着色剂（柠檬黄、日落黄、胭脂红、苋菜红、亮蓝、诱惑红、酸性红）、防腐剂混合使用时各自用量占其最大使用量的比例之和、菌落总数、大肠菌群、金黄色葡萄球菌、沙门氏菌、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6001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29FD72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8</w:t>
            </w:r>
          </w:p>
        </w:tc>
      </w:tr>
      <w:tr w14:paraId="7DC71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E53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D87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5F8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A09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月饼</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0C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月饼</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98451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富马酸二甲酯、糖精钠（以糖精计）、苯甲酸及其钠盐（以苯甲酸计）、山梨酸及其钾盐（以山梨酸计）、铝的残留量（干样品，以Al计）、丙酸及其钠盐、钙盐（以丙酸计）、脱氢乙酸及其钠盐（以脱氢乙酸计）、纳他霉素、合成着色剂（柠檬黄、日落黄、胭脂红、苋菜红、亮蓝、赤藓红、诱惑红）、防腐剂混合使用时各自用量占其最大使用量的比例之和、菌落总数、大肠菌群、金黄色葡萄球菌、沙门氏菌、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3206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02987C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3C96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8FE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97F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50F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55E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粽子</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46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粽子</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D239D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甜蜜素（以环己基氨基磺酸计）、脱氢乙酸及其钠盐（以脱氢乙酸计）、山梨酸及其钾盐（以山梨酸计）、糖精钠（以糖精计）、安赛蜜、菌落总数、大肠菌群、金黄色葡萄球菌、沙门氏菌、霉菌、商业无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749B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D2D41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6958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F8A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CDE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4BD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BE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4B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1BB35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富马酸二甲酯、苯甲酸及其钠盐（以苯甲酸计）、山梨酸及其钾盐（以山梨酸计）、糖精钠（以糖精计）、甜蜜素（以环己基氨基磺酸计）、安赛蜜、铝的残留量（干样品，以Al计）、丙酸及其钠盐、钙盐（以丙酸计）、脱氢乙酸及其钠盐（以脱氢乙酸计）、纳他霉素、三氯蔗糖、丙二醇、合成着色剂（柠檬黄、日落黄、胭脂红、苋菜红、亮蓝、赤藓红、诱惑红）、防腐剂混合使用时各自用量占其最大使用量的比例之和、菌落总数、大肠菌群、金黄色葡萄球菌、沙门氏菌、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6091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72D31C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FCDD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698B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25</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B444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豆制品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B9D7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豆制品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D86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豆制品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A40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腐乳、豆豉、纳豆等</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3FA67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铅（以Pb计）、黄曲霉毒素B₁ 、苯甲酸及其钠盐（以苯甲酸计）、山梨酸及其钾盐（以山梨酸计）、脱氢乙酸及其钠盐（以脱氢乙酸计）、糖精钠（以糖精计）、甜蜜素（以环己基氨基磺酸计）、铝的残留量（干样品，以Al计）、大肠菌群</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31D8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5DA303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3</w:t>
            </w:r>
          </w:p>
        </w:tc>
      </w:tr>
      <w:tr w14:paraId="13CC8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E42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240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A84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DF68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非发酵性豆制品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43B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腐竹、油皮及其再制品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E578C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铅（以Pb计）、苯甲酸及其钠盐（以苯甲酸计）、山梨酸及其钾盐（以山梨酸计）、脱氢乙酸及其钠盐（以脱氢乙酸计）、二氧化硫残留量、铝的残留量（干样品，以Al计）、合成着色剂（柠檬黄、日落黄）</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1C0E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3C07BA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FEF4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B1B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2C6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C69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2FC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00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豆干、豆腐、豆皮等</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E7490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丙酸及其钠盐、钙盐（以丙酸计）、防腐剂混合使用时各自用量占其最大使用量的比例之和、糖精钠（以糖精计）、三氯蔗糖、甜蜜素（以环己基氨基磺酸计）、铝的残留量（干样品，以Al计）、合成着色剂（柠檬黄、日落黄）、大肠菌群、金黄色葡萄球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5E52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292E86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0913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86A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835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0E2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77A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其他豆制品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230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大豆蛋白类制品等</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9BEB2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糖精钠（以糖精计）、三氯蔗糖、铝的残留量（干样品，以Al计）、合成着色剂（柠檬黄、日落黄）、大肠菌群</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AD0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0B452A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EF38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600A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26</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4EDA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D4DA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42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蜂蜜</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0F7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蜂蜜</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91E3C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果糖和葡萄糖、蔗糖、山梨酸及其钾盐（以山梨酸计）、氯霉素、呋喃西林代谢物、呋喃唑酮代谢物、甲硝唑、双甲脒、氟胺氰菊酯、诺氟沙星、氧氟沙星、菌落总数、霉菌计数、嗜渗酵母计数</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5742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同左，增加西地那非、他达拉非（限有功能声称的产品）</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7A9C1E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3</w:t>
            </w:r>
          </w:p>
        </w:tc>
      </w:tr>
      <w:tr w14:paraId="258B7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E75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D41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1BB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B2D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蜂王浆（含蜂王浆冻干品 ）</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14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蜂王浆（含蜂王浆冻干品）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A7C2D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10-羟基-2-癸烯酸、酸度、蛋白质、呋喃西林代谢物</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17E1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23D144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C33B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B6B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3AF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46A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C4C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蜂花粉</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6EA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蜂花粉</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F92A2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铅（以Pb计）、菌落总数、大肠菌群、霉菌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A017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CEC16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8973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D28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04E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CD41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1C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蜂产品制品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59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蜂产品制品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BE9F5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山梨酸及其钾盐（以山梨酸计）、合成着色剂（柠檬黄、日落黄）、菌落总数</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84B1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577FA6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2D0E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10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27</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68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E9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B99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79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121FF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10-羟基-2-癸烯酸、蛋白质、二十二碳六烯酸、二十碳五烯酸、泛酸、钙、还原糖、肌醇、赖氨酸、绿原酸、铁、维生素A、维生素B₁、维生素B₁₂、维生素B₂、维生素B₆、维生素C、维生素D、维生素D₃、维生素E、硒、锌、烟酰胺、叶酸、免疫球蛋白IgG、总黄酮、总皂苷、总蒽醌、吡啶甲酸铬、芦荟苷、总三萜、嗜酸乳杆菌、双歧杆菌、水分、可溶性固形物、酸价、过氧化值、崩解时限、灰分、铅（Pb）、总砷（As）、总汞（Hg）、硬胶囊壳中的铬、菌落总数、大肠菌群、霉菌和酵母、金黄色葡萄球菌、沙门氏菌、褪黑素、甘草酸、咖啡因、淫羊藿苷、葛根素、辅酶Q10、番茄红素、那红地那非、红地那非、伐地那非、羟基豪莫西地那非、西地那非、豪莫西地那非、氨基他达拉非、他达拉非、硫代艾地那非、伪伐地那非、那莫西地那非、去甲基他达拉非、育亨宾、西布曲明、N-单去甲基西布曲明、N,N-双去甲基西布曲明</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0E2A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D93E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w:t>
            </w:r>
          </w:p>
        </w:tc>
      </w:tr>
      <w:tr w14:paraId="26573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D060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28</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1268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餐饮食品</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7804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米面及其制品（自制）</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55A3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小麦粉制品（自制）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2F6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馒头花卷</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1BA3D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脱氢乙酸及其钠盐（以脱氢乙酸计）、甜蜜素（以环己基氨基磺酸计）、铅（以Pb计）、合成着色剂（柠檬黄、日落黄、胭脂红、苋菜红、亮蓝）</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6C05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1A78BB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8</w:t>
            </w:r>
          </w:p>
        </w:tc>
      </w:tr>
      <w:tr w14:paraId="0FE81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0F7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5E2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75C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2B7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CED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包子（自制）</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86EE8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苯甲酸及其钠盐（以苯甲酸计）、山梨酸及其钾盐（以山梨酸计）、糖精钠（以糖精计）、脱氢乙酸及其钠盐（以脱氢乙酸计）、甜蜜素（以环己基氨基磺酸计）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E616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069976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DA3D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971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8EF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9C3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2EB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07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其他生湿面制品（自制）</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58A8C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7EC3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铅（以Pb计）、苯甲酸及其钠盐（以苯甲酸计）、山梨酸及其钾盐（以山梨酸计）、脱氢乙酸及其钠盐（以脱氢乙酸计）、柠檬黄、日落黄</w:t>
            </w:r>
          </w:p>
        </w:tc>
        <w:tc>
          <w:tcPr>
            <w:tcW w:w="1064" w:type="dxa"/>
            <w:gridSpan w:val="2"/>
            <w:vMerge w:val="continue"/>
            <w:tcBorders>
              <w:left w:val="single" w:color="000000" w:sz="4" w:space="0"/>
              <w:right w:val="single" w:color="000000" w:sz="4" w:space="0"/>
            </w:tcBorders>
            <w:shd w:val="clear" w:color="auto" w:fill="auto"/>
            <w:vAlign w:val="center"/>
          </w:tcPr>
          <w:p w14:paraId="69691C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075D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6E3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29F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72D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50C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537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其他熟制面制品（自制）</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3C42C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4EBB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柠檬黄、日落黄</w:t>
            </w:r>
          </w:p>
        </w:tc>
        <w:tc>
          <w:tcPr>
            <w:tcW w:w="1064" w:type="dxa"/>
            <w:gridSpan w:val="2"/>
            <w:vMerge w:val="continue"/>
            <w:tcBorders>
              <w:left w:val="single" w:color="000000" w:sz="4" w:space="0"/>
              <w:right w:val="single" w:color="000000" w:sz="4" w:space="0"/>
            </w:tcBorders>
            <w:shd w:val="clear" w:color="auto" w:fill="auto"/>
            <w:vAlign w:val="center"/>
          </w:tcPr>
          <w:p w14:paraId="79A321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C070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422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B5B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77E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52D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416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其他油炸面制品（自制）</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8CC8E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45CC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w:t>
            </w:r>
          </w:p>
        </w:tc>
        <w:tc>
          <w:tcPr>
            <w:tcW w:w="1064" w:type="dxa"/>
            <w:gridSpan w:val="2"/>
            <w:vMerge w:val="continue"/>
            <w:tcBorders>
              <w:left w:val="single" w:color="000000" w:sz="4" w:space="0"/>
              <w:right w:val="single" w:color="000000" w:sz="4" w:space="0"/>
            </w:tcBorders>
            <w:shd w:val="clear" w:color="auto" w:fill="auto"/>
            <w:vAlign w:val="center"/>
          </w:tcPr>
          <w:p w14:paraId="3EA9DA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FFF6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0DE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606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D17C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4E1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E6A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油饼油条</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3AEA4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A288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2368F3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20D0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0B8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D0D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E55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960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81B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凉皮类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94742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脱氢乙酸及其钠盐（以脱氢乙酸计）、柠檬黄</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A70E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33C3B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5711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3CA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146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00DF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肉制品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4171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熟肉制品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F0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肉冻皮冻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77D74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铬（以Cr计）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5B45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99AB1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2278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F28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24B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916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194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E1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熏烧烤肉类（自制）</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42D02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N-二甲基亚硝胺、苯并[a]芘、铅（以Pb计）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5412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同左，增加铬</w:t>
            </w:r>
          </w:p>
        </w:tc>
        <w:tc>
          <w:tcPr>
            <w:tcW w:w="1064" w:type="dxa"/>
            <w:gridSpan w:val="2"/>
            <w:vMerge w:val="continue"/>
            <w:tcBorders>
              <w:left w:val="single" w:color="000000" w:sz="4" w:space="0"/>
              <w:right w:val="single" w:color="000000" w:sz="4" w:space="0"/>
            </w:tcBorders>
            <w:shd w:val="clear" w:color="auto" w:fill="auto"/>
            <w:vAlign w:val="center"/>
          </w:tcPr>
          <w:p w14:paraId="3AFFB6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2BDB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6E7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2F8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AA7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EA4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39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油炸肉类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1B2DD25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10FB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N-二甲基亚硝胺、苯甲酸及其钠盐（以苯甲酸计）、山梨酸及其钾盐（以山梨酸计）、合成着色剂（柠檬黄、日落黄）</w:t>
            </w:r>
          </w:p>
        </w:tc>
        <w:tc>
          <w:tcPr>
            <w:tcW w:w="1064" w:type="dxa"/>
            <w:gridSpan w:val="2"/>
            <w:vMerge w:val="continue"/>
            <w:tcBorders>
              <w:left w:val="single" w:color="000000" w:sz="4" w:space="0"/>
              <w:right w:val="single" w:color="000000" w:sz="4" w:space="0"/>
            </w:tcBorders>
            <w:shd w:val="clear" w:color="auto" w:fill="auto"/>
            <w:vAlign w:val="center"/>
          </w:tcPr>
          <w:p w14:paraId="102B78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BE8E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122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7D7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5CBB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调味料（自制 ）</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747D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D4F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火锅麻辣烫底料（自制）</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FCDB7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罂粟碱、吗啡、可待因、那可丁</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A5CD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03FBF6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C4E0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801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7C9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95E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935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6F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蘸料（自制）</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860FC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51CD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罂粟碱、吗啡、可待因、那可丁，黄曲霉毒素B₁（限花生酱检测）</w:t>
            </w:r>
          </w:p>
        </w:tc>
        <w:tc>
          <w:tcPr>
            <w:tcW w:w="1064" w:type="dxa"/>
            <w:gridSpan w:val="2"/>
            <w:vMerge w:val="continue"/>
            <w:tcBorders>
              <w:left w:val="single" w:color="000000" w:sz="4" w:space="0"/>
              <w:right w:val="single" w:color="000000" w:sz="4" w:space="0"/>
            </w:tcBorders>
            <w:shd w:val="clear" w:color="auto" w:fill="auto"/>
            <w:vAlign w:val="center"/>
          </w:tcPr>
          <w:p w14:paraId="75C614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529A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A95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842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D5C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水产制品（自制）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8A4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预制水产制品（自制）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306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生食动物性水产品（自制）</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0CF11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铝的残留量（以即食海蜇中Al计）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356D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4C22E1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E35A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85D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E49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44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坚果及籽类食品（自制 ）</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05C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坚果及籽类食品（自制 ）</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B0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花生制品（自制 ）</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C01D6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黄曲霉毒素B₁ 、苯甲酸及其钠盐（以苯甲酸计）、山梨酸及其钾盐（以山梨酸计）、脱氢乙酸及其钠盐（以脱氢乙酸计）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8C32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31328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63D7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3D2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8B2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6FC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焙烤食品（自制）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C2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焙烤食品（自制）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5D8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糕点（自制）</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C019B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酸价（以脂肪计）（KOH）、过氧化值（以脂肪计）、山梨酸及其钾盐（以山梨酸计）、脱氢乙酸及其钠盐（以脱氢乙酸计）、铝的残留量（干样品，以Al计）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5BDF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1064" w:type="dxa"/>
            <w:gridSpan w:val="2"/>
            <w:vMerge w:val="continue"/>
            <w:tcBorders>
              <w:left w:val="single" w:color="000000" w:sz="4" w:space="0"/>
              <w:right w:val="single" w:color="000000" w:sz="4" w:space="0"/>
            </w:tcBorders>
            <w:shd w:val="clear" w:color="auto" w:fill="auto"/>
            <w:vAlign w:val="center"/>
          </w:tcPr>
          <w:p w14:paraId="0EE888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8082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ABE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7D8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6D8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食用油、油脂及其制品（自制）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BC8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食用油、油脂及其制品（自制）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4BE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煎炸过程用油</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EB67A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极性组分、酸价（KOH）</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F54C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B75E7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CCBC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50D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D06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D94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淀粉制品（自制）</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9A5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粉丝粉条（自制）</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C1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粉丝粉条（自制 ）</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85197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铝的残留量（干样品，以Al计）、脱氢乙酸及其钠盐（以脱氢乙酸计）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E330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0842E5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DD60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058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69C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57A0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23A6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16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奶茶（自制）</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487E5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3339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337137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D986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E7C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2F4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8F0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F34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6B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果蔬汁类及其饮料（自制）</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90590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FCC0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甜蜜素（以环己基氨基磺酸钠计）、脱氢乙酸及其钠盐（以脱氢乙酸计）、合成着色剂（苋菜红、胭脂红、柠檬黄、日落黄、亮蓝）、防腐剂混合使用时各自用量占其最大使用量的比例之和</w:t>
            </w:r>
          </w:p>
        </w:tc>
        <w:tc>
          <w:tcPr>
            <w:tcW w:w="1064" w:type="dxa"/>
            <w:gridSpan w:val="2"/>
            <w:vMerge w:val="continue"/>
            <w:tcBorders>
              <w:left w:val="single" w:color="000000" w:sz="4" w:space="0"/>
              <w:right w:val="single" w:color="000000" w:sz="4" w:space="0"/>
            </w:tcBorders>
            <w:shd w:val="clear" w:color="auto" w:fill="auto"/>
            <w:vAlign w:val="center"/>
          </w:tcPr>
          <w:p w14:paraId="21134E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12A8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E14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5F8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3E72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餐饮具</w:t>
            </w: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099D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复用餐饮具</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0D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复用餐饮具</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（餐馆自行消毒 ）</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68F51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阴离子合成洗涤剂（以十二烷基苯磺酸钠计）、大肠菌群</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A121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07624A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9ACD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EA3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43A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707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D12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C8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复用餐饮具（集中清洗消毒服务单位消毒 ）</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BF699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阴离子合成洗涤剂（以十二烷基苯磺酸钠计）、大肠菌群</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1FE7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000000" w:sz="4" w:space="0"/>
              <w:right w:val="single" w:color="000000" w:sz="4" w:space="0"/>
            </w:tcBorders>
            <w:shd w:val="clear" w:color="auto" w:fill="auto"/>
            <w:vAlign w:val="center"/>
          </w:tcPr>
          <w:p w14:paraId="45AA37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FCF9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D4AD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29</w:t>
            </w:r>
          </w:p>
        </w:tc>
        <w:tc>
          <w:tcPr>
            <w:tcW w:w="12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8DFA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食品添加剂</w:t>
            </w:r>
          </w:p>
        </w:tc>
        <w:tc>
          <w:tcPr>
            <w:tcW w:w="12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C383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食品添加剂</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06D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复配食品添加剂</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B1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复配食品添加剂</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50815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铅（Pb）、砷（以As计）、致病性微生物</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7F57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restart"/>
            <w:tcBorders>
              <w:top w:val="single" w:color="000000" w:sz="4" w:space="0"/>
              <w:left w:val="single" w:color="000000" w:sz="4" w:space="0"/>
              <w:right w:val="single" w:color="000000" w:sz="4" w:space="0"/>
            </w:tcBorders>
            <w:shd w:val="clear" w:color="auto" w:fill="auto"/>
            <w:vAlign w:val="center"/>
          </w:tcPr>
          <w:p w14:paraId="5BD17C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w:t>
            </w:r>
          </w:p>
        </w:tc>
      </w:tr>
      <w:tr w14:paraId="4224B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3CD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4B1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E9F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44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食品用香精</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56A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食品用香精</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5E3FC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砷（以As计）含量/无机砷含量、菌落总数</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47F5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60EE8C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77DC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E26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BD3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13B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B16B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单一食品添加剂</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0C7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明胶</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E80F6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铬（Cr）、铅（Pb）、总砷（As）、二氧化硫、过氧化物</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6DEB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5AB722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01CF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637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49B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B40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E3B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B8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糖精钠</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85386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糖精钠含量、干燥失重、总砷（以As计）、铅（Pb）、酸度和碱度、苯甲酸盐和水杨酸盐</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2A52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39D84D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CB79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60B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F03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490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C30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51C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环己基氨基磺酸钠（又名甜蜜素）</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FD58D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环己基氨基磺酸钠含量（以干基计）、硫酸盐（以SO₄计）、pH（100g/L水溶液）、干燥减量、氨基磺酸、环己胺、双环己胺、吸光值（100g/L溶液）、透明度（以100g/L溶液的透光率表示）、重金属（以Pb计）、砷（As）</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3AC1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7AE872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40B7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5C2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EAD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87A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A87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CC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碳酸钠</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1F574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总碱量（以Na₂CO₃计）（以干基计）、总碱量（以Na₂CO₃计）（以湿基计）、水不溶物（以干基计）、氯化物（以NaCl计）（以干基计）、铁（Fe）（以干基计）、铅（Pb）（以干基计）、砷（As）（以干基计）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7232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018690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B503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A53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8FA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809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788A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单一食品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添加剂</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956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碳酸氢钠</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080FF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总碱量（以NaHCO₃计）、干燥减量、pH（10g/L水溶液）、铵盐、澄清度、氯化物（以Cl计）、白度、砷（As）、重金属（以Pb计）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C7BE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FEFC7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B90B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6F9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497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D5E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11A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C4E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焦糖色</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525A4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吸光度          （610nm）、氨氮（以N计）、二氧化硫（以SO2计）、4-甲基咪唑、总氮（以N计）、总硫（以S计）、总砷（以As计）、铅（Pb）、总汞（以Hg计）</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AE3A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54C955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A901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9FC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135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3CC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EA9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744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蜂蜡</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93D80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过氧化值，酸值（以KOH计），皂化值（以KOH计），熔程，甘油和其他多元醇，铅（Pb），巴西棕榈蜡，纯白地蜡、石蜡及其他蜡，脂肪、日本蜡、松脂和皂质</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74C8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7776E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8DF8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B22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F0E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99B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46C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5D1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红曲米</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7BE24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水分、黄曲霉毒素B1、色价、细度150μm（100目）通过率、总砷（以As计）、重金属（以Pb计）、大肠菌群、沙门氏菌、志贺氏菌、金黄色葡萄球菌</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A190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5723B8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190B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31E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A67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8CF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0A0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D2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红曲红</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34F33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色价         （495±10）nm、干燥减量、铅（Pb）、砷（As）</w:t>
            </w:r>
          </w:p>
        </w:tc>
        <w:tc>
          <w:tcPr>
            <w:tcW w:w="16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41CB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10344C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0700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774B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249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7EA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938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2A4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红曲黄色素</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E1E2F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色价        （476±10）nm、干燥减量、灼烧残渣、铅（Pb）、总砷（以As计）</w:t>
            </w:r>
          </w:p>
        </w:tc>
        <w:tc>
          <w:tcPr>
            <w:tcW w:w="1627"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399BB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right w:val="single" w:color="000000" w:sz="4" w:space="0"/>
            </w:tcBorders>
            <w:shd w:val="clear" w:color="auto" w:fill="auto"/>
            <w:vAlign w:val="center"/>
          </w:tcPr>
          <w:p w14:paraId="39CB2D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6405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42B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903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49B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0FA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胶基</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488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胶基</w:t>
            </w:r>
          </w:p>
        </w:tc>
        <w:tc>
          <w:tcPr>
            <w:tcW w:w="6925"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1774779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铅（Pb）、总砷（以As计）</w:t>
            </w:r>
          </w:p>
        </w:tc>
        <w:tc>
          <w:tcPr>
            <w:tcW w:w="16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2B23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auto" w:sz="4" w:space="0"/>
              <w:right w:val="single" w:color="000000" w:sz="4" w:space="0"/>
            </w:tcBorders>
            <w:shd w:val="clear" w:color="auto" w:fill="auto"/>
            <w:vAlign w:val="center"/>
          </w:tcPr>
          <w:p w14:paraId="33A25B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2203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8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C1F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039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898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7B0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食品工业用酶制剂</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81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食品工业用酶制剂</w:t>
            </w:r>
          </w:p>
        </w:tc>
        <w:tc>
          <w:tcPr>
            <w:tcW w:w="69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3E481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铅（Pb）、总砷（以As计）、菌落总数、大肠菌群、大肠埃希氏菌、沙门氏菌、抗菌活性</w:t>
            </w:r>
          </w:p>
        </w:tc>
        <w:tc>
          <w:tcPr>
            <w:tcW w:w="1627"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14:paraId="070966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1064" w:type="dxa"/>
            <w:gridSpan w:val="2"/>
            <w:vMerge w:val="continue"/>
            <w:tcBorders>
              <w:left w:val="single" w:color="000000" w:sz="4" w:space="0"/>
              <w:bottom w:val="single" w:color="auto" w:sz="4" w:space="0"/>
              <w:right w:val="single" w:color="000000" w:sz="4" w:space="0"/>
            </w:tcBorders>
            <w:shd w:val="clear" w:color="auto" w:fill="auto"/>
            <w:vAlign w:val="center"/>
          </w:tcPr>
          <w:p w14:paraId="7BF5AF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FC3F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22" w:type="dxa"/>
          <w:trHeight w:val="732" w:hRule="atLeast"/>
        </w:trPr>
        <w:tc>
          <w:tcPr>
            <w:tcW w:w="14280" w:type="dxa"/>
            <w:gridSpan w:val="9"/>
            <w:tcBorders>
              <w:top w:val="single" w:color="000000" w:sz="4" w:space="0"/>
              <w:left w:val="single" w:color="000000" w:sz="4" w:space="0"/>
              <w:bottom w:val="single" w:color="000000" w:sz="4" w:space="0"/>
              <w:right w:val="single" w:color="auto" w:sz="4" w:space="0"/>
            </w:tcBorders>
            <w:shd w:val="clear" w:color="auto" w:fill="auto"/>
            <w:vAlign w:val="center"/>
          </w:tcPr>
          <w:p w14:paraId="1D0E8F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合计</w:t>
            </w:r>
          </w:p>
        </w:tc>
        <w:tc>
          <w:tcPr>
            <w:tcW w:w="10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D5DAE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161</w:t>
            </w:r>
          </w:p>
        </w:tc>
      </w:tr>
    </w:tbl>
    <w:p w14:paraId="6F585AB9">
      <w:pPr>
        <w:pStyle w:val="14"/>
        <w:rPr>
          <w:rFonts w:hint="default"/>
          <w:color w:val="auto"/>
          <w:highlight w:val="none"/>
        </w:rPr>
        <w:sectPr>
          <w:pgSz w:w="16838" w:h="11906" w:orient="landscape"/>
          <w:pgMar w:top="1417" w:right="1134" w:bottom="1417" w:left="1134" w:header="851" w:footer="992" w:gutter="0"/>
          <w:cols w:space="425" w:num="1"/>
          <w:docGrid w:type="lines" w:linePitch="312" w:charSpace="0"/>
        </w:sectPr>
      </w:pPr>
    </w:p>
    <w:p w14:paraId="2A7127C9">
      <w:pPr>
        <w:keepNext w:val="0"/>
        <w:keepLines w:val="0"/>
        <w:pageBreakBefore w:val="0"/>
        <w:widowControl w:val="0"/>
        <w:kinsoku/>
        <w:wordWrap/>
        <w:overflowPunct/>
        <w:topLinePunct w:val="0"/>
        <w:bidi w:val="0"/>
        <w:spacing w:line="360" w:lineRule="auto"/>
        <w:jc w:val="center"/>
        <w:textAlignment w:val="auto"/>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eastAsia="zh-CN"/>
        </w:rPr>
        <w:t>乌鲁木齐市市场监督管理局（乌鲁木齐市知识产权局）</w:t>
      </w:r>
      <w:r>
        <w:rPr>
          <w:rFonts w:hint="default" w:ascii="Times New Roman" w:hAnsi="Times New Roman" w:cs="Times New Roman"/>
          <w:b/>
          <w:bCs/>
          <w:color w:val="auto"/>
          <w:sz w:val="24"/>
          <w:highlight w:val="none"/>
        </w:rPr>
        <w:t>202</w:t>
      </w:r>
      <w:r>
        <w:rPr>
          <w:rFonts w:hint="eastAsia" w:ascii="Times New Roman" w:hAnsi="Times New Roman" w:cs="Times New Roman"/>
          <w:b/>
          <w:bCs/>
          <w:color w:val="auto"/>
          <w:sz w:val="24"/>
          <w:highlight w:val="none"/>
          <w:lang w:val="en-US" w:eastAsia="zh-CN"/>
        </w:rPr>
        <w:t>6</w:t>
      </w:r>
      <w:r>
        <w:rPr>
          <w:rFonts w:hint="default" w:ascii="Times New Roman" w:hAnsi="Times New Roman" w:cs="Times New Roman"/>
          <w:b/>
          <w:bCs/>
          <w:color w:val="auto"/>
          <w:sz w:val="24"/>
          <w:highlight w:val="none"/>
        </w:rPr>
        <w:t>年乌鲁木齐市食品安全监督抽检服务项目</w:t>
      </w:r>
    </w:p>
    <w:p w14:paraId="0793D070">
      <w:pPr>
        <w:keepNext w:val="0"/>
        <w:keepLines w:val="0"/>
        <w:pageBreakBefore w:val="0"/>
        <w:widowControl w:val="0"/>
        <w:tabs>
          <w:tab w:val="center" w:pos="4832"/>
          <w:tab w:val="left" w:pos="7140"/>
        </w:tabs>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标项</w:t>
      </w:r>
      <w:r>
        <w:rPr>
          <w:rFonts w:hint="eastAsia" w:ascii="Times New Roman" w:hAnsi="Times New Roman" w:eastAsia="宋体" w:cs="Times New Roman"/>
          <w:b/>
          <w:color w:val="auto"/>
          <w:sz w:val="24"/>
          <w:szCs w:val="24"/>
          <w:highlight w:val="none"/>
          <w:lang w:val="en-US" w:eastAsia="zh-CN"/>
        </w:rPr>
        <w:t>六</w:t>
      </w:r>
      <w:r>
        <w:rPr>
          <w:rFonts w:hint="default" w:ascii="Times New Roman" w:hAnsi="Times New Roman" w:eastAsia="宋体" w:cs="Times New Roman"/>
          <w:b/>
          <w:color w:val="auto"/>
          <w:sz w:val="24"/>
          <w:szCs w:val="24"/>
          <w:highlight w:val="none"/>
          <w:lang w:val="en-US" w:eastAsia="zh-CN"/>
        </w:rPr>
        <w:t xml:space="preserve">  技术分册</w:t>
      </w:r>
    </w:p>
    <w:p w14:paraId="02372B07">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一、工作任务</w:t>
      </w:r>
    </w:p>
    <w:p w14:paraId="1D5176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标项</w:t>
      </w:r>
      <w:r>
        <w:rPr>
          <w:rFonts w:hint="eastAsia" w:ascii="Times New Roman" w:hAnsi="Times New Roman" w:eastAsia="宋体" w:cs="Times New Roman"/>
          <w:color w:val="auto"/>
          <w:sz w:val="24"/>
          <w:highlight w:val="none"/>
          <w:lang w:val="en-US" w:eastAsia="zh-CN"/>
        </w:rPr>
        <w:t>六</w:t>
      </w:r>
      <w:r>
        <w:rPr>
          <w:rFonts w:hint="default" w:ascii="Times New Roman" w:hAnsi="Times New Roman" w:eastAsia="宋体" w:cs="Times New Roman"/>
          <w:color w:val="auto"/>
          <w:sz w:val="24"/>
          <w:highlight w:val="none"/>
        </w:rPr>
        <w:t>：202</w:t>
      </w:r>
      <w:r>
        <w:rPr>
          <w:rFonts w:hint="eastAsia"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lang w:eastAsia="zh-CN"/>
        </w:rPr>
        <w:t>乌鲁木齐市市场监督管理局（乌鲁木齐市知识产权局）</w:t>
      </w:r>
      <w:r>
        <w:rPr>
          <w:rFonts w:hint="default" w:ascii="Times New Roman" w:hAnsi="Times New Roman" w:eastAsia="宋体" w:cs="Times New Roman"/>
          <w:color w:val="auto"/>
          <w:sz w:val="24"/>
          <w:highlight w:val="none"/>
        </w:rPr>
        <w:t>餐饮市抽</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一</w:t>
      </w:r>
      <w:r>
        <w:rPr>
          <w:rFonts w:hint="eastAsia" w:ascii="Times New Roman" w:hAnsi="Times New Roman"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734</w:t>
      </w:r>
      <w:r>
        <w:rPr>
          <w:rFonts w:hint="default" w:ascii="Times New Roman" w:hAnsi="Times New Roman" w:eastAsia="宋体" w:cs="Times New Roman"/>
          <w:color w:val="auto"/>
          <w:sz w:val="24"/>
          <w:highlight w:val="none"/>
        </w:rPr>
        <w:t>批次，单价1400元/批次，总价</w:t>
      </w:r>
      <w:r>
        <w:rPr>
          <w:rFonts w:hint="default" w:ascii="Times New Roman" w:hAnsi="Times New Roman" w:eastAsia="宋体" w:cs="Times New Roman"/>
          <w:color w:val="auto"/>
          <w:kern w:val="0"/>
          <w:sz w:val="24"/>
          <w:szCs w:val="24"/>
          <w:highlight w:val="none"/>
        </w:rPr>
        <w:t>最高投标限价</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1027600</w:t>
      </w:r>
      <w:r>
        <w:rPr>
          <w:rFonts w:hint="default" w:ascii="Times New Roman" w:hAnsi="Times New Roman" w:eastAsia="宋体" w:cs="Times New Roman"/>
          <w:color w:val="auto"/>
          <w:sz w:val="24"/>
          <w:highlight w:val="none"/>
        </w:rPr>
        <w:t>元。</w:t>
      </w:r>
    </w:p>
    <w:p w14:paraId="126BDD0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二、抽检对象、品种及项目</w:t>
      </w:r>
    </w:p>
    <w:p w14:paraId="3D2285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highlight w:val="none"/>
          <w:lang w:eastAsia="zh-CN"/>
        </w:rPr>
      </w:pPr>
      <w:r>
        <w:rPr>
          <w:rFonts w:hint="default" w:ascii="Times New Roman" w:hAnsi="Times New Roman" w:cs="Times New Roman"/>
          <w:color w:val="auto"/>
          <w:sz w:val="24"/>
          <w:highlight w:val="none"/>
        </w:rPr>
        <w:t>202</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eastAsia="zh-CN"/>
        </w:rPr>
        <w:t>乌鲁木齐市市场监督管理局（乌鲁木齐市知识产权局）</w:t>
      </w:r>
      <w:r>
        <w:rPr>
          <w:rFonts w:hint="default" w:ascii="Times New Roman" w:hAnsi="Times New Roman" w:cs="Times New Roman"/>
          <w:color w:val="auto"/>
          <w:sz w:val="24"/>
          <w:highlight w:val="none"/>
        </w:rPr>
        <w:t>餐饮</w:t>
      </w:r>
      <w:r>
        <w:rPr>
          <w:rFonts w:hint="default" w:ascii="Times New Roman" w:hAnsi="Times New Roman" w:cs="Times New Roman"/>
          <w:color w:val="auto"/>
          <w:sz w:val="24"/>
          <w:highlight w:val="none"/>
          <w:lang w:val="en-US" w:eastAsia="zh-CN"/>
        </w:rPr>
        <w:t>市抽</w:t>
      </w:r>
      <w:r>
        <w:rPr>
          <w:rFonts w:hint="default" w:ascii="Times New Roman" w:hAnsi="Times New Roman" w:cs="Times New Roman"/>
          <w:color w:val="auto"/>
          <w:sz w:val="24"/>
          <w:highlight w:val="none"/>
        </w:rPr>
        <w:t>抽检品种及检验项目详见招标文件附表。</w:t>
      </w:r>
    </w:p>
    <w:p w14:paraId="3FCCD6E0">
      <w:pPr>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抽样时间和频次</w:t>
      </w:r>
    </w:p>
    <w:p w14:paraId="32F2ABAB">
      <w:pPr>
        <w:keepNext w:val="0"/>
        <w:keepLines w:val="0"/>
        <w:pageBreakBefore w:val="0"/>
        <w:widowControl w:val="0"/>
        <w:kinsoku/>
        <w:wordWrap/>
        <w:overflowPunct/>
        <w:topLinePunct w:val="0"/>
        <w:autoSpaceDE/>
        <w:autoSpaceDN/>
        <w:bidi w:val="0"/>
        <w:adjustRightInd/>
        <w:snapToGrid/>
        <w:spacing w:line="360" w:lineRule="auto"/>
        <w:ind w:firstLine="352" w:firstLineChars="147"/>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应严格落实市级餐饮抽检时间与频次，均衡完成抽检任务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按</w:t>
      </w:r>
      <w:r>
        <w:rPr>
          <w:rFonts w:hint="default" w:ascii="Times New Roman" w:hAnsi="Times New Roman" w:eastAsia="宋体" w:cs="Times New Roman"/>
          <w:color w:val="auto"/>
          <w:sz w:val="24"/>
          <w:szCs w:val="24"/>
          <w:highlight w:val="none"/>
        </w:rPr>
        <w:t>规定期限完成。</w:t>
      </w:r>
    </w:p>
    <w:p w14:paraId="1D227DC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四、抽样场所</w:t>
      </w:r>
    </w:p>
    <w:p w14:paraId="172C32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1.为确保抽样的代表性、分散性和广泛性，抽样地点应覆盖全市所有区（县）、乡镇（农村）</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城市、乡镇（含农村和城乡接合部），抽检比例为6:4。</w:t>
      </w:r>
    </w:p>
    <w:p w14:paraId="240B1538">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highlight w:val="none"/>
          <w:lang w:val="en-US" w:eastAsia="zh-CN"/>
        </w:rPr>
        <w:t>餐饮环节</w:t>
      </w:r>
      <w:r>
        <w:rPr>
          <w:rFonts w:hint="eastAsia" w:ascii="Times New Roman" w:hAnsi="Times New Roman" w:cs="Times New Roman"/>
          <w:color w:val="auto"/>
          <w:sz w:val="24"/>
          <w:highlight w:val="none"/>
          <w:lang w:val="en-US" w:eastAsia="zh-CN"/>
        </w:rPr>
        <w:t>全市</w:t>
      </w:r>
      <w:r>
        <w:rPr>
          <w:rFonts w:hint="default" w:ascii="Times New Roman" w:hAnsi="Times New Roman" w:eastAsia="宋体" w:cs="Times New Roman"/>
          <w:color w:val="auto"/>
          <w:sz w:val="24"/>
          <w:highlight w:val="none"/>
          <w:lang w:val="en-US" w:eastAsia="zh-CN"/>
        </w:rPr>
        <w:t>中央厨房、集体用餐配送单位</w:t>
      </w:r>
      <w:r>
        <w:rPr>
          <w:rFonts w:hint="eastAsia" w:ascii="Times New Roman" w:hAnsi="Times New Roman" w:cs="Times New Roman"/>
          <w:color w:val="auto"/>
          <w:sz w:val="24"/>
          <w:highlight w:val="none"/>
          <w:lang w:val="en-US" w:eastAsia="zh-CN"/>
        </w:rPr>
        <w:t>开展</w:t>
      </w:r>
      <w:r>
        <w:rPr>
          <w:rFonts w:hint="default" w:ascii="Times New Roman" w:hAnsi="Times New Roman" w:eastAsia="宋体" w:cs="Times New Roman"/>
          <w:color w:val="auto"/>
          <w:sz w:val="24"/>
          <w:highlight w:val="none"/>
          <w:lang w:val="en-US" w:eastAsia="zh-CN"/>
        </w:rPr>
        <w:t>全覆盖</w:t>
      </w:r>
      <w:r>
        <w:rPr>
          <w:rFonts w:hint="eastAsia" w:ascii="Times New Roman" w:hAnsi="Times New Roman" w:cs="Times New Roman"/>
          <w:color w:val="auto"/>
          <w:sz w:val="24"/>
          <w:highlight w:val="none"/>
          <w:lang w:val="en-US" w:eastAsia="zh-CN"/>
        </w:rPr>
        <w:t>抽检。</w:t>
      </w:r>
    </w:p>
    <w:p w14:paraId="24AC20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.同一家餐饮单位一次抽样不得超过三个品种(各1批次)，抽样间隔不得少于3个月。</w:t>
      </w:r>
    </w:p>
    <w:p w14:paraId="4E51EF35">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.突出问题导向</w:t>
      </w:r>
      <w:r>
        <w:rPr>
          <w:rFonts w:hint="default" w:ascii="Times New Roman" w:hAnsi="Times New Roman" w:eastAsia="宋体" w:cs="Times New Roman"/>
          <w:color w:val="auto"/>
          <w:kern w:val="0"/>
          <w:sz w:val="24"/>
          <w:szCs w:val="20"/>
          <w:highlight w:val="none"/>
          <w:lang w:val="en-US" w:eastAsia="zh-CN" w:bidi="ar-SA"/>
        </w:rPr>
        <w:t>，突出在风险监测、监督检查、专项整治、案件稽查、应急处置等日常监管工作中发现存在较大隐患的食品。结合上一年度工作中发现的存在较大隐患的食品安全问题，将用餐群体主要为学生幼儿等敏感人群的学校托幼食堂提供的食品、旅游景区餐饮服务单位、发现滥用食用添加剂及可能违法添加非</w:t>
      </w:r>
      <w:r>
        <w:rPr>
          <w:rFonts w:hint="eastAsia" w:ascii="Times New Roman" w:hAnsi="Times New Roman" w:eastAsia="宋体" w:cs="Times New Roman"/>
          <w:color w:val="auto"/>
          <w:kern w:val="0"/>
          <w:sz w:val="24"/>
          <w:szCs w:val="20"/>
          <w:highlight w:val="none"/>
          <w:lang w:val="en-US" w:eastAsia="zh-CN" w:bidi="ar-SA"/>
        </w:rPr>
        <w:t>食</w:t>
      </w:r>
      <w:r>
        <w:rPr>
          <w:rFonts w:hint="default" w:ascii="Times New Roman" w:hAnsi="Times New Roman" w:eastAsia="宋体" w:cs="Times New Roman"/>
          <w:color w:val="auto"/>
          <w:kern w:val="0"/>
          <w:sz w:val="24"/>
          <w:szCs w:val="20"/>
          <w:highlight w:val="none"/>
          <w:lang w:val="en-US" w:eastAsia="zh-CN" w:bidi="ar-SA"/>
        </w:rPr>
        <w:t>用物质的食品列为重点抽检监测对象，加大抽检力度。</w:t>
      </w:r>
    </w:p>
    <w:p w14:paraId="6863FBAD">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五、抽样检验</w:t>
      </w:r>
    </w:p>
    <w:p w14:paraId="388270CD">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抽样和检测等工作的实施应严格执行有关法律法规、规章以及《食品安全抽样检验管理办法》（总局第15号令）、《国家食品安全监督抽检实施细则（202</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年版）》等文件；抽样过程应严格按照监督抽检工作程序，履行相应的法定手续，应使用规范的抽样文书。</w:t>
      </w:r>
    </w:p>
    <w:p w14:paraId="042B5AA9">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检验人员应按照食品安全标准和检验规范对食品进行检验，保证数据和结论客观、公正。承检机构对不合格样品必须进行复核，确保检验结果准确可靠。此外，检验报告编号应该与抽样编号保持一致（或是在检验报告封皮醒目处加注抽样编号），便于不合格样品的核查处置。</w:t>
      </w:r>
    </w:p>
    <w:p w14:paraId="3EF04572">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六、任务完成时限</w:t>
      </w:r>
    </w:p>
    <w:p w14:paraId="657B04B7">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餐饮市抽</w:t>
      </w:r>
      <w:r>
        <w:rPr>
          <w:rFonts w:hint="default" w:ascii="Times New Roman" w:hAnsi="Times New Roman" w:eastAsia="宋体" w:cs="Times New Roman"/>
          <w:color w:val="auto"/>
          <w:sz w:val="24"/>
          <w:highlight w:val="none"/>
        </w:rPr>
        <w:t>为乌鲁木齐市本级任务。</w:t>
      </w:r>
    </w:p>
    <w:p w14:paraId="749DA6C2">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需达到均衡抽检要求，</w:t>
      </w:r>
      <w:r>
        <w:rPr>
          <w:rFonts w:hint="default" w:ascii="Times New Roman" w:hAnsi="Times New Roman" w:eastAsia="宋体" w:cs="Times New Roman"/>
          <w:color w:val="auto"/>
          <w:sz w:val="24"/>
          <w:highlight w:val="none"/>
          <w:lang w:val="en-US" w:eastAsia="zh-CN"/>
        </w:rPr>
        <w:t>202</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lang w:val="en-US" w:eastAsia="zh-CN"/>
        </w:rPr>
        <w:t>年4</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30</w:t>
      </w:r>
      <w:r>
        <w:rPr>
          <w:rFonts w:hint="default" w:ascii="Times New Roman" w:hAnsi="Times New Roman" w:eastAsia="宋体" w:cs="Times New Roman"/>
          <w:color w:val="auto"/>
          <w:sz w:val="24"/>
          <w:highlight w:val="none"/>
        </w:rPr>
        <w:t>日前完成完成所有抽检任务。</w:t>
      </w:r>
    </w:p>
    <w:p w14:paraId="798C888A">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七、数据报送</w:t>
      </w:r>
    </w:p>
    <w:p w14:paraId="14665739">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1.承检机构应严格按照有关法律法规、规章和有关要求，将检验工作中发现的食品安全问题和有关检验报告及时上报组织实施抽检工作的市场监管部门。</w:t>
      </w:r>
    </w:p>
    <w:p w14:paraId="4D5C641D">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2.发现不合格样品中可能存在重大风险隐患或急性健康风险的，应当在确认检验结果后24小时之内填写《食品安全抽样检验限时报告情况表》，报告</w:t>
      </w:r>
      <w:r>
        <w:rPr>
          <w:rFonts w:hint="eastAsia" w:ascii="Times New Roman" w:hAnsi="Times New Roman" w:cs="Times New Roman"/>
          <w:color w:val="auto"/>
          <w:sz w:val="24"/>
          <w:highlight w:val="none"/>
          <w:lang w:eastAsia="zh-CN"/>
        </w:rPr>
        <w:t>乌鲁木齐市市场监督管理局（乌鲁木齐市知识产权局）</w:t>
      </w:r>
      <w:r>
        <w:rPr>
          <w:rFonts w:hint="default" w:ascii="Times New Roman" w:hAnsi="Times New Roman" w:cs="Times New Roman"/>
          <w:color w:val="auto"/>
          <w:sz w:val="24"/>
          <w:highlight w:val="none"/>
        </w:rPr>
        <w:t>，并抄送自治区市场监管局。</w:t>
      </w:r>
    </w:p>
    <w:p w14:paraId="7198563C">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3.所有抽检数据须录入国抽平台。</w:t>
      </w:r>
    </w:p>
    <w:p w14:paraId="2442F84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highlight w:val="none"/>
        </w:rPr>
        <w:t>4.</w:t>
      </w:r>
      <w:r>
        <w:rPr>
          <w:rFonts w:hint="default" w:ascii="Times New Roman" w:hAnsi="Times New Roman" w:cs="Times New Roman"/>
          <w:color w:val="auto"/>
          <w:sz w:val="24"/>
          <w:highlight w:val="none"/>
        </w:rPr>
        <w:t>须形成半年及全年分析报告。</w:t>
      </w:r>
    </w:p>
    <w:p w14:paraId="6E6C2EFF">
      <w:pPr>
        <w:bidi w:val="0"/>
        <w:rPr>
          <w:rFonts w:hint="default"/>
          <w:b/>
          <w:bCs/>
          <w:color w:val="auto"/>
          <w:sz w:val="24"/>
          <w:szCs w:val="32"/>
          <w:highlight w:val="none"/>
        </w:rPr>
      </w:pPr>
      <w:r>
        <w:rPr>
          <w:rFonts w:hint="default"/>
          <w:b/>
          <w:bCs/>
          <w:color w:val="auto"/>
          <w:sz w:val="24"/>
          <w:szCs w:val="32"/>
          <w:highlight w:val="none"/>
        </w:rPr>
        <w:t>*其他要求：抽检餐饮服务食品应具备4小时内转运样品至实验室的能力（以新疆昆仑宾馆为起点，检测实验室为终点，通过两个以上地图类工具软件验证）</w:t>
      </w:r>
    </w:p>
    <w:p w14:paraId="69E6684F">
      <w:pPr>
        <w:bidi w:val="0"/>
        <w:rPr>
          <w:rFonts w:hint="default"/>
          <w:b/>
          <w:bCs/>
          <w:color w:val="auto"/>
          <w:sz w:val="24"/>
          <w:szCs w:val="32"/>
          <w:highlight w:val="none"/>
        </w:rPr>
      </w:pPr>
      <w:r>
        <w:rPr>
          <w:rFonts w:hint="default"/>
          <w:b/>
          <w:bCs/>
          <w:color w:val="auto"/>
          <w:sz w:val="24"/>
          <w:szCs w:val="32"/>
          <w:highlight w:val="none"/>
        </w:rPr>
        <w:t xml:space="preserve">    注：加*条款为重要条款，若不满足将导致符合性审查不合格。</w:t>
      </w:r>
    </w:p>
    <w:p w14:paraId="267A3E2C">
      <w:pPr>
        <w:keepNext w:val="0"/>
        <w:keepLines w:val="0"/>
        <w:pageBreakBefore w:val="0"/>
        <w:widowControl w:val="0"/>
        <w:kinsoku/>
        <w:wordWrap/>
        <w:overflowPunct/>
        <w:topLinePunct w:val="0"/>
        <w:bidi w:val="0"/>
        <w:spacing w:line="360" w:lineRule="auto"/>
        <w:ind w:firstLine="482" w:firstLineChars="200"/>
        <w:jc w:val="center"/>
        <w:textAlignment w:val="auto"/>
        <w:rPr>
          <w:rFonts w:hint="default" w:ascii="Times New Roman" w:hAnsi="Times New Roman" w:cs="Times New Roman"/>
          <w:b/>
          <w:bCs/>
          <w:color w:val="auto"/>
          <w:sz w:val="24"/>
          <w:highlight w:val="none"/>
        </w:rPr>
      </w:pPr>
    </w:p>
    <w:p w14:paraId="5003C7C2">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八、验收、续签合同、付款</w:t>
      </w:r>
    </w:p>
    <w:p w14:paraId="4C43EB89">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（一）验收</w:t>
      </w:r>
    </w:p>
    <w:p w14:paraId="255A24CD">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highlight w:val="none"/>
        </w:rPr>
      </w:pPr>
      <w:r>
        <w:rPr>
          <w:rFonts w:hint="eastAsia" w:ascii="宋体" w:hAnsi="宋体" w:eastAsia="宋体" w:cs="宋体"/>
          <w:color w:val="auto"/>
          <w:kern w:val="2"/>
          <w:sz w:val="24"/>
          <w:szCs w:val="24"/>
          <w:highlight w:val="none"/>
          <w:lang w:val="en-US" w:eastAsia="zh-CN" w:bidi="ar"/>
        </w:rPr>
        <w:t>乌鲁木齐市市场监督管理局（乌鲁木齐市知识产权局）按照合同执行情况，对该年度承担任务的承检机构进行质量验收，确认验收报告。</w:t>
      </w:r>
    </w:p>
    <w:p w14:paraId="1025FF53">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（二）项目办结及付款</w:t>
      </w:r>
    </w:p>
    <w:p w14:paraId="12405C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sectPr>
          <w:pgSz w:w="11906" w:h="16838"/>
          <w:pgMar w:top="1134" w:right="1417" w:bottom="1134" w:left="1417" w:header="851" w:footer="992" w:gutter="0"/>
          <w:cols w:space="425" w:num="1"/>
          <w:docGrid w:type="lines" w:linePitch="312" w:charSpace="0"/>
        </w:sectPr>
      </w:pPr>
      <w:r>
        <w:rPr>
          <w:rFonts w:hint="default" w:ascii="Times New Roman" w:hAnsi="Times New Roman" w:cs="Times New Roman"/>
          <w:color w:val="auto"/>
          <w:sz w:val="24"/>
          <w:highlight w:val="none"/>
        </w:rPr>
        <w:t>采购人凭项目合同、验收报告、发票原件在合同约定的时间内办理采购款支付手续。</w:t>
      </w:r>
    </w:p>
    <w:tbl>
      <w:tblPr>
        <w:tblStyle w:val="30"/>
        <w:tblW w:w="151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5"/>
        <w:gridCol w:w="1300"/>
        <w:gridCol w:w="1219"/>
        <w:gridCol w:w="1799"/>
        <w:gridCol w:w="5337"/>
        <w:gridCol w:w="3500"/>
        <w:gridCol w:w="850"/>
      </w:tblGrid>
      <w:tr w14:paraId="45471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4" w:hRule="atLeast"/>
          <w:jc w:val="center"/>
        </w:trPr>
        <w:tc>
          <w:tcPr>
            <w:tcW w:w="15150" w:type="dxa"/>
            <w:gridSpan w:val="7"/>
            <w:tcBorders>
              <w:top w:val="nil"/>
              <w:left w:val="nil"/>
              <w:bottom w:val="single" w:color="auto" w:sz="4" w:space="0"/>
              <w:right w:val="nil"/>
            </w:tcBorders>
            <w:shd w:val="clear" w:color="auto" w:fill="auto"/>
            <w:vAlign w:val="center"/>
          </w:tcPr>
          <w:p w14:paraId="4DC29A49">
            <w:pPr>
              <w:keepNext w:val="0"/>
              <w:keepLines w:val="0"/>
              <w:widowControl/>
              <w:suppressLineNumbers w:val="0"/>
              <w:tabs>
                <w:tab w:val="left" w:pos="7140"/>
              </w:tabs>
              <w:jc w:val="center"/>
              <w:textAlignment w:val="center"/>
              <w:rPr>
                <w:rFonts w:hint="default" w:ascii="Times New Roman" w:hAnsi="Times New Roman" w:eastAsia="方正小标宋_GBK" w:cs="Times New Roman"/>
                <w:i w:val="0"/>
                <w:iCs w:val="0"/>
                <w:color w:val="auto"/>
                <w:kern w:val="0"/>
                <w:sz w:val="40"/>
                <w:szCs w:val="40"/>
                <w:highlight w:val="none"/>
                <w:u w:val="none"/>
                <w:lang w:val="en-US" w:eastAsia="zh-CN" w:bidi="ar"/>
              </w:rPr>
            </w:pPr>
            <w:r>
              <w:rPr>
                <w:rFonts w:hint="default" w:ascii="Times New Roman" w:hAnsi="Times New Roman" w:eastAsia="方正小标宋_GBK" w:cs="Times New Roman"/>
                <w:i w:val="0"/>
                <w:iCs w:val="0"/>
                <w:color w:val="auto"/>
                <w:kern w:val="0"/>
                <w:sz w:val="40"/>
                <w:szCs w:val="40"/>
                <w:highlight w:val="none"/>
                <w:u w:val="none"/>
                <w:lang w:val="en-US" w:eastAsia="zh-CN" w:bidi="ar"/>
              </w:rPr>
              <w:t>2026年乌鲁木齐市</w:t>
            </w:r>
            <w:r>
              <w:rPr>
                <w:rFonts w:hint="eastAsia" w:ascii="Times New Roman" w:hAnsi="Times New Roman" w:eastAsia="方正小标宋_GBK" w:cs="Times New Roman"/>
                <w:i w:val="0"/>
                <w:iCs w:val="0"/>
                <w:color w:val="auto"/>
                <w:kern w:val="0"/>
                <w:sz w:val="40"/>
                <w:szCs w:val="40"/>
                <w:highlight w:val="none"/>
                <w:u w:val="none"/>
                <w:lang w:val="en-US" w:eastAsia="zh-CN" w:bidi="ar"/>
              </w:rPr>
              <w:t>市</w:t>
            </w:r>
            <w:r>
              <w:rPr>
                <w:rFonts w:hint="default" w:ascii="Times New Roman" w:hAnsi="Times New Roman" w:eastAsia="方正小标宋_GBK" w:cs="Times New Roman"/>
                <w:i w:val="0"/>
                <w:iCs w:val="0"/>
                <w:color w:val="auto"/>
                <w:kern w:val="0"/>
                <w:sz w:val="40"/>
                <w:szCs w:val="40"/>
                <w:highlight w:val="none"/>
                <w:u w:val="none"/>
                <w:lang w:val="en-US" w:eastAsia="zh-CN" w:bidi="ar"/>
              </w:rPr>
              <w:t>抽餐饮食品抽检任务分配表</w:t>
            </w:r>
          </w:p>
        </w:tc>
      </w:tr>
      <w:tr w14:paraId="301AE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1145" w:type="dxa"/>
            <w:tcBorders>
              <w:top w:val="single" w:color="auto" w:sz="4" w:space="0"/>
              <w:left w:val="single" w:color="000000" w:sz="4" w:space="0"/>
              <w:bottom w:val="single" w:color="000000" w:sz="4" w:space="0"/>
              <w:right w:val="single" w:color="000000" w:sz="4" w:space="0"/>
            </w:tcBorders>
            <w:shd w:val="clear" w:color="auto" w:fill="auto"/>
            <w:vAlign w:val="center"/>
          </w:tcPr>
          <w:p w14:paraId="056010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食品大类</w:t>
            </w:r>
          </w:p>
          <w:p w14:paraId="680A7F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（一级）</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center"/>
          </w:tcPr>
          <w:p w14:paraId="2F9B73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食品亚类</w:t>
            </w:r>
          </w:p>
          <w:p w14:paraId="33EBD7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（二级）</w:t>
            </w:r>
          </w:p>
        </w:tc>
        <w:tc>
          <w:tcPr>
            <w:tcW w:w="1219" w:type="dxa"/>
            <w:tcBorders>
              <w:top w:val="single" w:color="auto" w:sz="4" w:space="0"/>
              <w:left w:val="single" w:color="000000" w:sz="4" w:space="0"/>
              <w:bottom w:val="single" w:color="000000" w:sz="4" w:space="0"/>
              <w:right w:val="single" w:color="000000" w:sz="4" w:space="0"/>
            </w:tcBorders>
            <w:shd w:val="clear" w:color="auto" w:fill="auto"/>
            <w:vAlign w:val="center"/>
          </w:tcPr>
          <w:p w14:paraId="67AE5D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食品品种</w:t>
            </w:r>
          </w:p>
          <w:p w14:paraId="499042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（三级）</w:t>
            </w:r>
          </w:p>
        </w:tc>
        <w:tc>
          <w:tcPr>
            <w:tcW w:w="1799" w:type="dxa"/>
            <w:tcBorders>
              <w:top w:val="single" w:color="auto" w:sz="4" w:space="0"/>
              <w:left w:val="single" w:color="000000" w:sz="4" w:space="0"/>
              <w:bottom w:val="single" w:color="000000" w:sz="4" w:space="0"/>
              <w:right w:val="single" w:color="000000" w:sz="4" w:space="0"/>
            </w:tcBorders>
            <w:shd w:val="clear" w:color="auto" w:fill="auto"/>
            <w:vAlign w:val="center"/>
          </w:tcPr>
          <w:p w14:paraId="7B464C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食品细类</w:t>
            </w:r>
          </w:p>
          <w:p w14:paraId="0CD457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（四级）</w:t>
            </w:r>
          </w:p>
        </w:tc>
        <w:tc>
          <w:tcPr>
            <w:tcW w:w="5337" w:type="dxa"/>
            <w:tcBorders>
              <w:top w:val="single" w:color="auto" w:sz="4" w:space="0"/>
              <w:left w:val="single" w:color="000000" w:sz="4" w:space="0"/>
              <w:bottom w:val="single" w:color="000000" w:sz="4" w:space="0"/>
              <w:right w:val="single" w:color="000000" w:sz="4" w:space="0"/>
            </w:tcBorders>
            <w:shd w:val="clear" w:color="auto" w:fill="auto"/>
            <w:vAlign w:val="center"/>
          </w:tcPr>
          <w:p w14:paraId="14F759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抽检项目</w:t>
            </w:r>
          </w:p>
        </w:tc>
        <w:tc>
          <w:tcPr>
            <w:tcW w:w="3500" w:type="dxa"/>
            <w:tcBorders>
              <w:top w:val="single" w:color="auto" w:sz="4" w:space="0"/>
              <w:left w:val="single" w:color="000000" w:sz="4" w:space="0"/>
              <w:bottom w:val="single" w:color="000000" w:sz="4" w:space="0"/>
              <w:right w:val="single" w:color="000000" w:sz="4" w:space="0"/>
            </w:tcBorders>
            <w:shd w:val="clear" w:color="auto" w:fill="auto"/>
            <w:vAlign w:val="center"/>
          </w:tcPr>
          <w:p w14:paraId="6F40EB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区配套限定抽检品种及项目</w:t>
            </w:r>
          </w:p>
        </w:tc>
        <w:tc>
          <w:tcPr>
            <w:tcW w:w="850" w:type="dxa"/>
            <w:tcBorders>
              <w:top w:val="single" w:color="auto" w:sz="4" w:space="0"/>
              <w:left w:val="single" w:color="000000" w:sz="4" w:space="0"/>
              <w:bottom w:val="single" w:color="000000" w:sz="4" w:space="0"/>
              <w:right w:val="single" w:color="000000" w:sz="4" w:space="0"/>
            </w:tcBorders>
            <w:shd w:val="clear" w:color="auto" w:fill="auto"/>
            <w:vAlign w:val="center"/>
          </w:tcPr>
          <w:p w14:paraId="647F93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批次</w:t>
            </w:r>
          </w:p>
        </w:tc>
      </w:tr>
      <w:tr w14:paraId="4C8D2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jc w:val="center"/>
        </w:trPr>
        <w:tc>
          <w:tcPr>
            <w:tcW w:w="1145"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6DD137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餐饮食品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92FC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米面及其制品（自制）</w:t>
            </w:r>
          </w:p>
        </w:tc>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57E5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小麦粉制品（自制）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DF5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馒头花卷</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DF3D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脱氢乙酸及其钠盐（以脱氢乙酸计）、甜蜜素（以环己基氨基磺酸计）、铅（以Pb计）、合成着色剂（柠檬黄、日落黄、胭脂红、苋菜红、亮蓝）</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037D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F73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38</w:t>
            </w:r>
          </w:p>
        </w:tc>
      </w:tr>
      <w:tr w14:paraId="09628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3FC9BE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810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E26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3FB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包子（自制）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732F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苯甲酸及其钠盐（以苯甲酸计）、山梨酸及其钾盐（以山梨酸计）、糖精钠（以糖精计）、脱氢乙酸及其钠盐（以脱氢乙酸计）、甜蜜素（以环己基氨基磺酸计）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56C2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D77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27</w:t>
            </w:r>
          </w:p>
        </w:tc>
      </w:tr>
      <w:tr w14:paraId="584D8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2E1317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684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98F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157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其他生湿面制品（自制）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360E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9192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铅（以Pb计）、苯甲酸及其钠盐（以苯甲酸计）、山梨酸及其钾盐（以山梨酸计）、脱氢乙酸及其钠盐（以脱氢乙酸计）、柠檬黄、日落黄</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09E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22</w:t>
            </w:r>
          </w:p>
        </w:tc>
      </w:tr>
      <w:tr w14:paraId="0D23D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6886A0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771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D77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07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其他熟制面制品（自制）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CC2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B38D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柠檬黄、日落黄</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9AC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22</w:t>
            </w:r>
          </w:p>
        </w:tc>
      </w:tr>
      <w:tr w14:paraId="46B1A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423D7A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600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E8A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4C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其他油炸面制品（自制）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769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D2DB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478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49</w:t>
            </w:r>
          </w:p>
        </w:tc>
      </w:tr>
      <w:tr w14:paraId="3C908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61E096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6B0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371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94D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油饼油条</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9B4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A5B9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87E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52</w:t>
            </w:r>
          </w:p>
        </w:tc>
      </w:tr>
      <w:tr w14:paraId="28417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1D9011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DF2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F47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1EC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凉皮类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95A3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脱氢乙酸及其钠盐（以脱氢乙酸计）、柠檬黄</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25AC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732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28</w:t>
            </w:r>
          </w:p>
        </w:tc>
      </w:tr>
      <w:tr w14:paraId="7166A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3F013E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F44B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肉制品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CB12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熟肉制品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E1D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肉冻皮冻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1CA8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铬（以Cr计）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A7BA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A3A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12</w:t>
            </w:r>
          </w:p>
        </w:tc>
      </w:tr>
      <w:tr w14:paraId="47804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4CA68F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45D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E21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B06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熏烧烤肉类（自制）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7336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N-二甲基亚硝胺、苯并[a]芘、铅（以Pb计）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A1C2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同左，增加铬</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B03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41</w:t>
            </w:r>
          </w:p>
        </w:tc>
      </w:tr>
      <w:tr w14:paraId="63405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115B01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AF6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05D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50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油炸肉类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top"/>
          </w:tcPr>
          <w:p w14:paraId="6A3BBA2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C7FC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N-二甲基亚硝胺、苯甲酸及其钠盐（以苯甲酸计）、山梨酸及其钾盐（以山梨酸计）、合成着色剂（柠檬黄、日落黄）</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ED1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27</w:t>
            </w:r>
          </w:p>
        </w:tc>
      </w:tr>
      <w:tr w14:paraId="5E409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43139A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91E3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调味料（自制 ）</w:t>
            </w:r>
          </w:p>
        </w:tc>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B265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CA0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火锅麻辣烫底料（自制）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526B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罂粟碱、吗啡、可待因、那可丁</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31CD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3ED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27</w:t>
            </w:r>
          </w:p>
        </w:tc>
      </w:tr>
      <w:tr w14:paraId="1C642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35773D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097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0C4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8B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蘸料（自制）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B1C3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8A09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罂粟碱、吗啡、可待因、那可丁，黄曲霉毒素B₁（限花生酱检测）</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4B8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27</w:t>
            </w:r>
          </w:p>
        </w:tc>
      </w:tr>
      <w:tr w14:paraId="15633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0BEDEE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F0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水产制品（自制）</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82C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预制水产制品（自制）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F82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生食动物性水产品（自制）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6788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铝的残留量（以即食海蜇中Al计）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BE29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137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18</w:t>
            </w:r>
          </w:p>
        </w:tc>
      </w:tr>
      <w:tr w14:paraId="1565D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5A5922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804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坚果及籽类食品（自制 ）</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8E9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坚果及籽类食品（自制 ）</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0B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花生制品（自制 ）</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68E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黄曲霉毒素B₁ 、苯甲酸及其钠盐（以苯甲酸计）、山梨酸及其钾盐（以山梨酸计）、脱氢乙酸及其钠盐（以脱氢乙酸计）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CF1C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2E6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29</w:t>
            </w:r>
          </w:p>
        </w:tc>
      </w:tr>
      <w:tr w14:paraId="5F069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0B386D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7D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焙烤食品（自制）</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03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焙烤食品（自制）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A1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C6D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酸价（以脂肪计）（KOH）、过氧化值（以脂肪计）、山梨酸及其钾盐（以山梨酸计）、脱氢乙酸及其钠盐（以脱氢乙酸计）、铝的残留量（干样品，以Al计）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477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AFA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75</w:t>
            </w:r>
          </w:p>
        </w:tc>
      </w:tr>
      <w:tr w14:paraId="55980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8"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149926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3F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食用油、油脂及其制品（自制）</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2AE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食用油、油脂及其制品（自制）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652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煎炸过程用油</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001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极性组分、酸价（KOH）</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2ED6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200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64</w:t>
            </w:r>
          </w:p>
        </w:tc>
      </w:tr>
      <w:tr w14:paraId="33C12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34C0C3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68E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淀粉制品（自制）</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FA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粉丝粉条（自制）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CE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粉丝粉条（自制 ）</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1B5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铝的残留量（干样品，以Al计）、脱氢乙酸及其钠盐（以脱氢乙酸计）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7316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9BA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12</w:t>
            </w:r>
          </w:p>
        </w:tc>
      </w:tr>
      <w:tr w14:paraId="001F7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35D38A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3B01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9309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D5D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奶茶（自制）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C97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2CE2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B1D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49</w:t>
            </w:r>
          </w:p>
        </w:tc>
      </w:tr>
      <w:tr w14:paraId="7F7CF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jc w:val="center"/>
        </w:trPr>
        <w:tc>
          <w:tcPr>
            <w:tcW w:w="1145"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4315E8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62BDB8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161C22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auto" w:sz="4" w:space="0"/>
              <w:right w:val="single" w:color="000000" w:sz="4" w:space="0"/>
            </w:tcBorders>
            <w:shd w:val="clear" w:color="auto" w:fill="auto"/>
            <w:vAlign w:val="center"/>
          </w:tcPr>
          <w:p w14:paraId="776F4E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果蔬汁类及其饮料（自制）</w:t>
            </w:r>
          </w:p>
        </w:tc>
        <w:tc>
          <w:tcPr>
            <w:tcW w:w="5337" w:type="dxa"/>
            <w:tcBorders>
              <w:top w:val="single" w:color="000000" w:sz="4" w:space="0"/>
              <w:left w:val="single" w:color="000000" w:sz="4" w:space="0"/>
              <w:bottom w:val="single" w:color="auto" w:sz="4" w:space="0"/>
              <w:right w:val="single" w:color="000000" w:sz="4" w:space="0"/>
            </w:tcBorders>
            <w:shd w:val="clear" w:color="auto" w:fill="auto"/>
            <w:vAlign w:val="center"/>
          </w:tcPr>
          <w:p w14:paraId="58764B8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35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4F881E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甜蜜素（以环己基氨基磺酸钠计）、脱氢乙酸及其钠盐（以脱氢乙酸计）、合成着色剂（苋菜红、胭脂红、柠檬黄、日落黄、亮蓝）、防腐剂混合使用时各自用量占其最大使用量的比例之和</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585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49</w:t>
            </w:r>
          </w:p>
        </w:tc>
      </w:tr>
      <w:tr w14:paraId="2EB46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11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5793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902A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餐饮具</w:t>
            </w:r>
          </w:p>
        </w:tc>
        <w:tc>
          <w:tcPr>
            <w:tcW w:w="12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F12C8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复用餐饮具</w:t>
            </w:r>
          </w:p>
        </w:tc>
        <w:tc>
          <w:tcPr>
            <w:tcW w:w="1799" w:type="dxa"/>
            <w:tcBorders>
              <w:top w:val="single" w:color="auto" w:sz="4" w:space="0"/>
              <w:left w:val="single" w:color="auto" w:sz="4" w:space="0"/>
              <w:bottom w:val="single" w:color="auto" w:sz="4" w:space="0"/>
              <w:right w:val="single" w:color="auto" w:sz="4" w:space="0"/>
            </w:tcBorders>
            <w:shd w:val="clear" w:color="auto" w:fill="auto"/>
            <w:vAlign w:val="center"/>
          </w:tcPr>
          <w:p w14:paraId="46EB12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复用餐饮具</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（餐馆自行消毒</w:t>
            </w:r>
            <w:r>
              <w:rPr>
                <w:rFonts w:hint="default" w:ascii="Times New Roman" w:hAnsi="Times New Roman" w:eastAsia="宋体" w:cs="Times New Roman"/>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w:t>
            </w:r>
          </w:p>
        </w:tc>
        <w:tc>
          <w:tcPr>
            <w:tcW w:w="5337" w:type="dxa"/>
            <w:tcBorders>
              <w:top w:val="single" w:color="auto" w:sz="4" w:space="0"/>
              <w:left w:val="single" w:color="auto" w:sz="4" w:space="0"/>
              <w:bottom w:val="single" w:color="auto" w:sz="4" w:space="0"/>
              <w:right w:val="single" w:color="auto" w:sz="4" w:space="0"/>
            </w:tcBorders>
            <w:shd w:val="clear" w:color="auto" w:fill="auto"/>
            <w:vAlign w:val="center"/>
          </w:tcPr>
          <w:p w14:paraId="3EFA8B9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阴离子合成洗涤剂（以十二烷基苯磺酸钠计）、大肠菌群</w:t>
            </w:r>
          </w:p>
        </w:tc>
        <w:tc>
          <w:tcPr>
            <w:tcW w:w="35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06B4D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同左</w:t>
            </w:r>
          </w:p>
        </w:tc>
        <w:tc>
          <w:tcPr>
            <w:tcW w:w="85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645D91F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53</w:t>
            </w:r>
          </w:p>
        </w:tc>
      </w:tr>
      <w:tr w14:paraId="75EFB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jc w:val="center"/>
        </w:trPr>
        <w:tc>
          <w:tcPr>
            <w:tcW w:w="11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223A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D20921">
            <w:pPr>
              <w:jc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D026C9">
            <w:pPr>
              <w:jc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auto" w:sz="4" w:space="0"/>
              <w:left w:val="single" w:color="auto" w:sz="4" w:space="0"/>
              <w:bottom w:val="single" w:color="auto" w:sz="4" w:space="0"/>
              <w:right w:val="single" w:color="auto" w:sz="4" w:space="0"/>
            </w:tcBorders>
            <w:shd w:val="clear" w:color="auto" w:fill="auto"/>
            <w:vAlign w:val="center"/>
          </w:tcPr>
          <w:p w14:paraId="23B01F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复用餐饮具（集中清洗消毒服务单位消毒</w:t>
            </w:r>
            <w:r>
              <w:rPr>
                <w:rFonts w:hint="default" w:ascii="Times New Roman" w:hAnsi="Times New Roman" w:eastAsia="宋体" w:cs="Times New Roman"/>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w:t>
            </w:r>
          </w:p>
        </w:tc>
        <w:tc>
          <w:tcPr>
            <w:tcW w:w="5337" w:type="dxa"/>
            <w:tcBorders>
              <w:top w:val="single" w:color="auto" w:sz="4" w:space="0"/>
              <w:left w:val="single" w:color="auto" w:sz="4" w:space="0"/>
              <w:bottom w:val="single" w:color="auto" w:sz="4" w:space="0"/>
              <w:right w:val="single" w:color="auto" w:sz="4" w:space="0"/>
            </w:tcBorders>
            <w:shd w:val="clear" w:color="auto" w:fill="auto"/>
            <w:vAlign w:val="center"/>
          </w:tcPr>
          <w:p w14:paraId="36D1680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阴离子合成洗涤剂（以十二烷基苯磺酸钠计）、大肠菌群</w:t>
            </w:r>
          </w:p>
        </w:tc>
        <w:tc>
          <w:tcPr>
            <w:tcW w:w="35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D5FC0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同左</w:t>
            </w:r>
          </w:p>
        </w:tc>
        <w:tc>
          <w:tcPr>
            <w:tcW w:w="85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4D6543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13</w:t>
            </w:r>
          </w:p>
        </w:tc>
      </w:tr>
      <w:tr w14:paraId="1A602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jc w:val="center"/>
        </w:trPr>
        <w:tc>
          <w:tcPr>
            <w:tcW w:w="1430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8C19BE0">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合计</w:t>
            </w:r>
          </w:p>
        </w:tc>
        <w:tc>
          <w:tcPr>
            <w:tcW w:w="85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3CD975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734</w:t>
            </w:r>
          </w:p>
        </w:tc>
      </w:tr>
    </w:tbl>
    <w:p w14:paraId="4DB08014">
      <w:pPr>
        <w:pStyle w:val="2"/>
        <w:rPr>
          <w:rFonts w:hint="default" w:ascii="Times New Roman" w:hAnsi="Times New Roman" w:cs="Times New Roman"/>
          <w:color w:val="auto"/>
          <w:highlight w:val="none"/>
        </w:rPr>
        <w:sectPr>
          <w:pgSz w:w="16838" w:h="11906" w:orient="landscape"/>
          <w:pgMar w:top="1417" w:right="1134" w:bottom="1417" w:left="1134" w:header="851" w:footer="992" w:gutter="0"/>
          <w:cols w:space="425" w:num="1"/>
          <w:docGrid w:type="lines" w:linePitch="312" w:charSpace="0"/>
        </w:sectPr>
      </w:pPr>
    </w:p>
    <w:p w14:paraId="3DF21705">
      <w:pPr>
        <w:keepNext w:val="0"/>
        <w:keepLines w:val="0"/>
        <w:pageBreakBefore w:val="0"/>
        <w:widowControl w:val="0"/>
        <w:kinsoku/>
        <w:wordWrap/>
        <w:overflowPunct/>
        <w:topLinePunct w:val="0"/>
        <w:bidi w:val="0"/>
        <w:spacing w:line="360" w:lineRule="auto"/>
        <w:jc w:val="center"/>
        <w:textAlignment w:val="auto"/>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eastAsia="zh-CN"/>
        </w:rPr>
        <w:t>乌鲁木齐市市场监督管理局（乌鲁木齐市知识产权局）</w:t>
      </w:r>
      <w:r>
        <w:rPr>
          <w:rFonts w:hint="default" w:ascii="Times New Roman" w:hAnsi="Times New Roman" w:cs="Times New Roman"/>
          <w:b/>
          <w:bCs/>
          <w:color w:val="auto"/>
          <w:sz w:val="24"/>
          <w:highlight w:val="none"/>
        </w:rPr>
        <w:t>202</w:t>
      </w:r>
      <w:r>
        <w:rPr>
          <w:rFonts w:hint="eastAsia" w:ascii="Times New Roman" w:hAnsi="Times New Roman" w:cs="Times New Roman"/>
          <w:b/>
          <w:bCs/>
          <w:color w:val="auto"/>
          <w:sz w:val="24"/>
          <w:highlight w:val="none"/>
          <w:lang w:val="en-US" w:eastAsia="zh-CN"/>
        </w:rPr>
        <w:t>6</w:t>
      </w:r>
      <w:r>
        <w:rPr>
          <w:rFonts w:hint="default" w:ascii="Times New Roman" w:hAnsi="Times New Roman" w:cs="Times New Roman"/>
          <w:b/>
          <w:bCs/>
          <w:color w:val="auto"/>
          <w:sz w:val="24"/>
          <w:highlight w:val="none"/>
        </w:rPr>
        <w:t>年乌鲁木齐市食品安全监督抽检服务项目</w:t>
      </w:r>
    </w:p>
    <w:p w14:paraId="36CB415A">
      <w:pPr>
        <w:keepNext w:val="0"/>
        <w:keepLines w:val="0"/>
        <w:pageBreakBefore w:val="0"/>
        <w:widowControl w:val="0"/>
        <w:tabs>
          <w:tab w:val="center" w:pos="4832"/>
          <w:tab w:val="left" w:pos="7140"/>
        </w:tabs>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标项</w:t>
      </w:r>
      <w:r>
        <w:rPr>
          <w:rFonts w:hint="eastAsia" w:ascii="Times New Roman" w:hAnsi="Times New Roman" w:eastAsia="宋体" w:cs="Times New Roman"/>
          <w:b/>
          <w:color w:val="auto"/>
          <w:sz w:val="24"/>
          <w:szCs w:val="24"/>
          <w:highlight w:val="none"/>
          <w:lang w:val="en-US" w:eastAsia="zh-CN"/>
        </w:rPr>
        <w:t>七</w:t>
      </w:r>
      <w:r>
        <w:rPr>
          <w:rFonts w:hint="default" w:ascii="Times New Roman" w:hAnsi="Times New Roman" w:eastAsia="宋体" w:cs="Times New Roman"/>
          <w:b/>
          <w:color w:val="auto"/>
          <w:sz w:val="24"/>
          <w:szCs w:val="24"/>
          <w:highlight w:val="none"/>
          <w:lang w:val="en-US" w:eastAsia="zh-CN"/>
        </w:rPr>
        <w:t xml:space="preserve">  技术分册</w:t>
      </w:r>
    </w:p>
    <w:p w14:paraId="3C21DBD8">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一、工作任务</w:t>
      </w:r>
    </w:p>
    <w:p w14:paraId="7134E0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标项</w:t>
      </w:r>
      <w:r>
        <w:rPr>
          <w:rFonts w:hint="eastAsia" w:ascii="Times New Roman" w:hAnsi="Times New Roman" w:eastAsia="宋体" w:cs="Times New Roman"/>
          <w:color w:val="auto"/>
          <w:sz w:val="24"/>
          <w:highlight w:val="none"/>
          <w:lang w:val="en-US" w:eastAsia="zh-CN"/>
        </w:rPr>
        <w:t>七</w:t>
      </w:r>
      <w:r>
        <w:rPr>
          <w:rFonts w:hint="default" w:ascii="Times New Roman" w:hAnsi="Times New Roman" w:eastAsia="宋体" w:cs="Times New Roman"/>
          <w:color w:val="auto"/>
          <w:sz w:val="24"/>
          <w:highlight w:val="none"/>
        </w:rPr>
        <w:t>：202</w:t>
      </w:r>
      <w:r>
        <w:rPr>
          <w:rFonts w:hint="eastAsia"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年</w:t>
      </w:r>
      <w:r>
        <w:rPr>
          <w:rFonts w:hint="eastAsia" w:ascii="Times New Roman" w:hAnsi="Times New Roman" w:eastAsia="宋体" w:cs="Times New Roman"/>
          <w:color w:val="auto"/>
          <w:sz w:val="24"/>
          <w:highlight w:val="none"/>
          <w:lang w:eastAsia="zh-CN"/>
        </w:rPr>
        <w:t>乌鲁木齐市市场监督管理局（乌鲁木齐市知识产权局）</w:t>
      </w:r>
      <w:r>
        <w:rPr>
          <w:rFonts w:hint="default" w:ascii="Times New Roman" w:hAnsi="Times New Roman" w:eastAsia="宋体" w:cs="Times New Roman"/>
          <w:color w:val="auto"/>
          <w:sz w:val="24"/>
          <w:highlight w:val="none"/>
        </w:rPr>
        <w:t>餐饮市抽</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二</w:t>
      </w:r>
      <w:r>
        <w:rPr>
          <w:rFonts w:hint="eastAsia" w:ascii="Times New Roman" w:hAnsi="Times New Roman"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735</w:t>
      </w:r>
      <w:r>
        <w:rPr>
          <w:rFonts w:hint="default" w:ascii="Times New Roman" w:hAnsi="Times New Roman" w:eastAsia="宋体" w:cs="Times New Roman"/>
          <w:color w:val="auto"/>
          <w:sz w:val="24"/>
          <w:highlight w:val="none"/>
        </w:rPr>
        <w:t>批次，单价1400元/批次，总价</w:t>
      </w:r>
      <w:r>
        <w:rPr>
          <w:rFonts w:hint="default" w:ascii="Times New Roman" w:hAnsi="Times New Roman" w:eastAsia="宋体" w:cs="Times New Roman"/>
          <w:color w:val="auto"/>
          <w:kern w:val="0"/>
          <w:sz w:val="24"/>
          <w:szCs w:val="24"/>
          <w:highlight w:val="none"/>
        </w:rPr>
        <w:t>最高投标限价</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1029000</w:t>
      </w:r>
      <w:r>
        <w:rPr>
          <w:rFonts w:hint="default" w:ascii="Times New Roman" w:hAnsi="Times New Roman" w:eastAsia="宋体" w:cs="Times New Roman"/>
          <w:color w:val="auto"/>
          <w:sz w:val="24"/>
          <w:highlight w:val="none"/>
        </w:rPr>
        <w:t>元。</w:t>
      </w:r>
    </w:p>
    <w:p w14:paraId="2A27E2B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二、抽检对象、品种及项目</w:t>
      </w:r>
    </w:p>
    <w:p w14:paraId="3294C0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highlight w:val="none"/>
          <w:lang w:eastAsia="zh-CN"/>
        </w:rPr>
      </w:pPr>
      <w:r>
        <w:rPr>
          <w:rFonts w:hint="default" w:ascii="Times New Roman" w:hAnsi="Times New Roman" w:cs="Times New Roman"/>
          <w:color w:val="auto"/>
          <w:sz w:val="24"/>
          <w:highlight w:val="none"/>
        </w:rPr>
        <w:t>202</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年</w:t>
      </w:r>
      <w:r>
        <w:rPr>
          <w:rFonts w:hint="eastAsia" w:ascii="Times New Roman" w:hAnsi="Times New Roman" w:cs="Times New Roman"/>
          <w:color w:val="auto"/>
          <w:sz w:val="24"/>
          <w:highlight w:val="none"/>
          <w:lang w:eastAsia="zh-CN"/>
        </w:rPr>
        <w:t>乌鲁木齐市市场监督管理局（乌鲁木齐市知识产权局）</w:t>
      </w:r>
      <w:r>
        <w:rPr>
          <w:rFonts w:hint="default" w:ascii="Times New Roman" w:hAnsi="Times New Roman" w:cs="Times New Roman"/>
          <w:color w:val="auto"/>
          <w:sz w:val="24"/>
          <w:highlight w:val="none"/>
        </w:rPr>
        <w:t>餐饮</w:t>
      </w:r>
      <w:r>
        <w:rPr>
          <w:rFonts w:hint="default" w:ascii="Times New Roman" w:hAnsi="Times New Roman" w:cs="Times New Roman"/>
          <w:color w:val="auto"/>
          <w:sz w:val="24"/>
          <w:highlight w:val="none"/>
          <w:lang w:val="en-US" w:eastAsia="zh-CN"/>
        </w:rPr>
        <w:t>市抽</w:t>
      </w:r>
      <w:r>
        <w:rPr>
          <w:rFonts w:hint="default" w:ascii="Times New Roman" w:hAnsi="Times New Roman" w:cs="Times New Roman"/>
          <w:color w:val="auto"/>
          <w:sz w:val="24"/>
          <w:highlight w:val="none"/>
        </w:rPr>
        <w:t>抽检品种及检验项目详见招标文件附表。</w:t>
      </w:r>
    </w:p>
    <w:p w14:paraId="4EDBCC1D">
      <w:pPr>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抽样时间和频次</w:t>
      </w:r>
    </w:p>
    <w:p w14:paraId="02142EA0">
      <w:pPr>
        <w:keepNext w:val="0"/>
        <w:keepLines w:val="0"/>
        <w:pageBreakBefore w:val="0"/>
        <w:widowControl w:val="0"/>
        <w:kinsoku/>
        <w:wordWrap/>
        <w:overflowPunct/>
        <w:topLinePunct w:val="0"/>
        <w:autoSpaceDE/>
        <w:autoSpaceDN/>
        <w:bidi w:val="0"/>
        <w:adjustRightInd/>
        <w:snapToGrid/>
        <w:spacing w:line="360" w:lineRule="auto"/>
        <w:ind w:firstLine="352" w:firstLineChars="147"/>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应严格落实市级餐饮抽检时间与频次，均衡完成抽检任务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按</w:t>
      </w:r>
      <w:r>
        <w:rPr>
          <w:rFonts w:hint="default" w:ascii="Times New Roman" w:hAnsi="Times New Roman" w:eastAsia="宋体" w:cs="Times New Roman"/>
          <w:color w:val="auto"/>
          <w:sz w:val="24"/>
          <w:szCs w:val="24"/>
          <w:highlight w:val="none"/>
        </w:rPr>
        <w:t>规定期限完成。</w:t>
      </w:r>
    </w:p>
    <w:p w14:paraId="3BEC6DD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四、抽样场所</w:t>
      </w:r>
    </w:p>
    <w:p w14:paraId="741B7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1.为确保抽样的代表性、分散性和广泛性，抽样地点应覆盖全市所有区（县）、乡镇（农村）</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城市、乡镇（含农村和城乡接合部），抽检比例为6:4。</w:t>
      </w:r>
    </w:p>
    <w:p w14:paraId="46D51C07">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highlight w:val="none"/>
          <w:lang w:val="en-US" w:eastAsia="zh-CN"/>
        </w:rPr>
        <w:t>餐饮环节</w:t>
      </w:r>
      <w:r>
        <w:rPr>
          <w:rFonts w:hint="eastAsia" w:ascii="Times New Roman" w:hAnsi="Times New Roman" w:cs="Times New Roman"/>
          <w:color w:val="auto"/>
          <w:sz w:val="24"/>
          <w:highlight w:val="none"/>
          <w:lang w:val="en-US" w:eastAsia="zh-CN"/>
        </w:rPr>
        <w:t>开展一定批次的网络抽检。</w:t>
      </w:r>
    </w:p>
    <w:p w14:paraId="1569DF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.同一家餐饮单位一次抽样不得超过三个品种(各1批次)，抽样间隔不得少于3个月。</w:t>
      </w:r>
    </w:p>
    <w:p w14:paraId="531AC8A2">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.突出问题导向</w:t>
      </w:r>
      <w:r>
        <w:rPr>
          <w:rFonts w:hint="default" w:ascii="Times New Roman" w:hAnsi="Times New Roman" w:eastAsia="宋体" w:cs="Times New Roman"/>
          <w:color w:val="auto"/>
          <w:kern w:val="0"/>
          <w:sz w:val="24"/>
          <w:szCs w:val="20"/>
          <w:highlight w:val="none"/>
          <w:lang w:val="en-US" w:eastAsia="zh-CN" w:bidi="ar-SA"/>
        </w:rPr>
        <w:t>，突出在风险监测、监督检查、专项整治、案件稽查、应急处置等日常监管工作中发现存在较大隐患的食品。结合上一年度工作中发现的存在较大隐患的食品安全问题，将用餐群体主要为学生幼儿等敏感人群的学校托幼食堂提供的食品、旅游景区餐饮服务单位、发现滥用食用添加剂及可能违法添加非</w:t>
      </w:r>
      <w:r>
        <w:rPr>
          <w:rFonts w:hint="eastAsia" w:ascii="Times New Roman" w:hAnsi="Times New Roman" w:eastAsia="宋体" w:cs="Times New Roman"/>
          <w:color w:val="auto"/>
          <w:kern w:val="0"/>
          <w:sz w:val="24"/>
          <w:szCs w:val="20"/>
          <w:highlight w:val="none"/>
          <w:lang w:val="en-US" w:eastAsia="zh-CN" w:bidi="ar-SA"/>
        </w:rPr>
        <w:t>食</w:t>
      </w:r>
      <w:r>
        <w:rPr>
          <w:rFonts w:hint="default" w:ascii="Times New Roman" w:hAnsi="Times New Roman" w:eastAsia="宋体" w:cs="Times New Roman"/>
          <w:color w:val="auto"/>
          <w:kern w:val="0"/>
          <w:sz w:val="24"/>
          <w:szCs w:val="20"/>
          <w:highlight w:val="none"/>
          <w:lang w:val="en-US" w:eastAsia="zh-CN" w:bidi="ar-SA"/>
        </w:rPr>
        <w:t>用物质的食品列为重点抽检监测对象，加大抽检力度。</w:t>
      </w:r>
    </w:p>
    <w:p w14:paraId="5D641D98">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五、抽样检验</w:t>
      </w:r>
    </w:p>
    <w:p w14:paraId="3E4089ED">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抽样和检测等工作的实施应严格执行有关法律法规、规章以及《食品安全抽样检验管理办法》（总局第15号令）、《国家食品安全监督抽检实施细则（202</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年版）》等文件；抽样过程应严格按照监督抽检工作程序，履行相应的法定手续，应使用规范的抽样文书。</w:t>
      </w:r>
    </w:p>
    <w:p w14:paraId="74203944">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检验人员应按照食品安全标准和检验规范对食品进行检验，保证数据和结论客观、公正。承检机构对不合格样品必须进行复核，确保检验结果准确可靠。此外，检验报告编号应该与抽样编号保持一致（或是在检验报告封皮醒目处加注抽样编号），便于不合格样品的核查处置。</w:t>
      </w:r>
    </w:p>
    <w:p w14:paraId="1ECD7A62">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六、任务完成时限</w:t>
      </w:r>
    </w:p>
    <w:p w14:paraId="7F93F86F">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餐饮市抽</w:t>
      </w:r>
      <w:r>
        <w:rPr>
          <w:rFonts w:hint="default" w:ascii="Times New Roman" w:hAnsi="Times New Roman" w:eastAsia="宋体" w:cs="Times New Roman"/>
          <w:color w:val="auto"/>
          <w:sz w:val="24"/>
          <w:highlight w:val="none"/>
        </w:rPr>
        <w:t>为乌鲁木齐市本级任务。</w:t>
      </w:r>
    </w:p>
    <w:p w14:paraId="516B43EE">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需达到均衡抽检要求，</w:t>
      </w:r>
      <w:r>
        <w:rPr>
          <w:rFonts w:hint="default" w:ascii="Times New Roman" w:hAnsi="Times New Roman" w:eastAsia="宋体" w:cs="Times New Roman"/>
          <w:color w:val="auto"/>
          <w:sz w:val="24"/>
          <w:highlight w:val="none"/>
          <w:lang w:val="en-US" w:eastAsia="zh-CN"/>
        </w:rPr>
        <w:t>202</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lang w:val="en-US" w:eastAsia="zh-CN"/>
        </w:rPr>
        <w:t>年4</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30</w:t>
      </w:r>
      <w:r>
        <w:rPr>
          <w:rFonts w:hint="default" w:ascii="Times New Roman" w:hAnsi="Times New Roman" w:eastAsia="宋体" w:cs="Times New Roman"/>
          <w:color w:val="auto"/>
          <w:sz w:val="24"/>
          <w:highlight w:val="none"/>
        </w:rPr>
        <w:t>日前完成完成所有抽检任务。</w:t>
      </w:r>
    </w:p>
    <w:p w14:paraId="00CFD440">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七、数据报送</w:t>
      </w:r>
    </w:p>
    <w:p w14:paraId="774DFB9B">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1.承检机构应严格按照有关法律法规、规章和有关要求，将检验工作中发现的食品安全问题和有关检验报告及时上报组织实施抽检工作的市场监管部门。</w:t>
      </w:r>
    </w:p>
    <w:p w14:paraId="5BA43EE0">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2.发现不合格样品中可能存在重大风险隐患或急性健康风险的，应当在确认检验结果后24小时之内填写《食品安全抽样检验限时报告情况表》，报告</w:t>
      </w:r>
      <w:r>
        <w:rPr>
          <w:rFonts w:hint="eastAsia" w:ascii="Times New Roman" w:hAnsi="Times New Roman" w:cs="Times New Roman"/>
          <w:color w:val="auto"/>
          <w:sz w:val="24"/>
          <w:highlight w:val="none"/>
          <w:lang w:eastAsia="zh-CN"/>
        </w:rPr>
        <w:t>乌鲁木齐市市场监督管理局（乌鲁木齐市知识产权局）</w:t>
      </w:r>
      <w:r>
        <w:rPr>
          <w:rFonts w:hint="default" w:ascii="Times New Roman" w:hAnsi="Times New Roman" w:cs="Times New Roman"/>
          <w:color w:val="auto"/>
          <w:sz w:val="24"/>
          <w:highlight w:val="none"/>
        </w:rPr>
        <w:t>，并抄送自治区市场监管局。</w:t>
      </w:r>
    </w:p>
    <w:p w14:paraId="5BA9AEE7">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3.所有抽检数据须录入国抽平台。</w:t>
      </w:r>
    </w:p>
    <w:p w14:paraId="13CE18BD">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highlight w:val="none"/>
        </w:rPr>
        <w:t>4.</w:t>
      </w:r>
      <w:r>
        <w:rPr>
          <w:rFonts w:hint="default" w:ascii="Times New Roman" w:hAnsi="Times New Roman" w:cs="Times New Roman"/>
          <w:color w:val="auto"/>
          <w:sz w:val="24"/>
          <w:highlight w:val="none"/>
        </w:rPr>
        <w:t>须形成半年及全年分析报告。</w:t>
      </w:r>
    </w:p>
    <w:p w14:paraId="67842CE1">
      <w:pPr>
        <w:bidi w:val="0"/>
        <w:rPr>
          <w:rFonts w:hint="default" w:cs="Times New Roman"/>
          <w:b/>
          <w:bCs/>
          <w:color w:val="auto"/>
          <w:sz w:val="24"/>
          <w:szCs w:val="32"/>
          <w:highlight w:val="none"/>
        </w:rPr>
      </w:pPr>
      <w:r>
        <w:rPr>
          <w:rFonts w:hint="default" w:cs="Times New Roman"/>
          <w:b/>
          <w:bCs/>
          <w:color w:val="auto"/>
          <w:sz w:val="24"/>
          <w:szCs w:val="32"/>
          <w:highlight w:val="none"/>
        </w:rPr>
        <w:t>*其他要求：抽检餐饮服务食品应具备4小时内转运样品至实验室的能力（以新疆昆仑宾馆为起点，检测实验室为终点，通过两个以上地图类工具软件验证）</w:t>
      </w:r>
    </w:p>
    <w:p w14:paraId="5CF87B8C">
      <w:pPr>
        <w:bidi w:val="0"/>
        <w:rPr>
          <w:rFonts w:hint="default" w:cs="Times New Roman"/>
          <w:b/>
          <w:bCs/>
          <w:color w:val="auto"/>
          <w:sz w:val="24"/>
          <w:szCs w:val="32"/>
          <w:highlight w:val="none"/>
        </w:rPr>
      </w:pPr>
      <w:r>
        <w:rPr>
          <w:rFonts w:hint="default" w:cs="Times New Roman"/>
          <w:b/>
          <w:bCs/>
          <w:color w:val="auto"/>
          <w:sz w:val="24"/>
          <w:szCs w:val="32"/>
          <w:highlight w:val="none"/>
        </w:rPr>
        <w:t xml:space="preserve">    注：加*条款为重要条款，若不满足将导致符合性审查不合格。</w:t>
      </w:r>
    </w:p>
    <w:p w14:paraId="359FEC77">
      <w:pPr>
        <w:keepNext w:val="0"/>
        <w:keepLines w:val="0"/>
        <w:pageBreakBefore w:val="0"/>
        <w:widowControl w:val="0"/>
        <w:kinsoku/>
        <w:wordWrap/>
        <w:overflowPunct/>
        <w:topLinePunct w:val="0"/>
        <w:bidi w:val="0"/>
        <w:spacing w:line="360" w:lineRule="auto"/>
        <w:ind w:firstLine="482" w:firstLineChars="200"/>
        <w:jc w:val="center"/>
        <w:textAlignment w:val="auto"/>
        <w:rPr>
          <w:rFonts w:hint="default" w:ascii="Times New Roman" w:hAnsi="Times New Roman" w:cs="Times New Roman"/>
          <w:b/>
          <w:bCs/>
          <w:color w:val="auto"/>
          <w:sz w:val="24"/>
          <w:highlight w:val="none"/>
        </w:rPr>
      </w:pPr>
    </w:p>
    <w:p w14:paraId="60CBD426">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八、验收、续签合同、付款</w:t>
      </w:r>
    </w:p>
    <w:p w14:paraId="5391418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（一）验收</w:t>
      </w:r>
    </w:p>
    <w:p w14:paraId="79214318">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highlight w:val="none"/>
        </w:rPr>
      </w:pPr>
      <w:r>
        <w:rPr>
          <w:rFonts w:hint="eastAsia" w:ascii="宋体" w:hAnsi="宋体" w:eastAsia="宋体" w:cs="宋体"/>
          <w:color w:val="auto"/>
          <w:kern w:val="2"/>
          <w:sz w:val="24"/>
          <w:szCs w:val="24"/>
          <w:highlight w:val="none"/>
          <w:lang w:val="en-US" w:eastAsia="zh-CN" w:bidi="ar"/>
        </w:rPr>
        <w:t>乌鲁木齐市市场监督管理局（乌鲁木齐市知识产权局）按照合同执行情况，对该年度承担任务的承检机构进行质量验收，确认验收报告。</w:t>
      </w:r>
    </w:p>
    <w:p w14:paraId="2A8BAEFD">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（二）项目办结及付款</w:t>
      </w:r>
    </w:p>
    <w:p w14:paraId="1F3910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sectPr>
          <w:pgSz w:w="11906" w:h="16838"/>
          <w:pgMar w:top="1134" w:right="1417" w:bottom="1134" w:left="1417" w:header="851" w:footer="992" w:gutter="0"/>
          <w:cols w:space="425" w:num="1"/>
          <w:docGrid w:type="lines" w:linePitch="312" w:charSpace="0"/>
        </w:sectPr>
      </w:pPr>
      <w:r>
        <w:rPr>
          <w:rFonts w:hint="default" w:ascii="Times New Roman" w:hAnsi="Times New Roman" w:cs="Times New Roman"/>
          <w:color w:val="auto"/>
          <w:sz w:val="24"/>
          <w:highlight w:val="none"/>
        </w:rPr>
        <w:t>采购人凭项目合同、验收报告、发票原件在合同约定的时间内办理采购款支付手续。</w:t>
      </w:r>
    </w:p>
    <w:tbl>
      <w:tblPr>
        <w:tblStyle w:val="30"/>
        <w:tblW w:w="151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5"/>
        <w:gridCol w:w="1300"/>
        <w:gridCol w:w="1219"/>
        <w:gridCol w:w="1799"/>
        <w:gridCol w:w="5337"/>
        <w:gridCol w:w="3500"/>
        <w:gridCol w:w="850"/>
      </w:tblGrid>
      <w:tr w14:paraId="5BD34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15150" w:type="dxa"/>
            <w:gridSpan w:val="7"/>
            <w:tcBorders>
              <w:top w:val="nil"/>
              <w:left w:val="nil"/>
              <w:bottom w:val="single" w:color="auto" w:sz="4" w:space="0"/>
              <w:right w:val="nil"/>
            </w:tcBorders>
            <w:shd w:val="clear" w:color="auto" w:fill="auto"/>
            <w:vAlign w:val="center"/>
          </w:tcPr>
          <w:p w14:paraId="2C606D66">
            <w:pPr>
              <w:keepNext w:val="0"/>
              <w:keepLines w:val="0"/>
              <w:widowControl/>
              <w:suppressLineNumbers w:val="0"/>
              <w:tabs>
                <w:tab w:val="left" w:pos="7140"/>
              </w:tabs>
              <w:jc w:val="center"/>
              <w:textAlignment w:val="center"/>
              <w:rPr>
                <w:rFonts w:hint="default" w:ascii="Times New Roman" w:hAnsi="Times New Roman" w:eastAsia="方正小标宋_GBK" w:cs="Times New Roman"/>
                <w:i w:val="0"/>
                <w:iCs w:val="0"/>
                <w:color w:val="auto"/>
                <w:kern w:val="0"/>
                <w:sz w:val="40"/>
                <w:szCs w:val="40"/>
                <w:highlight w:val="none"/>
                <w:u w:val="none"/>
                <w:lang w:val="en-US" w:eastAsia="zh-CN" w:bidi="ar"/>
              </w:rPr>
            </w:pPr>
            <w:r>
              <w:rPr>
                <w:rFonts w:hint="default" w:ascii="Times New Roman" w:hAnsi="Times New Roman" w:eastAsia="方正小标宋_GBK" w:cs="Times New Roman"/>
                <w:i w:val="0"/>
                <w:iCs w:val="0"/>
                <w:color w:val="auto"/>
                <w:kern w:val="0"/>
                <w:sz w:val="40"/>
                <w:szCs w:val="40"/>
                <w:highlight w:val="none"/>
                <w:u w:val="none"/>
                <w:lang w:val="en-US" w:eastAsia="zh-CN" w:bidi="ar"/>
              </w:rPr>
              <w:t>2026年乌鲁木齐市</w:t>
            </w:r>
            <w:r>
              <w:rPr>
                <w:rFonts w:hint="eastAsia" w:ascii="Times New Roman" w:hAnsi="Times New Roman" w:eastAsia="方正小标宋_GBK" w:cs="Times New Roman"/>
                <w:i w:val="0"/>
                <w:iCs w:val="0"/>
                <w:color w:val="auto"/>
                <w:kern w:val="0"/>
                <w:sz w:val="40"/>
                <w:szCs w:val="40"/>
                <w:highlight w:val="none"/>
                <w:u w:val="none"/>
                <w:lang w:val="en-US" w:eastAsia="zh-CN" w:bidi="ar"/>
              </w:rPr>
              <w:t>市</w:t>
            </w:r>
            <w:r>
              <w:rPr>
                <w:rFonts w:hint="default" w:ascii="Times New Roman" w:hAnsi="Times New Roman" w:eastAsia="方正小标宋_GBK" w:cs="Times New Roman"/>
                <w:i w:val="0"/>
                <w:iCs w:val="0"/>
                <w:color w:val="auto"/>
                <w:kern w:val="0"/>
                <w:sz w:val="40"/>
                <w:szCs w:val="40"/>
                <w:highlight w:val="none"/>
                <w:u w:val="none"/>
                <w:lang w:val="en-US" w:eastAsia="zh-CN" w:bidi="ar"/>
              </w:rPr>
              <w:t>抽餐饮食品抽检任务分配表</w:t>
            </w:r>
          </w:p>
        </w:tc>
      </w:tr>
      <w:tr w14:paraId="501B6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1145" w:type="dxa"/>
            <w:tcBorders>
              <w:top w:val="single" w:color="auto" w:sz="4" w:space="0"/>
              <w:left w:val="single" w:color="000000" w:sz="4" w:space="0"/>
              <w:bottom w:val="single" w:color="000000" w:sz="4" w:space="0"/>
              <w:right w:val="single" w:color="000000" w:sz="4" w:space="0"/>
            </w:tcBorders>
            <w:shd w:val="clear" w:color="auto" w:fill="auto"/>
            <w:vAlign w:val="center"/>
          </w:tcPr>
          <w:p w14:paraId="3B7938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食品大类</w:t>
            </w:r>
          </w:p>
          <w:p w14:paraId="071BBC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（一级）</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center"/>
          </w:tcPr>
          <w:p w14:paraId="0EF6FF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食品亚类</w:t>
            </w:r>
          </w:p>
          <w:p w14:paraId="24378F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（二级）</w:t>
            </w:r>
          </w:p>
        </w:tc>
        <w:tc>
          <w:tcPr>
            <w:tcW w:w="1219" w:type="dxa"/>
            <w:tcBorders>
              <w:top w:val="single" w:color="auto" w:sz="4" w:space="0"/>
              <w:left w:val="single" w:color="000000" w:sz="4" w:space="0"/>
              <w:bottom w:val="single" w:color="000000" w:sz="4" w:space="0"/>
              <w:right w:val="single" w:color="000000" w:sz="4" w:space="0"/>
            </w:tcBorders>
            <w:shd w:val="clear" w:color="auto" w:fill="auto"/>
            <w:vAlign w:val="center"/>
          </w:tcPr>
          <w:p w14:paraId="6CA7D8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食品品种</w:t>
            </w:r>
          </w:p>
          <w:p w14:paraId="0402FD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（三级）</w:t>
            </w:r>
          </w:p>
        </w:tc>
        <w:tc>
          <w:tcPr>
            <w:tcW w:w="1799" w:type="dxa"/>
            <w:tcBorders>
              <w:top w:val="single" w:color="auto" w:sz="4" w:space="0"/>
              <w:left w:val="single" w:color="000000" w:sz="4" w:space="0"/>
              <w:bottom w:val="single" w:color="000000" w:sz="4" w:space="0"/>
              <w:right w:val="single" w:color="000000" w:sz="4" w:space="0"/>
            </w:tcBorders>
            <w:shd w:val="clear" w:color="auto" w:fill="auto"/>
            <w:vAlign w:val="center"/>
          </w:tcPr>
          <w:p w14:paraId="3DCA71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食品细类</w:t>
            </w:r>
          </w:p>
          <w:p w14:paraId="47F49E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（四级）</w:t>
            </w:r>
          </w:p>
        </w:tc>
        <w:tc>
          <w:tcPr>
            <w:tcW w:w="5337" w:type="dxa"/>
            <w:tcBorders>
              <w:top w:val="single" w:color="auto" w:sz="4" w:space="0"/>
              <w:left w:val="single" w:color="000000" w:sz="4" w:space="0"/>
              <w:bottom w:val="single" w:color="000000" w:sz="4" w:space="0"/>
              <w:right w:val="single" w:color="000000" w:sz="4" w:space="0"/>
            </w:tcBorders>
            <w:shd w:val="clear" w:color="auto" w:fill="auto"/>
            <w:vAlign w:val="center"/>
          </w:tcPr>
          <w:p w14:paraId="2DABCF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抽检项目</w:t>
            </w:r>
          </w:p>
        </w:tc>
        <w:tc>
          <w:tcPr>
            <w:tcW w:w="3500" w:type="dxa"/>
            <w:tcBorders>
              <w:top w:val="single" w:color="auto" w:sz="4" w:space="0"/>
              <w:left w:val="single" w:color="000000" w:sz="4" w:space="0"/>
              <w:bottom w:val="single" w:color="000000" w:sz="4" w:space="0"/>
              <w:right w:val="single" w:color="000000" w:sz="4" w:space="0"/>
            </w:tcBorders>
            <w:shd w:val="clear" w:color="auto" w:fill="auto"/>
            <w:vAlign w:val="center"/>
          </w:tcPr>
          <w:p w14:paraId="733528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区配套限定抽检品种及项目</w:t>
            </w:r>
          </w:p>
        </w:tc>
        <w:tc>
          <w:tcPr>
            <w:tcW w:w="850" w:type="dxa"/>
            <w:tcBorders>
              <w:top w:val="single" w:color="auto" w:sz="4" w:space="0"/>
              <w:left w:val="single" w:color="000000" w:sz="4" w:space="0"/>
              <w:bottom w:val="single" w:color="000000" w:sz="4" w:space="0"/>
              <w:right w:val="single" w:color="000000" w:sz="4" w:space="0"/>
            </w:tcBorders>
            <w:shd w:val="clear" w:color="auto" w:fill="auto"/>
            <w:vAlign w:val="center"/>
          </w:tcPr>
          <w:p w14:paraId="7DFE40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批次</w:t>
            </w:r>
          </w:p>
        </w:tc>
      </w:tr>
      <w:tr w14:paraId="68DC8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jc w:val="center"/>
        </w:trPr>
        <w:tc>
          <w:tcPr>
            <w:tcW w:w="1145"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2D3103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餐饮食品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C24F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米面及其制品（自制）</w:t>
            </w:r>
          </w:p>
        </w:tc>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0E2F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小麦粉制品（自制）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A48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馒头花卷</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71C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脱氢乙酸及其钠盐（以脱氢乙酸计）、甜蜜素（以环己基氨基磺酸计）、铅（以Pb计）、合成着色剂（柠檬黄、日落黄、胭脂红、苋菜红、亮蓝）</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79BB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CD5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38</w:t>
            </w:r>
          </w:p>
        </w:tc>
      </w:tr>
      <w:tr w14:paraId="00741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1AA0B9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A5F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437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108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包子（自制）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1131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苯甲酸及其钠盐（以苯甲酸计）、山梨酸及其钾盐（以山梨酸计）、糖精钠（以糖精计）、脱氢乙酸及其钠盐（以脱氢乙酸计）、甜蜜素（以环己基氨基磺酸计）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ED67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5B3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27</w:t>
            </w:r>
          </w:p>
        </w:tc>
      </w:tr>
      <w:tr w14:paraId="35C2B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2F1CDC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8EA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13E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D6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其他生湿面制品（自制）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7F94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DA3B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铅（以Pb计）、苯甲酸及其钠盐（以苯甲酸计）、山梨酸及其钾盐（以山梨酸计）、脱氢乙酸及其钠盐（以脱氢乙酸计）、柠檬黄、日落黄</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5F3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22</w:t>
            </w:r>
          </w:p>
        </w:tc>
      </w:tr>
      <w:tr w14:paraId="44F42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7A471A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00F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DB3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B0E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其他熟制面制品（自制）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5D0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FBCD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柠檬黄、日落黄</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F8E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22</w:t>
            </w:r>
          </w:p>
        </w:tc>
      </w:tr>
      <w:tr w14:paraId="4E57B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13A302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D3C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E4B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ED8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其他油炸面制品（自制）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F94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BC54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4F7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49</w:t>
            </w:r>
          </w:p>
        </w:tc>
      </w:tr>
      <w:tr w14:paraId="34139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0539EE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B93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D01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E8D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油饼油条</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0E2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AAE8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8DF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52</w:t>
            </w:r>
          </w:p>
        </w:tc>
      </w:tr>
      <w:tr w14:paraId="32BAE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2DA2CF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E5E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EE5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47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凉皮类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368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脱氢乙酸及其钠盐（以脱氢乙酸计）、柠檬黄</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7D37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F3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28</w:t>
            </w:r>
          </w:p>
        </w:tc>
      </w:tr>
      <w:tr w14:paraId="3339B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009042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D6E1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肉制品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809D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熟肉制品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EB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肉冻皮冻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30F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铬（以Cr计）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738B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85F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12</w:t>
            </w:r>
          </w:p>
        </w:tc>
      </w:tr>
      <w:tr w14:paraId="100E9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52D9BC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F48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B76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8DB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熏烧烤肉类（自制）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432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N-二甲基亚硝胺、苯并[a]芘、铅（以Pb计）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1063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同左，增加铬</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689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41</w:t>
            </w:r>
          </w:p>
        </w:tc>
      </w:tr>
      <w:tr w14:paraId="65FBF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75A255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D00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744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1B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油炸肉类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top"/>
          </w:tcPr>
          <w:p w14:paraId="25371CC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3E4E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N-二甲基亚硝胺、苯甲酸及其钠盐（以苯甲酸计）、山梨酸及其钾盐（以山梨酸计）、合成着色剂（柠檬黄、日落黄）</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C3E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27</w:t>
            </w:r>
          </w:p>
        </w:tc>
      </w:tr>
      <w:tr w14:paraId="3280B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1C4F6D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DA89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调味料（自制 ）</w:t>
            </w:r>
          </w:p>
        </w:tc>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E15D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D0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火锅麻辣烫底料（自制）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F8E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罂粟碱、吗啡、可待因、那可丁</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E3BC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D2D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27</w:t>
            </w:r>
          </w:p>
        </w:tc>
      </w:tr>
      <w:tr w14:paraId="4E1ED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08F1CC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C21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A11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8EA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蘸料（自制）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8BE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EAEC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罂粟碱、吗啡、可待因、那可丁，黄曲霉毒素B₁（限花生酱检测）</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1AC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27</w:t>
            </w:r>
          </w:p>
        </w:tc>
      </w:tr>
      <w:tr w14:paraId="1A245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617CD3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10F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水产制品（自制）</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541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预制水产制品（自制）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83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生食动物性水产品（自制）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8A0A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铝的残留量（以即食海蜇中Al计）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FA0B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F8B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19</w:t>
            </w:r>
          </w:p>
        </w:tc>
      </w:tr>
      <w:tr w14:paraId="4E108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4385E4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E8A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坚果及籽类食品（自制 ）</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7F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坚果及籽类食品（自制 ）</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F8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花生制品（自制 ）</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9008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黄曲霉毒素B₁ 、苯甲酸及其钠盐（以苯甲酸计）、山梨酸及其钾盐（以山梨酸计）、脱氢乙酸及其钠盐（以脱氢乙酸计）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E06C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A6F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29</w:t>
            </w:r>
          </w:p>
        </w:tc>
      </w:tr>
      <w:tr w14:paraId="59457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188349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13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焙烤食品（自制）</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81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焙烤食品（自制）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9F8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4D11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酸价（以脂肪计）（KOH）、过氧化值（以脂肪计）、山梨酸及其钾盐（以山梨酸计）、脱氢乙酸及其钠盐（以脱氢乙酸计）、铝的残留量（干样品，以Al计）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EA5E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984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75</w:t>
            </w:r>
          </w:p>
        </w:tc>
      </w:tr>
      <w:tr w14:paraId="42137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8"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0C90C1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5AC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食用油、油脂及其制品（自制）</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847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食用油、油脂及其制品（自制）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74C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煎炸过程用油</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70A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极性组分、酸价（KOH）</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7CA2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502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64</w:t>
            </w:r>
          </w:p>
        </w:tc>
      </w:tr>
      <w:tr w14:paraId="11F85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215876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6A0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淀粉制品（自制）</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ED5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粉丝粉条（自制）</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7C8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粉丝粉条（自制 ）</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D9A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铝的残留量（干样品，以Al计）、脱氢乙酸及其钠盐（以脱氢乙酸计）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9B80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DFD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12</w:t>
            </w:r>
          </w:p>
        </w:tc>
      </w:tr>
      <w:tr w14:paraId="3DFED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1145"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19DC52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0453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ECC7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（自制 ）</w:t>
            </w:r>
          </w:p>
        </w:tc>
        <w:tc>
          <w:tcPr>
            <w:tcW w:w="17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E7E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奶茶（自制）</w:t>
            </w:r>
          </w:p>
        </w:tc>
        <w:tc>
          <w:tcPr>
            <w:tcW w:w="5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07F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w:t>
            </w:r>
          </w:p>
        </w:tc>
        <w:tc>
          <w:tcPr>
            <w:tcW w:w="35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174E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2D0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49</w:t>
            </w:r>
          </w:p>
        </w:tc>
      </w:tr>
      <w:tr w14:paraId="53914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1145"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153567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65BDB9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3C9D9A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000000" w:sz="4" w:space="0"/>
              <w:left w:val="single" w:color="000000" w:sz="4" w:space="0"/>
              <w:bottom w:val="single" w:color="auto" w:sz="4" w:space="0"/>
              <w:right w:val="single" w:color="000000" w:sz="4" w:space="0"/>
            </w:tcBorders>
            <w:shd w:val="clear" w:color="auto" w:fill="auto"/>
            <w:vAlign w:val="center"/>
          </w:tcPr>
          <w:p w14:paraId="74CFF9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果蔬汁类及其饮料（自制）</w:t>
            </w:r>
          </w:p>
        </w:tc>
        <w:tc>
          <w:tcPr>
            <w:tcW w:w="5337" w:type="dxa"/>
            <w:tcBorders>
              <w:top w:val="single" w:color="000000" w:sz="4" w:space="0"/>
              <w:left w:val="single" w:color="000000" w:sz="4" w:space="0"/>
              <w:bottom w:val="single" w:color="auto" w:sz="4" w:space="0"/>
              <w:right w:val="single" w:color="000000" w:sz="4" w:space="0"/>
            </w:tcBorders>
            <w:shd w:val="clear" w:color="auto" w:fill="auto"/>
            <w:vAlign w:val="center"/>
          </w:tcPr>
          <w:p w14:paraId="27CCE7E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w:t>
            </w:r>
          </w:p>
        </w:tc>
        <w:tc>
          <w:tcPr>
            <w:tcW w:w="35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582F73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糖精钠（以糖精计）、甜蜜素（以环己基氨基磺酸钠计）、脱氢乙酸及其钠盐（以脱氢乙酸计）、合成着色剂（苋菜红、胭脂红、柠檬黄、日落黄、亮蓝）、防腐剂混合使用时各自用量占其最大使用量的比例之和</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89B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49</w:t>
            </w:r>
          </w:p>
        </w:tc>
      </w:tr>
      <w:tr w14:paraId="7D59D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11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A353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3CA6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餐饮具</w:t>
            </w:r>
          </w:p>
        </w:tc>
        <w:tc>
          <w:tcPr>
            <w:tcW w:w="12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633AC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复用餐饮具</w:t>
            </w:r>
          </w:p>
        </w:tc>
        <w:tc>
          <w:tcPr>
            <w:tcW w:w="1799" w:type="dxa"/>
            <w:tcBorders>
              <w:top w:val="single" w:color="auto" w:sz="4" w:space="0"/>
              <w:left w:val="single" w:color="auto" w:sz="4" w:space="0"/>
              <w:bottom w:val="single" w:color="auto" w:sz="4" w:space="0"/>
              <w:right w:val="single" w:color="auto" w:sz="4" w:space="0"/>
            </w:tcBorders>
            <w:shd w:val="clear" w:color="auto" w:fill="auto"/>
            <w:vAlign w:val="center"/>
          </w:tcPr>
          <w:p w14:paraId="2E760B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复用餐饮具</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（餐馆自行消毒</w:t>
            </w:r>
            <w:r>
              <w:rPr>
                <w:rFonts w:hint="default" w:ascii="Times New Roman" w:hAnsi="Times New Roman" w:eastAsia="宋体" w:cs="Times New Roman"/>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w:t>
            </w:r>
          </w:p>
        </w:tc>
        <w:tc>
          <w:tcPr>
            <w:tcW w:w="5337" w:type="dxa"/>
            <w:tcBorders>
              <w:top w:val="single" w:color="auto" w:sz="4" w:space="0"/>
              <w:left w:val="single" w:color="auto" w:sz="4" w:space="0"/>
              <w:bottom w:val="single" w:color="auto" w:sz="4" w:space="0"/>
              <w:right w:val="single" w:color="auto" w:sz="4" w:space="0"/>
            </w:tcBorders>
            <w:shd w:val="clear" w:color="auto" w:fill="auto"/>
            <w:vAlign w:val="center"/>
          </w:tcPr>
          <w:p w14:paraId="0C0A31E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阴离子合成洗涤剂（以十二烷基苯磺酸钠计）、大肠菌群</w:t>
            </w:r>
          </w:p>
        </w:tc>
        <w:tc>
          <w:tcPr>
            <w:tcW w:w="35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D4E19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同左</w:t>
            </w:r>
          </w:p>
        </w:tc>
        <w:tc>
          <w:tcPr>
            <w:tcW w:w="85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53DDC9D8">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53</w:t>
            </w:r>
          </w:p>
        </w:tc>
      </w:tr>
      <w:tr w14:paraId="2D3C6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11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F1F3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373E26">
            <w:pPr>
              <w:jc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24E2BD">
            <w:pPr>
              <w:jc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799" w:type="dxa"/>
            <w:tcBorders>
              <w:top w:val="single" w:color="auto" w:sz="4" w:space="0"/>
              <w:left w:val="single" w:color="auto" w:sz="4" w:space="0"/>
              <w:bottom w:val="single" w:color="auto" w:sz="4" w:space="0"/>
              <w:right w:val="single" w:color="auto" w:sz="4" w:space="0"/>
            </w:tcBorders>
            <w:shd w:val="clear" w:color="auto" w:fill="auto"/>
            <w:vAlign w:val="center"/>
          </w:tcPr>
          <w:p w14:paraId="45B7C2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复用餐饮具（集中清洗消毒服务单位消毒</w:t>
            </w:r>
            <w:r>
              <w:rPr>
                <w:rFonts w:hint="default" w:ascii="Times New Roman" w:hAnsi="Times New Roman" w:eastAsia="宋体" w:cs="Times New Roman"/>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t>）</w:t>
            </w:r>
          </w:p>
        </w:tc>
        <w:tc>
          <w:tcPr>
            <w:tcW w:w="5337" w:type="dxa"/>
            <w:tcBorders>
              <w:top w:val="single" w:color="auto" w:sz="4" w:space="0"/>
              <w:left w:val="single" w:color="auto" w:sz="4" w:space="0"/>
              <w:bottom w:val="single" w:color="auto" w:sz="4" w:space="0"/>
              <w:right w:val="single" w:color="auto" w:sz="4" w:space="0"/>
            </w:tcBorders>
            <w:shd w:val="clear" w:color="auto" w:fill="auto"/>
            <w:vAlign w:val="center"/>
          </w:tcPr>
          <w:p w14:paraId="4A1C530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阴离子合成洗涤剂（以十二烷基苯磺酸钠计）、大肠菌群</w:t>
            </w:r>
          </w:p>
        </w:tc>
        <w:tc>
          <w:tcPr>
            <w:tcW w:w="35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C4193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同左</w:t>
            </w:r>
          </w:p>
        </w:tc>
        <w:tc>
          <w:tcPr>
            <w:tcW w:w="85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4F0E3EA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13</w:t>
            </w:r>
          </w:p>
        </w:tc>
      </w:tr>
      <w:tr w14:paraId="115C5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jc w:val="center"/>
        </w:trPr>
        <w:tc>
          <w:tcPr>
            <w:tcW w:w="1430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B9294BC">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合计</w:t>
            </w:r>
          </w:p>
        </w:tc>
        <w:tc>
          <w:tcPr>
            <w:tcW w:w="850" w:type="dxa"/>
            <w:tcBorders>
              <w:top w:val="single" w:color="000000" w:sz="4" w:space="0"/>
              <w:left w:val="single" w:color="auto" w:sz="4" w:space="0"/>
              <w:bottom w:val="single" w:color="000000" w:sz="4" w:space="0"/>
              <w:right w:val="single" w:color="000000" w:sz="4" w:space="0"/>
            </w:tcBorders>
            <w:shd w:val="clear" w:color="auto" w:fill="auto"/>
            <w:noWrap/>
            <w:vAlign w:val="center"/>
          </w:tcPr>
          <w:p w14:paraId="777C58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735</w:t>
            </w:r>
          </w:p>
        </w:tc>
      </w:tr>
    </w:tbl>
    <w:p w14:paraId="46319413">
      <w:pPr>
        <w:pStyle w:val="2"/>
        <w:rPr>
          <w:rFonts w:hint="default" w:ascii="Times New Roman" w:hAnsi="Times New Roman" w:cs="Times New Roman"/>
          <w:color w:val="auto"/>
          <w:highlight w:val="none"/>
        </w:rPr>
        <w:sectPr>
          <w:pgSz w:w="16838" w:h="11906" w:orient="landscape"/>
          <w:pgMar w:top="1417" w:right="1134" w:bottom="1417" w:left="1134" w:header="851" w:footer="992" w:gutter="0"/>
          <w:cols w:space="425" w:num="1"/>
          <w:docGrid w:type="lines" w:linePitch="312" w:charSpace="0"/>
        </w:sectPr>
      </w:pPr>
    </w:p>
    <w:p w14:paraId="6781C9B5">
      <w:pPr>
        <w:keepNext w:val="0"/>
        <w:keepLines w:val="0"/>
        <w:pageBreakBefore w:val="0"/>
        <w:widowControl w:val="0"/>
        <w:kinsoku/>
        <w:wordWrap/>
        <w:overflowPunct/>
        <w:topLinePunct w:val="0"/>
        <w:bidi w:val="0"/>
        <w:spacing w:line="360" w:lineRule="auto"/>
        <w:jc w:val="center"/>
        <w:textAlignment w:val="auto"/>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eastAsia="zh-CN"/>
        </w:rPr>
        <w:t>乌鲁木齐市市场监督管理局（乌鲁木齐市知识产权局）</w:t>
      </w:r>
      <w:r>
        <w:rPr>
          <w:rFonts w:hint="default" w:ascii="Times New Roman" w:hAnsi="Times New Roman" w:cs="Times New Roman"/>
          <w:b/>
          <w:bCs/>
          <w:color w:val="auto"/>
          <w:sz w:val="24"/>
          <w:highlight w:val="none"/>
        </w:rPr>
        <w:t>202</w:t>
      </w:r>
      <w:r>
        <w:rPr>
          <w:rFonts w:hint="eastAsia" w:ascii="Times New Roman" w:hAnsi="Times New Roman" w:cs="Times New Roman"/>
          <w:b/>
          <w:bCs/>
          <w:color w:val="auto"/>
          <w:sz w:val="24"/>
          <w:highlight w:val="none"/>
          <w:lang w:val="en-US" w:eastAsia="zh-CN"/>
        </w:rPr>
        <w:t>6</w:t>
      </w:r>
      <w:r>
        <w:rPr>
          <w:rFonts w:hint="default" w:ascii="Times New Roman" w:hAnsi="Times New Roman" w:cs="Times New Roman"/>
          <w:b/>
          <w:bCs/>
          <w:color w:val="auto"/>
          <w:sz w:val="24"/>
          <w:highlight w:val="none"/>
        </w:rPr>
        <w:t>年乌鲁木齐市食品安全监督抽检服务项目</w:t>
      </w:r>
    </w:p>
    <w:p w14:paraId="43653EEC">
      <w:pPr>
        <w:keepNext w:val="0"/>
        <w:keepLines w:val="0"/>
        <w:pageBreakBefore w:val="0"/>
        <w:widowControl w:val="0"/>
        <w:tabs>
          <w:tab w:val="center" w:pos="4832"/>
          <w:tab w:val="left" w:pos="7140"/>
        </w:tabs>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标项</w:t>
      </w:r>
      <w:r>
        <w:rPr>
          <w:rFonts w:hint="eastAsia" w:ascii="Times New Roman" w:hAnsi="Times New Roman" w:eastAsia="宋体" w:cs="Times New Roman"/>
          <w:b/>
          <w:color w:val="auto"/>
          <w:sz w:val="24"/>
          <w:szCs w:val="24"/>
          <w:highlight w:val="none"/>
          <w:lang w:val="en-US" w:eastAsia="zh-CN"/>
        </w:rPr>
        <w:t xml:space="preserve">八  </w:t>
      </w:r>
      <w:r>
        <w:rPr>
          <w:rFonts w:hint="default" w:ascii="Times New Roman" w:hAnsi="Times New Roman" w:eastAsia="宋体" w:cs="Times New Roman"/>
          <w:b/>
          <w:color w:val="auto"/>
          <w:sz w:val="24"/>
          <w:szCs w:val="24"/>
          <w:highlight w:val="none"/>
          <w:lang w:val="en-US" w:eastAsia="zh-CN"/>
        </w:rPr>
        <w:t>技术分册</w:t>
      </w:r>
    </w:p>
    <w:p w14:paraId="1265557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一、工作任务</w:t>
      </w:r>
    </w:p>
    <w:p w14:paraId="15D5FF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标项</w:t>
      </w:r>
      <w:r>
        <w:rPr>
          <w:rFonts w:hint="eastAsia" w:ascii="Times New Roman" w:hAnsi="Times New Roman" w:eastAsia="宋体" w:cs="Times New Roman"/>
          <w:color w:val="auto"/>
          <w:sz w:val="24"/>
          <w:szCs w:val="24"/>
          <w:highlight w:val="none"/>
          <w:lang w:val="en-US" w:eastAsia="zh-CN"/>
        </w:rPr>
        <w:t>八</w:t>
      </w:r>
      <w:r>
        <w:rPr>
          <w:rFonts w:hint="default"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eastAsia="zh-CN"/>
        </w:rPr>
        <w:t>乌鲁木齐市市场监督管理局（乌鲁木齐市知识产权局）</w:t>
      </w:r>
      <w:r>
        <w:rPr>
          <w:rFonts w:hint="default" w:ascii="Times New Roman" w:hAnsi="Times New Roman" w:eastAsia="宋体" w:cs="Times New Roman"/>
          <w:color w:val="auto"/>
          <w:sz w:val="24"/>
          <w:szCs w:val="24"/>
          <w:highlight w:val="none"/>
        </w:rPr>
        <w:t>预包装食品抽检5</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0批次</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单价</w:t>
      </w:r>
      <w:r>
        <w:rPr>
          <w:rFonts w:hint="default" w:ascii="Times New Roman" w:hAnsi="Times New Roman" w:eastAsia="宋体" w:cs="Times New Roman"/>
          <w:color w:val="auto"/>
          <w:kern w:val="0"/>
          <w:sz w:val="24"/>
          <w:szCs w:val="24"/>
          <w:highlight w:val="none"/>
        </w:rPr>
        <w:t>最高投标限价：</w:t>
      </w:r>
      <w:r>
        <w:rPr>
          <w:rFonts w:hint="eastAsia" w:ascii="Times New Roman" w:hAnsi="Times New Roman" w:eastAsia="宋体" w:cs="Times New Roman"/>
          <w:color w:val="auto"/>
          <w:sz w:val="24"/>
          <w:szCs w:val="24"/>
          <w:highlight w:val="none"/>
          <w:lang w:val="en-US" w:eastAsia="zh-CN"/>
        </w:rPr>
        <w:t>1729</w:t>
      </w:r>
      <w:r>
        <w:rPr>
          <w:rFonts w:hint="default" w:ascii="Times New Roman" w:hAnsi="Times New Roman" w:eastAsia="宋体" w:cs="Times New Roman"/>
          <w:color w:val="auto"/>
          <w:sz w:val="24"/>
          <w:szCs w:val="24"/>
          <w:highlight w:val="none"/>
        </w:rPr>
        <w:t>元</w:t>
      </w:r>
      <w:r>
        <w:rPr>
          <w:rFonts w:hint="default" w:ascii="Times New Roman" w:hAnsi="Times New Roman" w:eastAsia="宋体" w:cs="Times New Roman"/>
          <w:color w:val="auto"/>
          <w:kern w:val="0"/>
          <w:sz w:val="24"/>
          <w:szCs w:val="24"/>
          <w:highlight w:val="none"/>
        </w:rPr>
        <w:t>/批次</w:t>
      </w:r>
      <w:r>
        <w:rPr>
          <w:rFonts w:hint="default" w:ascii="Times New Roman" w:hAnsi="Times New Roman" w:eastAsia="宋体" w:cs="Times New Roman"/>
          <w:color w:val="auto"/>
          <w:sz w:val="24"/>
          <w:szCs w:val="24"/>
          <w:highlight w:val="none"/>
        </w:rPr>
        <w:t>，总价</w:t>
      </w:r>
      <w:r>
        <w:rPr>
          <w:rFonts w:hint="default" w:ascii="Times New Roman" w:hAnsi="Times New Roman" w:eastAsia="宋体" w:cs="Times New Roman"/>
          <w:color w:val="auto"/>
          <w:kern w:val="0"/>
          <w:sz w:val="24"/>
          <w:szCs w:val="24"/>
          <w:highlight w:val="none"/>
        </w:rPr>
        <w:t>最高投标限价</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1002820</w:t>
      </w:r>
      <w:r>
        <w:rPr>
          <w:rFonts w:hint="default" w:ascii="Times New Roman" w:hAnsi="Times New Roman" w:eastAsia="宋体" w:cs="Times New Roman"/>
          <w:color w:val="auto"/>
          <w:sz w:val="24"/>
          <w:szCs w:val="24"/>
          <w:highlight w:val="none"/>
        </w:rPr>
        <w:t>元。</w:t>
      </w:r>
    </w:p>
    <w:p w14:paraId="18C4CFC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二、抽检对象、品种及项目</w:t>
      </w:r>
    </w:p>
    <w:p w14:paraId="5C2803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eastAsia="zh-CN"/>
        </w:rPr>
        <w:t>乌鲁木齐市市场监督管理局（乌鲁木齐市知识产权局）</w:t>
      </w:r>
      <w:r>
        <w:rPr>
          <w:rFonts w:hint="default" w:ascii="Times New Roman" w:hAnsi="Times New Roman" w:eastAsia="宋体" w:cs="Times New Roman"/>
          <w:color w:val="auto"/>
          <w:sz w:val="24"/>
          <w:szCs w:val="24"/>
          <w:highlight w:val="none"/>
        </w:rPr>
        <w:t>预包装食品抽检5</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0批次，预包装抽检品种及检验项目详见附表。</w:t>
      </w:r>
    </w:p>
    <w:p w14:paraId="1FD6164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三、抽样时间和频次</w:t>
      </w:r>
    </w:p>
    <w:p w14:paraId="1EB819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应根据全市食品经营企业</w:t>
      </w:r>
      <w:r>
        <w:rPr>
          <w:rFonts w:hint="eastAsia" w:ascii="Times New Roman" w:hAnsi="Times New Roman" w:eastAsia="宋体" w:cs="Times New Roman"/>
          <w:color w:val="auto"/>
          <w:sz w:val="24"/>
          <w:szCs w:val="24"/>
          <w:highlight w:val="none"/>
          <w:lang w:eastAsia="zh-CN"/>
        </w:rPr>
        <w:t>销售预包装食品</w:t>
      </w:r>
      <w:r>
        <w:rPr>
          <w:rFonts w:hint="default" w:ascii="Times New Roman" w:hAnsi="Times New Roman" w:eastAsia="宋体" w:cs="Times New Roman"/>
          <w:color w:val="auto"/>
          <w:sz w:val="24"/>
          <w:szCs w:val="24"/>
          <w:highlight w:val="none"/>
        </w:rPr>
        <w:t>的不同特点、交易场所数量、消费量等，按比例确定抽样频次和数量。</w:t>
      </w:r>
    </w:p>
    <w:p w14:paraId="4CF44F6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四、抽样场所</w:t>
      </w:r>
    </w:p>
    <w:p w14:paraId="46A411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1.为确保抽样的代表性、分散性和广泛性，抽样地点应覆盖全市所有区（县）、乡镇（农村）</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城市、乡镇（含农村和城乡接合部），抽检比例为6:4。</w:t>
      </w:r>
    </w:p>
    <w:p w14:paraId="10C64577">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2.抽样要突出</w:t>
      </w:r>
      <w:r>
        <w:rPr>
          <w:rFonts w:hint="eastAsia" w:ascii="Times New Roman" w:hAnsi="Times New Roman" w:eastAsia="宋体" w:cs="Times New Roman"/>
          <w:color w:val="auto"/>
          <w:sz w:val="24"/>
          <w:szCs w:val="24"/>
          <w:highlight w:val="none"/>
          <w:lang w:val="en-US" w:eastAsia="zh-CN"/>
        </w:rPr>
        <w:t>新疆地产</w:t>
      </w:r>
      <w:r>
        <w:rPr>
          <w:rFonts w:hint="default" w:ascii="Times New Roman" w:hAnsi="Times New Roman" w:eastAsia="宋体" w:cs="Times New Roman"/>
          <w:color w:val="auto"/>
          <w:sz w:val="24"/>
          <w:szCs w:val="24"/>
          <w:highlight w:val="none"/>
        </w:rPr>
        <w:t>特色</w:t>
      </w:r>
      <w:r>
        <w:rPr>
          <w:rFonts w:hint="eastAsia" w:ascii="Times New Roman" w:hAnsi="Times New Roman" w:eastAsia="宋体" w:cs="Times New Roman"/>
          <w:color w:val="auto"/>
          <w:sz w:val="24"/>
          <w:szCs w:val="24"/>
          <w:highlight w:val="none"/>
          <w:lang w:val="en-US" w:eastAsia="zh-CN"/>
        </w:rPr>
        <w:t>预包装</w:t>
      </w:r>
      <w:r>
        <w:rPr>
          <w:rFonts w:hint="default" w:ascii="Times New Roman" w:hAnsi="Times New Roman" w:eastAsia="宋体" w:cs="Times New Roman"/>
          <w:color w:val="auto"/>
          <w:sz w:val="24"/>
          <w:szCs w:val="24"/>
          <w:highlight w:val="none"/>
        </w:rPr>
        <w:t>食品</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针对农村集市抽检调味品、</w:t>
      </w:r>
      <w:r>
        <w:rPr>
          <w:rFonts w:hint="eastAsia" w:ascii="Times New Roman" w:hAnsi="Times New Roman" w:eastAsia="宋体" w:cs="Times New Roman"/>
          <w:color w:val="auto"/>
          <w:sz w:val="24"/>
          <w:szCs w:val="24"/>
          <w:highlight w:val="none"/>
          <w:lang w:val="en-US" w:eastAsia="zh-CN"/>
        </w:rPr>
        <w:t>蜂蜜、肉制品、食用油、</w:t>
      </w:r>
      <w:r>
        <w:rPr>
          <w:rFonts w:hint="default" w:ascii="Times New Roman" w:hAnsi="Times New Roman" w:eastAsia="宋体" w:cs="Times New Roman"/>
          <w:color w:val="auto"/>
          <w:sz w:val="24"/>
          <w:szCs w:val="24"/>
          <w:highlight w:val="none"/>
          <w:lang w:val="en-US" w:eastAsia="zh-CN"/>
        </w:rPr>
        <w:t>散装食品</w:t>
      </w:r>
      <w:r>
        <w:rPr>
          <w:rFonts w:hint="eastAsia"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lang w:val="en-US" w:eastAsia="zh-CN"/>
        </w:rPr>
        <w:t>高风险品类，严</w:t>
      </w:r>
      <w:r>
        <w:rPr>
          <w:rFonts w:hint="eastAsia" w:ascii="Times New Roman" w:hAnsi="Times New Roman" w:eastAsia="宋体" w:cs="Times New Roman"/>
          <w:color w:val="auto"/>
          <w:sz w:val="24"/>
          <w:szCs w:val="24"/>
          <w:highlight w:val="none"/>
          <w:lang w:val="en-US" w:eastAsia="zh-CN"/>
        </w:rPr>
        <w:t>打“三无”</w:t>
      </w:r>
      <w:r>
        <w:rPr>
          <w:rFonts w:hint="default" w:ascii="Times New Roman" w:hAnsi="Times New Roman" w:eastAsia="宋体" w:cs="Times New Roman"/>
          <w:color w:val="auto"/>
          <w:sz w:val="24"/>
          <w:szCs w:val="24"/>
          <w:highlight w:val="none"/>
          <w:lang w:val="en-US" w:eastAsia="zh-CN"/>
        </w:rPr>
        <w:t>产品。</w:t>
      </w:r>
    </w:p>
    <w:p w14:paraId="5C620972">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3</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在本地流通环节抽检一定数量的外省产品，原则上不超过总任务数的</w:t>
      </w:r>
      <w:r>
        <w:rPr>
          <w:rFonts w:hint="eastAsia" w:ascii="Times New Roman" w:hAnsi="Times New Roman"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0%</w:t>
      </w:r>
      <w:r>
        <w:rPr>
          <w:rFonts w:hint="eastAsia" w:ascii="Times New Roman" w:hAnsi="Times New Roman" w:cs="Times New Roman"/>
          <w:color w:val="auto"/>
          <w:kern w:val="2"/>
          <w:sz w:val="24"/>
          <w:szCs w:val="24"/>
          <w:highlight w:val="none"/>
          <w:lang w:val="en-US" w:eastAsia="zh-CN" w:bidi="ar-SA"/>
        </w:rPr>
        <w:t>。</w:t>
      </w:r>
    </w:p>
    <w:p w14:paraId="5E868790">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4.需覆盖学校周边商超。</w:t>
      </w:r>
    </w:p>
    <w:p w14:paraId="069260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.不得集中在部分区域、部分商超集中抽样。</w:t>
      </w:r>
    </w:p>
    <w:p w14:paraId="2611EF2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五、抽样检验</w:t>
      </w:r>
    </w:p>
    <w:p w14:paraId="7F14A9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抽样和检测等工作的实施应严格执行有关法律法规、规章以及《食品安全抽样检验管理办法》（总局第15号令）、《国家食品安全监督抽检实施细则（202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年版）》；抽样过程应严格按照监督抽检工作程序，履行相应的法定手续，应使用规范的抽样文书。</w:t>
      </w:r>
    </w:p>
    <w:p w14:paraId="2948A3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验人员应按照食品安全标准和检验规范对食品进行检验，保证数据和结论客观、公正。承检机构对不合格样品必须进行复核，确保检验结果准确可靠。此外，检验报告编号应该与抽样编号保持一致（或是在检验报告封皮醒目处加注抽样编号），便于不合格样品的核查处置。</w:t>
      </w:r>
    </w:p>
    <w:p w14:paraId="3FAFEE0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六、任务完成时限</w:t>
      </w:r>
    </w:p>
    <w:p w14:paraId="3509EE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预包装抽检任务为乌鲁木齐市本级任务。</w:t>
      </w:r>
    </w:p>
    <w:p w14:paraId="48FA03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需达到均衡抽检要求，</w:t>
      </w:r>
      <w:r>
        <w:rPr>
          <w:rFonts w:hint="eastAsia" w:ascii="Times New Roman" w:hAnsi="Times New Roman" w:eastAsia="宋体" w:cs="Times New Roman"/>
          <w:color w:val="auto"/>
          <w:sz w:val="24"/>
          <w:highlight w:val="none"/>
          <w:lang w:val="en-US" w:eastAsia="zh-CN"/>
        </w:rPr>
        <w:t>2027年4</w:t>
      </w:r>
      <w:r>
        <w:rPr>
          <w:rFonts w:hint="default" w:ascii="Times New Roman" w:hAnsi="Times New Roman" w:eastAsia="宋体" w:cs="Times New Roman"/>
          <w:color w:val="auto"/>
          <w:sz w:val="24"/>
          <w:highlight w:val="none"/>
        </w:rPr>
        <w:t>月</w:t>
      </w:r>
      <w:r>
        <w:rPr>
          <w:rFonts w:hint="eastAsia" w:ascii="Times New Roman" w:hAnsi="Times New Roman" w:eastAsia="宋体" w:cs="Times New Roman"/>
          <w:color w:val="auto"/>
          <w:sz w:val="24"/>
          <w:highlight w:val="none"/>
          <w:lang w:val="en-US" w:eastAsia="zh-CN"/>
        </w:rPr>
        <w:t>30</w:t>
      </w:r>
      <w:r>
        <w:rPr>
          <w:rFonts w:hint="default" w:ascii="Times New Roman" w:hAnsi="Times New Roman" w:eastAsia="宋体" w:cs="Times New Roman"/>
          <w:color w:val="auto"/>
          <w:sz w:val="24"/>
          <w:highlight w:val="none"/>
        </w:rPr>
        <w:t>日前完成完成所有抽检任务。</w:t>
      </w:r>
    </w:p>
    <w:p w14:paraId="67CBFD0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七、数据报送</w:t>
      </w:r>
    </w:p>
    <w:p w14:paraId="1DBCA7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1.承检机构应严格按照有关法律法规、规章和有关要求，将检验工作中发现的食品安全问题和有关检验报告及时上报组织实施抽检工作的市场监管部门。</w:t>
      </w:r>
    </w:p>
    <w:p w14:paraId="0FE23D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2.发现不合格样品中可能存在重大风险隐患或急性健康风险的，应当在确认检验结果后24小时之内填写《食品安全抽样检验限时报告情况表》，报告</w:t>
      </w:r>
      <w:r>
        <w:rPr>
          <w:rFonts w:hint="eastAsia" w:ascii="Times New Roman" w:hAnsi="Times New Roman" w:eastAsia="宋体" w:cs="Times New Roman"/>
          <w:color w:val="auto"/>
          <w:sz w:val="24"/>
          <w:szCs w:val="24"/>
          <w:highlight w:val="none"/>
          <w:lang w:eastAsia="zh-CN"/>
        </w:rPr>
        <w:t>乌鲁木齐市市场监督管理局（乌鲁木齐市知识产权局）</w:t>
      </w:r>
      <w:r>
        <w:rPr>
          <w:rFonts w:hint="default" w:ascii="Times New Roman" w:hAnsi="Times New Roman" w:eastAsia="宋体" w:cs="Times New Roman"/>
          <w:color w:val="auto"/>
          <w:sz w:val="24"/>
          <w:szCs w:val="24"/>
          <w:highlight w:val="none"/>
        </w:rPr>
        <w:t>，并抄送自治区市场监管局。</w:t>
      </w:r>
    </w:p>
    <w:p w14:paraId="10C678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3.所有抽检数据须录入国抽平台。</w:t>
      </w:r>
    </w:p>
    <w:p w14:paraId="4B3919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w:t>
      </w:r>
      <w:r>
        <w:rPr>
          <w:rFonts w:hint="eastAsia" w:ascii="宋体" w:hAnsi="宋体" w:cs="宋体"/>
          <w:color w:val="auto"/>
          <w:sz w:val="24"/>
          <w:highlight w:val="none"/>
        </w:rPr>
        <w:t>须形成半年及全年分析报告</w:t>
      </w:r>
      <w:r>
        <w:rPr>
          <w:rFonts w:hint="eastAsia" w:ascii="宋体" w:hAnsi="宋体" w:cs="宋体"/>
          <w:color w:val="auto"/>
          <w:sz w:val="24"/>
          <w:highlight w:val="none"/>
          <w:lang w:eastAsia="zh-CN"/>
        </w:rPr>
        <w:t>，根据临时任务形成专项分析报告</w:t>
      </w:r>
      <w:r>
        <w:rPr>
          <w:rFonts w:hint="default" w:ascii="Times New Roman" w:hAnsi="Times New Roman" w:eastAsia="宋体" w:cs="Times New Roman"/>
          <w:color w:val="auto"/>
          <w:sz w:val="24"/>
          <w:szCs w:val="24"/>
          <w:highlight w:val="none"/>
        </w:rPr>
        <w:t>。</w:t>
      </w:r>
    </w:p>
    <w:p w14:paraId="60CE2335">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八、验收、续签合同、付款</w:t>
      </w:r>
    </w:p>
    <w:p w14:paraId="2D6E8A61">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（一）验收</w:t>
      </w:r>
    </w:p>
    <w:p w14:paraId="63A8FADC">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highlight w:val="none"/>
        </w:rPr>
      </w:pPr>
      <w:r>
        <w:rPr>
          <w:rFonts w:hint="eastAsia" w:ascii="宋体" w:hAnsi="宋体" w:eastAsia="宋体" w:cs="宋体"/>
          <w:color w:val="auto"/>
          <w:kern w:val="2"/>
          <w:sz w:val="24"/>
          <w:szCs w:val="24"/>
          <w:highlight w:val="none"/>
          <w:lang w:val="en-US" w:eastAsia="zh-CN" w:bidi="ar"/>
        </w:rPr>
        <w:t>乌鲁木齐市市场监督管理局（乌鲁木齐市知识产权局）按照合同执行情况，对该年度承担任务的承检机构进行质量验收，确认验收报告。</w:t>
      </w:r>
    </w:p>
    <w:p w14:paraId="3B6F9D7B">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（二）项目办结及付款</w:t>
      </w:r>
    </w:p>
    <w:p w14:paraId="065F81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采购人凭项目合同、验收报告、发票原件在合同约定的时间内办理采购款支付手续。</w:t>
      </w:r>
    </w:p>
    <w:p w14:paraId="159810AD">
      <w:pP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br w:type="page"/>
      </w:r>
    </w:p>
    <w:p w14:paraId="56F53384">
      <w:pPr>
        <w:pStyle w:val="2"/>
        <w:rPr>
          <w:rFonts w:hint="default"/>
          <w:color w:val="auto"/>
          <w:highlight w:val="none"/>
        </w:rPr>
        <w:sectPr>
          <w:pgSz w:w="11906" w:h="16838"/>
          <w:pgMar w:top="1134" w:right="1417" w:bottom="1134" w:left="1417" w:header="851" w:footer="992" w:gutter="0"/>
          <w:cols w:space="425" w:num="1"/>
          <w:docGrid w:type="lines" w:linePitch="312" w:charSpace="0"/>
        </w:sectPr>
      </w:pPr>
    </w:p>
    <w:tbl>
      <w:tblPr>
        <w:tblStyle w:val="30"/>
        <w:tblpPr w:leftFromText="180" w:rightFromText="180" w:vertAnchor="text" w:horzAnchor="page" w:tblpX="632" w:tblpY="423"/>
        <w:tblOverlap w:val="never"/>
        <w:tblW w:w="157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0"/>
        <w:gridCol w:w="1300"/>
        <w:gridCol w:w="1300"/>
        <w:gridCol w:w="1249"/>
        <w:gridCol w:w="1666"/>
        <w:gridCol w:w="6722"/>
        <w:gridCol w:w="1791"/>
        <w:gridCol w:w="998"/>
      </w:tblGrid>
      <w:tr w14:paraId="27B0D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2" w:hRule="atLeast"/>
        </w:trPr>
        <w:tc>
          <w:tcPr>
            <w:tcW w:w="14788" w:type="dxa"/>
            <w:gridSpan w:val="7"/>
            <w:tcBorders>
              <w:top w:val="nil"/>
              <w:left w:val="nil"/>
              <w:bottom w:val="single" w:color="auto" w:sz="4" w:space="0"/>
              <w:right w:val="nil"/>
            </w:tcBorders>
            <w:shd w:val="clear" w:color="auto" w:fill="auto"/>
            <w:vAlign w:val="center"/>
          </w:tcPr>
          <w:p w14:paraId="32648E8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Style w:val="76"/>
                <w:rFonts w:hint="default" w:ascii="Times New Roman" w:hAnsi="Times New Roman" w:cs="Times New Roman"/>
                <w:b/>
                <w:bCs/>
                <w:color w:val="auto"/>
                <w:highlight w:val="none"/>
                <w:lang w:val="en-US" w:eastAsia="zh-CN" w:bidi="ar"/>
              </w:rPr>
            </w:pPr>
            <w:r>
              <w:rPr>
                <w:rStyle w:val="76"/>
                <w:rFonts w:hint="eastAsia" w:ascii="宋体" w:hAnsi="宋体" w:eastAsia="宋体" w:cs="宋体"/>
                <w:b/>
                <w:bCs/>
                <w:color w:val="auto"/>
                <w:sz w:val="44"/>
                <w:szCs w:val="44"/>
                <w:highlight w:val="none"/>
                <w:lang w:val="en-US" w:eastAsia="zh-CN" w:bidi="ar"/>
              </w:rPr>
              <w:t>2026年乌鲁木齐预包装食品安全监督抽检任务分配表</w:t>
            </w:r>
          </w:p>
        </w:tc>
        <w:tc>
          <w:tcPr>
            <w:tcW w:w="998" w:type="dxa"/>
            <w:tcBorders>
              <w:top w:val="nil"/>
              <w:left w:val="nil"/>
              <w:bottom w:val="single" w:color="auto" w:sz="4" w:space="0"/>
              <w:right w:val="nil"/>
            </w:tcBorders>
            <w:shd w:val="clear" w:color="auto" w:fill="auto"/>
            <w:vAlign w:val="center"/>
          </w:tcPr>
          <w:p w14:paraId="6E6FCA8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Style w:val="76"/>
                <w:rFonts w:hint="eastAsia" w:ascii="方正小标宋_GBK" w:hAnsi="方正小标宋_GBK" w:eastAsia="方正小标宋_GBK" w:cs="方正小标宋_GBK"/>
                <w:b w:val="0"/>
                <w:bCs w:val="0"/>
                <w:color w:val="auto"/>
                <w:sz w:val="44"/>
                <w:szCs w:val="44"/>
                <w:highlight w:val="none"/>
                <w:lang w:val="en-US" w:eastAsia="zh-CN" w:bidi="ar"/>
              </w:rPr>
            </w:pPr>
          </w:p>
        </w:tc>
      </w:tr>
      <w:tr w14:paraId="76158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760" w:type="dxa"/>
            <w:tcBorders>
              <w:top w:val="single" w:color="auto" w:sz="4" w:space="0"/>
              <w:left w:val="single" w:color="000000" w:sz="4" w:space="0"/>
              <w:bottom w:val="single" w:color="000000" w:sz="4" w:space="0"/>
              <w:right w:val="single" w:color="000000" w:sz="4" w:space="0"/>
            </w:tcBorders>
            <w:shd w:val="clear" w:color="auto" w:fill="auto"/>
            <w:vAlign w:val="center"/>
          </w:tcPr>
          <w:p w14:paraId="2DF0814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序号</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center"/>
          </w:tcPr>
          <w:p w14:paraId="08E9F46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食品大类（一级）</w:t>
            </w:r>
          </w:p>
        </w:tc>
        <w:tc>
          <w:tcPr>
            <w:tcW w:w="1300" w:type="dxa"/>
            <w:tcBorders>
              <w:top w:val="single" w:color="auto" w:sz="4" w:space="0"/>
              <w:left w:val="single" w:color="000000" w:sz="4" w:space="0"/>
              <w:bottom w:val="single" w:color="000000" w:sz="4" w:space="0"/>
              <w:right w:val="single" w:color="000000" w:sz="4" w:space="0"/>
            </w:tcBorders>
            <w:shd w:val="clear" w:color="auto" w:fill="auto"/>
            <w:vAlign w:val="center"/>
          </w:tcPr>
          <w:p w14:paraId="15C0ADC8">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食品亚类（二级）</w:t>
            </w:r>
          </w:p>
        </w:tc>
        <w:tc>
          <w:tcPr>
            <w:tcW w:w="1249" w:type="dxa"/>
            <w:tcBorders>
              <w:top w:val="single" w:color="auto" w:sz="4" w:space="0"/>
              <w:left w:val="single" w:color="000000" w:sz="4" w:space="0"/>
              <w:bottom w:val="single" w:color="000000" w:sz="4" w:space="0"/>
              <w:right w:val="single" w:color="000000" w:sz="4" w:space="0"/>
            </w:tcBorders>
            <w:shd w:val="clear" w:color="auto" w:fill="auto"/>
            <w:vAlign w:val="center"/>
          </w:tcPr>
          <w:p w14:paraId="4C3E0870">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食品品种（三级）</w:t>
            </w:r>
          </w:p>
        </w:tc>
        <w:tc>
          <w:tcPr>
            <w:tcW w:w="1666" w:type="dxa"/>
            <w:tcBorders>
              <w:top w:val="single" w:color="auto" w:sz="4" w:space="0"/>
              <w:left w:val="single" w:color="000000" w:sz="4" w:space="0"/>
              <w:bottom w:val="single" w:color="000000" w:sz="4" w:space="0"/>
              <w:right w:val="single" w:color="000000" w:sz="4" w:space="0"/>
            </w:tcBorders>
            <w:shd w:val="clear" w:color="auto" w:fill="auto"/>
            <w:vAlign w:val="center"/>
          </w:tcPr>
          <w:p w14:paraId="0AB6136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食品细类（四级）</w:t>
            </w:r>
          </w:p>
        </w:tc>
        <w:tc>
          <w:tcPr>
            <w:tcW w:w="6722" w:type="dxa"/>
            <w:tcBorders>
              <w:top w:val="single" w:color="auto" w:sz="4" w:space="0"/>
              <w:left w:val="single" w:color="000000" w:sz="4" w:space="0"/>
              <w:bottom w:val="single" w:color="000000" w:sz="4" w:space="0"/>
              <w:right w:val="single" w:color="000000" w:sz="4" w:space="0"/>
            </w:tcBorders>
            <w:shd w:val="clear" w:color="auto" w:fill="auto"/>
            <w:vAlign w:val="center"/>
          </w:tcPr>
          <w:p w14:paraId="63EC4DC8">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抽检项目</w:t>
            </w:r>
          </w:p>
        </w:tc>
        <w:tc>
          <w:tcPr>
            <w:tcW w:w="1791" w:type="dxa"/>
            <w:tcBorders>
              <w:top w:val="single" w:color="auto" w:sz="4" w:space="0"/>
              <w:left w:val="single" w:color="000000" w:sz="4" w:space="0"/>
              <w:bottom w:val="single" w:color="000000" w:sz="4" w:space="0"/>
              <w:right w:val="single" w:color="000000" w:sz="4" w:space="0"/>
            </w:tcBorders>
            <w:shd w:val="clear" w:color="auto" w:fill="auto"/>
            <w:vAlign w:val="center"/>
          </w:tcPr>
          <w:p w14:paraId="6AB4CEE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default" w:ascii="Times New Roman" w:hAnsi="Times New Roman" w:eastAsia="宋体" w:cs="Times New Roman"/>
                <w:b/>
                <w:bCs/>
                <w:i w:val="0"/>
                <w:iCs w:val="0"/>
                <w:color w:val="auto"/>
                <w:kern w:val="0"/>
                <w:sz w:val="20"/>
                <w:szCs w:val="20"/>
                <w:highlight w:val="none"/>
                <w:u w:val="none"/>
                <w:lang w:val="en-US" w:eastAsia="zh-CN" w:bidi="ar"/>
              </w:rPr>
              <w:t>区配套限定抽检品种及项目</w:t>
            </w:r>
          </w:p>
        </w:tc>
        <w:tc>
          <w:tcPr>
            <w:tcW w:w="998" w:type="dxa"/>
            <w:tcBorders>
              <w:top w:val="single" w:color="auto" w:sz="4" w:space="0"/>
              <w:left w:val="single" w:color="000000" w:sz="4" w:space="0"/>
              <w:bottom w:val="single" w:color="000000" w:sz="4" w:space="0"/>
              <w:right w:val="single" w:color="000000" w:sz="4" w:space="0"/>
            </w:tcBorders>
            <w:shd w:val="clear" w:color="auto" w:fill="auto"/>
            <w:vAlign w:val="center"/>
          </w:tcPr>
          <w:p w14:paraId="60474C6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0"/>
                <w:szCs w:val="20"/>
                <w:highlight w:val="none"/>
                <w:u w:val="none"/>
                <w:lang w:val="en-US" w:eastAsia="zh-CN" w:bidi="ar"/>
              </w:rPr>
            </w:pPr>
            <w:r>
              <w:rPr>
                <w:rFonts w:hint="eastAsia" w:ascii="Times New Roman" w:hAnsi="Times New Roman" w:eastAsia="宋体" w:cs="Times New Roman"/>
                <w:b/>
                <w:bCs/>
                <w:i w:val="0"/>
                <w:iCs w:val="0"/>
                <w:color w:val="auto"/>
                <w:kern w:val="0"/>
                <w:sz w:val="20"/>
                <w:szCs w:val="20"/>
                <w:highlight w:val="none"/>
                <w:u w:val="none"/>
                <w:lang w:val="en-US" w:eastAsia="zh-CN" w:bidi="ar"/>
              </w:rPr>
              <w:t>批次</w:t>
            </w:r>
          </w:p>
        </w:tc>
      </w:tr>
      <w:tr w14:paraId="2A82E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292F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8FF5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粮食加工品</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24D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92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2C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小麦粉</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A3C0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铅（以Pb计）、镉（以Cd计）、苯并[a]芘、玉米赤霉烯酮、脱氧雪腐镰刀菌烯醇、赭曲霉毒素A、黄曲霉毒素B₁ 、偶氮甲酰胺、过氧化苯甲酰</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6D0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7A9AE2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26</w:t>
            </w:r>
          </w:p>
        </w:tc>
      </w:tr>
      <w:tr w14:paraId="0A3C2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98D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310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1D0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大米</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92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大米</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E83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大米</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ACE2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铅（以Pb计）、镉（以Cd计）、无机砷（以As计）、苯并[a]芘、黄曲霉毒素B₁ 、赭曲霉毒素A</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2BB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7232DB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47DB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AD0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218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F07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挂面</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0A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挂面</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CB4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挂面</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1E58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铅（以Pb计）、黄曲霉毒素B₁ 、脱氢乙酸及其钠盐（以脱氢乙酸计）、合成着色剂（柠檬黄、日落黄、胭脂红、苋菜红、诱惑红、亮蓝）</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88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00E383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C5B0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E30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78E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71B7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其他粮食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0F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谷物加工品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5D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谷物加工品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42F6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铅（以Pb计）、镉（以Cd计）、黄曲霉毒素B₁ 、赭曲霉毒素A</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A1C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F7EAC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BE8C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5DB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8C5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D18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FE9A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谷物碾磨</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E0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玉米粉</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（片、渣 ）</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BE2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苯并[a]芘、黄曲霉毒素B₁ 、赭曲霉毒素A、玉米赤霉烯酮、脱氧雪腐镰刀菌烯醇</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F3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2F7774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43FE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94E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C82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B75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823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3A4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米粉</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0243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铅（以Pb计）、镉（以Cd计）、总汞（以Hg计）、无机砷（以As计）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10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24639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66B2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BAC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E7F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8DE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F91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0E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其他谷物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碾磨加工品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297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铅（以Pb计）、铬（以Cr计）、赭曲霉毒素A</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1A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7D68EB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8295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C7B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964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BA3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51D8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谷物粉类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制成品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4D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生湿面制品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8A69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铅（以Pb计）、苯甲酸及其钠盐（以苯甲酸计）、山梨酸及其钾盐（以山梨酸计）、脱氢乙酸及其钠盐（以脱氢乙酸计）、二氧化硫残留量、合成着色剂（柠檬黄）</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A3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259AC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905A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CB2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D4A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636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507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E87C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发酵面制品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359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糖精钠（以糖精计）、甜蜜素（以环己基氨基磺酸计）、安赛蜜、合成着色剂（柠檬黄、胭脂红）、菌落总数、大肠菌群</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01E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2CFA8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4DB0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676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A04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A4EA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其他粮食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加工品</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00CA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谷物粉类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制成品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6E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米粉制品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2FB3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二氧化硫残留量、合成着色剂（柠檬黄、日落黄、喹啉黄、亮蓝、靛蓝）、甜蜜素（以环己基氨基磺酸计）、菌落总数、大肠菌群</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39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998" w:type="dxa"/>
            <w:vMerge w:val="continue"/>
            <w:tcBorders>
              <w:left w:val="single" w:color="000000" w:sz="4" w:space="0"/>
              <w:right w:val="single" w:color="000000" w:sz="4" w:space="0"/>
            </w:tcBorders>
            <w:shd w:val="clear" w:color="auto" w:fill="auto"/>
            <w:vAlign w:val="center"/>
          </w:tcPr>
          <w:p w14:paraId="0B8455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9627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1FD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610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E5E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8E1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E2E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其他谷物粉类制成品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2DE3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黄曲霉毒素B₁ 、苯甲酸及其钠盐（以苯甲酸计）、山梨酸及其钾盐（以山梨酸计）、脱氢乙酸及其钠盐（以脱氢乙酸计）、合成着色剂（柠檬黄、日落黄、胭脂红、苋菜红、亮蓝）、菌落总数、大肠菌群</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17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0E9EEE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3390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8744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0B56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食用油、油脂及其制品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C123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食用植物油</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78AD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食用植物油</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40C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花生油</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56A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酸值/酸价、过氧化值、黄曲霉毒素B₁ 、苯并[a]芘、溶剂残留量、特丁基对苯二酚（TBHQ）、铅（以Pb计）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E5D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67D8A4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39</w:t>
            </w:r>
          </w:p>
        </w:tc>
      </w:tr>
      <w:tr w14:paraId="42289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004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5F8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AAA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03D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132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玉米油</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1AB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酸值/酸价、过氧化值、黄曲霉毒素B₁ 、苯并[a]芘、特丁基对苯二酚（TBHQ）</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478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424FAB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05D0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713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187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E89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2F2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BC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芝麻油</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CED1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酸值/酸价、过氧化值、苯并[a]芘、溶剂残留量、乙基麦芽酚</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B79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0D871C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A84F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D76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246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779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FE6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F14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橄榄油、油橄榄果渣油</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7EF0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酸值/酸价、过氧化值、溶剂残留量、特丁基对苯二酚（TBHQ）</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9C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6669AD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F638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9A5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AA9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1C4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320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1CE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菜籽油</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8C5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酸值/酸价、过氧化值、苯并[a]芘、溶剂残留量、特丁基对苯二酚（TBHQ）、乙基麦芽酚、铅（以Pb计）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0ED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E5345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BC60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28D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CD7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EE4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84D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FF1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大豆油</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76D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酸值/酸价、过氧化值、苯并[a]芘、溶剂残留量、特丁基对苯二酚（TBHQ）、铅（以Pb计）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AE4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2A80D0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D274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5F8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FA7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D31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C3F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FE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食用植物调和油</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A112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酸价、过氧化值、苯并[a]芘、溶剂残留量、特丁基对苯二酚（TBHQ）、乙基麦芽酚、铅</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（以Pb计）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183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6B6068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212F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0A2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897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F53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3A8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956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油茶籽油</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7697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酸值/酸价、过氧化值、苯并[a]芘、溶剂残留量、特丁基对苯二酚（TBHQ）、铅（以Pb计）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533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2572AB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52AC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BE5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EC8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104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070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4A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其他食用植物油</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353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酸值/酸价、过氧化值、苯并[a]芘、溶剂残留量、特丁基对苯二酚（TBHQ）</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0EE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22CF5A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163D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39A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120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5F7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食用动物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油脂</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551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食用动物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油脂</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0BD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食用动物油脂</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45BB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酸价、过氧化值、丙二醛、苯并[a]芘、铅（以Pb计）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CB1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34DAA2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C552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DD1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23B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A2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食用油脂</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3C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食用油脂</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863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食用油脂制品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094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酸价（以脂肪计）、过氧化值（以脂肪计）、大肠菌群、霉菌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D3A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4935B7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77AE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812C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3</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72D7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调味品</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AE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酱油</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F9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酱油</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48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酱油</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D707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全氮（以氮计）、铵盐（以占氨基酸态氮的百分比计）、苯甲酸及其钠盐（以苯甲酸计）、山梨酸及其钾盐（以山梨酸计）、脱氢乙酸及其钠盐（以脱氢乙酸计）、对羟基苯甲酸酯类及其钠盐（以对羟基苯甲酸计）、防腐剂混合使用时各自用量占其最大使用量的比例之和、糖精钠（以糖精计）、甜蜜素（以环己基氨基磺酸计）、菌落总数、大肠菌群</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E6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113BCD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42</w:t>
            </w:r>
          </w:p>
        </w:tc>
      </w:tr>
      <w:tr w14:paraId="32996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EA5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81C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53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食醋</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B7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食醋</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4E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食醋</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8CE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酸（以乙酸计）、不挥发酸（以乳酸计）、苯甲酸及其钠盐（以苯甲酸计）、山梨酸及其钾盐（以山梨酸计）、脱氢乙酸及其钠盐（以脱氢乙酸计）、对羟基苯甲酸酯类及其钠盐（以对羟基苯甲酸计）、防腐剂混合使用时各自用量占其最大使用量的比例之和、糖精钠（以糖精计）、甜蜜素（以环己基氨基磺酸计）、三氯蔗糖、菌落总数</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4E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40EB16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3DD7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1C8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F7F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24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酱类</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A6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酿造酱</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3A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黄豆酱、甜面酱等</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113E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氨基酸态氮、黄曲霉毒素B₁ 、苯甲酸及其钠盐（以苯甲酸计）、山梨酸及其钾盐（以山梨酸计）、脱氢乙酸及其钠盐（以脱氢乙酸计）、防腐剂混合使用时各自用量占其最大使用量的比例之和、糖精钠（以糖精计）、甜蜜素（以环己基氨基磺酸计）、安赛蜜、大肠菌群</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C64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D2710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35FB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74E3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2E7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098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调味料酒</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3B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调味料酒</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E35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料酒</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B388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氨基酸态氮（以氮计）、苯甲酸及其钠盐（以苯甲酸计）、山梨酸及其钾盐（以山梨酸计）、脱氢乙酸及其钠盐（以脱氢乙酸计）、甜蜜素（以环己基氨基磺酸计）、三氯蔗糖</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1E5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019210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0C85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F66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68A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4119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香辛料类</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DF9A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香辛料类</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3B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香辛料调味油</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F35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酸价/酸值、过氧化值</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DA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7EB591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CFCB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BBA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D18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106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E74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C97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辣椒、花椒、辣椒粉、花椒</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粉</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EE7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铅（以Pb计）、罗丹明B、苏丹红I、苏丹红Ⅱ、苏丹红Ⅲ、苏丹红IV、脱氢乙酸及其钠盐（以脱氢乙酸计）、山梨酸及其钾盐（以山梨酸计）、二氧化硫残留量、合成着色剂（柠檬黄、日落黄、胭脂红）</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57E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363ACE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04C7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2"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D33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327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F3A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797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98B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其他香辛料调味品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C96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脱氢乙酸及其钠盐（以脱氢乙酸计）、二氧化硫残留量、甜蜜素（以环己基氨基磺酸计）、合成着色剂（柠檬黄、日落黄、苋菜红、胭脂红、亮蓝）、丙溴磷、氯氰菊酯和高效氯氰菊酯、多菌灵、毒死蜱、克百威、沙门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67B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0B7764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39CD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9C5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897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4417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调味料</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278E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固体复合调味料</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45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鸡粉、鸡精调味料</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9555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谷氨酸钠、呈味核苷酸二钠、总氮（以N计）、铅（以Pb计）、糖精钠（以糖精计）、甜蜜素（以环己基氨基磺酸计）、菌落总数、大肠菌群、安赛蜜</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C1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A1100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4D6D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FF0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B13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1443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40C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88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其他固体调味料</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251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苏丹红I、苏丹红Ⅱ、苏丹红Ⅲ、苏丹红IV、罂粟碱、吗啡、可待因、那可丁、苯甲酸及其钠盐（以苯甲酸计）、山梨酸及其钾盐（以山梨酸计）、脱氢乙酸及其钠盐（以脱氢乙酸计）、防腐剂混合使用时各自用量占其最大使用量的比例之和、糖精钠（以糖精计）、甜蜜素（以环己基氨基磺酸计）、安赛蜜、阿斯巴甜、二氧化硫残留量</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A19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D4E95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995D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FDB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FA0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266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A420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半固体复合调味料</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1D0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蛋黄酱、沙拉酱</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C61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二氧化钛</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7F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739EFC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5745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BAB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F38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8A3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4B0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A0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坚果与籽类的泥（酱）</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00C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酸价/酸值、过氧化值、铅（以Pb计）、黄曲霉毒素B₁</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47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675B3E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96D0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209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746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74F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166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4BB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辣椒酱</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0AB3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甜蜜素（以环己基氨基磺酸计）、二氧化硫残留量</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F8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7A0D34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151A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B40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08F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C99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49C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35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火锅底料、麻辣烫底料</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5B48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罂粟碱、吗啡、可待因、那可丁、苯甲酸及其钠盐（以苯甲酸计）、山梨酸及其钾盐（以山梨酸计）、脱氢乙酸及其钠盐（以脱氢乙酸计）、防腐剂混合使用时各自用量占其最大使用量的比例之和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DB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4AA6B4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2874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831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AA7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776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369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00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其他半固体调味料</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848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罗丹明B、罂粟碱、吗啡、可待因、那可丁、苯甲酸及其钠盐（以苯甲酸计）、山梨酸及其钾盐（以山梨酸计）、脱氢乙酸及其钠盐（以脱氢乙酸计）、防腐剂混合使用时各自用量占其最大使用量的比例之和、甜蜜素（以环己基氨基磺酸计）、安赛蜜</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F9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E4E38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B320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15F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9E0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07C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012D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液体复合</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调味料</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82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蚝油、虾油、鱼露</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C2D5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氨基酸态氮、苯甲酸及其钠盐（以苯甲酸计）、山梨酸及其钾盐（以山梨酸计）、脱氢乙酸及其钠盐（以脱氢乙酸计）、防腐剂混合使用时各自用量占其最大使用量的比例之和、菌落总数</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987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24A889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7BF7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5F4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C03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5FF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EE9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BF3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其他液体调味料</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CCBB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糖精钠（以糖精计）、甜蜜素（以环己基氨基磺酸计）、合成着色剂（柠檬黄、日落黄、胭脂红、诱惑红）、相同色泽着色剂混合使用时各自用量占其最大使用量的比例之和、菌落总数</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5F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2015EE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E0BC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0F6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B6B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43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味精</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C9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味精</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B9B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味精</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929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谷氨酸钠</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64A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0F537D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3AAF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75E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59D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141C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食盐</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3893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食用盐</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ACA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普通食用盐</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D2C4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氯化钠、钡（以Ba计）、碘（以I计）、铅（以Pb计）、总砷（以As计）、镉（以Cd计）、总汞（以Hg计）、亚铁氰化钾/亚铁氰化钠（以亚铁氰根计）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03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7A9438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0AA0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A0B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A5E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71D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438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77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低钠食用盐</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1BAC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氯化钾、钡（以Ba计）、碘（以I计）、铅（以Pb计）、总砷（以As计）、镉（以Cd计）、总汞（以Hg计）、亚铁氰化钾/亚铁氰化钠（以亚铁氰根计）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FDA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24960E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FBF8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55B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8B2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0DC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B32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1A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风味食用盐</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43D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钡（以Ba计）、铅（以Pb计）、总砷（以As计）、镉（以Cd计）、总汞（以Hg计）、亚铁氰化钾/亚铁氰化钠（以亚铁氰根计）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51A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08BA34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3576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126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CE4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0BA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B53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E73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特殊工艺食用盐</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F52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氯化钠、钡（以Ba计）、碘（以I计）、铅（以Pb计）、总砷（以As计）、镉（以Cd计）、总汞（以Hg计）、亚铁氰化钾/亚铁氰化钠（以亚铁氰根计）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A3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3A0317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B22A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EC9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07C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70C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917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食品生产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加工用盐</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968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食品生产加工用盐</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CDC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铅（以Pb计）、总砷（以As计）、镉（以Cd计）、总汞（以Hg计）、亚铁氰化钾/亚铁氰化钠（以亚铁氰根计）、亚硝酸盐（以NaNO₂计）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BD7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307473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ADE7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2E32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4</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1F9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肉制品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D0B0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预制肉制品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03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调理肉制品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71E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调理肉制品（非速冻）</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8AE5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C8C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5CEA0B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59</w:t>
            </w:r>
          </w:p>
        </w:tc>
      </w:tr>
      <w:tr w14:paraId="29B96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7BB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BA9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D94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E8C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腌腊肉制品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050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腌腊肉制品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17D9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总砷（以As计）、亚硝酸盐（以亚硝酸钠计）、苯甲酸及其钠盐（以苯甲酸计）、山梨酸及其钾盐（以山梨酸计）、脱氢乙酸及其钠盐（以脱氢乙酸计）、合成着色剂（柠檬黄、日落黄、胭脂红、诱惑红、苋菜红、酸性红）、红2G、氯霉素</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479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998" w:type="dxa"/>
            <w:vMerge w:val="continue"/>
            <w:tcBorders>
              <w:left w:val="single" w:color="000000" w:sz="4" w:space="0"/>
              <w:right w:val="single" w:color="000000" w:sz="4" w:space="0"/>
            </w:tcBorders>
            <w:shd w:val="clear" w:color="auto" w:fill="auto"/>
            <w:vAlign w:val="center"/>
          </w:tcPr>
          <w:p w14:paraId="3CDB65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6AD2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315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4B7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324A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熟肉制品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BCB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发酵肉制品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42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发酵肉制品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F0B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亚硝酸盐（以亚硝酸钠计）、沙门氏菌、金黄色葡萄球菌、单核细胞增生李斯特氏菌、致泻大肠埃希氏菌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52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41AEA0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8CA2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66F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DC9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49B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355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酱卤肉制品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98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酱卤肉制品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504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镉（以Cd计）、铬（以Cr计）、总砷（以As计）、N-二甲基亚硝胺、亚硝酸盐（以亚硝酸钠计）、苯甲酸及其钠盐（以苯甲酸计）、山梨酸及其钾盐（以山梨酸计）、脱氢乙酸及其钠盐（以脱氢乙酸计）、纳他霉素、防腐剂混合使用时各自用量占其最大使用量的比例之和、糖精钠（以糖精计）、合成着色剂（柠檬黄、日落黄、胭脂红、诱惑红）、氯霉素、菌落总数、大肠菌群、沙门氏菌、金黄色葡萄球菌、单核细胞增生李斯特氏菌、致泻大肠埃希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646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998" w:type="dxa"/>
            <w:vMerge w:val="continue"/>
            <w:tcBorders>
              <w:left w:val="single" w:color="000000" w:sz="4" w:space="0"/>
              <w:right w:val="single" w:color="000000" w:sz="4" w:space="0"/>
            </w:tcBorders>
            <w:shd w:val="clear" w:color="auto" w:fill="auto"/>
            <w:vAlign w:val="center"/>
          </w:tcPr>
          <w:p w14:paraId="5D3CC5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5DFD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38E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349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9C9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EF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油炸肉制品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53C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油炸肉制品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6E0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N-二甲基亚硝胺、亚硝酸盐（以亚硝酸钠计）、苯甲酸及其钠盐（以苯甲酸计）、山梨酸及其钾盐（以山梨酸计）、沙门氏菌、金黄色葡萄球菌、单核细胞增生李斯特氏菌、致泻大肠埃希氏菌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437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6E86CF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D1A8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E10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6F6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09A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D1A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熟肉干制品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447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熟肉干制品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569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N-二甲基亚硝胺、苯甲酸及其钠盐（以苯甲酸计）、山梨酸及其钾盐（以山梨酸计）、脱氢乙酸及其钠盐（以脱氢乙酸计）、防腐剂混合使用时各自用量占其最大使用量的比例之和、合成着色剂（胭脂红、诱惑红）、氯霉素、菌落总数、大肠菌群、沙门氏菌、金黄色葡萄球菌、单核细胞增生李斯特氏菌、致泻大肠埃希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E62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998" w:type="dxa"/>
            <w:vMerge w:val="continue"/>
            <w:tcBorders>
              <w:left w:val="single" w:color="000000" w:sz="4" w:space="0"/>
              <w:right w:val="single" w:color="000000" w:sz="4" w:space="0"/>
            </w:tcBorders>
            <w:shd w:val="clear" w:color="auto" w:fill="auto"/>
            <w:vAlign w:val="center"/>
          </w:tcPr>
          <w:p w14:paraId="48F642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B190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2"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989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467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322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FC9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熏烧烤肉</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BB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熏烧烤肉制品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B31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并[a]芘、N-二甲基亚硝胺、亚硝酸盐（以亚硝酸钠计）、苯甲酸及其钠盐（以苯甲酸计）、山梨酸及其钾盐（以山梨酸计）、纳他霉素、合成着色剂（柠檬黄、日落黄、胭脂红）、氯霉素、菌落总数、大肠菌群、沙门氏菌、金黄色葡萄球菌、单核细胞增生李斯特氏菌、致泻大肠埃希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FFD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998" w:type="dxa"/>
            <w:vMerge w:val="continue"/>
            <w:tcBorders>
              <w:left w:val="single" w:color="000000" w:sz="4" w:space="0"/>
              <w:right w:val="single" w:color="000000" w:sz="4" w:space="0"/>
            </w:tcBorders>
            <w:shd w:val="clear" w:color="auto" w:fill="auto"/>
            <w:vAlign w:val="center"/>
          </w:tcPr>
          <w:p w14:paraId="5933E2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C243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7F2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F19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7A0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07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熏煮香肠</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火腿制品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47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熏煮香肠火腿制品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DA1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亚硝酸盐（以亚硝酸钠计）、苯甲酸及其钠盐（以苯甲酸计）、山梨酸及其钾盐（以山梨酸计）、脱氢乙酸及其钠盐（以脱氢乙酸计）、防腐剂混合使用时各自用量占其最大使用量的比例之和、合成着色剂（胭脂红、诱惑红）、氯霉素、菌落总数、大肠菌群、沙门氏菌、金黄色葡萄球菌、单核细胞增生李斯特氏菌、致泻大肠埃希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36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同左，增加丙酸及其钠盐、钙盐</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681CAC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398E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C7B7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DCD1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乳制品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B043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乳制品</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7450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液体乳</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7C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灭菌乳</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259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蛋白质、非脂乳固体、酸度、脂肪、三聚氰胺、铅（以Pb计）、黄曲霉毒素M₁、丙二醇、商业无菌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7B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477472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48</w:t>
            </w:r>
          </w:p>
        </w:tc>
      </w:tr>
      <w:tr w14:paraId="32A23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6D4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009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3C6F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F5F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C6D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巴氏杀菌乳</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1A4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蛋白质、酸度、三聚氰胺、铅（以Pb计）、黄曲霉毒素M₁ 、丙二醇、沙门氏菌、金黄色葡萄球菌、菌落总数、大肠菌群</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786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67297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48C8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88F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C55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E3A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E8D0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液体乳</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F1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调制乳</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9851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蛋白质、三聚氰胺、铅（以Pb计）、黄曲霉毒素M₁ 、商业无菌、菌落总数、大肠菌群</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4B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同左，增加纽甜</w:t>
            </w:r>
          </w:p>
        </w:tc>
        <w:tc>
          <w:tcPr>
            <w:tcW w:w="998" w:type="dxa"/>
            <w:vMerge w:val="continue"/>
            <w:tcBorders>
              <w:left w:val="single" w:color="000000" w:sz="4" w:space="0"/>
              <w:right w:val="single" w:color="000000" w:sz="4" w:space="0"/>
            </w:tcBorders>
            <w:shd w:val="clear" w:color="auto" w:fill="auto"/>
            <w:vAlign w:val="center"/>
          </w:tcPr>
          <w:p w14:paraId="68F7D2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24DC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03C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C7D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07F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694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035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发酵乳</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4375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蛋白质、脂肪、酸度、三聚氰胺、铅（以Pb计）、黄曲霉毒素M₁ 、山梨酸及其钾盐（以山梨酸计）、甜蜜素（以环己基氨基磺酸计）、阿斯巴甜、安赛蜜、沙门氏菌、金黄色葡萄球菌、大肠菌群、霉菌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ED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4DFE6B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4C1C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B7C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09E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D0A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E74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082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高温杀菌乳</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E040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蛋白质、酸度、三聚氰胺、铅（以Pb计）、黄曲霉毒素M₁ 、丙二醇、沙门氏菌、菌落总数、大肠菌群</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99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4DA007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9BF8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7A0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96D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F3D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B1F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乳粉</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A13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乳粉（全脂、脱脂、部分脱脂）和调制乳粉</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7F1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蛋白质、脂肪、复原乳酸度、杂质度、水分、三聚氰胺、铅（以Pb计）、菌落总数、大肠菌群</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989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0A817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D23B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A3D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9D5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E3F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FE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乳清粉和乳清蛋白粉（企业原料 ）</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D8C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脱盐乳清粉、非脱盐乳清粉、浓缩乳清蛋白粉、分离乳清蛋白粉</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1720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DD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7D8806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A84E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4C5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BBC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014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E0DD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其他乳制品（浓缩乳制品、奶油、干酪、固态成型产品）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031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浓缩乳制品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F17B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蛋白质、三聚氰胺、商业无菌、菌落总数、大肠菌群</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8E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A7C5C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F867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DB2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7E4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D3C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AE1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43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稀奶油、奶油和无水奶油</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56A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脂肪、酸度、三聚氰胺、脱氢乙酸及其钠盐（以脱氢乙酸计）、商业无菌、沙门氏菌、菌落总数、大肠菌群、霉菌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864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63ECB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EED7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050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B6F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627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42D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CA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干酪、再制干酪、干酪制品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9CC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三聚氰胺、金黄色葡萄球菌、沙门氏菌、单核细胞增生李斯特氏菌、菌落总数、大肠菌群、霉菌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F5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448185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6B90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513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7C7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7D6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A04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B3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奶片、奶条等固态成型产品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8319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蛋白质、三聚氰胺、脱氢乙酸及其钠盐（以脱氢乙酸计）、沙门氏菌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174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6634CC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176A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35A5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6</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8C3C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60E3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饮料</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51F2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包装饮用水</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D9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饮用天然</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矿泉水</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B47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界限指标、铅（以Pb计）、总砷（以As计）、镉（以Cd计）、总汞（以Hg计）、镍、溴酸盐、硝酸盐（以NO₃-计）、亚硝酸盐（以NO₂-计）、大肠菌群、铜绿假单胞菌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61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7214D4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58</w:t>
            </w:r>
          </w:p>
        </w:tc>
      </w:tr>
      <w:tr w14:paraId="070C2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245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827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EF9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770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00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饮用纯净水</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C22C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电导率、耗氧量（以O₂计）、铅（以Pb计）、总砷（以As计）、镉（以Cd计）、亚硝酸盐（以NO₂-计）、余氯（游离氯）、溴酸盐、三氯甲烷、大肠菌群、铜绿假单胞菌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BF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713511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04DC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CFC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AD2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3A2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0F5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FD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其他类饮用水</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6CB8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耗氧量（以O₂计）、铅（以Pb计）、总砷（以As计）、镉（以Cd计）、亚硝酸盐（以NO₂-计）、余氯（游离氯）、溴酸盐、三氯甲烷、大肠菌群、铜绿假单胞菌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7C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F3BC1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4DD8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915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33A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9DA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FAD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果蔬汁类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及其饮料</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AE9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果蔬汁类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及其饮料</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B43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展青霉素、苯甲酸及其钠盐（以苯甲酸计）、山梨酸及其钾盐（以山梨酸计）、脱氢乙酸及其钠盐（以脱氢乙酸计）、纳他霉素、防腐剂混合使用时各自用量占其最大使用量的比例之和、安赛蜜、甜蜜素（以环己基氨基磺酸计）、阿斯巴甜、合成着色剂（柠檬黄、新红、苋菜红、靛蓝、胭脂红、日落黄、诱惑红、亮蓝、酸性红、喹啉黄、赤藓红）、菌落总数、大肠菌群、霉菌、酵母</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93C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001130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8D2E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BE8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606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83F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94F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蛋白饮料</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58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蛋白饮料</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E5F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蛋白质、乳酸菌数、氰化物（以HCN计）、三聚氰胺、脱氢乙酸及其钠盐（以脱氢乙酸计）、安赛蜜、甜蜜素（以环己基氨基磺酸计）、阿斯巴甜、菌落总数、大肠菌群、霉菌、酵母、商业无菌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7DD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32B338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5C00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2BA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28B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83E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029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碳酸饮料（汽水）</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45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碳酸饮料</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（汽水）</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93B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二氧化碳气容量、苯甲酸及其钠盐（以苯甲酸计）、山梨酸及其钾盐（以山梨酸计）、防腐剂混合使用时各自用量占其最大使用量的比例之和、安赛蜜、甜蜜素（以环己基氨基磺酸计）、阿斯巴甜、菌落总数、霉菌、酵母</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93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73D297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07BE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25A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C2D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5F0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DC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茶饮料</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C0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茶饮料</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B18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茶多酚、咖啡因、脱氢乙酸及其钠盐（以脱氢乙酸计）、安赛蜜、甜蜜素（以环己基氨基磺酸计）、阿斯巴甜、菌落总数</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139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453FAD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34AA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A4D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656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062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18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固体饮料</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5B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固体饮料</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8C07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乳酸菌数、西地那非、他达拉非、西布曲明、比沙可啶、铅（以Pb计）、氰化物（以HCN计）、苯甲酸及其钠盐（以苯甲酸计）、山梨酸及其钾盐（以山梨酸计）、防腐剂混合使用时各自用量占其最大使用量的比例之和、糖精钠（以糖精计）、安赛蜜、甜蜜素（以环己基氨基磺酸计）、阿斯巴甜、合成着色剂（柠檬黄、新红、苋菜红、靛蓝、胭脂红、日落黄、诱惑红、亮蓝、酸性红、喹啉黄、赤藓红）、相同色泽着色剂混合使用时各自用量占其最大使用量的比例之和、菌落总数、大肠菌群、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F7A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那红地那非、红地那非、伐地那非、羟基豪莫西地那非、豪莫西地那非、氨基他达拉非、硫代艾地那非、伪伐地那非、那莫西地那非、去甲基他达拉非、育亨宾、西布曲明、N-单去甲基西布曲明、N,N-双去甲基西布曲明、氯代西戊曲明（西布曲明二氯代异戊基替代物）（限有功能声称的产品）</w:t>
            </w:r>
          </w:p>
        </w:tc>
        <w:tc>
          <w:tcPr>
            <w:tcW w:w="998" w:type="dxa"/>
            <w:vMerge w:val="continue"/>
            <w:tcBorders>
              <w:left w:val="single" w:color="000000" w:sz="4" w:space="0"/>
              <w:right w:val="single" w:color="000000" w:sz="4" w:space="0"/>
            </w:tcBorders>
            <w:shd w:val="clear" w:color="auto" w:fill="auto"/>
            <w:vAlign w:val="center"/>
          </w:tcPr>
          <w:p w14:paraId="001218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7030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40F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C8B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546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DC8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其他饮料</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51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其他饮料</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D6A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糖精钠（以糖精计）、安赛蜜、甜蜜素（以环己基氨基磺酸计）、阿斯巴甜、合成着色剂（柠檬黄、新红、苋菜红、靛蓝、胭脂红、日落黄、诱惑红、亮蓝、酸性红、喹啉黄、赤藓红）、菌落总数、大肠菌群、霉菌、酵母</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DED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西地那非、他达拉非、西布曲明、比沙可啶环丙甲酰替代物、那红地那非、红地那非、伐地那非、羟基豪莫西地那非、豪莫西地那非、氨基他达拉非、硫代艾地那非、伪伐地那非、那莫西地那非、去甲基他达拉非、育亨宾、西布曲明、N-单去甲基西布曲明、N,N-双去甲基西布曲明、氯代西戊曲明（西布曲明二氯代异戊基替代物）（限有功能声称的产品）</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1571CA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1C7B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4"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2678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7</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31B0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方便食品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23B6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方便食品</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9CDF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方便面</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3FC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油炸面、非油炸面</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8B0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水分、酸价（以脂肪计）（KOH）、过氧化值（以脂肪计）、菌落总数、大肠菌群、霉菌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D9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48F9F7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18</w:t>
            </w:r>
          </w:p>
        </w:tc>
      </w:tr>
      <w:tr w14:paraId="76362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D23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8BB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4D2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2EE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64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方便米粉</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（米线 ）</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FE6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水分、菌落总数、大肠菌群、霉菌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815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014B7D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D693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E3F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B71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B8A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A85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AEE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方便粉丝</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991C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水分、菌落总数、大肠菌群、霉菌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9D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7EA5CB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34BA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B72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CB9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10A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9FE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EE3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其他方便面</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3DF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水分、酸价（以脂肪计）（KOH）、过氧化值（以脂肪计）、菌落总数、大肠菌群、霉菌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22D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0DA014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2A31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B92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CDF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CD4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62C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调味面制品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2D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调味面制品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E9F7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苯甲酸及其钠盐（以苯甲酸计）、山梨酸及其钾盐（以山梨酸计）、脱氢乙酸及其钠盐（以脱氢乙酸计）、糖精钠（以糖精计）、甜蜜素（以环己基氨基磺酸计）、安赛蜜、三氯蔗糖、合成着色剂（柠檬黄、日落黄、诱惑红、苋菜红、胭脂红）、菌落总数、大肠菌群、霉菌、沙门氏菌、金黄色葡萄球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7AE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同左，增加纽甜</w:t>
            </w:r>
          </w:p>
        </w:tc>
        <w:tc>
          <w:tcPr>
            <w:tcW w:w="998" w:type="dxa"/>
            <w:vMerge w:val="continue"/>
            <w:tcBorders>
              <w:left w:val="single" w:color="000000" w:sz="4" w:space="0"/>
              <w:right w:val="single" w:color="000000" w:sz="4" w:space="0"/>
            </w:tcBorders>
            <w:shd w:val="clear" w:color="auto" w:fill="auto"/>
            <w:vAlign w:val="center"/>
          </w:tcPr>
          <w:p w14:paraId="29F0D5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E02C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53C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064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05C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BC5E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62E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冲调类方便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48E1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、苯甲酸及其钠盐（以苯甲酸计）、山梨酸及其钾盐（以山梨酸计）、糖精钠（以糖精计）、菌落总数、大肠菌群、霉菌、沙门氏菌、金黄色葡萄球菌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434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46B6EC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E2E3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DC6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623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A48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240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71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主食类方便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0B6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苯甲酸及其钠盐（以苯甲酸计）、山梨酸及其钾盐（以山梨酸计）、脱氢乙酸及其钠盐（以脱氢乙酸计）、糖精钠（以糖精计）、菌落总数、大肠菌群、霉菌、沙门氏菌、金黄色葡萄球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9B6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A022B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4C16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3"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8A1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697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4F3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A54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E4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其他类方便</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CAC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苯甲酸及其钠盐（以苯甲酸计）、山梨酸及其钾盐（以山梨酸计）、糖精钠（以糖精计）、菌落总数、大肠菌群、霉菌、沙门氏菌、金黄色葡萄球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41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3F6B2B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CA11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FE0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8</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3E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813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095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D45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饼干</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C3F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山梨酸及其钾盐（以山梨酸计）、铝的残留量（干样品，以Al计）、脱氢乙酸及其钠盐（以脱氢乙酸计）、甜蜜素（以环己基氨基磺酸计）、糖精钠（以糖精计）、二氧化硫残留量、苯甲酸及其钠盐（以苯甲酸计）、合成着色剂（柠檬黄、日落黄、胭脂红、苋菜红、亮蓝、靛蓝、诱惑红）、菌落总数、大肠菌群、金黄色葡萄球菌、沙门氏菌、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5A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277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18</w:t>
            </w:r>
          </w:p>
        </w:tc>
      </w:tr>
      <w:tr w14:paraId="5A65F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2"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8634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9</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4F1F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64FA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C549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畜禽水产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49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畜禽肉类罐头</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E9A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铅（以Pb计）、镉（以Cd计）、脱氢乙酸及其钠盐（以脱氢乙酸计）、苯甲酸及其钠盐（以苯甲酸计）、山梨酸及其钾盐（以山梨酸计）、商业无菌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12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7A5F25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25</w:t>
            </w:r>
          </w:p>
        </w:tc>
      </w:tr>
      <w:tr w14:paraId="73CF4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5C4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488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B0F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367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0B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水产动物类</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罐头</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43A6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组胺、铅（以Pb计）、无机砷（以As计）、脱氢乙酸及其钠盐（以脱氢乙酸计）、苯甲酸及其钠盐（以苯甲酸计）、山梨酸及其钾盐（以山梨酸计）、糖精钠（以糖精计）、甜蜜素（以环己基氨基磺酸计）、商业无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EAF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6FDA2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2387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684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6E2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E0D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4B9F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果蔬罐头</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3D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水果类罐头</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E5AA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合成着色剂（柠檬黄、日落黄、苋菜红、胭脂红、赤藓红、诱惑红、亮蓝）、脱氢乙酸及其钠盐（以脱氢乙酸计）、苯甲酸及其钠盐（以苯甲酸计）、山梨酸及其钾盐（以山梨酸计）、糖精钠（以糖精计）、甜蜜素（以环己基氨基磺酸计）、二氧化硫残留量、商业无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6B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0A458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7439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EC8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AFA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A94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678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588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蔬菜类罐头</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878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铅（以Pb计）、合成着色剂（柠檬黄、日落黄）、脱氢乙酸及其钠盐（以脱氢乙酸计）、苯甲酸及其钠盐（以苯甲酸计）、山梨酸及其钾盐（以山梨酸计）、乙二胺四乙酸二钠、二氧化硫残留量、商业无菌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9C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C8C69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B683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1C0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7B2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03A1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091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02E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食用菌罐头</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AB27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铅（以Pb计）、脱氢乙酸及其钠盐（以脱氢乙酸计）、苯甲酸及其钠盐（以苯甲酸计）、山梨酸及其钾盐（以山梨酸计）、乙二胺四乙酸二钠、二氧化硫残留量、商业无菌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EA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2E88C9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1CDB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127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F3B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FCD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E04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其他罐头</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BB0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其他罐头</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22C8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黄曲霉毒素B₁ 、脱氢乙酸及其钠盐（以脱氢乙酸计）、苯甲酸及其钠盐（以苯甲酸计）、山梨酸及其钾盐（以山梨酸计）、乙二胺四乙酸二钠、商业无菌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3BE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4E6BD9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F15D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B8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10</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3C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冷冻饮品</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46E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冷冻饮品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4B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冷冻饮品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8A2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冰淇淋、雪糕、雪泥、冰棍、食用冰、甜味冰、其他类</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5741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甜蜜素（以环己基氨基磺酸计）、糖精钠（以糖精计）、安赛蜜、三氯蔗糖、合成着色剂（柠檬黄、日落黄、新红、苋菜红、靛蓝、胭脂红、诱惑红、亮蓝、酸性红、喹啉黄、赤藓红）、相同色泽着色剂混合使用时各自用量占其最大使用量的比例之和、菌落总数、大肠菌群、沙门氏菌、单核细胞增生李斯特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DC4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同左，增加纽甜</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C4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8</w:t>
            </w:r>
          </w:p>
        </w:tc>
      </w:tr>
      <w:tr w14:paraId="181B2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D00F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11</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5F7D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速冻食品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B50B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F662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21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B87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过氧化值（以脂肪计）、铅（以Pb计）、糖精钠（以糖精计）、甜蜜素（以环己基氨基磺酸计）、合成着色剂（柠檬黄、日落黄、苋菜红、亮蓝、胭脂红）</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97D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1EDB29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26</w:t>
            </w:r>
          </w:p>
        </w:tc>
      </w:tr>
      <w:tr w14:paraId="228DC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FB7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C0E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DB3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4437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188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速冻面米生</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69D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过氧化值（以脂肪计）、铅（以Pb计）、糖精钠（以糖精计）、甜蜜素（以环己基氨基磺酸计）、合成着色剂（柠檬黄、日落黄、苋菜红、亮蓝、胭脂红）、菌落总数、大肠菌群、沙门氏菌、金黄色葡萄球菌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07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4B7485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34B7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46D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8AC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A4FB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速冻调制</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88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速冻调理</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肉制品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198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速冻调理</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肉制品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854C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铬（以Cr计）、氯霉素、合成着色剂（胭脂红、柠檬黄、日落黄、诱惑红）、亚硝酸盐（以亚硝酸钠计）、苯甲酸及其钠盐（以苯甲酸计）、山梨酸及其钾盐（以山梨酸计）、菌落总数、大肠菌群、沙门氏菌、金黄色葡萄球菌、单核细胞增生李斯特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63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F5660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2F76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823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629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6A6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AF0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速冻调制</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水产制品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4E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速冻调制水产制品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E8D3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挥发性盐基氮、苯甲酸及其钠盐（以苯甲酸计）、山梨酸及其钾盐（以山梨酸计）、二氧化硫残留量、菌落总数、大肠菌群、沙门氏菌、副溶血性弧菌、单核细胞增生李斯特氏菌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BA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A5A8A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AF99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2F7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A11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5B8E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速冻其他</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033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速冻谷物</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食品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E15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速冻谷物食品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242B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铅（以Pb计）、黄曲霉毒素B₁</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504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4FD5D8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05A0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8FD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0E5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55B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53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速冻蔬菜</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52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速冻蔬菜制品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60F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铅（以Pb计）、镉（以Cd计）、糖精钠（以糖精计）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31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45C3FB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F2CB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2C0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BB7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561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5B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速冻水果</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F16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速冻水果制品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CFA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铅（以Pb计）、镉（以Cd计）、菌落总数、大肠菌群、霉菌、沙门氏菌、金黄色葡萄球菌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B49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3A5D6B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BDED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1BDD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12</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C201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薯类和膨化食品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47F6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薯类和膨化食品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965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膨化食品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CD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含油型膨化食品和非含油型膨化食品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129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水分、酸价（以脂肪计）（KOH）、过氧化值（以脂肪计）、黄曲霉毒素B₁ 、糖精钠（以糖精计）、甜蜜素（以环己基氨基磺酸计）、三氯蔗糖、纽甜、合成着色剂（新红、苋菜红、酸性红、喹啉黄）、菌落总数、大肠菌群、沙门氏菌、金黄色葡萄球菌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60D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76E89F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14</w:t>
            </w:r>
          </w:p>
        </w:tc>
      </w:tr>
      <w:tr w14:paraId="51187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2C6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574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621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F2C2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薯类食品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B4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干制薯类</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A85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酸价（以脂肪计）（KOH）、过氧化值（以脂肪计）、铅（以Pb计）、二氧化硫残留量、菌落总数、大肠菌群、沙门氏菌、金黄色葡萄球菌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900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2131F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12E4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2C5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222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F0C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422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BE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冷冻薯类</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A19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CCA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37B331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A08B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BC8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0FB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DB8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F959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薯类食品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4B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薯泥（酱）类</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4C9B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铅（以Pb计）、苯甲酸及其钠盐（以苯甲酸计）、山梨酸及其钾盐（以山梨酸计）、商业无菌、沙门氏菌、金黄色葡萄球菌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FA1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3F0324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E1D4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027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297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3C0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979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F1F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薯粉类</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FB25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FC9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ABB63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5231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352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5A9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842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837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00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其他薯类食品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492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铅（以Pb计）、沙门氏菌、金黄色葡萄球菌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20A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2DB92D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9686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101C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13</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0011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糖果制品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D24C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糖果制品</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（含巧克力</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及制品）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E0E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ED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糖果</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C4A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糖精钠（以糖精计）、甜蜜素（以环己基氨基磺酸计）、合成着色剂（柠檬黄、新红、苋菜红、靛蓝、胭脂红、日落黄、诱惑红、亮蓝、酸性红、喹啉黄、赤藓红）、相同色泽着色剂混合使用时各自用量占其最大使用量的比例之和、二氧化硫残留量、菌落总数、大肠菌群、西地那非、他达拉非、酚丁、双酚沙丁、双丙酚丁、脱乙酰比沙可啶</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061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同左，增加氯代西戊曲明（西布曲明二氯代异戊基替代物）（限有功能声称的产品）</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6C782E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9</w:t>
            </w:r>
          </w:p>
        </w:tc>
      </w:tr>
      <w:tr w14:paraId="21BC6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9D3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92B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05A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007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巧克力及巧克力制品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4B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巧克力、巧克力制品、代可可脂巧克力及代可可脂巧克力制品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E30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铅（以Pb计）、沙门氏菌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D1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4362E6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A08C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F81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500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99F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2F0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果冻</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24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果冻</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B5CC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山梨酸及其钾盐（以山梨酸计）、苯甲酸及其钠盐（以苯甲酸计）、糖精钠（以糖精计）、甜蜜素（以环己基氨基磺酸计）、安赛蜜、合成着色剂（柠檬黄、新红、苋菜红、靛蓝、胭脂红、日落黄、诱惑红、亮蓝、酸性红、喹啉黄、赤藓红）、相同色泽着色剂混合使用时各自用量占其最大使用量的比例之和、菌落总数、大肠菌群、霉菌、酵母、双丙酚丁、脱乙酰比沙可啶</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6E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72D6E9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7838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5D13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14</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E9B9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茶叶及相关</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23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茶叶</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A2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茶叶</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B2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绿茶、红茶、乌龙茶、黄茶、白茶、黑茶、花茶、袋泡茶、紧压茶</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E133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草甘膦、吡虫啉、乙酰甲胺磷、联苯菊酯、灭多威、三氯杀螨醇、氰戊菊酯和S-氰戊菊酯、甲拌磷、克百威、水胺硫磷、氧乐果、毒死蜱、啶虫脒、多菌灵、茚虫威、糖精钠（以糖精计）、甜蜜素（以环己基氨基磺酸计）、合成着色剂（柠檬黄、日落黄、胭脂红、亮蓝）</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28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667E91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9</w:t>
            </w:r>
          </w:p>
        </w:tc>
      </w:tr>
      <w:tr w14:paraId="1E07D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EC9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FC1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D17F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含茶制品和</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D14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含茶制品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20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速溶茶类、其他含茶制品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D86A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铅（以Pb计）、菌落总数、霉菌、霉菌及酵母、合成着色剂（柠檬黄、日落黄、胭脂红、亮蓝 ）</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A4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454B5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E831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346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3CF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A21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48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F9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枸杞（干）</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277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F61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44A295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8DF5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60B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8BA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B10F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含茶制品和</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A9C9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代用茶</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72A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菊花（干）</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D0BC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87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E16AF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3210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DBC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363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C4F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784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F23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金银花（干）</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50C0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DE1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6A66F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86B5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2"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31C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81F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930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4C5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068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苦丁茶</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9BC7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6E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47E6B6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9A49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2"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2EB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74B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8DE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7E3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25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其他代用茶</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BB6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铅（以Pb计）、二氧化硫残留量、啶虫脒、克百威、毒死蜱、氯氟氰菊酯和高效氯氟氰菊酯、吡虫啉、三唑磷、霉菌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0A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592756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7E65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9BEB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15</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01C3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酒类</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B1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蒸馏酒</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4E4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白酒</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6B7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白酒、白酒（液态）、白酒（原酒）</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7B9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酒精度、铅（以Pb计）、甲醇、氰化物（以HCN计）、糖精钠（以糖精计）、甜蜜素（以环己基氨基磺酸计）、三氯蔗糖、安赛蜜、纽甜</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3A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218B52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28</w:t>
            </w:r>
          </w:p>
        </w:tc>
      </w:tr>
      <w:tr w14:paraId="42745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4DF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469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A266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发酵酒</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A7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黄酒</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D0C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黄酒</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98AB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酒精度、氨基酸态氮、苯甲酸及其钠盐（以苯甲酸计）、山梨酸及其钾盐（以山梨酸计）、糖精钠（以糖精计）、甜蜜素（以环己基氨基磺酸计）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42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001A13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E96B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4C7C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642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F2D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A64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啤酒</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EA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啤酒</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12E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酒精度、甲醛</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9E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65FD3F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1906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C4C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CF3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913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2F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葡萄酒</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A66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葡萄酒</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5A13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甲醇、苯甲酸及其钠盐（以苯甲酸计）、山梨酸及其钾盐（以山梨酸计）、糖精钠（以糖精计）、二氧化硫残留量、甜蜜素（以环己基氨基磺酸计）、三氯蔗糖、合成着色剂（柠檬黄、日落黄、新红、胭脂红、赤藓红、苋菜红、诱惑红、酸性红、亮蓝）</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93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21EF42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F15F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0C4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82A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3EA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4D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果酒</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91B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果酒</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A5A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酒精度、展青霉素、糖精钠（以糖精计）、甜蜜素（以环己基氨基磺酸计）、安赛蜜、二氧化硫残留量、酸性红</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505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610620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269F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3E5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435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D384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其他酒</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D5ED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配制酒</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0B2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以蒸馏酒及食用酒精为酒基的配制酒</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D10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甲醇、氰化物（以HCN计）、西地那非、豪莫西地那非、硫代艾地那非、他达拉非、二硫代去甲基卡巴地那非、那非乙酰酸、去甲基卡巴地那非、去甲基他达拉非、羟基豪莫西地那非、伐地那非、育亨宾、甜蜜素（以环己基氨基磺酸计）、安赛蜜、纽甜</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446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6B53D6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C5D0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536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62F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B71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7A2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38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以发酵酒为酒基的配制酒</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ED1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酒精度、苯甲酸及其钠盐（以苯甲酸计）、山梨酸及其钾盐（以山梨酸计）、甜蜜素（以环己基氨基磺酸计）、防腐剂混合使用时各自用量占其最大使用量的比例之和、安赛蜜</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E2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D4205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9981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05D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79A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DE0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C32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其他蒸馏酒</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D81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其他蒸馏酒</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4A7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酒精度、铅（以Pb计）、甲醇、氰化物（以HCN计）、甜蜜素（以环己基氨基磺酸计）、三氯蔗糖</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510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A6450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FC82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2"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C63A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4DE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893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B3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其他发酵酒</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25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其他发酵酒</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A63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酒精度、苯甲酸及其钠盐（以苯甲酸计）、山梨酸及其钾盐（以山梨酸计）、糖精钠（以糖精计）、甜蜜素（以环己基氨基磺酸计）、安赛蜜</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4E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080100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7234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2"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EAE9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16</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D82C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蔬菜制品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BFEC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蔬菜制品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74E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酱腌菜</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76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酱腌菜</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B74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亚硝酸盐（以NaNO₂计）、苯甲酸及其钠盐（以苯甲酸计）、山梨酸及其钾盐（以山梨酸计）、脱氢乙酸及其钠盐（以脱氢乙酸计）、糖精钠（以糖精计）、甜蜜素（以环己基氨基磺酸计）、阿斯巴甜、安赛蜜、纽甜、三氯蔗糖、二氧化硫残留量、防腐剂混合使用时各自用量占其最大使用量的比例之和、合成着色剂（柠檬黄、日落黄、胭脂红、诱惑红）、大肠菌群</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035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5F55A5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18</w:t>
            </w:r>
          </w:p>
        </w:tc>
      </w:tr>
      <w:tr w14:paraId="7E4D6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4A6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FC29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6A3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F3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蔬菜干制品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58B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蔬菜干制品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E2D73">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铅（以Pb计）、苯甲酸及其钠盐（以苯甲酸计）、山梨酸及其钾盐（以山梨酸计）、二氧化硫残留量、合成着色剂（柠檬黄、日落黄、胭脂红、苋菜红、亮蓝）</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56D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665F0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A4CC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32A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B1E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5CB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73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其他蔬菜</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72F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其他蔬菜制品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C58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铅（以Pb计）、苯甲酸及其钠盐（以苯甲酸计）、山梨酸及其钾盐（以山梨酸计）、脱氢乙酸及其钠盐（以脱氢乙酸计）、二氧化硫残留量</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261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7823E3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353A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28A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EB25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D92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0FF9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食用菌制品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E7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干制食用菌</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62B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铅（以Pb计）、镉（以Cd计）、甲基汞（以Hg计）、无机砷（以As计）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39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032E7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7744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092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C18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33E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119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120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腌渍食用菌</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0FB3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苯甲酸及其钠盐（以苯甲酸计）、山梨酸及其钾盐（以山梨酸计）、脱氢乙酸及其钠盐（以脱氢乙酸计）、防腐剂混合使用时各自用量占其最大使用量的比例之和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6A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472741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6711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202D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17</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8C60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水果制品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61A3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水果制品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95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蜜饯</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88E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蜜饯类、凉果类、果脯类、话化类、果糕类</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5EA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防腐剂混合使用时各自用量占其最大使用量的比例之和、糖精钠（以糖精计）、甜蜜素（以环己基氨基磺酸计）、安赛蜜、二氧化硫残留量、合成着色剂（亮蓝、柠檬黄、日落黄、苋菜红、胭脂红、诱惑红、喹啉黄、赤藓红）、相同色泽着色剂混合使用时各自用量占其最大使用量的比例之和、乙二胺四乙酸二钠、菌落总数、大肠菌群、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BE8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同左，增加比沙可啶环丙甲酰替代物、双酚沙丁、脱乙酰比沙可啶（限有功能声称的产品）</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758542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20</w:t>
            </w:r>
          </w:p>
        </w:tc>
      </w:tr>
      <w:tr w14:paraId="47BAE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D4C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725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CB7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4B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水果干制品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12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水果干制品（含干枸杞）</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34FD">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啶虫脒、吡虫啉、克百威、氯氟氰菊酯和高效氯氟氰菊酯、氯氰菊酯和高效氯氰菊酯、苯甲酸及其钠盐（以苯甲酸计）、山梨酸及其钾盐（以山梨酸计）、脱氢乙酸及其钠盐（以脱氢乙酸计）、糖精钠（以糖精计）、二氧化硫残留量、合成着色剂（亮蓝、柠檬黄、日落黄、苋菜红、胭脂红、诱惑红、喹啉黄、赤藓红）、菌落总数、大肠菌群、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A92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64D245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2AE5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8E0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196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3EC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EC9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果酱</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085F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果酱</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45E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脱氢乙酸及其钠盐（以脱氢乙酸计）、二氧化硫残留量、菌落总数、大肠菌群、霉菌、商业无菌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FD4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7F4EFE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F815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A78B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18</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970D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炒货食品及</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坚果制品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1555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炒货食品及</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坚果制品</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590D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炒货食品及坚果制品（烘炒类、油炸类、其他类）</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01C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瓜子</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7D4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、苯甲酸及其钠盐（以苯甲酸计）、山梨酸及其钾盐（以山梨酸计）、脱氢乙酸及其钠盐（以脱氢乙酸计）、二氧化硫残留量、糖精钠（以糖精计）、甜蜜素（以环己基氨基磺酸计）、安赛蜜、大肠菌群、霉菌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CB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564B3C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16</w:t>
            </w:r>
          </w:p>
        </w:tc>
      </w:tr>
      <w:tr w14:paraId="007E4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1EE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479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280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54C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98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花生制品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AAEA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、苯甲酸及其钠盐（以苯甲酸计）、山梨酸及其钾盐（以山梨酸计）、脱氢乙酸及其钠盐（以脱氢乙酸计）、二氧化硫残留量、糖精钠（以糖精计）、甜蜜素（以环己基氨基磺酸计）、安赛蜜、大肠菌群、霉菌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11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8CC9D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983D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958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16D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58F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BC9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A0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其他炒货食品及坚果制品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5ABB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酸价（以脂肪计）（KOH）、过氧化值（以脂肪计）、铅（以Pb计）、黄曲霉毒素B₁ 、脱氢乙酸及其钠盐（以脱氢乙酸计）、二氧化硫残留量、糖精钠（以糖精计）、甜蜜素（以环己基氨基磺酸计）、安赛蜜、大肠菌群、霉菌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F4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7B2750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8CB6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0DD9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19</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E87B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蛋制品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F716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蛋制品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60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再制蛋</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4B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再制蛋</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0F4B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铅（以Pb计）、苯甲酸及其钠盐（以苯甲酸计）、山梨酸及其钾盐（以山梨酸计）、菌落总数、大肠菌群、沙门氏菌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2B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084743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w:t>
            </w:r>
          </w:p>
        </w:tc>
      </w:tr>
      <w:tr w14:paraId="12779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EA2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616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D8C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AC8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干蛋制品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CC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干蛋制品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B446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菌落总数、大肠菌群、沙门氏菌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72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A95FF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3DAF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C02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ECB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2D8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EC8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冰蛋制品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13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冰蛋制品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0746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菌落总数、大肠菌群、沙门氏菌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5BB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05CF01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042F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D25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D9C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326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F5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液蛋制品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E81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液蛋制品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0C2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铅（以Pb计）、苯甲酸及其钠盐（以苯甲酸计）、山梨酸及其钾盐（以山梨酸计）、脱氢乙酸及其钠盐（以脱氢乙酸计）、菌落总数、大肠菌群、沙门氏菌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98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A16DE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EEC6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210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624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31B1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E6E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热凝固蛋制品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11C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热凝固蛋制品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C9ED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铅（以Pb计）、苯甲酸及其钠盐（以苯甲酸计）、山梨酸及其钾盐（以山梨酸计）、脱氢乙酸及其钠盐（以脱氢乙酸计）、菌落总数、大肠菌群、沙门氏菌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5E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30B7EB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ACCC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50B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F9C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74A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23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其他蛋制品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EB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其他蛋制品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DA9E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铅（以Pb计）、苯甲酸及其钠盐（以苯甲酸计）、山梨酸及其钾盐（以山梨酸计）、脱氢乙酸及其钠盐（以脱氢乙酸计）、菌落总数、大肠菌群、沙门氏菌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714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6513DB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6A4C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5F48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20</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D109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可可及焙烤</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咖啡产品</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3E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焙炒咖啡</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699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焙炒咖啡</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39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焙炒咖啡</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067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咖啡因、铅（以Pb计）、赭曲霉毒素A</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916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4E3A8A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w:t>
            </w:r>
          </w:p>
        </w:tc>
      </w:tr>
      <w:tr w14:paraId="32B45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DE0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B92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48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可可制品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8BF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717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可可制品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8AA8">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铅（以Pb计）、沙门氏菌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5FE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69360F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2B8F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B195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21</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1F92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食糖</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C0BA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食糖</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6B8D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食糖</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C9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白砂糖</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79DE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蔗糖分、还原糖分、色值、干燥失重、二氧化硫残留量、螨</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94C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0E6FDF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12</w:t>
            </w:r>
          </w:p>
        </w:tc>
      </w:tr>
      <w:tr w14:paraId="47032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2"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71D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100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3AE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8FD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7E5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绵白糖</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93F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总糖分、还原糖分、色值、干燥失重、二氧化硫残留量、螨</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348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24BB3D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8D49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EA8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384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B45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F1D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04C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赤砂糖</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0F8E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总糖分、不溶于水杂质、干燥失重、二氧化硫残留量、螨、合成着色剂（柠檬黄、新红、苋菜红、胭脂红、日落黄、诱惑红、酸性红、喹啉黄、赤藓红）</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D62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3C407D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3FD0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2"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DE7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C7E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EAF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52E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8B2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红糖</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9D79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总糖分、不溶于水杂质、干燥失重、二氧化硫残留量、螨、合成着色剂（柠檬黄、新红、苋菜红、胭脂红、日落黄、诱惑红、酸性红、喹啉黄、赤藓红）</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1EE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903A3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5A51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8"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0D2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0BD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30B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4FB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AAA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冰糖</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1EA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蔗糖分、还原糖分、色值、干燥失重、二氧化硫残留量、螨、合成着色剂（柠檬黄、新红、苋菜红、胭脂红、日落黄、诱惑红、酸性红、喹啉黄、赤藓红）</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F7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6C5F33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9FC1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9F6C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F00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C39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AB8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CD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冰片糖</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74E1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总糖分、还原糖分、干燥失重、二氧化硫残留量、螨、合成着色剂（柠檬黄、新红、苋菜红、胭脂红、日落黄、诱惑红、酸性红、喹啉黄、赤藓红）</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B7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7A071A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B15B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E61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D74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BF4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94A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BF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方糖</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74FF">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蔗糖分、还原糖分、色值、干燥失重、二氧化硫残留量、螨</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F2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08C4F9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49E0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417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B9A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2A81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1B9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DA8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其他糖</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00AB5">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蔗糖分、总糖分、色值、还原糖分、干燥失重、二氧化硫残留量、螨、合成着色剂（柠檬黄、新红、苋菜红、胭脂红、日落黄、诱惑红、酸性红、喹啉黄、赤藓红）、菌落总数、大肠菌群、霉菌、酵母菌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D30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7352C9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2010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EC56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22</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C7C1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水产制品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8D2D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水产制品</w:t>
            </w: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7A2A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干制水产品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CA0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藻类干制品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000B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铅（以Pb计）、菌落总数、大肠菌群</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D61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073E95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11</w:t>
            </w:r>
          </w:p>
        </w:tc>
      </w:tr>
      <w:tr w14:paraId="4BF12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5A7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E06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AB9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0D3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B6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预制动物性水产干制品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762F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过氧化值（以脂肪计）、铅（以Pb计）、镉（以Cd计）、苯甲酸及其钠盐（以苯甲酸计）、山梨酸及其钾盐（以山梨酸计）、合成着色剂（柠檬黄、胭脂红、日落黄、诱惑红）</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EA6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7B1D9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A262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7AE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9C9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91F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8CB3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盐渍水产品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BCD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盐渍鱼</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E37A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过氧化值（以脂肪计）、组胺、镉（以Cd计）、苯甲酸及其钠盐（以苯甲酸计）、山梨酸及其钾盐（以山梨酸计）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D23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46B3B3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C276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2"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DF4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703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09B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A67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17D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盐渍藻</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A1A0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FE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718026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3C035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75C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D60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EE8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8DC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649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其他盐渍水产品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FD561">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7DC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0E5E0B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ADEA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2"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4E1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60E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4E7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EBD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鱼糜制品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6CA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预制鱼糜制品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023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铅（以Pb计）、苯甲酸及其钠盐（以苯甲酸计）、山梨酸及其钾盐（以山梨酸计）、脱氢乙酸及其钠盐（以脱氢乙酸计）、合成着色剂（诱惑红、柠檬黄、日落黄）</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F4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16B964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D75D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2"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3FC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5CB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ABAA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B6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熟制动物性水产制品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9EB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熟制动物性水产制品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EF6D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铅（以Pb计）、镉（以Cd计）、苯甲酸及其钠盐（以苯甲酸计）、山梨酸及其钾盐（以山梨酸计）、甜蜜素（以环己基氨基磺酸计）、脱氢乙酸及其钠盐（以脱氢乙酸计）</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AD8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370199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4AF7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63C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29B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636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C41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生食水产品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774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生食动物性水产品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ACB6">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挥发性盐基氮、苯甲酸及其钠盐（以苯甲酸计）、山梨酸及其钾盐（以山梨酸计）、铝的残留量（以即食海蜇中Al计）、菌落总数、大肠菌群、沙门氏菌、副溶血性弧菌、单核细胞增生李斯特氏菌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71B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51F21F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97C8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948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E4A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23C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96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其他水产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24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其他水产制品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C5309">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糖精钠（以糖精计）、脱氢乙酸及其钠盐（以脱氢乙酸计）、合成着色剂（柠檬黄）、甜蜜素（以环己基氨基磺酸计）、防腐剂混合使用时各自用量占其最大使用量的比例之和、菌落总数</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D1A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224E96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351A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05E3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23</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2552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淀粉及淀粉制品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0396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淀粉及淀粉制品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E6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242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D55E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铅（以Pb计）、霉菌和酵母、二氧化硫残留量、脱氢乙酸及其钠盐（以脱氢乙酸计）、葛根素、水分、氢氰酸</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0C1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10D109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8</w:t>
            </w:r>
          </w:p>
        </w:tc>
      </w:tr>
      <w:tr w14:paraId="1941D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08E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22C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77E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E265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53A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粉丝粉条</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FAD7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铝的残留量（干样品，以Al计）、二氧化硫残留量、合成着色剂（柠檬黄、新红、苋菜红、靛蓝、胭脂红、诱惑红、日落黄、亮蓝、酸性红、喹啉黄、赤藓红）</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1F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301DAB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38B1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4B44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9B1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AC7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6DA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7EE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其他淀粉制品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BED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苯甲酸及其钠盐（以苯甲酸计）、山梨酸及其钾盐（以山梨酸计）、脱氢乙酸及其钠盐（以脱氢乙酸计）、铝的残留量（干样品，以Al计）、二氧化硫残留量、合成着色剂（柠檬黄、新红、苋菜红、靛蓝、胭脂红、日落黄、诱惑红、亮蓝、酸性红、喹啉黄、赤藓红）、相同色泽着色剂混合使用时各自用量占其最大使用量的比例之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48C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293ACE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F3D9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F78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B58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D04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B1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淀粉糖</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57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淀粉糖</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2D3C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总砷（以As计）、葡萄糖含量（以干基计，质量分数）、IMO含量（占干物质，质量分数）、IG₂+P+IG₃含量（占干物质，质量分数）、果糖（占干基比）、果糖+葡萄糖（占干基比）、5-羟甲基糠醛（以吸光度计）、果糖+葡萄糖含量（以干物质计）、果糖含量（以干物质计）、麦芽糖含量（以干物质计，质量分数）、干物质（固形物）、硫酸灰分</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E8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201389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D5F5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0"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A501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24</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361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5DC3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2E3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面包</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1C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面包</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547A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富马酸二甲酯、苯甲酸及其钠盐（以苯甲酸计）、山梨酸及其钾盐（以山梨酸计）、糖精钠（以糖精计）、甜蜜素（以环己基氨基磺酸计）、安赛蜜、铝的残留量（干样品，以Al计）、丙酸及其钠盐、钙盐（以丙酸计）、脱氢乙酸及其钠盐（以脱氢乙酸计）、三氯蔗糖、合成着色剂（柠檬黄、日落黄、胭脂红、苋菜红、亮蓝、诱惑红、酸性红）、防腐剂混合使用时各自用量占其最大使用量的比例之和、菌落总数、大肠菌群、金黄色葡萄球菌、沙门氏菌、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98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693431A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20</w:t>
            </w:r>
          </w:p>
        </w:tc>
      </w:tr>
      <w:tr w14:paraId="469F6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E32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203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360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C0C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月饼</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6BA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月饼</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D7BA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富马酸二甲酯、糖精钠（以糖精计）、苯甲酸及其钠盐（以苯甲酸计）、山梨酸及其钾盐（以山梨酸计）、铝的残留量（干样品，以Al计）、丙酸及其钠盐、钙盐（以丙酸计）、脱氢乙酸及其钠盐（以脱氢乙酸计）、纳他霉素、合成着色剂（柠檬黄、日落黄、胭脂红、苋菜红、亮蓝、赤藓红、诱惑红）、防腐剂混合使用时各自用量占其最大使用量的比例之和、菌落总数、大肠菌群、金黄色葡萄球菌、沙门氏菌、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2B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20B8CD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63AA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574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CC8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D7F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58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粽子</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7CC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粽子</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EA5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过氧化值（以脂肪计）、甜蜜素（以环己基氨基磺酸计）、脱氢乙酸及其钠盐（以脱氢乙酸计）、山梨酸及其钾盐（以山梨酸计）、糖精钠（以糖精计）、安赛蜜、菌落总数、大肠菌群、金黄色葡萄球菌、沙门氏菌、霉菌、商业无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2D0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3C5B30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6A12B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2BD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98E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56B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F1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B6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糕点</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D8E2">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酸价（以脂肪计）（KOH）、过氧化值（以脂肪计）、铅（以Pb计）、富马酸二甲酯、苯甲酸及其钠盐（以苯甲酸计）、山梨酸及其钾盐（以山梨酸计）、糖精钠（以糖精计）、甜蜜素（以环己基氨基磺酸计）、安赛蜜、铝的残留量（干样品，以Al计）、丙酸及其钠盐、钙盐（以丙酸计）、脱氢乙酸及其钠盐（以脱氢乙酸计）、纳他霉素、三氯蔗糖、丙二醇、合成着色剂（柠檬黄、日落黄、胭脂红、苋菜红、亮蓝、赤藓红、诱惑红）、防腐剂混合使用时各自用量占其最大使用量的比例之和、菌落总数、大肠菌群、金黄色葡萄球菌、沙门氏菌、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E4C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487331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CD27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8431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25</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9EB6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豆制品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5BAC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豆制品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9E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发酵性</w:t>
            </w:r>
            <w:r>
              <w:rPr>
                <w:rFonts w:hint="default" w:ascii="Times New Roman" w:hAnsi="Times New Roman" w:eastAsia="宋体" w:cs="Times New Roman"/>
                <w:i w:val="0"/>
                <w:iCs w:val="0"/>
                <w:color w:val="auto"/>
                <w:kern w:val="0"/>
                <w:sz w:val="20"/>
                <w:szCs w:val="20"/>
                <w:highlight w:val="none"/>
                <w:u w:val="none"/>
                <w:lang w:val="en-US" w:eastAsia="zh-CN" w:bidi="ar"/>
              </w:rPr>
              <w:br w:type="textWrapping"/>
            </w:r>
            <w:r>
              <w:rPr>
                <w:rFonts w:hint="default" w:ascii="Times New Roman" w:hAnsi="Times New Roman" w:eastAsia="宋体" w:cs="Times New Roman"/>
                <w:i w:val="0"/>
                <w:iCs w:val="0"/>
                <w:color w:val="auto"/>
                <w:kern w:val="0"/>
                <w:sz w:val="20"/>
                <w:szCs w:val="20"/>
                <w:highlight w:val="none"/>
                <w:u w:val="none"/>
                <w:lang w:val="en-US" w:eastAsia="zh-CN" w:bidi="ar"/>
              </w:rPr>
              <w:t>豆制品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591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腐乳、豆豉、纳豆等</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B1B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铅（以Pb计）、黄曲霉毒素B₁ 、苯甲酸及其钠盐（以苯甲酸计）、山梨酸及其钾盐（以山梨酸计）、脱氢乙酸及其钠盐（以脱氢乙酸计）、糖精钠（以糖精计）、甜蜜素（以环己基氨基磺酸计）、铝的残留量（干样品，以Al计）、大肠菌群</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80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13432D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11</w:t>
            </w:r>
          </w:p>
        </w:tc>
      </w:tr>
      <w:tr w14:paraId="245AC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AE2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151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38A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8704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非发酵性豆制品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D3F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腐竹、油皮及其再制品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C61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铅（以Pb计）、苯甲酸及其钠盐（以苯甲酸计）、山梨酸及其钾盐（以山梨酸计）、脱氢乙酸及其钠盐（以脱氢乙酸计）、二氧化硫残留量、铝的残留量（干样品，以Al计）、合成着色剂（柠檬黄、日落黄）</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15D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6B2739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386E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2"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2A73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523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486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986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978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豆干、豆腐、豆皮等</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522C">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丙酸及其钠盐、钙盐（以丙酸计）、防腐剂混合使用时各自用量占其最大使用量的比例之和、糖精钠（以糖精计）、三氯蔗糖、甜蜜素（以环己基氨基磺酸计）、铝的残留量（干样品，以Al计）、合成着色剂（柠檬黄、日落黄）、大肠菌群、金黄色葡萄球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BDE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3EA53E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1BC3D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73B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7BA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BE9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C9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其他豆制品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6E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大豆蛋白类制品等</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0C5E">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苯甲酸及其钠盐（以苯甲酸计）、山梨酸及其钾盐（以山梨酸计）、脱氢乙酸及其钠盐（以脱氢乙酸计）、糖精钠（以糖精计）、三氯蔗糖、铝的残留量（干样品，以Al计）、合成着色剂（柠檬黄、日落黄）、大肠菌群</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983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254A79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7D99E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D108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26</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8F50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DF71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94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蜂蜜</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E4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蜂蜜</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E620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果糖和葡萄糖、蔗糖、山梨酸及其钾盐（以山梨酸计）、氯霉素、呋喃西林代谢物、呋喃唑酮代谢物、甲硝唑、双甲脒、氟胺氰菊酯、诺氟沙星、氧氟沙星、菌落总数、霉菌计数、嗜渗酵母计数</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E1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同左，增加西地那非、他达拉非（限有功能声称的产品）</w:t>
            </w:r>
          </w:p>
        </w:tc>
        <w:tc>
          <w:tcPr>
            <w:tcW w:w="998" w:type="dxa"/>
            <w:vMerge w:val="restart"/>
            <w:tcBorders>
              <w:top w:val="single" w:color="000000" w:sz="4" w:space="0"/>
              <w:left w:val="single" w:color="000000" w:sz="4" w:space="0"/>
              <w:right w:val="single" w:color="000000" w:sz="4" w:space="0"/>
            </w:tcBorders>
            <w:shd w:val="clear" w:color="auto" w:fill="auto"/>
            <w:vAlign w:val="center"/>
          </w:tcPr>
          <w:p w14:paraId="76D1B4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14</w:t>
            </w:r>
          </w:p>
        </w:tc>
      </w:tr>
      <w:tr w14:paraId="13805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33B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6E7E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A44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BB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蜂王浆（含蜂王浆冻干品 ）</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78F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蜂王浆（含蜂王浆冻干品）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7717">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10-羟基-2-癸烯酸、酸度、蛋白质、呋喃西林代谢物</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F8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0CB6DD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066AA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045D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930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BC9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F6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蜂花粉</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197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蜂花粉</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0350">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铅（以Pb计）、菌落总数、大肠菌群、霉菌</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9F8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right w:val="single" w:color="000000" w:sz="4" w:space="0"/>
            </w:tcBorders>
            <w:shd w:val="clear" w:color="auto" w:fill="auto"/>
            <w:vAlign w:val="center"/>
          </w:tcPr>
          <w:p w14:paraId="2E3978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4EEBA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6F2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AB1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2E9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EF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蜂产品制品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1B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蜂产品制品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1A9B">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山梨酸及其钾盐（以山梨酸计）、合成着色剂（柠檬黄、日落黄）、菌落总数</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71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034333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27CB0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50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27</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C54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ACD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00C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FF4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保健食品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78B0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氨基酸、10-羟基-2-癸烯酸、蛋白质、二十二碳六烯酸、二十碳五烯酸、泛酸、钙、还原糖、肌醇、赖氨酸、绿原酸、铁、维生素A、维生素B₁、维生素B₁₂、维生素B₂、维生素B₆、维生素C、维生素D、维生素D₃、维生素E、硒、锌、烟酰胺、叶酸、免疫球蛋白IgG、总黄酮、总皂苷、总蒽醌、吡啶甲酸铬、芦荟苷、总三萜、嗜酸乳杆菌、双歧杆菌、水分、可溶性固形物、酸价、过氧化值、崩解时限、灰分、铅（Pb）、总砷（As）、总汞（Hg）、硬胶囊壳中的铬、菌落总数、大肠菌群、霉菌和酵母、金黄色葡萄球菌、沙门氏菌、褪黑素、甘草酸、咖啡因、淫羊藿苷、葛根素、辅酶Q10、番茄红素、那红地那非、红地那非、伐地那非、羟基豪莫西地那非、西地那非、豪莫西地那非、氨基他达拉非、他达拉非、硫代艾地那非、伪伐地那非、那莫西地那非、去甲基他达拉非、育亨宾、西布曲明、N-单去甲基西布曲明、N,N-双去甲基西布曲明</w:t>
            </w:r>
          </w:p>
        </w:tc>
        <w:tc>
          <w:tcPr>
            <w:tcW w:w="17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DC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tcBorders>
              <w:top w:val="single" w:color="000000" w:sz="4" w:space="0"/>
              <w:left w:val="single" w:color="000000" w:sz="4" w:space="0"/>
              <w:bottom w:val="single" w:color="auto" w:sz="4" w:space="0"/>
              <w:right w:val="single" w:color="000000" w:sz="4" w:space="0"/>
            </w:tcBorders>
            <w:shd w:val="clear" w:color="auto" w:fill="auto"/>
            <w:vAlign w:val="center"/>
          </w:tcPr>
          <w:p w14:paraId="135078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10</w:t>
            </w:r>
          </w:p>
        </w:tc>
      </w:tr>
      <w:tr w14:paraId="63856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ED0E3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28</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033B9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特殊膳食食品</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B33D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婴幼儿辅助食品</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6C7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婴幼儿谷类辅助食品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EB7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婴幼儿谷物辅助食品、婴幼儿高蛋白谷物辅助食品、婴幼儿生制类谷物辅助食品、其他婴幼儿谷物辅助食品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4794">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能量、蛋白质、脂肪、亚油酸、月桂酸占总脂肪的比值、肉豆蔻酸占总脂肪的比值、维生素A、维生素D、维生素B₁ 、钙、铁、锌、钠、维生素E、维生素B₂ 、维生素B₆ 、维生素B₁₂、烟酸/烟酰胺、叶酸、泛酸、维生素C、生物素、磷、碘、钾、镁、水分、不溶性膳食纤维、二十二碳六烯酸、花生四烯酸、脲酶活性定性测定、铅（以Pb计）、无机砷（以As计）、锡（以Sn计）、镉（以Cd计）、黄曲霉毒素B₁ 、硝酸盐（以NaNO₃计）、亚硝酸盐（以NaNO₂计）、菌落总数、大肠菌群、商业无菌、沙门氏菌、金黄色葡萄球菌</w:t>
            </w:r>
          </w:p>
        </w:tc>
        <w:tc>
          <w:tcPr>
            <w:tcW w:w="1791" w:type="dxa"/>
            <w:tcBorders>
              <w:top w:val="single" w:color="000000" w:sz="4" w:space="0"/>
              <w:left w:val="single" w:color="000000" w:sz="4" w:space="0"/>
              <w:bottom w:val="single" w:color="000000" w:sz="4" w:space="0"/>
              <w:right w:val="single" w:color="auto" w:sz="4" w:space="0"/>
            </w:tcBorders>
            <w:shd w:val="clear" w:color="auto" w:fill="auto"/>
            <w:vAlign w:val="center"/>
          </w:tcPr>
          <w:p w14:paraId="38C06C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3A8FE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4</w:t>
            </w:r>
          </w:p>
        </w:tc>
      </w:tr>
      <w:tr w14:paraId="3FB74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9EB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C9B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0CA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9A1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婴幼儿罐装辅助食品</w:t>
            </w:r>
          </w:p>
        </w:tc>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DF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婴幼儿泥（糊）状罐装辅助食品，婴幼儿颗粒、片（块）状罐装辅助食品，婴幼儿汁类罐装辅助食品</w:t>
            </w:r>
          </w:p>
        </w:tc>
        <w:tc>
          <w:tcPr>
            <w:tcW w:w="67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4B6BA">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蛋白质、脂肪、总钠/钠、组胺、铅（以Pb计）、无机砷（以As计）、总汞（以Hg计）、锡（以Sn计）、硝酸盐（以NaNO₃计）、亚硝酸盐（以NaNO₂计）、商业无菌、霉菌</w:t>
            </w:r>
          </w:p>
        </w:tc>
        <w:tc>
          <w:tcPr>
            <w:tcW w:w="1791" w:type="dxa"/>
            <w:tcBorders>
              <w:top w:val="single" w:color="000000" w:sz="4" w:space="0"/>
              <w:left w:val="single" w:color="000000" w:sz="4" w:space="0"/>
              <w:bottom w:val="single" w:color="000000" w:sz="4" w:space="0"/>
              <w:right w:val="single" w:color="auto" w:sz="4" w:space="0"/>
            </w:tcBorders>
            <w:shd w:val="clear" w:color="auto" w:fill="auto"/>
            <w:vAlign w:val="center"/>
          </w:tcPr>
          <w:p w14:paraId="19F2F9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同左</w:t>
            </w:r>
          </w:p>
        </w:tc>
        <w:tc>
          <w:tcPr>
            <w:tcW w:w="9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13531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r>
      <w:tr w14:paraId="5603A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1478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B1DD1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合计</w:t>
            </w:r>
          </w:p>
        </w:tc>
        <w:tc>
          <w:tcPr>
            <w:tcW w:w="998" w:type="dxa"/>
            <w:tcBorders>
              <w:top w:val="single" w:color="auto" w:sz="4" w:space="0"/>
              <w:left w:val="single" w:color="000000" w:sz="4" w:space="0"/>
              <w:bottom w:val="single" w:color="000000" w:sz="4" w:space="0"/>
              <w:right w:val="single" w:color="000000" w:sz="4" w:space="0"/>
            </w:tcBorders>
            <w:shd w:val="clear" w:color="auto" w:fill="auto"/>
            <w:vAlign w:val="center"/>
          </w:tcPr>
          <w:p w14:paraId="54EBFD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580</w:t>
            </w:r>
          </w:p>
        </w:tc>
      </w:tr>
    </w:tbl>
    <w:p w14:paraId="309D5FB2">
      <w:pPr>
        <w:pStyle w:val="2"/>
        <w:rPr>
          <w:rFonts w:hint="default" w:ascii="Times New Roman" w:hAnsi="Times New Roman" w:eastAsia="宋体" w:cs="Times New Roman"/>
          <w:color w:val="auto"/>
          <w:sz w:val="24"/>
          <w:szCs w:val="24"/>
          <w:highlight w:val="none"/>
        </w:rPr>
      </w:pPr>
    </w:p>
    <w:p w14:paraId="685AED01">
      <w:pPr>
        <w:pStyle w:val="2"/>
        <w:rPr>
          <w:rFonts w:hint="default" w:ascii="Times New Roman" w:hAnsi="Times New Roman" w:cs="Times New Roman"/>
          <w:color w:val="auto"/>
          <w:highlight w:val="none"/>
        </w:rPr>
        <w:sectPr>
          <w:pgSz w:w="16838" w:h="11906" w:orient="landscape"/>
          <w:pgMar w:top="1417" w:right="1134" w:bottom="1417" w:left="1134" w:header="851" w:footer="992" w:gutter="0"/>
          <w:cols w:space="425" w:num="1"/>
          <w:docGrid w:type="lines" w:linePitch="312" w:charSpace="0"/>
        </w:sectPr>
      </w:pPr>
    </w:p>
    <w:p w14:paraId="0A31A37C">
      <w:pPr>
        <w:keepNext w:val="0"/>
        <w:keepLines w:val="0"/>
        <w:pageBreakBefore w:val="0"/>
        <w:widowControl w:val="0"/>
        <w:kinsoku/>
        <w:wordWrap/>
        <w:overflowPunct/>
        <w:topLinePunct w:val="0"/>
        <w:autoSpaceDE/>
        <w:autoSpaceDN/>
        <w:bidi w:val="0"/>
        <w:adjustRightInd/>
        <w:snapToGrid/>
        <w:spacing w:line="380" w:lineRule="exact"/>
        <w:jc w:val="center"/>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第五章  评标办法</w:t>
      </w:r>
      <w:bookmarkEnd w:id="148"/>
      <w:bookmarkEnd w:id="149"/>
      <w:bookmarkStart w:id="152" w:name="_Hlt101846155"/>
      <w:bookmarkEnd w:id="152"/>
      <w:bookmarkStart w:id="153" w:name="_Toc183682415"/>
      <w:bookmarkStart w:id="154" w:name="_Toc217446097"/>
      <w:bookmarkStart w:id="155" w:name="_Toc208849007"/>
      <w:bookmarkStart w:id="156" w:name="_Toc183582280"/>
    </w:p>
    <w:p w14:paraId="0AE50B78">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总则</w:t>
      </w:r>
      <w:bookmarkEnd w:id="153"/>
      <w:bookmarkEnd w:id="154"/>
      <w:bookmarkEnd w:id="155"/>
      <w:bookmarkEnd w:id="156"/>
    </w:p>
    <w:p w14:paraId="430755E8">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根据《中华人民共和国政府采购法》、《中华人民共和国政府采购法实施条例》和《政府采购货物和服务招标投标管理办法》（财政部第87号令）等法律法规、规章和相关规定，结合招标项目特点制定本评标办法。</w:t>
      </w:r>
    </w:p>
    <w:p w14:paraId="45AFB978">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1.2 </w:t>
      </w:r>
      <w:r>
        <w:rPr>
          <w:rFonts w:hint="eastAsia" w:ascii="宋体" w:hAnsi="宋体" w:eastAsia="宋体" w:cs="宋体"/>
          <w:bCs/>
          <w:color w:val="auto"/>
          <w:sz w:val="24"/>
          <w:szCs w:val="24"/>
          <w:highlight w:val="none"/>
        </w:rPr>
        <w:t>评标工作由采购人负责组织，具体评标工作由采购人依法组建的评标委员会负责。评标委员会由采购人代表和有关技术、经济等方面的专家组成。</w:t>
      </w:r>
    </w:p>
    <w:p w14:paraId="126E26D7">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评标工作应遵循公平、公正、科学及择优的原则。</w:t>
      </w:r>
    </w:p>
    <w:p w14:paraId="7096D5B1">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评标委员会按照招标文件规定的评标方法和标准进行评标，并独立履行下列职责：</w:t>
      </w:r>
    </w:p>
    <w:p w14:paraId="3E5FE154">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（1）审查投标文件是否符合招标文件要求，并作出评价；</w:t>
      </w:r>
    </w:p>
    <w:p w14:paraId="0F09ABC2">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（2）要求投标投标人对投标文件有关事项作出解释或者澄清；</w:t>
      </w:r>
    </w:p>
    <w:p w14:paraId="5DC5BEF2">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（3）推荐中标候选投标人名单，或者受采购人委托按照事先确定的办法直接确定中标投标人；</w:t>
      </w:r>
    </w:p>
    <w:p w14:paraId="35DF1BCC">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（4）向采购人或者有关部门报告非法干预评标工作的行为。</w:t>
      </w:r>
      <w:bookmarkStart w:id="157" w:name="_Toc217446098"/>
    </w:p>
    <w:p w14:paraId="5CECF76F">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评标过程严格保密。投标人对评标委员会的评标过程或合同授予决定施加影响的任何行为都可能导致其投标被拒绝。</w:t>
      </w:r>
    </w:p>
    <w:p w14:paraId="4FEE6785">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1.6评标委员会决定投标文件的响应性应依据投标文件本身的内容，而不寻求外部的证据。</w:t>
      </w:r>
    </w:p>
    <w:p w14:paraId="2E6BAAAD">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1.7评标委员会发现招标文件表述不明确或需要说明的事项，可提请采购人书面解释说明。发现招标文件违反法律、法规、规章和相关规定的，可以拒绝评标，并向采购人书面说明情况。</w:t>
      </w:r>
    </w:p>
    <w:p w14:paraId="4AABA148">
      <w:pPr>
        <w:pageBreakBefore w:val="0"/>
        <w:kinsoku/>
        <w:wordWrap/>
        <w:overflowPunct/>
        <w:topLinePunct w:val="0"/>
        <w:autoSpaceDE/>
        <w:autoSpaceDN/>
        <w:bidi w:val="0"/>
        <w:adjustRightInd/>
        <w:spacing w:line="38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评标方法</w:t>
      </w:r>
    </w:p>
    <w:p w14:paraId="0A63436A">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本项目评标方法为：综合评分法。</w:t>
      </w:r>
    </w:p>
    <w:p w14:paraId="332F2ABD">
      <w:pPr>
        <w:pageBreakBefore w:val="0"/>
        <w:kinsoku/>
        <w:wordWrap/>
        <w:overflowPunct/>
        <w:topLinePunct w:val="0"/>
        <w:autoSpaceDE/>
        <w:autoSpaceDN/>
        <w:bidi w:val="0"/>
        <w:adjustRightInd/>
        <w:spacing w:line="3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评标程序</w:t>
      </w:r>
      <w:bookmarkEnd w:id="157"/>
    </w:p>
    <w:p w14:paraId="6084A3FC">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auto"/>
          <w:sz w:val="24"/>
          <w:szCs w:val="24"/>
          <w:highlight w:val="none"/>
        </w:rPr>
      </w:pPr>
      <w:bookmarkStart w:id="158" w:name="_Toc217446099"/>
      <w:r>
        <w:rPr>
          <w:rFonts w:hint="eastAsia" w:ascii="宋体" w:hAnsi="宋体" w:eastAsia="宋体" w:cs="宋体"/>
          <w:color w:val="auto"/>
          <w:sz w:val="24"/>
          <w:szCs w:val="24"/>
          <w:highlight w:val="none"/>
        </w:rPr>
        <w:t>3.1资格审查</w:t>
      </w:r>
    </w:p>
    <w:p w14:paraId="03BA696B">
      <w:pPr>
        <w:keepNext/>
        <w:keepLines/>
        <w:pageBreakBefore w:val="0"/>
        <w:kinsoku/>
        <w:wordWrap/>
        <w:overflowPunct/>
        <w:topLinePunct w:val="0"/>
        <w:autoSpaceDE/>
        <w:autoSpaceDN/>
        <w:bidi w:val="0"/>
        <w:adjustRightInd/>
        <w:spacing w:line="380" w:lineRule="exact"/>
        <w:jc w:val="center"/>
        <w:rPr>
          <w:rFonts w:hint="eastAsia" w:ascii="宋体" w:hAnsi="宋体" w:eastAsia="宋体" w:cs="宋体"/>
          <w:b/>
          <w:bCs w:val="0"/>
          <w:color w:val="auto"/>
          <w:sz w:val="24"/>
          <w:szCs w:val="24"/>
          <w:highlight w:val="none"/>
        </w:rPr>
      </w:pPr>
      <w:r>
        <w:rPr>
          <w:rFonts w:hint="eastAsia" w:ascii="宋体" w:hAnsi="宋体" w:eastAsia="宋体" w:cs="宋体"/>
          <w:bCs/>
          <w:color w:val="auto"/>
          <w:sz w:val="24"/>
          <w:szCs w:val="24"/>
          <w:highlight w:val="none"/>
        </w:rPr>
        <w:br w:type="page"/>
      </w:r>
      <w:r>
        <w:rPr>
          <w:rFonts w:hint="eastAsia" w:ascii="宋体" w:hAnsi="宋体" w:eastAsia="宋体" w:cs="宋体"/>
          <w:b/>
          <w:bCs w:val="0"/>
          <w:color w:val="auto"/>
          <w:sz w:val="24"/>
          <w:szCs w:val="24"/>
          <w:highlight w:val="none"/>
        </w:rPr>
        <w:t>资格审查表</w:t>
      </w:r>
    </w:p>
    <w:p w14:paraId="40E7E303">
      <w:pPr>
        <w:pStyle w:val="8"/>
        <w:numPr>
          <w:ilvl w:val="3"/>
          <w:numId w:val="0"/>
        </w:numPr>
        <w:spacing w:line="240" w:lineRule="auto"/>
        <w:ind w:leftChars="0"/>
        <w:rPr>
          <w:rFonts w:hint="eastAsia" w:eastAsia="宋体"/>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标项一</w:t>
      </w:r>
    </w:p>
    <w:tbl>
      <w:tblPr>
        <w:tblStyle w:val="30"/>
        <w:tblW w:w="52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1"/>
        <w:gridCol w:w="6532"/>
        <w:gridCol w:w="620"/>
        <w:gridCol w:w="1080"/>
      </w:tblGrid>
      <w:tr w14:paraId="32FB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303" w:type="pct"/>
            <w:vMerge w:val="restart"/>
            <w:vAlign w:val="center"/>
          </w:tcPr>
          <w:p w14:paraId="45E119A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726" w:type="pct"/>
            <w:vMerge w:val="restart"/>
            <w:vAlign w:val="center"/>
          </w:tcPr>
          <w:p w14:paraId="45B7B6F2">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   查   标   准</w:t>
            </w:r>
          </w:p>
        </w:tc>
        <w:tc>
          <w:tcPr>
            <w:tcW w:w="969" w:type="pct"/>
            <w:gridSpan w:val="2"/>
            <w:vAlign w:val="center"/>
          </w:tcPr>
          <w:p w14:paraId="373E1BE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w:t>
            </w:r>
          </w:p>
        </w:tc>
      </w:tr>
      <w:tr w14:paraId="2DB3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303" w:type="pct"/>
            <w:vMerge w:val="continue"/>
            <w:vAlign w:val="center"/>
          </w:tcPr>
          <w:p w14:paraId="5F9E1AAA">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3726" w:type="pct"/>
            <w:vMerge w:val="continue"/>
            <w:vAlign w:val="center"/>
          </w:tcPr>
          <w:p w14:paraId="1A245CE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354" w:type="pct"/>
            <w:vAlign w:val="center"/>
          </w:tcPr>
          <w:p w14:paraId="1AE00C5B">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tc>
        <w:tc>
          <w:tcPr>
            <w:tcW w:w="615" w:type="pct"/>
            <w:vAlign w:val="center"/>
          </w:tcPr>
          <w:p w14:paraId="394E5EA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r>
      <w:tr w14:paraId="066E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303" w:type="pct"/>
            <w:vAlign w:val="center"/>
          </w:tcPr>
          <w:p w14:paraId="0AF1512A">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726" w:type="pct"/>
            <w:vAlign w:val="center"/>
          </w:tcPr>
          <w:p w14:paraId="2AE18A36">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具有独立承担民事责任的能力；</w:t>
            </w:r>
          </w:p>
          <w:p w14:paraId="3ADD2DF8">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【法人、其他组织投标须提供营业执照等证明文件，自然人投标须提供自然人的身份证明。】</w:t>
            </w:r>
          </w:p>
        </w:tc>
        <w:tc>
          <w:tcPr>
            <w:tcW w:w="354" w:type="pct"/>
            <w:vAlign w:val="center"/>
          </w:tcPr>
          <w:p w14:paraId="7E8FF7E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615" w:type="pct"/>
            <w:vAlign w:val="center"/>
          </w:tcPr>
          <w:p w14:paraId="13E07483">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662B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vAlign w:val="center"/>
          </w:tcPr>
          <w:p w14:paraId="476DE25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726" w:type="pct"/>
            <w:vAlign w:val="center"/>
          </w:tcPr>
          <w:p w14:paraId="6E54B942">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具有良好的商业信誉和健全的财务会计制度；</w:t>
            </w:r>
          </w:p>
          <w:p w14:paraId="53226AEC">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以开标截止时间点投标人未列入“信用中国”&lt;www.creditchina.gov.cn&gt;网站的“失信被执行人”和“重大税收违法失信主体”（投标人为自然人时无需提供）及“中国政府采购网”&lt;www.ccgp.gov.cn&gt;网站的“政府采购严重违法失信行为记录名单”</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开标</w:t>
            </w:r>
            <w:r>
              <w:rPr>
                <w:rFonts w:hint="eastAsia" w:ascii="宋体" w:hAnsi="宋体" w:eastAsia="宋体" w:cs="宋体"/>
                <w:color w:val="auto"/>
                <w:sz w:val="24"/>
                <w:szCs w:val="24"/>
                <w:highlight w:val="none"/>
              </w:rPr>
              <w:t>截止时间点，由</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代理公司统一登陆网站查询递交</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信誉情况，并以保存的网页查询截图为准。②</w:t>
            </w:r>
            <w:r>
              <w:rPr>
                <w:rFonts w:hint="default" w:ascii="宋体" w:hAnsi="宋体" w:eastAsia="宋体" w:cs="宋体"/>
                <w:color w:val="auto"/>
                <w:sz w:val="24"/>
                <w:szCs w:val="24"/>
                <w:highlight w:val="none"/>
                <w:lang w:val="en-US" w:eastAsia="zh-CN"/>
              </w:rPr>
              <w:t>银行出具的近1年内资信证明或</w:t>
            </w:r>
            <w:r>
              <w:rPr>
                <w:rFonts w:hint="eastAsia" w:ascii="宋体" w:hAnsi="宋体" w:eastAsia="宋体" w:cs="宋体"/>
                <w:color w:val="auto"/>
                <w:sz w:val="24"/>
                <w:szCs w:val="24"/>
                <w:highlight w:val="none"/>
                <w:lang w:val="en-US" w:eastAsia="zh-CN"/>
              </w:rPr>
              <w:t>2024年度审计报告</w:t>
            </w:r>
            <w:r>
              <w:rPr>
                <w:rFonts w:hint="eastAsia" w:ascii="宋体" w:hAnsi="宋体" w:eastAsia="宋体" w:cs="宋体"/>
                <w:color w:val="auto"/>
                <w:sz w:val="24"/>
                <w:szCs w:val="24"/>
                <w:highlight w:val="none"/>
              </w:rPr>
              <w:t>，新成立企业无需提供。】</w:t>
            </w:r>
          </w:p>
        </w:tc>
        <w:tc>
          <w:tcPr>
            <w:tcW w:w="354" w:type="pct"/>
            <w:vAlign w:val="center"/>
          </w:tcPr>
          <w:p w14:paraId="63DA6B0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615" w:type="pct"/>
            <w:vAlign w:val="center"/>
          </w:tcPr>
          <w:p w14:paraId="6673B2D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6E4F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vAlign w:val="center"/>
          </w:tcPr>
          <w:p w14:paraId="494BB52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726" w:type="pct"/>
            <w:vAlign w:val="center"/>
          </w:tcPr>
          <w:p w14:paraId="38A5984C">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具有履行合同所必需的设备和专业技术能力；</w:t>
            </w:r>
          </w:p>
          <w:p w14:paraId="7A58ED62">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【须提供：①相关设备或设施的购置发票或单据（任一）或提供承诺函；②</w:t>
            </w:r>
            <w:r>
              <w:rPr>
                <w:rFonts w:hint="eastAsia" w:ascii="宋体" w:hAnsi="宋体" w:eastAsia="宋体" w:cs="宋体"/>
                <w:color w:val="auto"/>
                <w:spacing w:val="-2"/>
                <w:sz w:val="24"/>
                <w:szCs w:val="24"/>
                <w:highlight w:val="none"/>
              </w:rPr>
              <w:t>提供具有履行合同所必需的专业技术能力相关证明材料或声明</w:t>
            </w:r>
            <w:r>
              <w:rPr>
                <w:rFonts w:hint="eastAsia" w:ascii="宋体" w:hAnsi="宋体" w:eastAsia="宋体" w:cs="宋体"/>
                <w:color w:val="auto"/>
                <w:sz w:val="24"/>
                <w:szCs w:val="24"/>
                <w:highlight w:val="none"/>
              </w:rPr>
              <w:t>。】</w:t>
            </w:r>
          </w:p>
        </w:tc>
        <w:tc>
          <w:tcPr>
            <w:tcW w:w="354" w:type="pct"/>
            <w:vAlign w:val="center"/>
          </w:tcPr>
          <w:p w14:paraId="7EECB900">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615" w:type="pct"/>
            <w:vAlign w:val="center"/>
          </w:tcPr>
          <w:p w14:paraId="0E2E7DEA">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5EB4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03" w:type="pct"/>
            <w:vAlign w:val="center"/>
          </w:tcPr>
          <w:p w14:paraId="61558B0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726" w:type="pct"/>
            <w:vAlign w:val="center"/>
          </w:tcPr>
          <w:p w14:paraId="317E41A2">
            <w:pPr>
              <w:pStyle w:val="2"/>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有依法缴纳税收和社会保障资金的良好记录；</w:t>
            </w:r>
          </w:p>
          <w:p w14:paraId="13A18F9C">
            <w:pPr>
              <w:pStyle w:val="2"/>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①近12个月内任意1个月已依法缴纳税收的凭据；②近12个月内任意1个月已依法缴纳社会保险的凭据（依法免税或不需要缴纳社会保障资金的投标人，应提供相应证明文件，新成立企业或自然人无需提供）】。</w:t>
            </w:r>
          </w:p>
        </w:tc>
        <w:tc>
          <w:tcPr>
            <w:tcW w:w="354" w:type="pct"/>
            <w:vAlign w:val="center"/>
          </w:tcPr>
          <w:p w14:paraId="4329D33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615" w:type="pct"/>
            <w:vAlign w:val="center"/>
          </w:tcPr>
          <w:p w14:paraId="73CEF51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6795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vAlign w:val="center"/>
          </w:tcPr>
          <w:p w14:paraId="37C1567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3726" w:type="pct"/>
            <w:vAlign w:val="center"/>
          </w:tcPr>
          <w:p w14:paraId="511B0CE5">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参加本次政府采购活动前三年内，在经营活动中没有重大违法记录；</w:t>
            </w:r>
          </w:p>
          <w:p w14:paraId="480E915C">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【须提供书面声明（投标人自行承诺并承担后果，声明不实的，按《政府采购法》及相关法律法规中提供虚假材料的有关规定处理。】 </w:t>
            </w:r>
          </w:p>
        </w:tc>
        <w:tc>
          <w:tcPr>
            <w:tcW w:w="354" w:type="pct"/>
            <w:vAlign w:val="center"/>
          </w:tcPr>
          <w:p w14:paraId="3CB0559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615" w:type="pct"/>
            <w:vAlign w:val="center"/>
          </w:tcPr>
          <w:p w14:paraId="1397737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3C5C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303" w:type="pct"/>
            <w:vAlign w:val="center"/>
          </w:tcPr>
          <w:p w14:paraId="723AD80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3726" w:type="pct"/>
            <w:vAlign w:val="center"/>
          </w:tcPr>
          <w:p w14:paraId="608D9F7B">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单位负责人为同一人或者存在直接控股、管理关系的不同投标人，不得参加同一合同项下的政府采购活动。</w:t>
            </w:r>
          </w:p>
          <w:p w14:paraId="41E25665">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【须提供书面声明（投标人自行承诺并承担后果，声明函不实的，按《政府采购法》及相关法律法规中提供虚假材料的有关规定处理。】 </w:t>
            </w:r>
          </w:p>
        </w:tc>
        <w:tc>
          <w:tcPr>
            <w:tcW w:w="354" w:type="pct"/>
            <w:vAlign w:val="center"/>
          </w:tcPr>
          <w:p w14:paraId="7A7C28D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615" w:type="pct"/>
            <w:vAlign w:val="center"/>
          </w:tcPr>
          <w:p w14:paraId="00C1E190">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04C8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303" w:type="pct"/>
            <w:vAlign w:val="center"/>
          </w:tcPr>
          <w:p w14:paraId="7B58C82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3726" w:type="pct"/>
            <w:vAlign w:val="center"/>
          </w:tcPr>
          <w:p w14:paraId="586D0C9B">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w:t>
            </w:r>
          </w:p>
        </w:tc>
        <w:tc>
          <w:tcPr>
            <w:tcW w:w="354" w:type="pct"/>
            <w:vAlign w:val="center"/>
          </w:tcPr>
          <w:p w14:paraId="21010C0A">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615" w:type="pct"/>
            <w:vAlign w:val="center"/>
          </w:tcPr>
          <w:p w14:paraId="01F920D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6524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vAlign w:val="center"/>
          </w:tcPr>
          <w:p w14:paraId="4AF4CBD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3726" w:type="pct"/>
            <w:vAlign w:val="center"/>
          </w:tcPr>
          <w:p w14:paraId="34B17498">
            <w:pPr>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本项目</w:t>
            </w:r>
            <w:r>
              <w:rPr>
                <w:rFonts w:ascii="宋体" w:hAnsi="宋体" w:eastAsia="宋体" w:cs="宋体"/>
                <w:color w:val="auto"/>
                <w:sz w:val="24"/>
                <w:szCs w:val="24"/>
                <w:highlight w:val="none"/>
              </w:rPr>
              <w:t>为专门面向小微企业（含小型、微型企业）采购的项目，供应商应为小微企业</w:t>
            </w:r>
            <w:r>
              <w:rPr>
                <w:rFonts w:hint="eastAsia" w:ascii="宋体" w:hAnsi="宋体" w:cs="宋体"/>
                <w:color w:val="auto"/>
                <w:sz w:val="24"/>
                <w:szCs w:val="24"/>
                <w:highlight w:val="none"/>
                <w:lang w:eastAsia="zh-CN"/>
              </w:rPr>
              <w:t>，</w:t>
            </w:r>
            <w:r>
              <w:rPr>
                <w:rFonts w:hint="eastAsia" w:ascii="宋体" w:hAnsi="宋体" w:eastAsia="宋体" w:cs="宋体"/>
                <w:b w:val="0"/>
                <w:bCs/>
                <w:color w:val="auto"/>
                <w:kern w:val="0"/>
                <w:sz w:val="24"/>
                <w:szCs w:val="24"/>
                <w:highlight w:val="none"/>
                <w:shd w:val="clear" w:color="auto" w:fill="auto"/>
                <w:lang w:val="en-US" w:eastAsia="zh-CN"/>
              </w:rPr>
              <w:t>根据《政府采购促进中小企业发展管理办法》（财库[2020]46 号）的规定，不再执行价格评审优惠的扶持政策</w:t>
            </w:r>
            <w:r>
              <w:rPr>
                <w:rFonts w:ascii="宋体" w:hAnsi="宋体" w:eastAsia="宋体" w:cs="宋体"/>
                <w:color w:val="auto"/>
                <w:sz w:val="24"/>
                <w:szCs w:val="24"/>
                <w:highlight w:val="none"/>
              </w:rPr>
              <w:t>。</w:t>
            </w:r>
          </w:p>
          <w:p w14:paraId="5D505896">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b w:val="0"/>
                <w:bCs/>
                <w:color w:val="auto"/>
                <w:sz w:val="24"/>
                <w:szCs w:val="24"/>
                <w:highlight w:val="none"/>
                <w:shd w:val="clear" w:color="auto" w:fill="auto"/>
              </w:rPr>
              <w:t>【</w:t>
            </w:r>
            <w:r>
              <w:rPr>
                <w:rFonts w:hint="eastAsia" w:ascii="宋体" w:hAnsi="宋体" w:eastAsia="宋体" w:cs="宋体"/>
                <w:color w:val="auto"/>
                <w:sz w:val="24"/>
                <w:szCs w:val="24"/>
                <w:highlight w:val="none"/>
              </w:rPr>
              <w:t>满足条件的企业需在投标文件中提供《中小企业声明函》</w:t>
            </w:r>
            <w:r>
              <w:rPr>
                <w:rFonts w:hint="eastAsia" w:ascii="宋体" w:hAnsi="宋体" w:eastAsia="宋体" w:cs="宋体"/>
                <w:b w:val="0"/>
                <w:bCs/>
                <w:color w:val="auto"/>
                <w:sz w:val="24"/>
                <w:szCs w:val="24"/>
                <w:highlight w:val="none"/>
                <w:shd w:val="clear" w:color="auto" w:fill="auto"/>
              </w:rPr>
              <w:t>】</w:t>
            </w:r>
          </w:p>
        </w:tc>
        <w:tc>
          <w:tcPr>
            <w:tcW w:w="354" w:type="pct"/>
            <w:vAlign w:val="center"/>
          </w:tcPr>
          <w:p w14:paraId="0312D7A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615" w:type="pct"/>
            <w:vAlign w:val="center"/>
          </w:tcPr>
          <w:p w14:paraId="3472D72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07D0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vAlign w:val="center"/>
          </w:tcPr>
          <w:p w14:paraId="1AEA1E4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3726" w:type="pct"/>
            <w:vAlign w:val="center"/>
          </w:tcPr>
          <w:p w14:paraId="1908C74D">
            <w:pPr>
              <w:pageBreakBefore w:val="0"/>
              <w:widowControl/>
              <w:kinsoku/>
              <w:wordWrap/>
              <w:overflowPunct/>
              <w:topLinePunct w:val="0"/>
              <w:autoSpaceDE/>
              <w:autoSpaceDN/>
              <w:bidi w:val="0"/>
              <w:adjustRightInd/>
              <w:spacing w:line="380" w:lineRule="exact"/>
              <w:rPr>
                <w:rFonts w:hint="eastAsia" w:ascii="宋体" w:hAnsi="宋体" w:eastAsia="宋体" w:cs="宋体"/>
                <w:b w:val="0"/>
                <w:bCs/>
                <w:color w:val="auto"/>
                <w:sz w:val="24"/>
                <w:szCs w:val="24"/>
                <w:highlight w:val="none"/>
                <w:shd w:val="clear" w:color="auto" w:fill="auto"/>
                <w:lang w:eastAsia="zh-CN"/>
              </w:rPr>
            </w:pPr>
            <w:r>
              <w:rPr>
                <w:rFonts w:hint="eastAsia" w:ascii="宋体" w:hAnsi="宋体" w:eastAsia="宋体" w:cs="宋体"/>
                <w:color w:val="auto"/>
                <w:sz w:val="24"/>
                <w:szCs w:val="24"/>
                <w:highlight w:val="none"/>
              </w:rPr>
              <w:t>投标人必须具有检验全项目的检验检测机构资质认定资质（CMA），具备与承检任务中食品品种、检测项目、检品数量相适应的检验检测能力。</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须提供相关资质扫描件</w:t>
            </w:r>
            <w:r>
              <w:rPr>
                <w:rFonts w:hint="eastAsia" w:ascii="宋体" w:hAnsi="宋体" w:cs="宋体"/>
                <w:color w:val="auto"/>
                <w:sz w:val="24"/>
                <w:szCs w:val="24"/>
                <w:highlight w:val="none"/>
                <w:lang w:eastAsia="zh-CN"/>
              </w:rPr>
              <w:t>】</w:t>
            </w:r>
          </w:p>
        </w:tc>
        <w:tc>
          <w:tcPr>
            <w:tcW w:w="354" w:type="pct"/>
            <w:vAlign w:val="center"/>
          </w:tcPr>
          <w:p w14:paraId="5429972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615" w:type="pct"/>
            <w:vAlign w:val="center"/>
          </w:tcPr>
          <w:p w14:paraId="6F461333">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635E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030" w:type="pct"/>
            <w:gridSpan w:val="2"/>
            <w:vAlign w:val="center"/>
          </w:tcPr>
          <w:p w14:paraId="2E25FE24">
            <w:pPr>
              <w:pageBreakBefore w:val="0"/>
              <w:widowControl/>
              <w:kinsoku/>
              <w:wordWrap/>
              <w:overflowPunct/>
              <w:topLinePunct w:val="0"/>
              <w:autoSpaceDE/>
              <w:autoSpaceDN/>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审查结果（通过/不通过）</w:t>
            </w:r>
          </w:p>
        </w:tc>
        <w:tc>
          <w:tcPr>
            <w:tcW w:w="354" w:type="pct"/>
            <w:vAlign w:val="center"/>
          </w:tcPr>
          <w:p w14:paraId="51A2B67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615" w:type="pct"/>
            <w:vAlign w:val="center"/>
          </w:tcPr>
          <w:p w14:paraId="5119C6C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1FCA7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jc w:val="center"/>
        </w:trPr>
        <w:tc>
          <w:tcPr>
            <w:tcW w:w="5000" w:type="pct"/>
            <w:gridSpan w:val="4"/>
            <w:vAlign w:val="center"/>
          </w:tcPr>
          <w:p w14:paraId="28AD4617">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备注：如果</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中有一项未通过上述审查标准，</w:t>
            </w:r>
            <w:r>
              <w:rPr>
                <w:rFonts w:hint="eastAsia" w:ascii="宋体" w:hAnsi="宋体" w:eastAsia="宋体" w:cs="宋体"/>
                <w:color w:val="auto"/>
                <w:sz w:val="24"/>
                <w:szCs w:val="24"/>
                <w:highlight w:val="none"/>
                <w:lang w:val="en-US" w:eastAsia="zh-CN"/>
              </w:rPr>
              <w:t>评标委员会</w:t>
            </w:r>
            <w:r>
              <w:rPr>
                <w:rFonts w:hint="eastAsia" w:ascii="宋体" w:hAnsi="宋体" w:eastAsia="宋体" w:cs="宋体"/>
                <w:color w:val="auto"/>
                <w:sz w:val="24"/>
                <w:szCs w:val="24"/>
                <w:highlight w:val="none"/>
              </w:rPr>
              <w:t>将认定整个</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不响应</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件而予以无效处理，并且不允许</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通过修改或撤销其不符合要求的差异或保留，使之成为具有响应性的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w:t>
            </w:r>
          </w:p>
        </w:tc>
      </w:tr>
    </w:tbl>
    <w:p w14:paraId="7891FBB3">
      <w:pPr>
        <w:pStyle w:val="8"/>
        <w:numPr>
          <w:ilvl w:val="3"/>
          <w:numId w:val="0"/>
        </w:numPr>
        <w:spacing w:line="240" w:lineRule="auto"/>
        <w:ind w:leftChars="0"/>
        <w:rPr>
          <w:rFonts w:hint="eastAsia" w:ascii="宋体" w:hAnsi="宋体" w:eastAsia="宋体" w:cs="宋体"/>
          <w:color w:val="auto"/>
          <w:sz w:val="24"/>
          <w:szCs w:val="24"/>
          <w:highlight w:val="none"/>
        </w:rPr>
      </w:pPr>
      <w:r>
        <w:rPr>
          <w:rFonts w:hint="eastAsia" w:ascii="宋体" w:hAnsi="宋体" w:eastAsia="宋体" w:cs="宋体"/>
          <w:b/>
          <w:bCs w:val="0"/>
          <w:color w:val="auto"/>
          <w:sz w:val="24"/>
          <w:szCs w:val="24"/>
          <w:highlight w:val="none"/>
          <w:lang w:val="en-US" w:eastAsia="zh-CN"/>
        </w:rPr>
        <w:t>标项二</w:t>
      </w:r>
    </w:p>
    <w:tbl>
      <w:tblPr>
        <w:tblStyle w:val="30"/>
        <w:tblW w:w="52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1"/>
        <w:gridCol w:w="6516"/>
        <w:gridCol w:w="622"/>
        <w:gridCol w:w="993"/>
      </w:tblGrid>
      <w:tr w14:paraId="788A8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307" w:type="pct"/>
            <w:vMerge w:val="restart"/>
            <w:vAlign w:val="center"/>
          </w:tcPr>
          <w:p w14:paraId="18D090A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760" w:type="pct"/>
            <w:vMerge w:val="restart"/>
            <w:vAlign w:val="center"/>
          </w:tcPr>
          <w:p w14:paraId="35885F2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   查   标   准</w:t>
            </w:r>
          </w:p>
        </w:tc>
        <w:tc>
          <w:tcPr>
            <w:tcW w:w="931" w:type="pct"/>
            <w:gridSpan w:val="2"/>
            <w:vAlign w:val="center"/>
          </w:tcPr>
          <w:p w14:paraId="1D58712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w:t>
            </w:r>
          </w:p>
        </w:tc>
      </w:tr>
      <w:tr w14:paraId="7356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307" w:type="pct"/>
            <w:vMerge w:val="continue"/>
            <w:vAlign w:val="center"/>
          </w:tcPr>
          <w:p w14:paraId="252788D1">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3760" w:type="pct"/>
            <w:vMerge w:val="continue"/>
            <w:vAlign w:val="center"/>
          </w:tcPr>
          <w:p w14:paraId="2E1659F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359" w:type="pct"/>
            <w:vAlign w:val="center"/>
          </w:tcPr>
          <w:p w14:paraId="5B07107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tc>
        <w:tc>
          <w:tcPr>
            <w:tcW w:w="571" w:type="pct"/>
            <w:vAlign w:val="center"/>
          </w:tcPr>
          <w:p w14:paraId="08927333">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r>
      <w:tr w14:paraId="4592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307" w:type="pct"/>
            <w:vAlign w:val="center"/>
          </w:tcPr>
          <w:p w14:paraId="431C1F9A">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760" w:type="pct"/>
            <w:vAlign w:val="center"/>
          </w:tcPr>
          <w:p w14:paraId="674F2565">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具有独立承担民事责任的能力；</w:t>
            </w:r>
          </w:p>
          <w:p w14:paraId="25F07228">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【法人、其他组织投标须提供营业执照等证明文件，自然人投标须提供自然人的身份证明。】</w:t>
            </w:r>
          </w:p>
        </w:tc>
        <w:tc>
          <w:tcPr>
            <w:tcW w:w="359" w:type="pct"/>
            <w:vAlign w:val="center"/>
          </w:tcPr>
          <w:p w14:paraId="4634211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71" w:type="pct"/>
            <w:vAlign w:val="center"/>
          </w:tcPr>
          <w:p w14:paraId="5428086B">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1E18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7" w:type="pct"/>
            <w:vAlign w:val="center"/>
          </w:tcPr>
          <w:p w14:paraId="4ECC44D3">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760" w:type="pct"/>
            <w:vAlign w:val="center"/>
          </w:tcPr>
          <w:p w14:paraId="380B40DC">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具有良好的商业信誉和健全的财务会计制度；</w:t>
            </w:r>
          </w:p>
          <w:p w14:paraId="727C73AF">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以开标截止时间点投标人未列入“信用中国”&lt;www.creditchina.gov.cn&gt;网站的“失信被执行人”和“重大税收违法失信主体”（投标人为自然人时无需提供）及“中国政府采购网”&lt;www.ccgp.gov.cn&gt;网站的“政府采购严重违法失信行为记录名单”</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开标</w:t>
            </w:r>
            <w:r>
              <w:rPr>
                <w:rFonts w:hint="eastAsia" w:ascii="宋体" w:hAnsi="宋体" w:eastAsia="宋体" w:cs="宋体"/>
                <w:color w:val="auto"/>
                <w:sz w:val="24"/>
                <w:szCs w:val="24"/>
                <w:highlight w:val="none"/>
              </w:rPr>
              <w:t>截止时间点，由</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代理公司统一登陆网站查询递交</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信誉情况，并以保存的网页查询截图为准。②</w:t>
            </w:r>
            <w:r>
              <w:rPr>
                <w:rFonts w:hint="default" w:ascii="宋体" w:hAnsi="宋体" w:eastAsia="宋体" w:cs="宋体"/>
                <w:color w:val="auto"/>
                <w:sz w:val="24"/>
                <w:szCs w:val="24"/>
                <w:highlight w:val="none"/>
                <w:lang w:val="en-US" w:eastAsia="zh-CN"/>
              </w:rPr>
              <w:t>银行出具的近1年内资信证明或</w:t>
            </w:r>
            <w:r>
              <w:rPr>
                <w:rFonts w:hint="eastAsia" w:ascii="宋体" w:hAnsi="宋体" w:eastAsia="宋体" w:cs="宋体"/>
                <w:color w:val="auto"/>
                <w:sz w:val="24"/>
                <w:szCs w:val="24"/>
                <w:highlight w:val="none"/>
                <w:lang w:val="en-US" w:eastAsia="zh-CN"/>
              </w:rPr>
              <w:t>2024年度审计报告</w:t>
            </w:r>
            <w:r>
              <w:rPr>
                <w:rFonts w:hint="eastAsia" w:ascii="宋体" w:hAnsi="宋体" w:eastAsia="宋体" w:cs="宋体"/>
                <w:color w:val="auto"/>
                <w:sz w:val="24"/>
                <w:szCs w:val="24"/>
                <w:highlight w:val="none"/>
              </w:rPr>
              <w:t>，新成立企业无需提供。】</w:t>
            </w:r>
          </w:p>
        </w:tc>
        <w:tc>
          <w:tcPr>
            <w:tcW w:w="359" w:type="pct"/>
            <w:vAlign w:val="center"/>
          </w:tcPr>
          <w:p w14:paraId="690FA1B0">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71" w:type="pct"/>
            <w:vAlign w:val="center"/>
          </w:tcPr>
          <w:p w14:paraId="268881E2">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5AFD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7" w:type="pct"/>
            <w:vAlign w:val="center"/>
          </w:tcPr>
          <w:p w14:paraId="0F2CA0D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760" w:type="pct"/>
            <w:vAlign w:val="center"/>
          </w:tcPr>
          <w:p w14:paraId="0A07E3B2">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具有履行合同所必需的设备和专业技术能力；</w:t>
            </w:r>
          </w:p>
          <w:p w14:paraId="336180CC">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【须提供：①相关设备或设施的购置发票或单据（任一）或提供承诺函；②</w:t>
            </w:r>
            <w:r>
              <w:rPr>
                <w:rFonts w:hint="eastAsia" w:ascii="宋体" w:hAnsi="宋体" w:eastAsia="宋体" w:cs="宋体"/>
                <w:color w:val="auto"/>
                <w:spacing w:val="-2"/>
                <w:sz w:val="24"/>
                <w:szCs w:val="24"/>
                <w:highlight w:val="none"/>
              </w:rPr>
              <w:t>提供具有履行合同所必需的专业技术能力相关证明材料或声明</w:t>
            </w:r>
            <w:r>
              <w:rPr>
                <w:rFonts w:hint="eastAsia" w:ascii="宋体" w:hAnsi="宋体" w:eastAsia="宋体" w:cs="宋体"/>
                <w:color w:val="auto"/>
                <w:sz w:val="24"/>
                <w:szCs w:val="24"/>
                <w:highlight w:val="none"/>
              </w:rPr>
              <w:t>。】</w:t>
            </w:r>
          </w:p>
        </w:tc>
        <w:tc>
          <w:tcPr>
            <w:tcW w:w="359" w:type="pct"/>
            <w:vAlign w:val="center"/>
          </w:tcPr>
          <w:p w14:paraId="7F324AF1">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71" w:type="pct"/>
            <w:vAlign w:val="center"/>
          </w:tcPr>
          <w:p w14:paraId="5387AC5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60FA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07" w:type="pct"/>
            <w:vAlign w:val="center"/>
          </w:tcPr>
          <w:p w14:paraId="56FB75F0">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760" w:type="pct"/>
            <w:vAlign w:val="center"/>
          </w:tcPr>
          <w:p w14:paraId="27037BE7">
            <w:pPr>
              <w:pStyle w:val="2"/>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有依法缴纳税收和社会保障资金的良好记录；</w:t>
            </w:r>
          </w:p>
          <w:p w14:paraId="1A729FD9">
            <w:pPr>
              <w:pStyle w:val="2"/>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①近12个月内任意1个月已依法缴纳税收的凭据；②近12个月内任意1个月已依法缴纳社会保险的凭据（依法免税或不需要缴纳社会保障资金的投标人，应提供相应证明文件，新成立企业或自然人无需提供）】。</w:t>
            </w:r>
          </w:p>
        </w:tc>
        <w:tc>
          <w:tcPr>
            <w:tcW w:w="359" w:type="pct"/>
            <w:vAlign w:val="center"/>
          </w:tcPr>
          <w:p w14:paraId="6CD67441">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71" w:type="pct"/>
            <w:vAlign w:val="center"/>
          </w:tcPr>
          <w:p w14:paraId="59E8689A">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7A64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7" w:type="pct"/>
            <w:vAlign w:val="center"/>
          </w:tcPr>
          <w:p w14:paraId="09EEF97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3760" w:type="pct"/>
            <w:vAlign w:val="center"/>
          </w:tcPr>
          <w:p w14:paraId="09987A8D">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参加本次政府采购活动前三年内，在经营活动中没有重大违法记录；</w:t>
            </w:r>
          </w:p>
          <w:p w14:paraId="291C3F90">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【须提供书面声明（投标人自行承诺并承担后果，声明不实的，按《政府采购法》及相关法律法规中提供虚假材料的有关规定处理。】 </w:t>
            </w:r>
          </w:p>
        </w:tc>
        <w:tc>
          <w:tcPr>
            <w:tcW w:w="359" w:type="pct"/>
            <w:vAlign w:val="center"/>
          </w:tcPr>
          <w:p w14:paraId="5384984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71" w:type="pct"/>
            <w:vAlign w:val="center"/>
          </w:tcPr>
          <w:p w14:paraId="52F5FCD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6D09F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307" w:type="pct"/>
            <w:vAlign w:val="center"/>
          </w:tcPr>
          <w:p w14:paraId="5DB7693B">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3760" w:type="pct"/>
            <w:vAlign w:val="center"/>
          </w:tcPr>
          <w:p w14:paraId="36D7C566">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单位负责人为同一人或者存在直接控股、管理关系的不同投标人，不得参加同一合同项下的政府采购活动。</w:t>
            </w:r>
          </w:p>
          <w:p w14:paraId="699FB99A">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【须提供书面声明（投标人自行承诺并承担后果，声明函不实的，按《政府采购法》及相关法律法规中提供虚假材料的有关规定处理。】 </w:t>
            </w:r>
          </w:p>
        </w:tc>
        <w:tc>
          <w:tcPr>
            <w:tcW w:w="359" w:type="pct"/>
            <w:vAlign w:val="center"/>
          </w:tcPr>
          <w:p w14:paraId="4F84B8B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71" w:type="pct"/>
            <w:vAlign w:val="center"/>
          </w:tcPr>
          <w:p w14:paraId="5253779A">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0A73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307" w:type="pct"/>
            <w:vAlign w:val="center"/>
          </w:tcPr>
          <w:p w14:paraId="77EFCB63">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3760" w:type="pct"/>
            <w:vAlign w:val="center"/>
          </w:tcPr>
          <w:p w14:paraId="2CBB434E">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w:t>
            </w:r>
          </w:p>
        </w:tc>
        <w:tc>
          <w:tcPr>
            <w:tcW w:w="359" w:type="pct"/>
            <w:vAlign w:val="center"/>
          </w:tcPr>
          <w:p w14:paraId="207C174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71" w:type="pct"/>
            <w:vAlign w:val="center"/>
          </w:tcPr>
          <w:p w14:paraId="4D4B0A3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0DA6B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7" w:type="pct"/>
            <w:vAlign w:val="center"/>
          </w:tcPr>
          <w:p w14:paraId="17B5AB3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3760" w:type="pct"/>
            <w:vAlign w:val="center"/>
          </w:tcPr>
          <w:p w14:paraId="4D3ABC71">
            <w:pPr>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color w:val="auto"/>
                <w:sz w:val="24"/>
                <w:szCs w:val="24"/>
                <w:highlight w:val="none"/>
                <w:lang w:val="en-US" w:eastAsia="zh-CN"/>
              </w:rPr>
            </w:pPr>
            <w:r>
              <w:rPr>
                <w:rFonts w:hint="eastAsia" w:ascii="宋体" w:hAnsi="宋体" w:cs="宋体"/>
                <w:b w:val="0"/>
                <w:bCs/>
                <w:color w:val="auto"/>
                <w:sz w:val="24"/>
                <w:szCs w:val="24"/>
                <w:highlight w:val="none"/>
                <w:shd w:val="clear" w:color="auto" w:fill="auto"/>
                <w:lang w:val="en-US" w:eastAsia="zh-CN"/>
              </w:rPr>
              <w:t>本项目</w:t>
            </w:r>
            <w:r>
              <w:rPr>
                <w:rFonts w:ascii="宋体" w:hAnsi="宋体" w:eastAsia="宋体" w:cs="宋体"/>
                <w:color w:val="auto"/>
                <w:sz w:val="24"/>
                <w:szCs w:val="24"/>
                <w:highlight w:val="none"/>
              </w:rPr>
              <w:t>为专门面向</w:t>
            </w:r>
            <w:r>
              <w:rPr>
                <w:rFonts w:hint="eastAsia" w:ascii="宋体" w:hAnsi="宋体" w:cs="宋体"/>
                <w:color w:val="auto"/>
                <w:sz w:val="24"/>
                <w:szCs w:val="24"/>
                <w:highlight w:val="none"/>
                <w:lang w:val="en-US" w:eastAsia="zh-CN"/>
              </w:rPr>
              <w:t>中</w:t>
            </w:r>
            <w:r>
              <w:rPr>
                <w:rFonts w:ascii="宋体" w:hAnsi="宋体" w:eastAsia="宋体" w:cs="宋体"/>
                <w:color w:val="auto"/>
                <w:sz w:val="24"/>
                <w:szCs w:val="24"/>
                <w:highlight w:val="none"/>
              </w:rPr>
              <w:t>小微企业采购的项目</w:t>
            </w:r>
            <w:r>
              <w:rPr>
                <w:rFonts w:hint="eastAsia" w:ascii="宋体" w:hAnsi="宋体" w:cs="宋体"/>
                <w:color w:val="auto"/>
                <w:sz w:val="24"/>
                <w:szCs w:val="24"/>
                <w:highlight w:val="none"/>
                <w:lang w:eastAsia="zh-CN"/>
              </w:rPr>
              <w:t>，</w:t>
            </w:r>
            <w:r>
              <w:rPr>
                <w:rFonts w:hint="eastAsia" w:ascii="宋体" w:hAnsi="宋体" w:eastAsia="宋体" w:cs="宋体"/>
                <w:b w:val="0"/>
                <w:bCs/>
                <w:color w:val="auto"/>
                <w:kern w:val="0"/>
                <w:sz w:val="24"/>
                <w:szCs w:val="24"/>
                <w:highlight w:val="none"/>
                <w:shd w:val="clear" w:color="auto" w:fill="auto"/>
                <w:lang w:val="en-US" w:eastAsia="zh-CN"/>
              </w:rPr>
              <w:t>根据《政府采购促进中小企业发展管理办法》（财库[2020]46 号）的规定，不再执行价格评审优惠的扶持政策</w:t>
            </w:r>
            <w:r>
              <w:rPr>
                <w:rFonts w:ascii="宋体" w:hAnsi="宋体" w:eastAsia="宋体" w:cs="宋体"/>
                <w:color w:val="auto"/>
                <w:sz w:val="24"/>
                <w:szCs w:val="24"/>
                <w:highlight w:val="none"/>
              </w:rPr>
              <w:t>。</w:t>
            </w:r>
          </w:p>
          <w:p w14:paraId="144456E4">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b w:val="0"/>
                <w:bCs/>
                <w:color w:val="auto"/>
                <w:sz w:val="24"/>
                <w:szCs w:val="24"/>
                <w:highlight w:val="none"/>
                <w:shd w:val="clear" w:color="auto" w:fill="auto"/>
              </w:rPr>
              <w:t>【</w:t>
            </w:r>
            <w:r>
              <w:rPr>
                <w:rFonts w:hint="eastAsia" w:ascii="宋体" w:hAnsi="宋体" w:eastAsia="宋体" w:cs="宋体"/>
                <w:color w:val="auto"/>
                <w:sz w:val="24"/>
                <w:szCs w:val="24"/>
                <w:highlight w:val="none"/>
              </w:rPr>
              <w:t>满足条件的企业需在投标文件中提供《中小企业声明函》</w:t>
            </w:r>
            <w:r>
              <w:rPr>
                <w:rFonts w:hint="eastAsia" w:ascii="宋体" w:hAnsi="宋体" w:eastAsia="宋体" w:cs="宋体"/>
                <w:b w:val="0"/>
                <w:bCs/>
                <w:color w:val="auto"/>
                <w:sz w:val="24"/>
                <w:szCs w:val="24"/>
                <w:highlight w:val="none"/>
                <w:shd w:val="clear" w:color="auto" w:fill="auto"/>
              </w:rPr>
              <w:t>】</w:t>
            </w:r>
          </w:p>
        </w:tc>
        <w:tc>
          <w:tcPr>
            <w:tcW w:w="359" w:type="pct"/>
            <w:vAlign w:val="center"/>
          </w:tcPr>
          <w:p w14:paraId="662EC8D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71" w:type="pct"/>
            <w:vAlign w:val="center"/>
          </w:tcPr>
          <w:p w14:paraId="22ECC2B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041E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7" w:type="pct"/>
            <w:vAlign w:val="center"/>
          </w:tcPr>
          <w:p w14:paraId="3D3036E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p>
        </w:tc>
        <w:tc>
          <w:tcPr>
            <w:tcW w:w="3760" w:type="pct"/>
            <w:vAlign w:val="center"/>
          </w:tcPr>
          <w:p w14:paraId="5918ADB7">
            <w:pPr>
              <w:pageBreakBefore w:val="0"/>
              <w:widowControl/>
              <w:kinsoku/>
              <w:wordWrap/>
              <w:overflowPunct/>
              <w:topLinePunct w:val="0"/>
              <w:autoSpaceDE/>
              <w:autoSpaceDN/>
              <w:bidi w:val="0"/>
              <w:adjustRightInd/>
              <w:spacing w:line="380" w:lineRule="exact"/>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color w:val="auto"/>
                <w:sz w:val="24"/>
                <w:szCs w:val="24"/>
                <w:highlight w:val="none"/>
              </w:rPr>
              <w:t>投标人必须具有检验全项目的检验检测机构资质认定资质（CMA），具备与承检任务中食品品种、检测项目、检品数量相适应的检验检测能力。</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须提供相关资质扫描件</w:t>
            </w:r>
            <w:r>
              <w:rPr>
                <w:rFonts w:hint="eastAsia" w:ascii="宋体" w:hAnsi="宋体" w:cs="宋体"/>
                <w:color w:val="auto"/>
                <w:sz w:val="24"/>
                <w:szCs w:val="24"/>
                <w:highlight w:val="none"/>
                <w:lang w:eastAsia="zh-CN"/>
              </w:rPr>
              <w:t>】</w:t>
            </w:r>
          </w:p>
        </w:tc>
        <w:tc>
          <w:tcPr>
            <w:tcW w:w="359" w:type="pct"/>
            <w:vAlign w:val="center"/>
          </w:tcPr>
          <w:p w14:paraId="43A0830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71" w:type="pct"/>
            <w:vAlign w:val="center"/>
          </w:tcPr>
          <w:p w14:paraId="3C9A572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2E12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068" w:type="pct"/>
            <w:gridSpan w:val="2"/>
            <w:vAlign w:val="center"/>
          </w:tcPr>
          <w:p w14:paraId="75983599">
            <w:pPr>
              <w:pageBreakBefore w:val="0"/>
              <w:widowControl/>
              <w:kinsoku/>
              <w:wordWrap/>
              <w:overflowPunct/>
              <w:topLinePunct w:val="0"/>
              <w:autoSpaceDE/>
              <w:autoSpaceDN/>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审查结果（通过/不通过）</w:t>
            </w:r>
          </w:p>
        </w:tc>
        <w:tc>
          <w:tcPr>
            <w:tcW w:w="359" w:type="pct"/>
            <w:vAlign w:val="center"/>
          </w:tcPr>
          <w:p w14:paraId="6CED6FE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71" w:type="pct"/>
            <w:vAlign w:val="center"/>
          </w:tcPr>
          <w:p w14:paraId="709CDA0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7332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jc w:val="center"/>
        </w:trPr>
        <w:tc>
          <w:tcPr>
            <w:tcW w:w="5000" w:type="pct"/>
            <w:gridSpan w:val="4"/>
            <w:vAlign w:val="center"/>
          </w:tcPr>
          <w:p w14:paraId="4E41E85A">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备注：如果</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中有一项未通过上述审查标准，</w:t>
            </w:r>
            <w:r>
              <w:rPr>
                <w:rFonts w:hint="eastAsia" w:ascii="宋体" w:hAnsi="宋体" w:eastAsia="宋体" w:cs="宋体"/>
                <w:color w:val="auto"/>
                <w:sz w:val="24"/>
                <w:szCs w:val="24"/>
                <w:highlight w:val="none"/>
                <w:lang w:val="en-US" w:eastAsia="zh-CN"/>
              </w:rPr>
              <w:t>评标委员会</w:t>
            </w:r>
            <w:r>
              <w:rPr>
                <w:rFonts w:hint="eastAsia" w:ascii="宋体" w:hAnsi="宋体" w:eastAsia="宋体" w:cs="宋体"/>
                <w:color w:val="auto"/>
                <w:sz w:val="24"/>
                <w:szCs w:val="24"/>
                <w:highlight w:val="none"/>
              </w:rPr>
              <w:t>将认定整个</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不响应</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件而予以无效处理，并且不允许</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通过修改或撤销其不符合要求的差异或保留，使之成为具有响应性的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w:t>
            </w:r>
          </w:p>
        </w:tc>
      </w:tr>
    </w:tbl>
    <w:p w14:paraId="00A41799">
      <w:pPr>
        <w:bidi w:val="0"/>
        <w:rPr>
          <w:rFonts w:hint="eastAsia"/>
          <w:color w:val="auto"/>
          <w:highlight w:val="none"/>
          <w:lang w:val="en-US" w:eastAsia="zh-CN"/>
        </w:rPr>
      </w:pPr>
    </w:p>
    <w:p w14:paraId="76A0B928">
      <w:pPr>
        <w:pStyle w:val="2"/>
        <w:rPr>
          <w:rFonts w:hint="eastAsia"/>
          <w:color w:val="auto"/>
          <w:highlight w:val="none"/>
          <w:lang w:val="en-US" w:eastAsia="zh-CN"/>
        </w:rPr>
      </w:pPr>
    </w:p>
    <w:p w14:paraId="2CC50065">
      <w:pPr>
        <w:pStyle w:val="2"/>
        <w:rPr>
          <w:rFonts w:hint="eastAsia"/>
          <w:color w:val="auto"/>
          <w:highlight w:val="none"/>
          <w:lang w:val="en-US" w:eastAsia="zh-CN"/>
        </w:rPr>
      </w:pPr>
    </w:p>
    <w:p w14:paraId="5EF488F0">
      <w:pPr>
        <w:rPr>
          <w:rFonts w:hint="eastAsia"/>
          <w:color w:val="auto"/>
          <w:highlight w:val="none"/>
          <w:lang w:val="en-US" w:eastAsia="zh-CN"/>
        </w:rPr>
      </w:pPr>
    </w:p>
    <w:p w14:paraId="28143DC8">
      <w:pPr>
        <w:pStyle w:val="8"/>
        <w:numPr>
          <w:ilvl w:val="3"/>
          <w:numId w:val="0"/>
        </w:numPr>
        <w:spacing w:line="240" w:lineRule="auto"/>
        <w:ind w:leftChars="0"/>
        <w:rPr>
          <w:rFonts w:hint="eastAsia" w:ascii="宋体" w:hAnsi="宋体" w:eastAsia="宋体" w:cs="宋体"/>
          <w:color w:val="auto"/>
          <w:sz w:val="24"/>
          <w:szCs w:val="24"/>
          <w:highlight w:val="none"/>
        </w:rPr>
      </w:pPr>
      <w:r>
        <w:rPr>
          <w:rFonts w:hint="eastAsia" w:ascii="宋体" w:hAnsi="宋体" w:eastAsia="宋体" w:cs="宋体"/>
          <w:b/>
          <w:bCs w:val="0"/>
          <w:color w:val="auto"/>
          <w:sz w:val="24"/>
          <w:szCs w:val="24"/>
          <w:highlight w:val="none"/>
          <w:lang w:val="en-US" w:eastAsia="zh-CN"/>
        </w:rPr>
        <w:t>标项三</w:t>
      </w:r>
    </w:p>
    <w:tbl>
      <w:tblPr>
        <w:tblStyle w:val="30"/>
        <w:tblW w:w="54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34"/>
        <w:gridCol w:w="6650"/>
        <w:gridCol w:w="649"/>
        <w:gridCol w:w="987"/>
      </w:tblGrid>
      <w:tr w14:paraId="062A8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407" w:type="pct"/>
            <w:vMerge w:val="restart"/>
            <w:vAlign w:val="center"/>
          </w:tcPr>
          <w:p w14:paraId="3230A40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685" w:type="pct"/>
            <w:vMerge w:val="restart"/>
            <w:vAlign w:val="center"/>
          </w:tcPr>
          <w:p w14:paraId="5C3264A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   查   标   准</w:t>
            </w:r>
          </w:p>
        </w:tc>
        <w:tc>
          <w:tcPr>
            <w:tcW w:w="906" w:type="pct"/>
            <w:gridSpan w:val="2"/>
            <w:vAlign w:val="center"/>
          </w:tcPr>
          <w:p w14:paraId="577F038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w:t>
            </w:r>
          </w:p>
        </w:tc>
      </w:tr>
      <w:tr w14:paraId="786B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407" w:type="pct"/>
            <w:vMerge w:val="continue"/>
            <w:vAlign w:val="center"/>
          </w:tcPr>
          <w:p w14:paraId="1EDAAB1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3685" w:type="pct"/>
            <w:vMerge w:val="continue"/>
            <w:vAlign w:val="center"/>
          </w:tcPr>
          <w:p w14:paraId="2F53322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360" w:type="pct"/>
            <w:vAlign w:val="center"/>
          </w:tcPr>
          <w:p w14:paraId="02231FE1">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tc>
        <w:tc>
          <w:tcPr>
            <w:tcW w:w="546" w:type="pct"/>
            <w:vAlign w:val="center"/>
          </w:tcPr>
          <w:p w14:paraId="61C3C7D2">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r>
      <w:tr w14:paraId="3F6D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4" w:hRule="atLeast"/>
          <w:jc w:val="center"/>
        </w:trPr>
        <w:tc>
          <w:tcPr>
            <w:tcW w:w="407" w:type="pct"/>
            <w:vAlign w:val="center"/>
          </w:tcPr>
          <w:p w14:paraId="3263212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685" w:type="pct"/>
            <w:vAlign w:val="center"/>
          </w:tcPr>
          <w:p w14:paraId="16C456AC">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具有独立承担民事责任的能力；</w:t>
            </w:r>
          </w:p>
          <w:p w14:paraId="6B9E3363">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【法人、其他组织投标须提供营业执照等证明文件，自然人投标须提供自然人的身份证明。】</w:t>
            </w:r>
          </w:p>
        </w:tc>
        <w:tc>
          <w:tcPr>
            <w:tcW w:w="360" w:type="pct"/>
            <w:vAlign w:val="center"/>
          </w:tcPr>
          <w:p w14:paraId="03C5536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46" w:type="pct"/>
            <w:vAlign w:val="center"/>
          </w:tcPr>
          <w:p w14:paraId="409FB61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0BFF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4" w:hRule="atLeast"/>
          <w:jc w:val="center"/>
        </w:trPr>
        <w:tc>
          <w:tcPr>
            <w:tcW w:w="407" w:type="pct"/>
            <w:vAlign w:val="center"/>
          </w:tcPr>
          <w:p w14:paraId="246AF35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685" w:type="pct"/>
            <w:vAlign w:val="center"/>
          </w:tcPr>
          <w:p w14:paraId="6E5F9FE2">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具有良好的商业信誉和健全的财务会计制度；</w:t>
            </w:r>
          </w:p>
          <w:p w14:paraId="170FAFB9">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以开标截止时间点投标人未列入“信用中国”&lt;www.creditchina.gov.cn&gt;网站的“失信被执行人”和“重大税收违法失信主体”（投标人为自然人时无需提供）及“中国政府采购网”&lt;www.ccgp.gov.cn&gt;网站的“政府采购严重违法失信行为记录名单”</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开标</w:t>
            </w:r>
            <w:r>
              <w:rPr>
                <w:rFonts w:hint="eastAsia" w:ascii="宋体" w:hAnsi="宋体" w:eastAsia="宋体" w:cs="宋体"/>
                <w:color w:val="auto"/>
                <w:sz w:val="24"/>
                <w:szCs w:val="24"/>
                <w:highlight w:val="none"/>
              </w:rPr>
              <w:t>截止时间点，由</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代理公司统一登陆网站查询递交</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信誉情况，并以保存的网页查询截图为准。②</w:t>
            </w:r>
            <w:r>
              <w:rPr>
                <w:rFonts w:hint="default" w:ascii="宋体" w:hAnsi="宋体" w:eastAsia="宋体" w:cs="宋体"/>
                <w:color w:val="auto"/>
                <w:sz w:val="24"/>
                <w:szCs w:val="24"/>
                <w:highlight w:val="none"/>
                <w:lang w:val="en-US" w:eastAsia="zh-CN"/>
              </w:rPr>
              <w:t>银行出具的近1年内资信证明或</w:t>
            </w:r>
            <w:r>
              <w:rPr>
                <w:rFonts w:hint="eastAsia" w:ascii="宋体" w:hAnsi="宋体" w:eastAsia="宋体" w:cs="宋体"/>
                <w:color w:val="auto"/>
                <w:sz w:val="24"/>
                <w:szCs w:val="24"/>
                <w:highlight w:val="none"/>
                <w:lang w:val="en-US" w:eastAsia="zh-CN"/>
              </w:rPr>
              <w:t>2024年度</w:t>
            </w:r>
            <w:r>
              <w:rPr>
                <w:rFonts w:hint="default" w:ascii="宋体" w:hAnsi="宋体" w:eastAsia="宋体" w:cs="宋体"/>
                <w:color w:val="auto"/>
                <w:sz w:val="24"/>
                <w:szCs w:val="24"/>
                <w:highlight w:val="none"/>
                <w:lang w:val="en-US" w:eastAsia="zh-CN"/>
              </w:rPr>
              <w:t>经审计的财务报告</w:t>
            </w:r>
            <w:r>
              <w:rPr>
                <w:rFonts w:hint="eastAsia" w:ascii="宋体" w:hAnsi="宋体" w:eastAsia="宋体" w:cs="宋体"/>
                <w:color w:val="auto"/>
                <w:sz w:val="24"/>
                <w:szCs w:val="24"/>
                <w:highlight w:val="none"/>
              </w:rPr>
              <w:t>，新成立企业无需提供。】</w:t>
            </w:r>
          </w:p>
        </w:tc>
        <w:tc>
          <w:tcPr>
            <w:tcW w:w="360" w:type="pct"/>
            <w:vAlign w:val="center"/>
          </w:tcPr>
          <w:p w14:paraId="13B28AB2">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46" w:type="pct"/>
            <w:vAlign w:val="center"/>
          </w:tcPr>
          <w:p w14:paraId="354AACB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3E20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6" w:hRule="atLeast"/>
          <w:jc w:val="center"/>
        </w:trPr>
        <w:tc>
          <w:tcPr>
            <w:tcW w:w="407" w:type="pct"/>
            <w:vAlign w:val="center"/>
          </w:tcPr>
          <w:p w14:paraId="665BB98B">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685" w:type="pct"/>
            <w:vAlign w:val="center"/>
          </w:tcPr>
          <w:p w14:paraId="4AFC3C3D">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具有履行合同所必需的设备和专业技术能力；</w:t>
            </w:r>
          </w:p>
          <w:p w14:paraId="373E1C87">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【须提供：①相关设备或设施的购置发票或单据（任一）或提供承诺函；②</w:t>
            </w:r>
            <w:r>
              <w:rPr>
                <w:rFonts w:hint="eastAsia" w:ascii="宋体" w:hAnsi="宋体" w:eastAsia="宋体" w:cs="宋体"/>
                <w:color w:val="auto"/>
                <w:spacing w:val="-2"/>
                <w:sz w:val="24"/>
                <w:szCs w:val="24"/>
                <w:highlight w:val="none"/>
              </w:rPr>
              <w:t>提供具有履行合同所必需的专业技术能力相关证明材料或声明</w:t>
            </w:r>
            <w:r>
              <w:rPr>
                <w:rFonts w:hint="eastAsia" w:ascii="宋体" w:hAnsi="宋体" w:eastAsia="宋体" w:cs="宋体"/>
                <w:color w:val="auto"/>
                <w:sz w:val="24"/>
                <w:szCs w:val="24"/>
                <w:highlight w:val="none"/>
              </w:rPr>
              <w:t>。】</w:t>
            </w:r>
          </w:p>
        </w:tc>
        <w:tc>
          <w:tcPr>
            <w:tcW w:w="360" w:type="pct"/>
            <w:vAlign w:val="center"/>
          </w:tcPr>
          <w:p w14:paraId="3E6A28C0">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46" w:type="pct"/>
            <w:vAlign w:val="center"/>
          </w:tcPr>
          <w:p w14:paraId="00D6C25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0319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9" w:hRule="atLeast"/>
          <w:jc w:val="center"/>
        </w:trPr>
        <w:tc>
          <w:tcPr>
            <w:tcW w:w="407" w:type="pct"/>
            <w:vAlign w:val="center"/>
          </w:tcPr>
          <w:p w14:paraId="26A4C5EB">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685" w:type="pct"/>
            <w:vAlign w:val="center"/>
          </w:tcPr>
          <w:p w14:paraId="5A78BE5E">
            <w:pPr>
              <w:pStyle w:val="2"/>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有依法缴纳税收和社会保障资金的良好记录；</w:t>
            </w:r>
          </w:p>
          <w:p w14:paraId="0AC0EEA6">
            <w:pPr>
              <w:pStyle w:val="2"/>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①近12个月内任意1个月已依法缴纳税收的凭据；②近12个月内任意1个月已依法缴纳社会保险的凭据（依法免税或不需要缴纳社会保障资金的投标人，应提供相应证明文件，新成立企业或自然人无需提供）】。</w:t>
            </w:r>
          </w:p>
        </w:tc>
        <w:tc>
          <w:tcPr>
            <w:tcW w:w="360" w:type="pct"/>
            <w:vAlign w:val="center"/>
          </w:tcPr>
          <w:p w14:paraId="5618398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46" w:type="pct"/>
            <w:vAlign w:val="center"/>
          </w:tcPr>
          <w:p w14:paraId="113C8CB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2C97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8" w:hRule="atLeast"/>
          <w:jc w:val="center"/>
        </w:trPr>
        <w:tc>
          <w:tcPr>
            <w:tcW w:w="407" w:type="pct"/>
            <w:vAlign w:val="center"/>
          </w:tcPr>
          <w:p w14:paraId="019FD15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3685" w:type="pct"/>
            <w:vAlign w:val="center"/>
          </w:tcPr>
          <w:p w14:paraId="16DC0A00">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参加本次政府采购活动前三年内，在经营活动中没有重大违法记录；</w:t>
            </w:r>
          </w:p>
          <w:p w14:paraId="2EF8A320">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【须提供书面声明（投标人自行承诺并承担后果，声明不实的，按《政府采购法》及相关法律法规中提供虚假材料的有关规定处理。】 </w:t>
            </w:r>
          </w:p>
        </w:tc>
        <w:tc>
          <w:tcPr>
            <w:tcW w:w="360" w:type="pct"/>
            <w:vAlign w:val="center"/>
          </w:tcPr>
          <w:p w14:paraId="14B6888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46" w:type="pct"/>
            <w:vAlign w:val="center"/>
          </w:tcPr>
          <w:p w14:paraId="176F0E1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7E59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8" w:hRule="atLeast"/>
          <w:jc w:val="center"/>
        </w:trPr>
        <w:tc>
          <w:tcPr>
            <w:tcW w:w="407" w:type="pct"/>
            <w:vAlign w:val="center"/>
          </w:tcPr>
          <w:p w14:paraId="516A3F9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3685" w:type="pct"/>
            <w:vAlign w:val="center"/>
          </w:tcPr>
          <w:p w14:paraId="65BF3663">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单位负责人为同一人或者存在直接控股、管理关系的不同投标人，不得参加同一合同项下的政府采购活动。</w:t>
            </w:r>
          </w:p>
          <w:p w14:paraId="007A6420">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【须提供书面声明（投标人自行承诺并承担后果，声明函不实的，按《政府采购法》及相关法律法规中提供虚假材料的有关规定处理。】 </w:t>
            </w:r>
          </w:p>
        </w:tc>
        <w:tc>
          <w:tcPr>
            <w:tcW w:w="360" w:type="pct"/>
            <w:vAlign w:val="center"/>
          </w:tcPr>
          <w:p w14:paraId="02E7469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46" w:type="pct"/>
            <w:vAlign w:val="center"/>
          </w:tcPr>
          <w:p w14:paraId="19084C8A">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2CCB6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407" w:type="pct"/>
            <w:vAlign w:val="center"/>
          </w:tcPr>
          <w:p w14:paraId="5718B99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3685" w:type="pct"/>
            <w:vAlign w:val="center"/>
          </w:tcPr>
          <w:p w14:paraId="176C8B9D">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w:t>
            </w:r>
          </w:p>
        </w:tc>
        <w:tc>
          <w:tcPr>
            <w:tcW w:w="360" w:type="pct"/>
            <w:vAlign w:val="center"/>
          </w:tcPr>
          <w:p w14:paraId="249A9F1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46" w:type="pct"/>
            <w:vAlign w:val="center"/>
          </w:tcPr>
          <w:p w14:paraId="3311655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6EEE4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4" w:hRule="atLeast"/>
          <w:jc w:val="center"/>
        </w:trPr>
        <w:tc>
          <w:tcPr>
            <w:tcW w:w="407" w:type="pct"/>
            <w:vAlign w:val="center"/>
          </w:tcPr>
          <w:p w14:paraId="4B204F36">
            <w:pPr>
              <w:pStyle w:val="50"/>
              <w:pageBreakBefore w:val="0"/>
              <w:kinsoku/>
              <w:wordWrap/>
              <w:overflowPunct/>
              <w:topLinePunct w:val="0"/>
              <w:autoSpaceDE/>
              <w:autoSpaceDN/>
              <w:bidi w:val="0"/>
              <w:adjustRightInd/>
              <w:spacing w:line="380" w:lineRule="exact"/>
              <w:jc w:val="center"/>
              <w:textAlignment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3685" w:type="pct"/>
            <w:vAlign w:val="center"/>
          </w:tcPr>
          <w:p w14:paraId="64825913">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投标人必须具有检验全项目的检验检测机构资质认定资质（CMA），具备与承检任务中食品品种、检测项目、检品数量相适应的检验检测能力。</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须提供相关资质扫描件</w:t>
            </w:r>
            <w:r>
              <w:rPr>
                <w:rFonts w:hint="eastAsia" w:ascii="宋体" w:hAnsi="宋体" w:cs="宋体"/>
                <w:color w:val="auto"/>
                <w:sz w:val="24"/>
                <w:szCs w:val="24"/>
                <w:highlight w:val="none"/>
                <w:lang w:eastAsia="zh-CN"/>
              </w:rPr>
              <w:t>】</w:t>
            </w:r>
          </w:p>
        </w:tc>
        <w:tc>
          <w:tcPr>
            <w:tcW w:w="360" w:type="pct"/>
            <w:vAlign w:val="center"/>
          </w:tcPr>
          <w:p w14:paraId="21DD1B92">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46" w:type="pct"/>
            <w:vAlign w:val="center"/>
          </w:tcPr>
          <w:p w14:paraId="532121A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13F3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4093" w:type="pct"/>
            <w:gridSpan w:val="2"/>
            <w:vAlign w:val="center"/>
          </w:tcPr>
          <w:p w14:paraId="76674018">
            <w:pPr>
              <w:pageBreakBefore w:val="0"/>
              <w:widowControl/>
              <w:kinsoku/>
              <w:wordWrap/>
              <w:overflowPunct/>
              <w:topLinePunct w:val="0"/>
              <w:autoSpaceDE/>
              <w:autoSpaceDN/>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审查结果（通过/不通过）</w:t>
            </w:r>
          </w:p>
        </w:tc>
        <w:tc>
          <w:tcPr>
            <w:tcW w:w="360" w:type="pct"/>
            <w:vAlign w:val="center"/>
          </w:tcPr>
          <w:p w14:paraId="4530EA1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46" w:type="pct"/>
            <w:vAlign w:val="center"/>
          </w:tcPr>
          <w:p w14:paraId="5340ABD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1792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9" w:hRule="atLeast"/>
          <w:jc w:val="center"/>
        </w:trPr>
        <w:tc>
          <w:tcPr>
            <w:tcW w:w="5000" w:type="pct"/>
            <w:gridSpan w:val="4"/>
            <w:vAlign w:val="center"/>
          </w:tcPr>
          <w:p w14:paraId="4E1BDD0D">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备注：如果</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中有一项未通过上述审查标准，</w:t>
            </w:r>
            <w:r>
              <w:rPr>
                <w:rFonts w:hint="eastAsia" w:ascii="宋体" w:hAnsi="宋体" w:eastAsia="宋体" w:cs="宋体"/>
                <w:color w:val="auto"/>
                <w:sz w:val="24"/>
                <w:szCs w:val="24"/>
                <w:highlight w:val="none"/>
                <w:lang w:val="en-US" w:eastAsia="zh-CN"/>
              </w:rPr>
              <w:t>评标委员会</w:t>
            </w:r>
            <w:r>
              <w:rPr>
                <w:rFonts w:hint="eastAsia" w:ascii="宋体" w:hAnsi="宋体" w:eastAsia="宋体" w:cs="宋体"/>
                <w:color w:val="auto"/>
                <w:sz w:val="24"/>
                <w:szCs w:val="24"/>
                <w:highlight w:val="none"/>
              </w:rPr>
              <w:t>将认定整个</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不响应</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件而予以无效处理，并且不允许</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通过修改或撤销其不符合要求的差异或保留，使之成为具有响应性的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w:t>
            </w:r>
          </w:p>
        </w:tc>
      </w:tr>
    </w:tbl>
    <w:p w14:paraId="728904EE">
      <w:pPr>
        <w:pStyle w:val="8"/>
        <w:numPr>
          <w:ilvl w:val="3"/>
          <w:numId w:val="0"/>
        </w:numPr>
        <w:spacing w:line="240" w:lineRule="auto"/>
        <w:ind w:leftChars="0"/>
        <w:rPr>
          <w:rFonts w:hint="eastAsia" w:ascii="宋体" w:hAnsi="宋体" w:eastAsia="宋体" w:cs="宋体"/>
          <w:color w:val="auto"/>
          <w:sz w:val="24"/>
          <w:szCs w:val="24"/>
          <w:highlight w:val="none"/>
        </w:rPr>
      </w:pPr>
      <w:r>
        <w:rPr>
          <w:rFonts w:hint="eastAsia" w:ascii="宋体" w:hAnsi="宋体" w:eastAsia="宋体" w:cs="宋体"/>
          <w:b/>
          <w:bCs w:val="0"/>
          <w:color w:val="auto"/>
          <w:sz w:val="24"/>
          <w:szCs w:val="24"/>
          <w:highlight w:val="none"/>
          <w:lang w:val="en-US" w:eastAsia="zh-CN"/>
        </w:rPr>
        <w:t>标项四</w:t>
      </w:r>
    </w:p>
    <w:tbl>
      <w:tblPr>
        <w:tblStyle w:val="30"/>
        <w:tblW w:w="53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9"/>
        <w:gridCol w:w="6802"/>
        <w:gridCol w:w="644"/>
        <w:gridCol w:w="950"/>
      </w:tblGrid>
      <w:tr w14:paraId="1F92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307" w:type="pct"/>
            <w:vMerge w:val="restart"/>
            <w:vAlign w:val="center"/>
          </w:tcPr>
          <w:p w14:paraId="57FB709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801" w:type="pct"/>
            <w:vMerge w:val="restart"/>
            <w:vAlign w:val="center"/>
          </w:tcPr>
          <w:p w14:paraId="433854DA">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   查   标   准</w:t>
            </w:r>
          </w:p>
        </w:tc>
        <w:tc>
          <w:tcPr>
            <w:tcW w:w="890" w:type="pct"/>
            <w:gridSpan w:val="2"/>
            <w:vAlign w:val="center"/>
          </w:tcPr>
          <w:p w14:paraId="5B7B056B">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w:t>
            </w:r>
          </w:p>
        </w:tc>
      </w:tr>
      <w:tr w14:paraId="5003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307" w:type="pct"/>
            <w:vMerge w:val="continue"/>
            <w:vAlign w:val="center"/>
          </w:tcPr>
          <w:p w14:paraId="189BD05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3801" w:type="pct"/>
            <w:vMerge w:val="continue"/>
            <w:vAlign w:val="center"/>
          </w:tcPr>
          <w:p w14:paraId="0DBC166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360" w:type="pct"/>
            <w:vAlign w:val="center"/>
          </w:tcPr>
          <w:p w14:paraId="08C4B8D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tc>
        <w:tc>
          <w:tcPr>
            <w:tcW w:w="529" w:type="pct"/>
            <w:vAlign w:val="center"/>
          </w:tcPr>
          <w:p w14:paraId="7EFAA720">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r>
      <w:tr w14:paraId="196F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5" w:hRule="atLeast"/>
          <w:jc w:val="center"/>
        </w:trPr>
        <w:tc>
          <w:tcPr>
            <w:tcW w:w="307" w:type="pct"/>
            <w:vAlign w:val="center"/>
          </w:tcPr>
          <w:p w14:paraId="5E23C152">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801" w:type="pct"/>
            <w:vAlign w:val="center"/>
          </w:tcPr>
          <w:p w14:paraId="5A3F2C5B">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具有独立承担民事责任的能力；</w:t>
            </w:r>
          </w:p>
          <w:p w14:paraId="25FEA2B2">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【法人、其他组织投标须提供营业执照等证明文件，自然人投标须提供自然人的身份证明。】</w:t>
            </w:r>
          </w:p>
        </w:tc>
        <w:tc>
          <w:tcPr>
            <w:tcW w:w="360" w:type="pct"/>
            <w:vAlign w:val="center"/>
          </w:tcPr>
          <w:p w14:paraId="6A6E946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29" w:type="pct"/>
            <w:vAlign w:val="center"/>
          </w:tcPr>
          <w:p w14:paraId="5B344F0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0EB9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7" w:hRule="atLeast"/>
          <w:jc w:val="center"/>
        </w:trPr>
        <w:tc>
          <w:tcPr>
            <w:tcW w:w="307" w:type="pct"/>
            <w:vAlign w:val="center"/>
          </w:tcPr>
          <w:p w14:paraId="461C217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801" w:type="pct"/>
            <w:vAlign w:val="center"/>
          </w:tcPr>
          <w:p w14:paraId="468D9A03">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具有良好的商业信誉和健全的财务会计制度；</w:t>
            </w:r>
          </w:p>
          <w:p w14:paraId="5487BCE7">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以开标截止时间点投标人未列入“信用中国”&lt;www.creditchina.gov.cn&gt;网站的“失信被执行人”和“重大税收违法失信主体”（投标人为自然人时无需提供）及“中国政府采购网”&lt;www.ccgp.gov.cn&gt;网站的“政府采购严重违法失信行为记录名单”</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开标</w:t>
            </w:r>
            <w:r>
              <w:rPr>
                <w:rFonts w:hint="eastAsia" w:ascii="宋体" w:hAnsi="宋体" w:eastAsia="宋体" w:cs="宋体"/>
                <w:color w:val="auto"/>
                <w:sz w:val="24"/>
                <w:szCs w:val="24"/>
                <w:highlight w:val="none"/>
              </w:rPr>
              <w:t>截止时间点，由</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代理公司统一登陆网站查询递交</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信誉情况，并以保存的网页查询截图为准。②</w:t>
            </w:r>
            <w:r>
              <w:rPr>
                <w:rFonts w:hint="default" w:ascii="宋体" w:hAnsi="宋体" w:eastAsia="宋体" w:cs="宋体"/>
                <w:color w:val="auto"/>
                <w:sz w:val="24"/>
                <w:szCs w:val="24"/>
                <w:highlight w:val="none"/>
                <w:lang w:val="en-US" w:eastAsia="zh-CN"/>
              </w:rPr>
              <w:t>银行出具的近1年内资信证明或</w:t>
            </w:r>
            <w:r>
              <w:rPr>
                <w:rFonts w:hint="eastAsia" w:ascii="宋体" w:hAnsi="宋体" w:eastAsia="宋体" w:cs="宋体"/>
                <w:color w:val="auto"/>
                <w:sz w:val="24"/>
                <w:szCs w:val="24"/>
                <w:highlight w:val="none"/>
                <w:lang w:val="en-US" w:eastAsia="zh-CN"/>
              </w:rPr>
              <w:t>2024年度审计报告</w:t>
            </w:r>
            <w:r>
              <w:rPr>
                <w:rFonts w:hint="eastAsia" w:ascii="宋体" w:hAnsi="宋体" w:eastAsia="宋体" w:cs="宋体"/>
                <w:color w:val="auto"/>
                <w:sz w:val="24"/>
                <w:szCs w:val="24"/>
                <w:highlight w:val="none"/>
              </w:rPr>
              <w:t>，新成立企业无需提供。】</w:t>
            </w:r>
          </w:p>
        </w:tc>
        <w:tc>
          <w:tcPr>
            <w:tcW w:w="360" w:type="pct"/>
            <w:vAlign w:val="center"/>
          </w:tcPr>
          <w:p w14:paraId="541A158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29" w:type="pct"/>
            <w:vAlign w:val="center"/>
          </w:tcPr>
          <w:p w14:paraId="4773A6FB">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6B7C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7" w:hRule="atLeast"/>
          <w:jc w:val="center"/>
        </w:trPr>
        <w:tc>
          <w:tcPr>
            <w:tcW w:w="307" w:type="pct"/>
            <w:vAlign w:val="center"/>
          </w:tcPr>
          <w:p w14:paraId="5E89274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801" w:type="pct"/>
            <w:vAlign w:val="center"/>
          </w:tcPr>
          <w:p w14:paraId="753F1EC0">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具有履行合同所必需的设备和专业技术能力；</w:t>
            </w:r>
          </w:p>
          <w:p w14:paraId="40066CD1">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【须提供：①相关设备或设施的购置发票或单据（任一）或提供承诺函；②</w:t>
            </w:r>
            <w:r>
              <w:rPr>
                <w:rFonts w:hint="eastAsia" w:ascii="宋体" w:hAnsi="宋体" w:eastAsia="宋体" w:cs="宋体"/>
                <w:color w:val="auto"/>
                <w:spacing w:val="-2"/>
                <w:sz w:val="24"/>
                <w:szCs w:val="24"/>
                <w:highlight w:val="none"/>
              </w:rPr>
              <w:t>提供具有履行合同所必需的专业技术能力相关证明材料或声明</w:t>
            </w:r>
            <w:r>
              <w:rPr>
                <w:rFonts w:hint="eastAsia" w:ascii="宋体" w:hAnsi="宋体" w:eastAsia="宋体" w:cs="宋体"/>
                <w:color w:val="auto"/>
                <w:sz w:val="24"/>
                <w:szCs w:val="24"/>
                <w:highlight w:val="none"/>
              </w:rPr>
              <w:t>。】</w:t>
            </w:r>
          </w:p>
        </w:tc>
        <w:tc>
          <w:tcPr>
            <w:tcW w:w="360" w:type="pct"/>
            <w:vAlign w:val="center"/>
          </w:tcPr>
          <w:p w14:paraId="417220D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29" w:type="pct"/>
            <w:vAlign w:val="center"/>
          </w:tcPr>
          <w:p w14:paraId="52F250D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7456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0" w:hRule="atLeast"/>
          <w:jc w:val="center"/>
        </w:trPr>
        <w:tc>
          <w:tcPr>
            <w:tcW w:w="307" w:type="pct"/>
            <w:vAlign w:val="center"/>
          </w:tcPr>
          <w:p w14:paraId="5100831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801" w:type="pct"/>
            <w:vAlign w:val="center"/>
          </w:tcPr>
          <w:p w14:paraId="03941972">
            <w:pPr>
              <w:pStyle w:val="2"/>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有依法缴纳税收和社会保障资金的良好记录；</w:t>
            </w:r>
          </w:p>
          <w:p w14:paraId="6FD0F52C">
            <w:pPr>
              <w:pStyle w:val="2"/>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①近12个月内任意1个月已依法缴纳税收的凭据；②近12个月内任意1个月已依法缴纳社会保险的凭据（依法免税或不需要缴纳社会保障资金的投标人，应提供相应证明文件，新成立企业或自然人无需提供）】。</w:t>
            </w:r>
          </w:p>
        </w:tc>
        <w:tc>
          <w:tcPr>
            <w:tcW w:w="360" w:type="pct"/>
            <w:vAlign w:val="center"/>
          </w:tcPr>
          <w:p w14:paraId="6265EBE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29" w:type="pct"/>
            <w:vAlign w:val="center"/>
          </w:tcPr>
          <w:p w14:paraId="769DFD8B">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66949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9" w:hRule="atLeast"/>
          <w:jc w:val="center"/>
        </w:trPr>
        <w:tc>
          <w:tcPr>
            <w:tcW w:w="307" w:type="pct"/>
            <w:vAlign w:val="center"/>
          </w:tcPr>
          <w:p w14:paraId="36547ED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3801" w:type="pct"/>
            <w:vAlign w:val="center"/>
          </w:tcPr>
          <w:p w14:paraId="706C7AB3">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参加本次政府采购活动前三年内，在经营活动中没有重大违法记录；</w:t>
            </w:r>
          </w:p>
          <w:p w14:paraId="54875F56">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【须提供书面声明（投标人自行承诺并承担后果，声明不实的，按《政府采购法》及相关法律法规中提供虚假材料的有关规定处理。】 </w:t>
            </w:r>
          </w:p>
        </w:tc>
        <w:tc>
          <w:tcPr>
            <w:tcW w:w="360" w:type="pct"/>
            <w:vAlign w:val="center"/>
          </w:tcPr>
          <w:p w14:paraId="69B30EB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29" w:type="pct"/>
            <w:vAlign w:val="center"/>
          </w:tcPr>
          <w:p w14:paraId="17831BA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5D98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9" w:hRule="atLeast"/>
          <w:jc w:val="center"/>
        </w:trPr>
        <w:tc>
          <w:tcPr>
            <w:tcW w:w="307" w:type="pct"/>
            <w:vAlign w:val="center"/>
          </w:tcPr>
          <w:p w14:paraId="479F52D1">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3801" w:type="pct"/>
            <w:vAlign w:val="center"/>
          </w:tcPr>
          <w:p w14:paraId="39A108FB">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单位负责人为同一人或者存在直接控股、管理关系的不同投标人，不得参加同一合同项下的政府采购活动。</w:t>
            </w:r>
          </w:p>
          <w:p w14:paraId="777208BC">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【须提供书面声明（投标人自行承诺并承担后果，声明函不实的，按《政府采购法》及相关法律法规中提供虚假材料的有关规定处理。】 </w:t>
            </w:r>
          </w:p>
        </w:tc>
        <w:tc>
          <w:tcPr>
            <w:tcW w:w="360" w:type="pct"/>
            <w:vAlign w:val="center"/>
          </w:tcPr>
          <w:p w14:paraId="7640FDE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29" w:type="pct"/>
            <w:vAlign w:val="center"/>
          </w:tcPr>
          <w:p w14:paraId="3ED233B0">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3106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9" w:hRule="atLeast"/>
          <w:jc w:val="center"/>
        </w:trPr>
        <w:tc>
          <w:tcPr>
            <w:tcW w:w="307" w:type="pct"/>
            <w:vAlign w:val="center"/>
          </w:tcPr>
          <w:p w14:paraId="5C4C1AB0">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3801" w:type="pct"/>
            <w:vAlign w:val="center"/>
          </w:tcPr>
          <w:p w14:paraId="2AB477FB">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w:t>
            </w:r>
          </w:p>
        </w:tc>
        <w:tc>
          <w:tcPr>
            <w:tcW w:w="360" w:type="pct"/>
            <w:vAlign w:val="center"/>
          </w:tcPr>
          <w:p w14:paraId="238FA83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29" w:type="pct"/>
            <w:vAlign w:val="center"/>
          </w:tcPr>
          <w:p w14:paraId="3293601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324D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5" w:hRule="atLeast"/>
          <w:jc w:val="center"/>
        </w:trPr>
        <w:tc>
          <w:tcPr>
            <w:tcW w:w="307" w:type="pct"/>
            <w:vAlign w:val="center"/>
          </w:tcPr>
          <w:p w14:paraId="33A0C613">
            <w:pPr>
              <w:pStyle w:val="50"/>
              <w:pageBreakBefore w:val="0"/>
              <w:kinsoku/>
              <w:wordWrap/>
              <w:overflowPunct/>
              <w:topLinePunct w:val="0"/>
              <w:autoSpaceDE/>
              <w:autoSpaceDN/>
              <w:bidi w:val="0"/>
              <w:adjustRightInd/>
              <w:spacing w:line="380" w:lineRule="exact"/>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3801" w:type="pct"/>
            <w:vAlign w:val="center"/>
          </w:tcPr>
          <w:p w14:paraId="0874A242">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投标人必须具有检验全项目的检验检测机构资质认定资质（CMA），具备与承检任务中食品品种、检测项目、检品数量相适应的检验检测能力。</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须提供相关资质扫描件</w:t>
            </w:r>
            <w:r>
              <w:rPr>
                <w:rFonts w:hint="eastAsia" w:ascii="宋体" w:hAnsi="宋体" w:cs="宋体"/>
                <w:color w:val="auto"/>
                <w:sz w:val="24"/>
                <w:szCs w:val="24"/>
                <w:highlight w:val="none"/>
                <w:lang w:eastAsia="zh-CN"/>
              </w:rPr>
              <w:t>】</w:t>
            </w:r>
          </w:p>
        </w:tc>
        <w:tc>
          <w:tcPr>
            <w:tcW w:w="360" w:type="pct"/>
            <w:vAlign w:val="center"/>
          </w:tcPr>
          <w:p w14:paraId="017A06D0">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29" w:type="pct"/>
            <w:vAlign w:val="center"/>
          </w:tcPr>
          <w:p w14:paraId="393927F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61B68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9" w:hRule="atLeast"/>
          <w:jc w:val="center"/>
        </w:trPr>
        <w:tc>
          <w:tcPr>
            <w:tcW w:w="4109" w:type="pct"/>
            <w:gridSpan w:val="2"/>
            <w:vAlign w:val="center"/>
          </w:tcPr>
          <w:p w14:paraId="219731DF">
            <w:pPr>
              <w:pageBreakBefore w:val="0"/>
              <w:widowControl/>
              <w:kinsoku/>
              <w:wordWrap/>
              <w:overflowPunct/>
              <w:topLinePunct w:val="0"/>
              <w:autoSpaceDE/>
              <w:autoSpaceDN/>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审查结果（通过/不通过）</w:t>
            </w:r>
          </w:p>
        </w:tc>
        <w:tc>
          <w:tcPr>
            <w:tcW w:w="360" w:type="pct"/>
            <w:vAlign w:val="center"/>
          </w:tcPr>
          <w:p w14:paraId="2D3684D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29" w:type="pct"/>
            <w:vAlign w:val="center"/>
          </w:tcPr>
          <w:p w14:paraId="7FF18FD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3E88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0" w:hRule="atLeast"/>
          <w:jc w:val="center"/>
        </w:trPr>
        <w:tc>
          <w:tcPr>
            <w:tcW w:w="5000" w:type="pct"/>
            <w:gridSpan w:val="4"/>
            <w:vAlign w:val="center"/>
          </w:tcPr>
          <w:p w14:paraId="6999FCA4">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备注：如果</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中有一项未通过上述审查标准，</w:t>
            </w:r>
            <w:r>
              <w:rPr>
                <w:rFonts w:hint="eastAsia" w:ascii="宋体" w:hAnsi="宋体" w:eastAsia="宋体" w:cs="宋体"/>
                <w:color w:val="auto"/>
                <w:sz w:val="24"/>
                <w:szCs w:val="24"/>
                <w:highlight w:val="none"/>
                <w:lang w:val="en-US" w:eastAsia="zh-CN"/>
              </w:rPr>
              <w:t>评标委员会</w:t>
            </w:r>
            <w:r>
              <w:rPr>
                <w:rFonts w:hint="eastAsia" w:ascii="宋体" w:hAnsi="宋体" w:eastAsia="宋体" w:cs="宋体"/>
                <w:color w:val="auto"/>
                <w:sz w:val="24"/>
                <w:szCs w:val="24"/>
                <w:highlight w:val="none"/>
              </w:rPr>
              <w:t>将认定整个</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不响应</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件而予以无效处理，并且不允许</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通过修改或撤销其不符合要求的差异或保留，使之成为具有响应性的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w:t>
            </w:r>
          </w:p>
        </w:tc>
      </w:tr>
    </w:tbl>
    <w:p w14:paraId="2FD8E8D8">
      <w:pPr>
        <w:pStyle w:val="8"/>
        <w:numPr>
          <w:ilvl w:val="3"/>
          <w:numId w:val="0"/>
        </w:numPr>
        <w:spacing w:line="240" w:lineRule="auto"/>
        <w:ind w:leftChars="0"/>
        <w:rPr>
          <w:rFonts w:hint="eastAsia" w:ascii="宋体" w:hAnsi="宋体" w:eastAsia="宋体" w:cs="宋体"/>
          <w:color w:val="auto"/>
          <w:sz w:val="24"/>
          <w:szCs w:val="24"/>
          <w:highlight w:val="none"/>
        </w:rPr>
      </w:pPr>
      <w:r>
        <w:rPr>
          <w:rFonts w:hint="eastAsia" w:ascii="宋体" w:hAnsi="宋体" w:eastAsia="宋体" w:cs="宋体"/>
          <w:b/>
          <w:bCs w:val="0"/>
          <w:color w:val="auto"/>
          <w:sz w:val="24"/>
          <w:szCs w:val="24"/>
          <w:highlight w:val="none"/>
          <w:lang w:val="en-US" w:eastAsia="zh-CN"/>
        </w:rPr>
        <w:t>标项五</w:t>
      </w:r>
    </w:p>
    <w:tbl>
      <w:tblPr>
        <w:tblStyle w:val="30"/>
        <w:tblW w:w="56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8"/>
        <w:gridCol w:w="6978"/>
        <w:gridCol w:w="944"/>
        <w:gridCol w:w="879"/>
      </w:tblGrid>
      <w:tr w14:paraId="3ECB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303" w:type="pct"/>
            <w:vMerge w:val="restart"/>
            <w:vAlign w:val="center"/>
          </w:tcPr>
          <w:p w14:paraId="76430C9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724" w:type="pct"/>
            <w:vMerge w:val="restart"/>
            <w:vAlign w:val="center"/>
          </w:tcPr>
          <w:p w14:paraId="0CC0923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   查   标   准</w:t>
            </w:r>
          </w:p>
        </w:tc>
        <w:tc>
          <w:tcPr>
            <w:tcW w:w="972" w:type="pct"/>
            <w:gridSpan w:val="2"/>
            <w:vAlign w:val="center"/>
          </w:tcPr>
          <w:p w14:paraId="76C3B23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w:t>
            </w:r>
          </w:p>
        </w:tc>
      </w:tr>
      <w:tr w14:paraId="7C14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303" w:type="pct"/>
            <w:vMerge w:val="continue"/>
            <w:vAlign w:val="center"/>
          </w:tcPr>
          <w:p w14:paraId="10F7A76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3724" w:type="pct"/>
            <w:vMerge w:val="continue"/>
            <w:vAlign w:val="center"/>
          </w:tcPr>
          <w:p w14:paraId="3C1F7F1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04" w:type="pct"/>
            <w:vAlign w:val="center"/>
          </w:tcPr>
          <w:p w14:paraId="3957D0E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tc>
        <w:tc>
          <w:tcPr>
            <w:tcW w:w="467" w:type="pct"/>
            <w:vAlign w:val="center"/>
          </w:tcPr>
          <w:p w14:paraId="3197F710">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r>
      <w:tr w14:paraId="485E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303" w:type="pct"/>
            <w:vAlign w:val="center"/>
          </w:tcPr>
          <w:p w14:paraId="2679887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724" w:type="pct"/>
            <w:vAlign w:val="center"/>
          </w:tcPr>
          <w:p w14:paraId="6FA3530D">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具有独立承担民事责任的能力；</w:t>
            </w:r>
          </w:p>
          <w:p w14:paraId="47A2F3E6">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【法人、其他组织投标须提供营业执照等证明文件，自然人投标须提供自然人的身份证明。】</w:t>
            </w:r>
          </w:p>
        </w:tc>
        <w:tc>
          <w:tcPr>
            <w:tcW w:w="504" w:type="pct"/>
            <w:vAlign w:val="center"/>
          </w:tcPr>
          <w:p w14:paraId="3AF858B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7" w:type="pct"/>
            <w:vAlign w:val="center"/>
          </w:tcPr>
          <w:p w14:paraId="2D41E09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4248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6" w:hRule="atLeast"/>
          <w:jc w:val="center"/>
        </w:trPr>
        <w:tc>
          <w:tcPr>
            <w:tcW w:w="303" w:type="pct"/>
            <w:vAlign w:val="center"/>
          </w:tcPr>
          <w:p w14:paraId="614F655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724" w:type="pct"/>
            <w:vAlign w:val="center"/>
          </w:tcPr>
          <w:p w14:paraId="70384643">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具有良好的商业信誉和健全的财务会计制度；</w:t>
            </w:r>
          </w:p>
          <w:p w14:paraId="19DDA2C2">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以开标截止时间点投标人未列入“信用中国”&lt;www.creditchina.gov.cn&gt;网站的“失信被执行人”和“重大税收违法失信主体”（投标人为自然人时无需提供）及“中国政府采购网”&lt;www.ccgp.gov.cn&gt;网站的“政府采购严重违法失信行为记录名单”</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开标</w:t>
            </w:r>
            <w:r>
              <w:rPr>
                <w:rFonts w:hint="eastAsia" w:ascii="宋体" w:hAnsi="宋体" w:eastAsia="宋体" w:cs="宋体"/>
                <w:color w:val="auto"/>
                <w:sz w:val="24"/>
                <w:szCs w:val="24"/>
                <w:highlight w:val="none"/>
              </w:rPr>
              <w:t>截止时间点，由</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代理公司统一登陆网站查询递交</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信誉情况，并以保存的网页查询截图为准。②</w:t>
            </w:r>
            <w:r>
              <w:rPr>
                <w:rFonts w:hint="default" w:ascii="宋体" w:hAnsi="宋体" w:eastAsia="宋体" w:cs="宋体"/>
                <w:color w:val="auto"/>
                <w:sz w:val="24"/>
                <w:szCs w:val="24"/>
                <w:highlight w:val="none"/>
                <w:lang w:val="en-US" w:eastAsia="zh-CN"/>
              </w:rPr>
              <w:t>银行出具的近1年内资信证明或</w:t>
            </w:r>
            <w:r>
              <w:rPr>
                <w:rFonts w:hint="eastAsia" w:ascii="宋体" w:hAnsi="宋体" w:eastAsia="宋体" w:cs="宋体"/>
                <w:color w:val="auto"/>
                <w:sz w:val="24"/>
                <w:szCs w:val="24"/>
                <w:highlight w:val="none"/>
                <w:lang w:val="en-US" w:eastAsia="zh-CN"/>
              </w:rPr>
              <w:t>2024年度</w:t>
            </w:r>
            <w:r>
              <w:rPr>
                <w:rFonts w:hint="default" w:ascii="宋体" w:hAnsi="宋体" w:eastAsia="宋体" w:cs="宋体"/>
                <w:color w:val="auto"/>
                <w:sz w:val="24"/>
                <w:szCs w:val="24"/>
                <w:highlight w:val="none"/>
                <w:lang w:val="en-US" w:eastAsia="zh-CN"/>
              </w:rPr>
              <w:t>度</w:t>
            </w:r>
            <w:r>
              <w:rPr>
                <w:rFonts w:hint="eastAsia" w:ascii="宋体" w:hAnsi="宋体" w:eastAsia="宋体" w:cs="宋体"/>
                <w:color w:val="auto"/>
                <w:sz w:val="24"/>
                <w:szCs w:val="24"/>
                <w:highlight w:val="none"/>
                <w:lang w:val="en-US" w:eastAsia="zh-CN"/>
              </w:rPr>
              <w:t>审计报告</w:t>
            </w:r>
            <w:r>
              <w:rPr>
                <w:rFonts w:hint="eastAsia" w:ascii="宋体" w:hAnsi="宋体" w:eastAsia="宋体" w:cs="宋体"/>
                <w:color w:val="auto"/>
                <w:sz w:val="24"/>
                <w:szCs w:val="24"/>
                <w:highlight w:val="none"/>
              </w:rPr>
              <w:t>，新成立企业无需提供。】</w:t>
            </w:r>
          </w:p>
        </w:tc>
        <w:tc>
          <w:tcPr>
            <w:tcW w:w="504" w:type="pct"/>
            <w:vAlign w:val="center"/>
          </w:tcPr>
          <w:p w14:paraId="4229570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7" w:type="pct"/>
            <w:vAlign w:val="center"/>
          </w:tcPr>
          <w:p w14:paraId="42DCA670">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4493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7" w:hRule="atLeast"/>
          <w:jc w:val="center"/>
        </w:trPr>
        <w:tc>
          <w:tcPr>
            <w:tcW w:w="303" w:type="pct"/>
            <w:vAlign w:val="center"/>
          </w:tcPr>
          <w:p w14:paraId="38CE65D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724" w:type="pct"/>
            <w:vAlign w:val="center"/>
          </w:tcPr>
          <w:p w14:paraId="549146B6">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具有履行合同所必需的设备和专业技术能力；</w:t>
            </w:r>
          </w:p>
          <w:p w14:paraId="70605EB3">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【须提供：①相关设备或设施的购置发票或单据（任一）或提供承诺函；②</w:t>
            </w:r>
            <w:r>
              <w:rPr>
                <w:rFonts w:hint="eastAsia" w:ascii="宋体" w:hAnsi="宋体" w:eastAsia="宋体" w:cs="宋体"/>
                <w:color w:val="auto"/>
                <w:spacing w:val="-2"/>
                <w:sz w:val="24"/>
                <w:szCs w:val="24"/>
                <w:highlight w:val="none"/>
              </w:rPr>
              <w:t>提供具有履行合同所必需的专业技术能力相关证明材料或声明</w:t>
            </w:r>
            <w:r>
              <w:rPr>
                <w:rFonts w:hint="eastAsia" w:ascii="宋体" w:hAnsi="宋体" w:eastAsia="宋体" w:cs="宋体"/>
                <w:color w:val="auto"/>
                <w:sz w:val="24"/>
                <w:szCs w:val="24"/>
                <w:highlight w:val="none"/>
              </w:rPr>
              <w:t>。】</w:t>
            </w:r>
          </w:p>
        </w:tc>
        <w:tc>
          <w:tcPr>
            <w:tcW w:w="504" w:type="pct"/>
            <w:vAlign w:val="center"/>
          </w:tcPr>
          <w:p w14:paraId="555D5EF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7" w:type="pct"/>
            <w:vAlign w:val="center"/>
          </w:tcPr>
          <w:p w14:paraId="21A630E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3DF0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2" w:hRule="atLeast"/>
          <w:jc w:val="center"/>
        </w:trPr>
        <w:tc>
          <w:tcPr>
            <w:tcW w:w="303" w:type="pct"/>
            <w:vAlign w:val="center"/>
          </w:tcPr>
          <w:p w14:paraId="0417F39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724" w:type="pct"/>
            <w:vAlign w:val="center"/>
          </w:tcPr>
          <w:p w14:paraId="65036B81">
            <w:pPr>
              <w:pStyle w:val="2"/>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有依法缴纳税收和社会保障资金的良好记录；</w:t>
            </w:r>
          </w:p>
          <w:p w14:paraId="48259BC8">
            <w:pPr>
              <w:pStyle w:val="2"/>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①近12个月内任意1个月已依法缴纳税收的凭据；②近12个月内任意1个月已依法缴纳社会保险的凭据（依法免税或不需要缴纳社会保障资金的投标人，应提供相应证明文件，新成立企业或自然人无需提供）】。</w:t>
            </w:r>
          </w:p>
        </w:tc>
        <w:tc>
          <w:tcPr>
            <w:tcW w:w="504" w:type="pct"/>
            <w:vAlign w:val="center"/>
          </w:tcPr>
          <w:p w14:paraId="1817A401">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7" w:type="pct"/>
            <w:vAlign w:val="center"/>
          </w:tcPr>
          <w:p w14:paraId="24F76EC1">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67D2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6" w:hRule="atLeast"/>
          <w:jc w:val="center"/>
        </w:trPr>
        <w:tc>
          <w:tcPr>
            <w:tcW w:w="303" w:type="pct"/>
            <w:vAlign w:val="center"/>
          </w:tcPr>
          <w:p w14:paraId="0E81D76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3724" w:type="pct"/>
            <w:vAlign w:val="center"/>
          </w:tcPr>
          <w:p w14:paraId="49B49D7B">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参加本次政府采购活动前三年内，在经营活动中没有重大违法记录；</w:t>
            </w:r>
          </w:p>
          <w:p w14:paraId="355F912C">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【须提供书面声明（投标人自行承诺并承担后果，声明不实的，按《政府采购法》及相关法律法规中提供虚假材料的有关规定处理。】 </w:t>
            </w:r>
          </w:p>
        </w:tc>
        <w:tc>
          <w:tcPr>
            <w:tcW w:w="504" w:type="pct"/>
            <w:vAlign w:val="center"/>
          </w:tcPr>
          <w:p w14:paraId="5FEBB0F1">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7" w:type="pct"/>
            <w:vAlign w:val="center"/>
          </w:tcPr>
          <w:p w14:paraId="13F19521">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4FD8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6" w:hRule="atLeast"/>
          <w:jc w:val="center"/>
        </w:trPr>
        <w:tc>
          <w:tcPr>
            <w:tcW w:w="303" w:type="pct"/>
            <w:vAlign w:val="center"/>
          </w:tcPr>
          <w:p w14:paraId="14BF26D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3724" w:type="pct"/>
            <w:vAlign w:val="center"/>
          </w:tcPr>
          <w:p w14:paraId="715DF1E3">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单位负责人为同一人或者存在直接控股、管理关系的不同投标人，不得参加同一合同项下的政府采购活动。</w:t>
            </w:r>
          </w:p>
          <w:p w14:paraId="476D0B46">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【须提供书面声明（投标人自行承诺并承担后果，声明函不实的，按《政府采购法》及相关法律法规中提供虚假材料的有关规定处理。】 </w:t>
            </w:r>
          </w:p>
        </w:tc>
        <w:tc>
          <w:tcPr>
            <w:tcW w:w="504" w:type="pct"/>
            <w:vAlign w:val="center"/>
          </w:tcPr>
          <w:p w14:paraId="1B552CF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7" w:type="pct"/>
            <w:vAlign w:val="center"/>
          </w:tcPr>
          <w:p w14:paraId="62705FE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0418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303" w:type="pct"/>
            <w:vAlign w:val="center"/>
          </w:tcPr>
          <w:p w14:paraId="685E83EB">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3724" w:type="pct"/>
            <w:vAlign w:val="center"/>
          </w:tcPr>
          <w:p w14:paraId="25E38D3D">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w:t>
            </w:r>
          </w:p>
        </w:tc>
        <w:tc>
          <w:tcPr>
            <w:tcW w:w="504" w:type="pct"/>
            <w:vAlign w:val="center"/>
          </w:tcPr>
          <w:p w14:paraId="39F850DA">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7" w:type="pct"/>
            <w:vAlign w:val="center"/>
          </w:tcPr>
          <w:p w14:paraId="665DD99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168F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1" w:hRule="atLeast"/>
          <w:jc w:val="center"/>
        </w:trPr>
        <w:tc>
          <w:tcPr>
            <w:tcW w:w="303" w:type="pct"/>
            <w:vAlign w:val="center"/>
          </w:tcPr>
          <w:p w14:paraId="7250BAE2">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3724" w:type="pct"/>
            <w:vAlign w:val="center"/>
          </w:tcPr>
          <w:p w14:paraId="33DF8581">
            <w:pPr>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本项目</w:t>
            </w:r>
            <w:r>
              <w:rPr>
                <w:rFonts w:ascii="宋体" w:hAnsi="宋体" w:eastAsia="宋体" w:cs="宋体"/>
                <w:color w:val="auto"/>
                <w:sz w:val="24"/>
                <w:szCs w:val="24"/>
                <w:highlight w:val="none"/>
              </w:rPr>
              <w:t>为专门面向小微企业（含小型、微型企业）采购的项目，供应商应为小微企业</w:t>
            </w:r>
            <w:r>
              <w:rPr>
                <w:rFonts w:hint="eastAsia" w:ascii="宋体" w:hAnsi="宋体" w:cs="宋体"/>
                <w:color w:val="auto"/>
                <w:sz w:val="24"/>
                <w:szCs w:val="24"/>
                <w:highlight w:val="none"/>
                <w:lang w:eastAsia="zh-CN"/>
              </w:rPr>
              <w:t>，</w:t>
            </w:r>
            <w:r>
              <w:rPr>
                <w:rFonts w:hint="eastAsia" w:ascii="宋体" w:hAnsi="宋体" w:eastAsia="宋体" w:cs="宋体"/>
                <w:b w:val="0"/>
                <w:bCs/>
                <w:color w:val="auto"/>
                <w:kern w:val="0"/>
                <w:sz w:val="24"/>
                <w:szCs w:val="24"/>
                <w:highlight w:val="none"/>
                <w:shd w:val="clear" w:color="auto" w:fill="auto"/>
                <w:lang w:val="en-US" w:eastAsia="zh-CN"/>
              </w:rPr>
              <w:t>根据《政府采购促进中小企业发展管理办法》（财库[2020]46 号）的规定，不再执行价格评审优惠的扶持政策</w:t>
            </w:r>
            <w:r>
              <w:rPr>
                <w:rFonts w:ascii="宋体" w:hAnsi="宋体" w:eastAsia="宋体" w:cs="宋体"/>
                <w:color w:val="auto"/>
                <w:sz w:val="24"/>
                <w:szCs w:val="24"/>
                <w:highlight w:val="none"/>
              </w:rPr>
              <w:t>。</w:t>
            </w:r>
          </w:p>
          <w:p w14:paraId="6B8BBDC9">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b w:val="0"/>
                <w:bCs/>
                <w:color w:val="auto"/>
                <w:sz w:val="24"/>
                <w:szCs w:val="24"/>
                <w:highlight w:val="none"/>
                <w:shd w:val="clear" w:color="auto" w:fill="auto"/>
              </w:rPr>
              <w:t>【</w:t>
            </w:r>
            <w:r>
              <w:rPr>
                <w:rFonts w:hint="eastAsia" w:ascii="宋体" w:hAnsi="宋体" w:eastAsia="宋体" w:cs="宋体"/>
                <w:color w:val="auto"/>
                <w:sz w:val="24"/>
                <w:szCs w:val="24"/>
                <w:highlight w:val="none"/>
              </w:rPr>
              <w:t>满足条件的企业需在投标文件中提供《中小企业声明函》</w:t>
            </w:r>
            <w:r>
              <w:rPr>
                <w:rFonts w:hint="eastAsia" w:ascii="宋体" w:hAnsi="宋体" w:eastAsia="宋体" w:cs="宋体"/>
                <w:b w:val="0"/>
                <w:bCs/>
                <w:color w:val="auto"/>
                <w:sz w:val="24"/>
                <w:szCs w:val="24"/>
                <w:highlight w:val="none"/>
                <w:shd w:val="clear" w:color="auto" w:fill="auto"/>
              </w:rPr>
              <w:t>】</w:t>
            </w:r>
          </w:p>
        </w:tc>
        <w:tc>
          <w:tcPr>
            <w:tcW w:w="504" w:type="pct"/>
            <w:vAlign w:val="center"/>
          </w:tcPr>
          <w:p w14:paraId="1DBCA8D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7" w:type="pct"/>
            <w:vAlign w:val="center"/>
          </w:tcPr>
          <w:p w14:paraId="56678E1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08F1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7" w:hRule="atLeast"/>
          <w:jc w:val="center"/>
        </w:trPr>
        <w:tc>
          <w:tcPr>
            <w:tcW w:w="303" w:type="pct"/>
            <w:vAlign w:val="center"/>
          </w:tcPr>
          <w:p w14:paraId="76B0274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p>
        </w:tc>
        <w:tc>
          <w:tcPr>
            <w:tcW w:w="3724" w:type="pct"/>
            <w:vAlign w:val="center"/>
          </w:tcPr>
          <w:p w14:paraId="1A33A800">
            <w:pPr>
              <w:pageBreakBefore w:val="0"/>
              <w:widowControl/>
              <w:kinsoku/>
              <w:wordWrap/>
              <w:overflowPunct/>
              <w:topLinePunct w:val="0"/>
              <w:autoSpaceDE/>
              <w:autoSpaceDN/>
              <w:bidi w:val="0"/>
              <w:adjustRightInd/>
              <w:spacing w:line="380" w:lineRule="exact"/>
              <w:rPr>
                <w:rFonts w:hint="eastAsia" w:ascii="宋体" w:hAnsi="宋体" w:eastAsia="宋体" w:cs="宋体"/>
                <w:b w:val="0"/>
                <w:bCs/>
                <w:color w:val="auto"/>
                <w:sz w:val="24"/>
                <w:szCs w:val="24"/>
                <w:highlight w:val="none"/>
                <w:shd w:val="clear" w:color="auto" w:fill="auto"/>
              </w:rPr>
            </w:pPr>
            <w:r>
              <w:rPr>
                <w:rFonts w:hint="eastAsia" w:ascii="宋体" w:hAnsi="宋体" w:eastAsia="宋体" w:cs="宋体"/>
                <w:color w:val="auto"/>
                <w:sz w:val="24"/>
                <w:szCs w:val="24"/>
                <w:highlight w:val="none"/>
              </w:rPr>
              <w:t>投标人必须具有检验全项目的检验检测机构资质认定资质（CMA），具备与承检任务中食品品种、检测项目、检品数量相适应的检验检测能力。</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须提供相关资质扫描件</w:t>
            </w:r>
            <w:r>
              <w:rPr>
                <w:rFonts w:hint="eastAsia" w:ascii="宋体" w:hAnsi="宋体" w:cs="宋体"/>
                <w:color w:val="auto"/>
                <w:sz w:val="24"/>
                <w:szCs w:val="24"/>
                <w:highlight w:val="none"/>
                <w:lang w:eastAsia="zh-CN"/>
              </w:rPr>
              <w:t>】</w:t>
            </w:r>
          </w:p>
        </w:tc>
        <w:tc>
          <w:tcPr>
            <w:tcW w:w="504" w:type="pct"/>
            <w:vAlign w:val="center"/>
          </w:tcPr>
          <w:p w14:paraId="56407B5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7" w:type="pct"/>
            <w:vAlign w:val="center"/>
          </w:tcPr>
          <w:p w14:paraId="4B68968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08EE5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0" w:hRule="atLeast"/>
          <w:jc w:val="center"/>
        </w:trPr>
        <w:tc>
          <w:tcPr>
            <w:tcW w:w="4027" w:type="pct"/>
            <w:gridSpan w:val="2"/>
            <w:vAlign w:val="center"/>
          </w:tcPr>
          <w:p w14:paraId="075F98E9">
            <w:pPr>
              <w:pageBreakBefore w:val="0"/>
              <w:widowControl/>
              <w:kinsoku/>
              <w:wordWrap/>
              <w:overflowPunct/>
              <w:topLinePunct w:val="0"/>
              <w:autoSpaceDE/>
              <w:autoSpaceDN/>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审查结果（通过/不通过）</w:t>
            </w:r>
          </w:p>
        </w:tc>
        <w:tc>
          <w:tcPr>
            <w:tcW w:w="504" w:type="pct"/>
            <w:vAlign w:val="center"/>
          </w:tcPr>
          <w:p w14:paraId="7C1EBCD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7" w:type="pct"/>
            <w:vAlign w:val="center"/>
          </w:tcPr>
          <w:p w14:paraId="14B8CD2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4623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4" w:hRule="atLeast"/>
          <w:jc w:val="center"/>
        </w:trPr>
        <w:tc>
          <w:tcPr>
            <w:tcW w:w="5000" w:type="pct"/>
            <w:gridSpan w:val="4"/>
            <w:vAlign w:val="center"/>
          </w:tcPr>
          <w:p w14:paraId="36D93755">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备注：如果</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中有一项未通过上述审查标准，</w:t>
            </w:r>
            <w:r>
              <w:rPr>
                <w:rFonts w:hint="eastAsia" w:ascii="宋体" w:hAnsi="宋体" w:eastAsia="宋体" w:cs="宋体"/>
                <w:color w:val="auto"/>
                <w:sz w:val="24"/>
                <w:szCs w:val="24"/>
                <w:highlight w:val="none"/>
                <w:lang w:val="en-US" w:eastAsia="zh-CN"/>
              </w:rPr>
              <w:t>评标委员会</w:t>
            </w:r>
            <w:r>
              <w:rPr>
                <w:rFonts w:hint="eastAsia" w:ascii="宋体" w:hAnsi="宋体" w:eastAsia="宋体" w:cs="宋体"/>
                <w:color w:val="auto"/>
                <w:sz w:val="24"/>
                <w:szCs w:val="24"/>
                <w:highlight w:val="none"/>
              </w:rPr>
              <w:t>将认定整个</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不响应</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件而予以无效处理，并且不允许</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通过修改或撤销其不符合要求的差异或保留，使之成为具有响应性的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w:t>
            </w:r>
          </w:p>
        </w:tc>
      </w:tr>
    </w:tbl>
    <w:p w14:paraId="6629A676">
      <w:pPr>
        <w:pStyle w:val="8"/>
        <w:numPr>
          <w:ilvl w:val="3"/>
          <w:numId w:val="0"/>
        </w:numPr>
        <w:spacing w:line="240" w:lineRule="auto"/>
        <w:ind w:leftChars="0"/>
        <w:rPr>
          <w:rFonts w:hint="eastAsia" w:ascii="宋体" w:hAnsi="宋体" w:eastAsia="宋体" w:cs="宋体"/>
          <w:color w:val="auto"/>
          <w:sz w:val="24"/>
          <w:szCs w:val="24"/>
          <w:highlight w:val="none"/>
        </w:rPr>
      </w:pPr>
      <w:r>
        <w:rPr>
          <w:rFonts w:hint="eastAsia" w:ascii="宋体" w:hAnsi="宋体" w:eastAsia="宋体" w:cs="宋体"/>
          <w:b/>
          <w:bCs w:val="0"/>
          <w:color w:val="auto"/>
          <w:sz w:val="24"/>
          <w:szCs w:val="24"/>
          <w:highlight w:val="none"/>
          <w:lang w:val="en-US" w:eastAsia="zh-CN"/>
        </w:rPr>
        <w:t>标项六</w:t>
      </w:r>
    </w:p>
    <w:tbl>
      <w:tblPr>
        <w:tblStyle w:val="30"/>
        <w:tblW w:w="54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3"/>
        <w:gridCol w:w="6908"/>
        <w:gridCol w:w="4"/>
        <w:gridCol w:w="649"/>
        <w:gridCol w:w="4"/>
        <w:gridCol w:w="1015"/>
      </w:tblGrid>
      <w:tr w14:paraId="5ABB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308" w:type="pct"/>
            <w:vMerge w:val="restart"/>
            <w:vAlign w:val="center"/>
          </w:tcPr>
          <w:p w14:paraId="431BCCB3">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778" w:type="pct"/>
            <w:vMerge w:val="restart"/>
            <w:vAlign w:val="center"/>
          </w:tcPr>
          <w:p w14:paraId="5D5FC60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   查   标   准</w:t>
            </w:r>
          </w:p>
        </w:tc>
        <w:tc>
          <w:tcPr>
            <w:tcW w:w="913" w:type="pct"/>
            <w:gridSpan w:val="4"/>
            <w:vAlign w:val="center"/>
          </w:tcPr>
          <w:p w14:paraId="21574443">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w:t>
            </w:r>
          </w:p>
        </w:tc>
      </w:tr>
      <w:tr w14:paraId="5344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4" w:hRule="atLeast"/>
          <w:jc w:val="center"/>
        </w:trPr>
        <w:tc>
          <w:tcPr>
            <w:tcW w:w="308" w:type="pct"/>
            <w:vMerge w:val="continue"/>
            <w:vAlign w:val="center"/>
          </w:tcPr>
          <w:p w14:paraId="4057BAD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3778" w:type="pct"/>
            <w:vMerge w:val="continue"/>
            <w:vAlign w:val="center"/>
          </w:tcPr>
          <w:p w14:paraId="3B251083">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357" w:type="pct"/>
            <w:gridSpan w:val="2"/>
            <w:vAlign w:val="center"/>
          </w:tcPr>
          <w:p w14:paraId="1C47EC8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tc>
        <w:tc>
          <w:tcPr>
            <w:tcW w:w="556" w:type="pct"/>
            <w:gridSpan w:val="2"/>
            <w:vAlign w:val="center"/>
          </w:tcPr>
          <w:p w14:paraId="28C3D74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r>
      <w:tr w14:paraId="03B6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7" w:hRule="atLeast"/>
          <w:jc w:val="center"/>
        </w:trPr>
        <w:tc>
          <w:tcPr>
            <w:tcW w:w="308" w:type="pct"/>
            <w:vAlign w:val="center"/>
          </w:tcPr>
          <w:p w14:paraId="4BBA7A62">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778" w:type="pct"/>
            <w:vAlign w:val="center"/>
          </w:tcPr>
          <w:p w14:paraId="391F3FD3">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具有独立承担民事责任的能力；</w:t>
            </w:r>
          </w:p>
          <w:p w14:paraId="76D7AB90">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【法人、其他组织投标须提供营业执照等证明文件，自然人投标须提供自然人的身份证明。】</w:t>
            </w:r>
          </w:p>
        </w:tc>
        <w:tc>
          <w:tcPr>
            <w:tcW w:w="357" w:type="pct"/>
            <w:gridSpan w:val="2"/>
            <w:vAlign w:val="center"/>
          </w:tcPr>
          <w:p w14:paraId="178D4C5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56" w:type="pct"/>
            <w:gridSpan w:val="2"/>
            <w:vAlign w:val="center"/>
          </w:tcPr>
          <w:p w14:paraId="2FBF7A42">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5758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0" w:hRule="atLeast"/>
          <w:jc w:val="center"/>
        </w:trPr>
        <w:tc>
          <w:tcPr>
            <w:tcW w:w="308" w:type="pct"/>
            <w:vAlign w:val="center"/>
          </w:tcPr>
          <w:p w14:paraId="7E52628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778" w:type="pct"/>
            <w:vAlign w:val="center"/>
          </w:tcPr>
          <w:p w14:paraId="68CEA1AA">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具有良好的商业信誉和健全的财务会计制度；</w:t>
            </w:r>
          </w:p>
          <w:p w14:paraId="6A04E2BE">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以开标截止时间点投标人未列入“信用中国”&lt;www.creditchina.gov.cn&gt;网站的“失信被执行人”和“重大税收违法失信主体”（投标人为自然人时无需提供）及“中国政府采购网”&lt;www.ccgp.gov.cn&gt;网站的“政府采购严重违法失信行为记录名单”</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开标</w:t>
            </w:r>
            <w:r>
              <w:rPr>
                <w:rFonts w:hint="eastAsia" w:ascii="宋体" w:hAnsi="宋体" w:eastAsia="宋体" w:cs="宋体"/>
                <w:color w:val="auto"/>
                <w:sz w:val="24"/>
                <w:szCs w:val="24"/>
                <w:highlight w:val="none"/>
              </w:rPr>
              <w:t>截止时间点，由</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代理公司统一登陆网站查询递交</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信誉情况，并以保存的网页查询截图为准。②</w:t>
            </w:r>
            <w:r>
              <w:rPr>
                <w:rFonts w:hint="default" w:ascii="宋体" w:hAnsi="宋体" w:eastAsia="宋体" w:cs="宋体"/>
                <w:color w:val="auto"/>
                <w:sz w:val="24"/>
                <w:szCs w:val="24"/>
                <w:highlight w:val="none"/>
                <w:lang w:val="en-US" w:eastAsia="zh-CN"/>
              </w:rPr>
              <w:t>银行出具的近1年内资信证明或</w:t>
            </w:r>
            <w:r>
              <w:rPr>
                <w:rFonts w:hint="eastAsia" w:ascii="宋体" w:hAnsi="宋体" w:eastAsia="宋体" w:cs="宋体"/>
                <w:color w:val="auto"/>
                <w:sz w:val="24"/>
                <w:szCs w:val="24"/>
                <w:highlight w:val="none"/>
                <w:lang w:val="en-US" w:eastAsia="zh-CN"/>
              </w:rPr>
              <w:t>2024年度</w:t>
            </w:r>
            <w:r>
              <w:rPr>
                <w:rFonts w:hint="eastAsia" w:ascii="宋体" w:hAnsi="宋体" w:cs="宋体"/>
                <w:color w:val="auto"/>
                <w:sz w:val="24"/>
                <w:szCs w:val="24"/>
                <w:highlight w:val="none"/>
                <w:lang w:val="en-US" w:eastAsia="zh-CN"/>
              </w:rPr>
              <w:t>审</w:t>
            </w:r>
            <w:r>
              <w:rPr>
                <w:rFonts w:hint="eastAsia" w:ascii="宋体" w:hAnsi="宋体" w:eastAsia="宋体" w:cs="宋体"/>
                <w:color w:val="auto"/>
                <w:sz w:val="24"/>
                <w:szCs w:val="24"/>
                <w:highlight w:val="none"/>
                <w:lang w:val="en-US" w:eastAsia="zh-CN"/>
              </w:rPr>
              <w:t>计报告</w:t>
            </w:r>
            <w:r>
              <w:rPr>
                <w:rFonts w:hint="eastAsia" w:ascii="宋体" w:hAnsi="宋体" w:eastAsia="宋体" w:cs="宋体"/>
                <w:color w:val="auto"/>
                <w:sz w:val="24"/>
                <w:szCs w:val="24"/>
                <w:highlight w:val="none"/>
              </w:rPr>
              <w:t>，新成立企业无需提供。】</w:t>
            </w:r>
          </w:p>
        </w:tc>
        <w:tc>
          <w:tcPr>
            <w:tcW w:w="357" w:type="pct"/>
            <w:gridSpan w:val="2"/>
            <w:vAlign w:val="center"/>
          </w:tcPr>
          <w:p w14:paraId="50E3B53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56" w:type="pct"/>
            <w:gridSpan w:val="2"/>
            <w:vAlign w:val="center"/>
          </w:tcPr>
          <w:p w14:paraId="4FCB675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1B97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9" w:hRule="atLeast"/>
          <w:jc w:val="center"/>
        </w:trPr>
        <w:tc>
          <w:tcPr>
            <w:tcW w:w="308" w:type="pct"/>
            <w:vAlign w:val="center"/>
          </w:tcPr>
          <w:p w14:paraId="27B235A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778" w:type="pct"/>
            <w:vAlign w:val="center"/>
          </w:tcPr>
          <w:p w14:paraId="544B0F4B">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具有履行合同所必需的设备和专业技术能力；</w:t>
            </w:r>
          </w:p>
          <w:p w14:paraId="44DDA942">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【须提供：①相关设备或设施的购置发票或单据（任一）或提供承诺函；②</w:t>
            </w:r>
            <w:r>
              <w:rPr>
                <w:rFonts w:hint="eastAsia" w:ascii="宋体" w:hAnsi="宋体" w:eastAsia="宋体" w:cs="宋体"/>
                <w:color w:val="auto"/>
                <w:spacing w:val="-2"/>
                <w:sz w:val="24"/>
                <w:szCs w:val="24"/>
                <w:highlight w:val="none"/>
              </w:rPr>
              <w:t>提供具有履行合同所必需的专业技术能力相关证明材料或声明</w:t>
            </w:r>
            <w:r>
              <w:rPr>
                <w:rFonts w:hint="eastAsia" w:ascii="宋体" w:hAnsi="宋体" w:eastAsia="宋体" w:cs="宋体"/>
                <w:color w:val="auto"/>
                <w:sz w:val="24"/>
                <w:szCs w:val="24"/>
                <w:highlight w:val="none"/>
              </w:rPr>
              <w:t>。】</w:t>
            </w:r>
          </w:p>
        </w:tc>
        <w:tc>
          <w:tcPr>
            <w:tcW w:w="357" w:type="pct"/>
            <w:gridSpan w:val="2"/>
            <w:vAlign w:val="center"/>
          </w:tcPr>
          <w:p w14:paraId="613FDAF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56" w:type="pct"/>
            <w:gridSpan w:val="2"/>
            <w:vAlign w:val="center"/>
          </w:tcPr>
          <w:p w14:paraId="3EDB0C82">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1A57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3" w:hRule="atLeast"/>
          <w:jc w:val="center"/>
        </w:trPr>
        <w:tc>
          <w:tcPr>
            <w:tcW w:w="308" w:type="pct"/>
            <w:vAlign w:val="center"/>
          </w:tcPr>
          <w:p w14:paraId="244E3D8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778" w:type="pct"/>
            <w:vAlign w:val="center"/>
          </w:tcPr>
          <w:p w14:paraId="3269362C">
            <w:pPr>
              <w:pStyle w:val="2"/>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有依法缴纳税收和社会保障资金的良好记录；</w:t>
            </w:r>
          </w:p>
          <w:p w14:paraId="257F4752">
            <w:pPr>
              <w:pStyle w:val="2"/>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①近12个月内任意1个月已依法缴纳税收的凭据；②近12个月内任意1个月已依法缴纳社会保险的凭据（依法免税或不需要缴纳社会保障资金的投标人，应提供相应证明文件，新成立企业或自然人无需提供）】。</w:t>
            </w:r>
          </w:p>
        </w:tc>
        <w:tc>
          <w:tcPr>
            <w:tcW w:w="357" w:type="pct"/>
            <w:gridSpan w:val="2"/>
            <w:vAlign w:val="center"/>
          </w:tcPr>
          <w:p w14:paraId="133B436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56" w:type="pct"/>
            <w:gridSpan w:val="2"/>
            <w:vAlign w:val="center"/>
          </w:tcPr>
          <w:p w14:paraId="226C44A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2B70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1" w:hRule="atLeast"/>
          <w:jc w:val="center"/>
        </w:trPr>
        <w:tc>
          <w:tcPr>
            <w:tcW w:w="308" w:type="pct"/>
            <w:vAlign w:val="center"/>
          </w:tcPr>
          <w:p w14:paraId="7270A31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3778" w:type="pct"/>
            <w:vAlign w:val="center"/>
          </w:tcPr>
          <w:p w14:paraId="0A61D37B">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参加本次政府采购活动前三年内，在经营活动中没有重大违法记录；</w:t>
            </w:r>
          </w:p>
          <w:p w14:paraId="11259C4B">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【须提供书面声明（投标人自行承诺并承担后果，声明不实的，按《政府采购法》及相关法律法规中提供虚假材料的有关规定处理。】 </w:t>
            </w:r>
          </w:p>
        </w:tc>
        <w:tc>
          <w:tcPr>
            <w:tcW w:w="357" w:type="pct"/>
            <w:gridSpan w:val="2"/>
            <w:vAlign w:val="center"/>
          </w:tcPr>
          <w:p w14:paraId="30D77CD1">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56" w:type="pct"/>
            <w:gridSpan w:val="2"/>
            <w:vAlign w:val="center"/>
          </w:tcPr>
          <w:p w14:paraId="011CD24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2415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1" w:hRule="atLeast"/>
          <w:jc w:val="center"/>
        </w:trPr>
        <w:tc>
          <w:tcPr>
            <w:tcW w:w="308" w:type="pct"/>
            <w:vAlign w:val="center"/>
          </w:tcPr>
          <w:p w14:paraId="1F56DF8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3778" w:type="pct"/>
            <w:vAlign w:val="center"/>
          </w:tcPr>
          <w:p w14:paraId="3CEEC392">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单位负责人为同一人或者存在直接控股、管理关系的不同投标人，不得参加同一合同项下的政府采购活动。</w:t>
            </w:r>
          </w:p>
          <w:p w14:paraId="0C1B5DC5">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【须提供书面声明（投标人自行承诺并承担后果，声明函不实的，按《政府采购法》及相关法律法规中提供虚假材料的有关规定处理。】 </w:t>
            </w:r>
          </w:p>
        </w:tc>
        <w:tc>
          <w:tcPr>
            <w:tcW w:w="357" w:type="pct"/>
            <w:gridSpan w:val="2"/>
            <w:vAlign w:val="center"/>
          </w:tcPr>
          <w:p w14:paraId="6D1680D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56" w:type="pct"/>
            <w:gridSpan w:val="2"/>
            <w:vAlign w:val="center"/>
          </w:tcPr>
          <w:p w14:paraId="2C452E8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2C54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9" w:hRule="atLeast"/>
          <w:jc w:val="center"/>
        </w:trPr>
        <w:tc>
          <w:tcPr>
            <w:tcW w:w="308" w:type="pct"/>
            <w:vAlign w:val="center"/>
          </w:tcPr>
          <w:p w14:paraId="01D290F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3778" w:type="pct"/>
            <w:vAlign w:val="center"/>
          </w:tcPr>
          <w:p w14:paraId="4D2469C7">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w:t>
            </w:r>
          </w:p>
        </w:tc>
        <w:tc>
          <w:tcPr>
            <w:tcW w:w="357" w:type="pct"/>
            <w:gridSpan w:val="2"/>
            <w:vAlign w:val="center"/>
          </w:tcPr>
          <w:p w14:paraId="2820EDE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56" w:type="pct"/>
            <w:gridSpan w:val="2"/>
            <w:vAlign w:val="center"/>
          </w:tcPr>
          <w:p w14:paraId="647FA0F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3EB1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7" w:hRule="atLeast"/>
          <w:jc w:val="center"/>
        </w:trPr>
        <w:tc>
          <w:tcPr>
            <w:tcW w:w="308" w:type="pct"/>
            <w:vAlign w:val="center"/>
          </w:tcPr>
          <w:p w14:paraId="634D5BF2">
            <w:pPr>
              <w:pStyle w:val="50"/>
              <w:pageBreakBefore w:val="0"/>
              <w:kinsoku/>
              <w:wordWrap/>
              <w:overflowPunct/>
              <w:topLinePunct w:val="0"/>
              <w:autoSpaceDE/>
              <w:autoSpaceDN/>
              <w:bidi w:val="0"/>
              <w:adjustRightInd/>
              <w:spacing w:line="380" w:lineRule="exact"/>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3780" w:type="pct"/>
            <w:gridSpan w:val="2"/>
            <w:vAlign w:val="center"/>
          </w:tcPr>
          <w:p w14:paraId="6CF6C8FD">
            <w:pPr>
              <w:pageBreakBefore w:val="0"/>
              <w:widowControl/>
              <w:kinsoku/>
              <w:wordWrap/>
              <w:overflowPunct/>
              <w:topLinePunct w:val="0"/>
              <w:autoSpaceDE/>
              <w:autoSpaceDN/>
              <w:bidi w:val="0"/>
              <w:adjustRightInd/>
              <w:spacing w:line="380" w:lineRule="exact"/>
              <w:rPr>
                <w:rFonts w:hint="eastAsia" w:ascii="宋体" w:hAnsi="宋体" w:eastAsia="宋体" w:cs="宋体"/>
                <w:b w:val="0"/>
                <w:bCs/>
                <w:color w:val="auto"/>
                <w:sz w:val="24"/>
                <w:szCs w:val="24"/>
                <w:highlight w:val="none"/>
                <w:shd w:val="clear" w:color="auto" w:fill="auto"/>
                <w:lang w:eastAsia="zh-CN"/>
              </w:rPr>
            </w:pPr>
            <w:r>
              <w:rPr>
                <w:rFonts w:hint="eastAsia" w:ascii="宋体" w:hAnsi="宋体" w:eastAsia="宋体" w:cs="宋体"/>
                <w:color w:val="auto"/>
                <w:sz w:val="24"/>
                <w:szCs w:val="24"/>
                <w:highlight w:val="none"/>
              </w:rPr>
              <w:t>投标人必须具有检验全项目的检验检测机构资质认定资质（CMA），具备与承检任务中食品品种、检测项目、检品数量相适应的检验检测能力。</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须提供相关资质扫描件</w:t>
            </w:r>
            <w:r>
              <w:rPr>
                <w:rFonts w:hint="eastAsia" w:ascii="宋体" w:hAnsi="宋体" w:cs="宋体"/>
                <w:color w:val="auto"/>
                <w:sz w:val="24"/>
                <w:szCs w:val="24"/>
                <w:highlight w:val="none"/>
                <w:lang w:eastAsia="zh-CN"/>
              </w:rPr>
              <w:t>】</w:t>
            </w:r>
          </w:p>
        </w:tc>
        <w:tc>
          <w:tcPr>
            <w:tcW w:w="357" w:type="pct"/>
            <w:gridSpan w:val="2"/>
            <w:vAlign w:val="center"/>
          </w:tcPr>
          <w:p w14:paraId="716A908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53" w:type="pct"/>
            <w:vAlign w:val="center"/>
          </w:tcPr>
          <w:p w14:paraId="16ED06BB">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7BC0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4086" w:type="pct"/>
            <w:gridSpan w:val="2"/>
            <w:vAlign w:val="center"/>
          </w:tcPr>
          <w:p w14:paraId="1FCC5E3E">
            <w:pPr>
              <w:pageBreakBefore w:val="0"/>
              <w:widowControl/>
              <w:kinsoku/>
              <w:wordWrap/>
              <w:overflowPunct/>
              <w:topLinePunct w:val="0"/>
              <w:autoSpaceDE/>
              <w:autoSpaceDN/>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审查结果（通过/不通过）</w:t>
            </w:r>
          </w:p>
        </w:tc>
        <w:tc>
          <w:tcPr>
            <w:tcW w:w="357" w:type="pct"/>
            <w:gridSpan w:val="2"/>
            <w:vAlign w:val="center"/>
          </w:tcPr>
          <w:p w14:paraId="7D443B0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556" w:type="pct"/>
            <w:gridSpan w:val="2"/>
            <w:vAlign w:val="center"/>
          </w:tcPr>
          <w:p w14:paraId="729178A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2B71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1" w:hRule="atLeast"/>
          <w:jc w:val="center"/>
        </w:trPr>
        <w:tc>
          <w:tcPr>
            <w:tcW w:w="5000" w:type="pct"/>
            <w:gridSpan w:val="6"/>
            <w:vAlign w:val="center"/>
          </w:tcPr>
          <w:p w14:paraId="24B5FC7B">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备注：如果</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中有一项未通过上述审查标准，</w:t>
            </w:r>
            <w:r>
              <w:rPr>
                <w:rFonts w:hint="eastAsia" w:ascii="宋体" w:hAnsi="宋体" w:eastAsia="宋体" w:cs="宋体"/>
                <w:color w:val="auto"/>
                <w:sz w:val="24"/>
                <w:szCs w:val="24"/>
                <w:highlight w:val="none"/>
                <w:lang w:val="en-US" w:eastAsia="zh-CN"/>
              </w:rPr>
              <w:t>评标委员会</w:t>
            </w:r>
            <w:r>
              <w:rPr>
                <w:rFonts w:hint="eastAsia" w:ascii="宋体" w:hAnsi="宋体" w:eastAsia="宋体" w:cs="宋体"/>
                <w:color w:val="auto"/>
                <w:sz w:val="24"/>
                <w:szCs w:val="24"/>
                <w:highlight w:val="none"/>
              </w:rPr>
              <w:t>将认定整个</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不响应</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件而予以无效处理，并且不允许</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通过修改或撤销其不符合要求的差异或保留，使之成为具有响应性的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w:t>
            </w:r>
          </w:p>
        </w:tc>
      </w:tr>
    </w:tbl>
    <w:p w14:paraId="1713B983">
      <w:pPr>
        <w:pStyle w:val="8"/>
        <w:numPr>
          <w:ilvl w:val="3"/>
          <w:numId w:val="0"/>
        </w:numPr>
        <w:spacing w:line="240" w:lineRule="auto"/>
        <w:ind w:leftChars="0"/>
        <w:rPr>
          <w:rFonts w:hint="eastAsia" w:ascii="宋体" w:hAnsi="宋体" w:eastAsia="宋体" w:cs="宋体"/>
          <w:color w:val="auto"/>
          <w:sz w:val="24"/>
          <w:szCs w:val="24"/>
          <w:highlight w:val="none"/>
        </w:rPr>
      </w:pPr>
      <w:r>
        <w:rPr>
          <w:rFonts w:hint="eastAsia" w:ascii="宋体" w:hAnsi="宋体" w:eastAsia="宋体" w:cs="宋体"/>
          <w:b/>
          <w:bCs w:val="0"/>
          <w:color w:val="auto"/>
          <w:sz w:val="24"/>
          <w:szCs w:val="24"/>
          <w:highlight w:val="none"/>
          <w:lang w:val="en-US" w:eastAsia="zh-CN"/>
        </w:rPr>
        <w:t>标项七</w:t>
      </w:r>
    </w:p>
    <w:tbl>
      <w:tblPr>
        <w:tblStyle w:val="30"/>
        <w:tblW w:w="59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7"/>
        <w:gridCol w:w="7742"/>
        <w:gridCol w:w="706"/>
        <w:gridCol w:w="934"/>
      </w:tblGrid>
      <w:tr w14:paraId="6B078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280" w:type="pct"/>
            <w:vMerge w:val="restart"/>
            <w:vAlign w:val="center"/>
          </w:tcPr>
          <w:p w14:paraId="06814B6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895" w:type="pct"/>
            <w:vMerge w:val="restart"/>
            <w:vAlign w:val="center"/>
          </w:tcPr>
          <w:p w14:paraId="7FC3577A">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   查   标   准</w:t>
            </w:r>
          </w:p>
        </w:tc>
        <w:tc>
          <w:tcPr>
            <w:tcW w:w="824" w:type="pct"/>
            <w:gridSpan w:val="2"/>
            <w:vAlign w:val="center"/>
          </w:tcPr>
          <w:p w14:paraId="3B964EA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w:t>
            </w:r>
          </w:p>
        </w:tc>
      </w:tr>
      <w:tr w14:paraId="7D711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280" w:type="pct"/>
            <w:vMerge w:val="continue"/>
            <w:vAlign w:val="center"/>
          </w:tcPr>
          <w:p w14:paraId="7DDCFBCB">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3895" w:type="pct"/>
            <w:vMerge w:val="continue"/>
            <w:vAlign w:val="center"/>
          </w:tcPr>
          <w:p w14:paraId="16EF3F12">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355" w:type="pct"/>
            <w:vAlign w:val="center"/>
          </w:tcPr>
          <w:p w14:paraId="1B52277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tc>
        <w:tc>
          <w:tcPr>
            <w:tcW w:w="469" w:type="pct"/>
            <w:vAlign w:val="center"/>
          </w:tcPr>
          <w:p w14:paraId="513AAD2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r>
      <w:tr w14:paraId="185E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1" w:hRule="atLeast"/>
          <w:jc w:val="center"/>
        </w:trPr>
        <w:tc>
          <w:tcPr>
            <w:tcW w:w="280" w:type="pct"/>
            <w:vAlign w:val="center"/>
          </w:tcPr>
          <w:p w14:paraId="15BDB092">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895" w:type="pct"/>
            <w:vAlign w:val="center"/>
          </w:tcPr>
          <w:p w14:paraId="35F52449">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具有独立承担民事责任的能力；</w:t>
            </w:r>
          </w:p>
          <w:p w14:paraId="078F6A2A">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【法人、其他组织投标须提供营业执照等证明文件，自然人投标须提供自然人的身份证明。】</w:t>
            </w:r>
          </w:p>
        </w:tc>
        <w:tc>
          <w:tcPr>
            <w:tcW w:w="355" w:type="pct"/>
            <w:vAlign w:val="center"/>
          </w:tcPr>
          <w:p w14:paraId="7DD90DE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9" w:type="pct"/>
            <w:vAlign w:val="center"/>
          </w:tcPr>
          <w:p w14:paraId="31BD447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628D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4" w:hRule="atLeast"/>
          <w:jc w:val="center"/>
        </w:trPr>
        <w:tc>
          <w:tcPr>
            <w:tcW w:w="280" w:type="pct"/>
            <w:vAlign w:val="center"/>
          </w:tcPr>
          <w:p w14:paraId="5B46A6F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895" w:type="pct"/>
            <w:vAlign w:val="center"/>
          </w:tcPr>
          <w:p w14:paraId="79684E4F">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具有良好的商业信誉和健全的财务会计制度；</w:t>
            </w:r>
          </w:p>
          <w:p w14:paraId="271900F6">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以开标截止时间点投标人未列入“信用中国”&lt;www.creditchina.gov.cn&gt;网站的“失信被执行人”和“重大税收违法失信主体”（投标人为自然人时无需提供）及“中国政府采购网”&lt;www.ccgp.gov.cn&gt;网站的“政府采购严重违法失信行为记录名单”</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开标</w:t>
            </w:r>
            <w:r>
              <w:rPr>
                <w:rFonts w:hint="eastAsia" w:ascii="宋体" w:hAnsi="宋体" w:eastAsia="宋体" w:cs="宋体"/>
                <w:color w:val="auto"/>
                <w:sz w:val="24"/>
                <w:szCs w:val="24"/>
                <w:highlight w:val="none"/>
              </w:rPr>
              <w:t>截止时间点，由</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代理公司统一登陆网站查询递交</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信誉情况，并以保存的网页查询截图为准。②</w:t>
            </w:r>
            <w:r>
              <w:rPr>
                <w:rFonts w:hint="default" w:ascii="宋体" w:hAnsi="宋体" w:eastAsia="宋体" w:cs="宋体"/>
                <w:color w:val="auto"/>
                <w:sz w:val="24"/>
                <w:szCs w:val="24"/>
                <w:highlight w:val="none"/>
                <w:lang w:val="en-US" w:eastAsia="zh-CN"/>
              </w:rPr>
              <w:t>银行出具的近1年内资信证明或</w:t>
            </w:r>
            <w:r>
              <w:rPr>
                <w:rFonts w:hint="eastAsia" w:ascii="宋体" w:hAnsi="宋体" w:eastAsia="宋体" w:cs="宋体"/>
                <w:color w:val="auto"/>
                <w:sz w:val="24"/>
                <w:szCs w:val="24"/>
                <w:highlight w:val="none"/>
                <w:lang w:val="en-US" w:eastAsia="zh-CN"/>
              </w:rPr>
              <w:t>2024年度</w:t>
            </w:r>
            <w:r>
              <w:rPr>
                <w:rFonts w:hint="default" w:ascii="宋体" w:hAnsi="宋体" w:eastAsia="宋体" w:cs="宋体"/>
                <w:color w:val="auto"/>
                <w:sz w:val="24"/>
                <w:szCs w:val="24"/>
                <w:highlight w:val="none"/>
                <w:lang w:val="en-US" w:eastAsia="zh-CN"/>
              </w:rPr>
              <w:t>经审计的财务报告</w:t>
            </w:r>
            <w:r>
              <w:rPr>
                <w:rFonts w:hint="eastAsia" w:ascii="宋体" w:hAnsi="宋体" w:eastAsia="宋体" w:cs="宋体"/>
                <w:color w:val="auto"/>
                <w:sz w:val="24"/>
                <w:szCs w:val="24"/>
                <w:highlight w:val="none"/>
              </w:rPr>
              <w:t>，新成立企业无需提供。】</w:t>
            </w:r>
          </w:p>
        </w:tc>
        <w:tc>
          <w:tcPr>
            <w:tcW w:w="355" w:type="pct"/>
            <w:vAlign w:val="center"/>
          </w:tcPr>
          <w:p w14:paraId="0BBDA06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9" w:type="pct"/>
            <w:vAlign w:val="center"/>
          </w:tcPr>
          <w:p w14:paraId="0B0A19D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2FF3B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3" w:hRule="atLeast"/>
          <w:jc w:val="center"/>
        </w:trPr>
        <w:tc>
          <w:tcPr>
            <w:tcW w:w="280" w:type="pct"/>
            <w:vAlign w:val="center"/>
          </w:tcPr>
          <w:p w14:paraId="333E459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895" w:type="pct"/>
            <w:vAlign w:val="center"/>
          </w:tcPr>
          <w:p w14:paraId="69BC7E24">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具有履行合同所必需的设备和专业技术能力；</w:t>
            </w:r>
          </w:p>
          <w:p w14:paraId="2F3FBD80">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【须提供：①相关设备或设施的购置发票或单据（任一）或提供承诺函；②</w:t>
            </w:r>
            <w:r>
              <w:rPr>
                <w:rFonts w:hint="eastAsia" w:ascii="宋体" w:hAnsi="宋体" w:eastAsia="宋体" w:cs="宋体"/>
                <w:color w:val="auto"/>
                <w:spacing w:val="-2"/>
                <w:sz w:val="24"/>
                <w:szCs w:val="24"/>
                <w:highlight w:val="none"/>
              </w:rPr>
              <w:t>提供具有履行合同所必需的专业技术能力相关证明材料或声明</w:t>
            </w:r>
            <w:r>
              <w:rPr>
                <w:rFonts w:hint="eastAsia" w:ascii="宋体" w:hAnsi="宋体" w:eastAsia="宋体" w:cs="宋体"/>
                <w:color w:val="auto"/>
                <w:sz w:val="24"/>
                <w:szCs w:val="24"/>
                <w:highlight w:val="none"/>
              </w:rPr>
              <w:t>。】</w:t>
            </w:r>
          </w:p>
        </w:tc>
        <w:tc>
          <w:tcPr>
            <w:tcW w:w="355" w:type="pct"/>
            <w:vAlign w:val="center"/>
          </w:tcPr>
          <w:p w14:paraId="5735BA4A">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9" w:type="pct"/>
            <w:vAlign w:val="center"/>
          </w:tcPr>
          <w:p w14:paraId="2EB563F0">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16A8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4" w:hRule="atLeast"/>
          <w:jc w:val="center"/>
        </w:trPr>
        <w:tc>
          <w:tcPr>
            <w:tcW w:w="280" w:type="pct"/>
            <w:vAlign w:val="center"/>
          </w:tcPr>
          <w:p w14:paraId="215A5BF2">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895" w:type="pct"/>
            <w:vAlign w:val="center"/>
          </w:tcPr>
          <w:p w14:paraId="478AF364">
            <w:pPr>
              <w:pStyle w:val="2"/>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有依法缴纳税收和社会保障资金的良好记录；</w:t>
            </w:r>
          </w:p>
          <w:p w14:paraId="05731B57">
            <w:pPr>
              <w:pStyle w:val="2"/>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①近12个月内任意1个月已依法缴纳税收的凭据；②近12个月内任意1个月已依法缴纳社会保险的凭据（依法免税或不需要缴纳社会保障资金的投标人，应提供相应证明文件，新成立企业或自然人无需提供）】。</w:t>
            </w:r>
          </w:p>
        </w:tc>
        <w:tc>
          <w:tcPr>
            <w:tcW w:w="355" w:type="pct"/>
            <w:vAlign w:val="center"/>
          </w:tcPr>
          <w:p w14:paraId="6A4508E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9" w:type="pct"/>
            <w:vAlign w:val="center"/>
          </w:tcPr>
          <w:p w14:paraId="78E721E2">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68492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1" w:hRule="atLeast"/>
          <w:jc w:val="center"/>
        </w:trPr>
        <w:tc>
          <w:tcPr>
            <w:tcW w:w="280" w:type="pct"/>
            <w:vAlign w:val="center"/>
          </w:tcPr>
          <w:p w14:paraId="260F102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3895" w:type="pct"/>
            <w:vAlign w:val="center"/>
          </w:tcPr>
          <w:p w14:paraId="6313375D">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参加本次政府采购活动前三年内，在经营活动中没有重大违法记录；</w:t>
            </w:r>
          </w:p>
          <w:p w14:paraId="4C183D00">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【须提供书面声明（投标人自行承诺并承担后果，声明不实的，按《政府采购法》及相关法律法规中提供虚假材料的有关规定处理。】 </w:t>
            </w:r>
          </w:p>
        </w:tc>
        <w:tc>
          <w:tcPr>
            <w:tcW w:w="355" w:type="pct"/>
            <w:vAlign w:val="center"/>
          </w:tcPr>
          <w:p w14:paraId="7837C9E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9" w:type="pct"/>
            <w:vAlign w:val="center"/>
          </w:tcPr>
          <w:p w14:paraId="46AEFDB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71A3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1" w:hRule="atLeast"/>
          <w:jc w:val="center"/>
        </w:trPr>
        <w:tc>
          <w:tcPr>
            <w:tcW w:w="280" w:type="pct"/>
            <w:vAlign w:val="center"/>
          </w:tcPr>
          <w:p w14:paraId="6931D58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3895" w:type="pct"/>
            <w:vAlign w:val="center"/>
          </w:tcPr>
          <w:p w14:paraId="608DDA11">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单位负责人为同一人或者存在直接控股、管理关系的不同投标人，不得参加同一合同项下的政府采购活动。</w:t>
            </w:r>
          </w:p>
          <w:p w14:paraId="031CDFFB">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【须提供书面声明（投标人自行承诺并承担后果，声明函不实的，按《政府采购法》及相关法律法规中提供虚假材料的有关规定处理。】 </w:t>
            </w:r>
          </w:p>
        </w:tc>
        <w:tc>
          <w:tcPr>
            <w:tcW w:w="355" w:type="pct"/>
            <w:vAlign w:val="center"/>
          </w:tcPr>
          <w:p w14:paraId="228D950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9" w:type="pct"/>
            <w:vAlign w:val="center"/>
          </w:tcPr>
          <w:p w14:paraId="64F8377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68B6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280" w:type="pct"/>
            <w:vAlign w:val="center"/>
          </w:tcPr>
          <w:p w14:paraId="793F2FD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3895" w:type="pct"/>
            <w:vAlign w:val="center"/>
          </w:tcPr>
          <w:p w14:paraId="2F013B35">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w:t>
            </w:r>
          </w:p>
        </w:tc>
        <w:tc>
          <w:tcPr>
            <w:tcW w:w="355" w:type="pct"/>
            <w:vAlign w:val="center"/>
          </w:tcPr>
          <w:p w14:paraId="28899922">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9" w:type="pct"/>
            <w:vAlign w:val="center"/>
          </w:tcPr>
          <w:p w14:paraId="1114FC20">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5F38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1" w:hRule="atLeast"/>
          <w:jc w:val="center"/>
        </w:trPr>
        <w:tc>
          <w:tcPr>
            <w:tcW w:w="280" w:type="pct"/>
            <w:vAlign w:val="center"/>
          </w:tcPr>
          <w:p w14:paraId="328084B2">
            <w:pPr>
              <w:pStyle w:val="50"/>
              <w:pageBreakBefore w:val="0"/>
              <w:kinsoku/>
              <w:wordWrap/>
              <w:overflowPunct/>
              <w:topLinePunct w:val="0"/>
              <w:autoSpaceDE/>
              <w:autoSpaceDN/>
              <w:bidi w:val="0"/>
              <w:adjustRightInd/>
              <w:spacing w:line="380" w:lineRule="exact"/>
              <w:jc w:val="center"/>
              <w:textAlignment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3895" w:type="pct"/>
            <w:vAlign w:val="center"/>
          </w:tcPr>
          <w:p w14:paraId="71FAD787">
            <w:pPr>
              <w:pageBreakBefore w:val="0"/>
              <w:widowControl/>
              <w:kinsoku/>
              <w:wordWrap/>
              <w:overflowPunct/>
              <w:topLinePunct w:val="0"/>
              <w:autoSpaceDE/>
              <w:autoSpaceDN/>
              <w:bidi w:val="0"/>
              <w:adjustRightInd/>
              <w:spacing w:line="380" w:lineRule="exact"/>
              <w:rPr>
                <w:rFonts w:hint="eastAsia" w:ascii="宋体" w:hAnsi="宋体" w:eastAsia="宋体" w:cs="宋体"/>
                <w:b w:val="0"/>
                <w:bCs/>
                <w:color w:val="auto"/>
                <w:sz w:val="24"/>
                <w:szCs w:val="24"/>
                <w:highlight w:val="none"/>
                <w:shd w:val="clear" w:color="auto" w:fill="auto"/>
                <w:lang w:eastAsia="zh-CN"/>
              </w:rPr>
            </w:pPr>
            <w:r>
              <w:rPr>
                <w:rFonts w:hint="eastAsia" w:ascii="宋体" w:hAnsi="宋体" w:eastAsia="宋体" w:cs="宋体"/>
                <w:color w:val="auto"/>
                <w:sz w:val="24"/>
                <w:szCs w:val="24"/>
                <w:highlight w:val="none"/>
              </w:rPr>
              <w:t>投标人必须具有检验全项目的检验检测机构资质认定资质（CMA），具备与承检任务中食品品种、检测项目、检品数量相适应的检验检测能力。</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须提供相关资质扫描件</w:t>
            </w:r>
            <w:r>
              <w:rPr>
                <w:rFonts w:hint="eastAsia" w:ascii="宋体" w:hAnsi="宋体" w:cs="宋体"/>
                <w:color w:val="auto"/>
                <w:sz w:val="24"/>
                <w:szCs w:val="24"/>
                <w:highlight w:val="none"/>
                <w:lang w:eastAsia="zh-CN"/>
              </w:rPr>
              <w:t>】</w:t>
            </w:r>
          </w:p>
        </w:tc>
        <w:tc>
          <w:tcPr>
            <w:tcW w:w="355" w:type="pct"/>
            <w:vAlign w:val="center"/>
          </w:tcPr>
          <w:p w14:paraId="312E962A">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9" w:type="pct"/>
            <w:vAlign w:val="center"/>
          </w:tcPr>
          <w:p w14:paraId="44BC968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0861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4175" w:type="pct"/>
            <w:gridSpan w:val="2"/>
            <w:vAlign w:val="center"/>
          </w:tcPr>
          <w:p w14:paraId="4F7EA4D0">
            <w:pPr>
              <w:pageBreakBefore w:val="0"/>
              <w:widowControl/>
              <w:kinsoku/>
              <w:wordWrap/>
              <w:overflowPunct/>
              <w:topLinePunct w:val="0"/>
              <w:autoSpaceDE/>
              <w:autoSpaceDN/>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审查结果（通过/不通过）</w:t>
            </w:r>
          </w:p>
        </w:tc>
        <w:tc>
          <w:tcPr>
            <w:tcW w:w="355" w:type="pct"/>
            <w:vAlign w:val="center"/>
          </w:tcPr>
          <w:p w14:paraId="6701454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69" w:type="pct"/>
            <w:vAlign w:val="center"/>
          </w:tcPr>
          <w:p w14:paraId="53AFFF8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775D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8" w:hRule="atLeast"/>
          <w:jc w:val="center"/>
        </w:trPr>
        <w:tc>
          <w:tcPr>
            <w:tcW w:w="5000" w:type="pct"/>
            <w:gridSpan w:val="4"/>
            <w:vAlign w:val="center"/>
          </w:tcPr>
          <w:p w14:paraId="58BA626E">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备注：如果</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中有一项未通过上述审查标准，</w:t>
            </w:r>
            <w:r>
              <w:rPr>
                <w:rFonts w:hint="eastAsia" w:ascii="宋体" w:hAnsi="宋体" w:eastAsia="宋体" w:cs="宋体"/>
                <w:color w:val="auto"/>
                <w:sz w:val="24"/>
                <w:szCs w:val="24"/>
                <w:highlight w:val="none"/>
                <w:lang w:val="en-US" w:eastAsia="zh-CN"/>
              </w:rPr>
              <w:t>评标委员会</w:t>
            </w:r>
            <w:r>
              <w:rPr>
                <w:rFonts w:hint="eastAsia" w:ascii="宋体" w:hAnsi="宋体" w:eastAsia="宋体" w:cs="宋体"/>
                <w:color w:val="auto"/>
                <w:sz w:val="24"/>
                <w:szCs w:val="24"/>
                <w:highlight w:val="none"/>
              </w:rPr>
              <w:t>将认定整个</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不响应</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件而予以无效处理，并且不允许</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通过修改或撤销其不符合要求的差异或保留，使之成为具有响应性的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w:t>
            </w:r>
          </w:p>
        </w:tc>
      </w:tr>
    </w:tbl>
    <w:p w14:paraId="781318B7">
      <w:pPr>
        <w:pStyle w:val="8"/>
        <w:numPr>
          <w:ilvl w:val="3"/>
          <w:numId w:val="0"/>
        </w:numPr>
        <w:spacing w:line="240" w:lineRule="auto"/>
        <w:ind w:leftChars="0"/>
        <w:rPr>
          <w:rFonts w:hint="eastAsia" w:ascii="宋体" w:hAnsi="宋体" w:eastAsia="宋体" w:cs="宋体"/>
          <w:color w:val="auto"/>
          <w:sz w:val="24"/>
          <w:szCs w:val="24"/>
          <w:highlight w:val="none"/>
        </w:rPr>
      </w:pPr>
      <w:r>
        <w:rPr>
          <w:rFonts w:hint="eastAsia" w:ascii="宋体" w:hAnsi="宋体" w:eastAsia="宋体" w:cs="宋体"/>
          <w:b/>
          <w:bCs w:val="0"/>
          <w:color w:val="auto"/>
          <w:sz w:val="24"/>
          <w:szCs w:val="24"/>
          <w:highlight w:val="none"/>
          <w:lang w:val="en-US" w:eastAsia="zh-CN"/>
        </w:rPr>
        <w:t>标项八</w:t>
      </w:r>
    </w:p>
    <w:tbl>
      <w:tblPr>
        <w:tblStyle w:val="30"/>
        <w:tblW w:w="6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2"/>
        <w:gridCol w:w="7959"/>
        <w:gridCol w:w="720"/>
        <w:gridCol w:w="805"/>
      </w:tblGrid>
      <w:tr w14:paraId="2A36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jc w:val="center"/>
        </w:trPr>
        <w:tc>
          <w:tcPr>
            <w:tcW w:w="261" w:type="pct"/>
            <w:vMerge w:val="restart"/>
            <w:vAlign w:val="center"/>
          </w:tcPr>
          <w:p w14:paraId="0FB2CDB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76" w:type="pct"/>
            <w:vMerge w:val="restart"/>
            <w:vAlign w:val="center"/>
          </w:tcPr>
          <w:p w14:paraId="6D06783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   查   标   准</w:t>
            </w:r>
          </w:p>
        </w:tc>
        <w:tc>
          <w:tcPr>
            <w:tcW w:w="761" w:type="pct"/>
            <w:gridSpan w:val="2"/>
            <w:vAlign w:val="center"/>
          </w:tcPr>
          <w:p w14:paraId="73A5FCC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w:t>
            </w:r>
          </w:p>
        </w:tc>
      </w:tr>
      <w:tr w14:paraId="1D783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jc w:val="center"/>
        </w:trPr>
        <w:tc>
          <w:tcPr>
            <w:tcW w:w="261" w:type="pct"/>
            <w:vMerge w:val="continue"/>
            <w:vAlign w:val="center"/>
          </w:tcPr>
          <w:p w14:paraId="04AD6D2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3976" w:type="pct"/>
            <w:vMerge w:val="continue"/>
            <w:vAlign w:val="center"/>
          </w:tcPr>
          <w:p w14:paraId="72D37B9B">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360" w:type="pct"/>
            <w:vAlign w:val="center"/>
          </w:tcPr>
          <w:p w14:paraId="6AA05E4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tc>
        <w:tc>
          <w:tcPr>
            <w:tcW w:w="400" w:type="pct"/>
            <w:vAlign w:val="center"/>
          </w:tcPr>
          <w:p w14:paraId="64614E6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r>
      <w:tr w14:paraId="3F74E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261" w:type="pct"/>
            <w:vAlign w:val="center"/>
          </w:tcPr>
          <w:p w14:paraId="628CA9E1">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76" w:type="pct"/>
            <w:vAlign w:val="center"/>
          </w:tcPr>
          <w:p w14:paraId="3827996C">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具有独立承担民事责任的能力；【法人、其他组织投标须提供营业执照等证明文件，自然人投标须提供自然人的身份证明。】</w:t>
            </w:r>
          </w:p>
        </w:tc>
        <w:tc>
          <w:tcPr>
            <w:tcW w:w="360" w:type="pct"/>
            <w:vAlign w:val="center"/>
          </w:tcPr>
          <w:p w14:paraId="0DB85EE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00" w:type="pct"/>
            <w:vAlign w:val="center"/>
          </w:tcPr>
          <w:p w14:paraId="331AA19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0EDE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61" w:type="pct"/>
            <w:vAlign w:val="center"/>
          </w:tcPr>
          <w:p w14:paraId="309D79E1">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76" w:type="pct"/>
            <w:vAlign w:val="center"/>
          </w:tcPr>
          <w:p w14:paraId="350C6994">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具有良好的商业信誉和健全的财务会计制度；</w:t>
            </w:r>
          </w:p>
          <w:p w14:paraId="7BCE0837">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以开标截止时间点投标人未列入“信用中国”&lt;www.creditchina.gov.cn&gt;网站的“失信被执行人”和“重大税收违法失信主体”（投标人为自然人时无需提供）及“中国政府采购网”&lt;www.ccgp.gov.cn&gt;网站的“政府采购严重违法失信行为记录名单”</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开标</w:t>
            </w:r>
            <w:r>
              <w:rPr>
                <w:rFonts w:hint="eastAsia" w:ascii="宋体" w:hAnsi="宋体" w:eastAsia="宋体" w:cs="宋体"/>
                <w:color w:val="auto"/>
                <w:sz w:val="24"/>
                <w:szCs w:val="24"/>
                <w:highlight w:val="none"/>
              </w:rPr>
              <w:t>截止时间点，由</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代理公司统一登陆网站查询递交</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信誉情况，并以保存的网页查询截图为准。②</w:t>
            </w:r>
            <w:r>
              <w:rPr>
                <w:rFonts w:hint="default" w:ascii="宋体" w:hAnsi="宋体" w:eastAsia="宋体" w:cs="宋体"/>
                <w:color w:val="auto"/>
                <w:sz w:val="24"/>
                <w:szCs w:val="24"/>
                <w:highlight w:val="none"/>
                <w:lang w:val="en-US" w:eastAsia="zh-CN"/>
              </w:rPr>
              <w:t>银行出具的近1年内资信证明或</w:t>
            </w:r>
            <w:r>
              <w:rPr>
                <w:rFonts w:hint="eastAsia" w:ascii="宋体" w:hAnsi="宋体" w:eastAsia="宋体" w:cs="宋体"/>
                <w:color w:val="auto"/>
                <w:sz w:val="24"/>
                <w:szCs w:val="24"/>
                <w:highlight w:val="none"/>
                <w:lang w:val="en-US" w:eastAsia="zh-CN"/>
              </w:rPr>
              <w:t>2024年度</w:t>
            </w:r>
            <w:r>
              <w:rPr>
                <w:rFonts w:hint="eastAsia" w:ascii="宋体" w:hAnsi="宋体" w:cs="宋体"/>
                <w:color w:val="auto"/>
                <w:sz w:val="24"/>
                <w:szCs w:val="24"/>
                <w:highlight w:val="none"/>
                <w:lang w:val="en-US" w:eastAsia="zh-CN"/>
              </w:rPr>
              <w:t>审</w:t>
            </w:r>
            <w:r>
              <w:rPr>
                <w:rFonts w:hint="eastAsia" w:ascii="宋体" w:hAnsi="宋体" w:eastAsia="宋体" w:cs="宋体"/>
                <w:color w:val="auto"/>
                <w:sz w:val="24"/>
                <w:szCs w:val="24"/>
                <w:highlight w:val="none"/>
                <w:lang w:val="en-US" w:eastAsia="zh-CN"/>
              </w:rPr>
              <w:t>计报告</w:t>
            </w:r>
            <w:r>
              <w:rPr>
                <w:rFonts w:hint="eastAsia" w:ascii="宋体" w:hAnsi="宋体" w:eastAsia="宋体" w:cs="宋体"/>
                <w:color w:val="auto"/>
                <w:sz w:val="24"/>
                <w:szCs w:val="24"/>
                <w:highlight w:val="none"/>
              </w:rPr>
              <w:t>，新成立企业无需提供。】</w:t>
            </w:r>
          </w:p>
        </w:tc>
        <w:tc>
          <w:tcPr>
            <w:tcW w:w="360" w:type="pct"/>
            <w:vAlign w:val="center"/>
          </w:tcPr>
          <w:p w14:paraId="363ADB4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00" w:type="pct"/>
            <w:vAlign w:val="center"/>
          </w:tcPr>
          <w:p w14:paraId="4AD9428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47B4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61" w:type="pct"/>
            <w:vAlign w:val="center"/>
          </w:tcPr>
          <w:p w14:paraId="5391F65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976" w:type="pct"/>
            <w:vAlign w:val="center"/>
          </w:tcPr>
          <w:p w14:paraId="069D8DB6">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具有履行合同所必需的设备和专业技术能力；</w:t>
            </w:r>
          </w:p>
          <w:p w14:paraId="0C8A37C4">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【须提供：①相关设备或设施的购置发票或单据（任一）或提供承诺函；②</w:t>
            </w:r>
            <w:r>
              <w:rPr>
                <w:rFonts w:hint="eastAsia" w:ascii="宋体" w:hAnsi="宋体" w:eastAsia="宋体" w:cs="宋体"/>
                <w:color w:val="auto"/>
                <w:spacing w:val="-2"/>
                <w:sz w:val="24"/>
                <w:szCs w:val="24"/>
                <w:highlight w:val="none"/>
              </w:rPr>
              <w:t>提供具有履行合同所必需的专业技术能力相关证明材料或声明</w:t>
            </w:r>
            <w:r>
              <w:rPr>
                <w:rFonts w:hint="eastAsia" w:ascii="宋体" w:hAnsi="宋体" w:eastAsia="宋体" w:cs="宋体"/>
                <w:color w:val="auto"/>
                <w:sz w:val="24"/>
                <w:szCs w:val="24"/>
                <w:highlight w:val="none"/>
              </w:rPr>
              <w:t>。】</w:t>
            </w:r>
          </w:p>
        </w:tc>
        <w:tc>
          <w:tcPr>
            <w:tcW w:w="360" w:type="pct"/>
            <w:vAlign w:val="center"/>
          </w:tcPr>
          <w:p w14:paraId="49E4E45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00" w:type="pct"/>
            <w:vAlign w:val="center"/>
          </w:tcPr>
          <w:p w14:paraId="0C8779E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52C4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1" w:hRule="atLeast"/>
          <w:jc w:val="center"/>
        </w:trPr>
        <w:tc>
          <w:tcPr>
            <w:tcW w:w="261" w:type="pct"/>
            <w:vAlign w:val="center"/>
          </w:tcPr>
          <w:p w14:paraId="1CCD55D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976" w:type="pct"/>
            <w:vAlign w:val="center"/>
          </w:tcPr>
          <w:p w14:paraId="78192E26">
            <w:pPr>
              <w:pStyle w:val="2"/>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有依法缴纳税收和社会保障资金的良好记录；</w:t>
            </w:r>
          </w:p>
          <w:p w14:paraId="3A86BB48">
            <w:pPr>
              <w:pStyle w:val="2"/>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①近12个月内任意1个月已依法缴纳税收的凭据；②近12个月内任意1个月已依法缴纳社会保险的凭据（依法免税或不需要缴纳社会保障资金的投标人，应提供相应证明文件，新成立企业或自然人无需提供）】。</w:t>
            </w:r>
          </w:p>
        </w:tc>
        <w:tc>
          <w:tcPr>
            <w:tcW w:w="360" w:type="pct"/>
            <w:vAlign w:val="center"/>
          </w:tcPr>
          <w:p w14:paraId="6AFE91A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00" w:type="pct"/>
            <w:vAlign w:val="center"/>
          </w:tcPr>
          <w:p w14:paraId="4E0F4603">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41E7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61" w:type="pct"/>
            <w:vAlign w:val="center"/>
          </w:tcPr>
          <w:p w14:paraId="1A27352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3976" w:type="pct"/>
            <w:vAlign w:val="center"/>
          </w:tcPr>
          <w:p w14:paraId="2C16A9F5">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参加本次政府采购活动前三年内，在经营活动中没有重大违法记录；</w:t>
            </w:r>
          </w:p>
          <w:p w14:paraId="3A189F91">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【须提供书面声明（投标人自行承诺并承担后果，声明不实的，按《政府采购法》及相关法律法规中提供虚假材料的有关规定处理。】 </w:t>
            </w:r>
          </w:p>
        </w:tc>
        <w:tc>
          <w:tcPr>
            <w:tcW w:w="360" w:type="pct"/>
            <w:vAlign w:val="center"/>
          </w:tcPr>
          <w:p w14:paraId="35D5E6D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00" w:type="pct"/>
            <w:vAlign w:val="center"/>
          </w:tcPr>
          <w:p w14:paraId="239B20B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1460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261" w:type="pct"/>
            <w:vAlign w:val="center"/>
          </w:tcPr>
          <w:p w14:paraId="17EF5BC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3976" w:type="pct"/>
            <w:vAlign w:val="center"/>
          </w:tcPr>
          <w:p w14:paraId="4DD2EE6A">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单位负责人为同一人或者存在直接控股、管理关系的不同投标人，不得参加同一合同项下的政府采购活动。【须提供书面声明（投标人自行承诺并承担后果，声明函不实的，按《政府采购法》及相关法律法规中提供虚假材料的有关规定处理。】 </w:t>
            </w:r>
          </w:p>
        </w:tc>
        <w:tc>
          <w:tcPr>
            <w:tcW w:w="360" w:type="pct"/>
            <w:vAlign w:val="center"/>
          </w:tcPr>
          <w:p w14:paraId="0B014DA2">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00" w:type="pct"/>
            <w:vAlign w:val="center"/>
          </w:tcPr>
          <w:p w14:paraId="172D3C6A">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0641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261" w:type="pct"/>
            <w:vAlign w:val="center"/>
          </w:tcPr>
          <w:p w14:paraId="4F13179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3976" w:type="pct"/>
            <w:vAlign w:val="center"/>
          </w:tcPr>
          <w:p w14:paraId="0DA417E0">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本项目不接受联合体投标。</w:t>
            </w:r>
          </w:p>
        </w:tc>
        <w:tc>
          <w:tcPr>
            <w:tcW w:w="360" w:type="pct"/>
            <w:vAlign w:val="center"/>
          </w:tcPr>
          <w:p w14:paraId="68B70BF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00" w:type="pct"/>
            <w:vAlign w:val="center"/>
          </w:tcPr>
          <w:p w14:paraId="5A1935E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3786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61" w:type="pct"/>
            <w:vAlign w:val="center"/>
          </w:tcPr>
          <w:p w14:paraId="38661D7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3976" w:type="pct"/>
            <w:vAlign w:val="center"/>
          </w:tcPr>
          <w:p w14:paraId="74610D72">
            <w:pPr>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本项目</w:t>
            </w:r>
            <w:r>
              <w:rPr>
                <w:rFonts w:ascii="宋体" w:hAnsi="宋体" w:eastAsia="宋体" w:cs="宋体"/>
                <w:color w:val="auto"/>
                <w:sz w:val="24"/>
                <w:szCs w:val="24"/>
                <w:highlight w:val="none"/>
              </w:rPr>
              <w:t>为专门面向小微企业（含小型、微型企业）采购的项目，供应商应为小微企业</w:t>
            </w:r>
            <w:r>
              <w:rPr>
                <w:rFonts w:hint="eastAsia" w:ascii="宋体" w:hAnsi="宋体" w:cs="宋体"/>
                <w:color w:val="auto"/>
                <w:sz w:val="24"/>
                <w:szCs w:val="24"/>
                <w:highlight w:val="none"/>
                <w:lang w:eastAsia="zh-CN"/>
              </w:rPr>
              <w:t>，</w:t>
            </w:r>
            <w:r>
              <w:rPr>
                <w:rFonts w:hint="eastAsia" w:ascii="宋体" w:hAnsi="宋体" w:eastAsia="宋体" w:cs="宋体"/>
                <w:b w:val="0"/>
                <w:bCs/>
                <w:color w:val="auto"/>
                <w:kern w:val="0"/>
                <w:sz w:val="24"/>
                <w:szCs w:val="24"/>
                <w:highlight w:val="none"/>
                <w:shd w:val="clear" w:color="auto" w:fill="auto"/>
                <w:lang w:val="en-US" w:eastAsia="zh-CN"/>
              </w:rPr>
              <w:t>根据《政府采购促进中小企业发展管理办法》（财库[2020]46 号）的规定，不再执行价格评审优惠的扶持政策</w:t>
            </w:r>
            <w:r>
              <w:rPr>
                <w:rFonts w:ascii="宋体" w:hAnsi="宋体" w:eastAsia="宋体" w:cs="宋体"/>
                <w:color w:val="auto"/>
                <w:sz w:val="24"/>
                <w:szCs w:val="24"/>
                <w:highlight w:val="none"/>
              </w:rPr>
              <w:t>。</w:t>
            </w:r>
          </w:p>
          <w:p w14:paraId="6BBCB13F">
            <w:pPr>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szCs w:val="24"/>
                <w:highlight w:val="none"/>
              </w:rPr>
            </w:pPr>
            <w:r>
              <w:rPr>
                <w:rFonts w:hint="eastAsia" w:ascii="宋体" w:hAnsi="宋体" w:eastAsia="宋体" w:cs="宋体"/>
                <w:b w:val="0"/>
                <w:bCs/>
                <w:color w:val="auto"/>
                <w:sz w:val="24"/>
                <w:szCs w:val="24"/>
                <w:highlight w:val="none"/>
                <w:shd w:val="clear" w:color="auto" w:fill="auto"/>
              </w:rPr>
              <w:t>【</w:t>
            </w:r>
            <w:r>
              <w:rPr>
                <w:rFonts w:hint="eastAsia" w:ascii="宋体" w:hAnsi="宋体" w:eastAsia="宋体" w:cs="宋体"/>
                <w:color w:val="auto"/>
                <w:sz w:val="24"/>
                <w:szCs w:val="24"/>
                <w:highlight w:val="none"/>
              </w:rPr>
              <w:t>满足条件的企业需在投标文件中提供《中小企业声明函》</w:t>
            </w:r>
            <w:r>
              <w:rPr>
                <w:rFonts w:hint="eastAsia" w:ascii="宋体" w:hAnsi="宋体" w:eastAsia="宋体" w:cs="宋体"/>
                <w:b w:val="0"/>
                <w:bCs/>
                <w:color w:val="auto"/>
                <w:sz w:val="24"/>
                <w:szCs w:val="24"/>
                <w:highlight w:val="none"/>
                <w:shd w:val="clear" w:color="auto" w:fill="auto"/>
              </w:rPr>
              <w:t>】</w:t>
            </w:r>
          </w:p>
        </w:tc>
        <w:tc>
          <w:tcPr>
            <w:tcW w:w="360" w:type="pct"/>
            <w:vAlign w:val="center"/>
          </w:tcPr>
          <w:p w14:paraId="4897E190">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00" w:type="pct"/>
            <w:vAlign w:val="center"/>
          </w:tcPr>
          <w:p w14:paraId="661AF10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065D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61" w:type="pct"/>
            <w:vAlign w:val="center"/>
          </w:tcPr>
          <w:p w14:paraId="0A0DB36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3976" w:type="pct"/>
            <w:vAlign w:val="center"/>
          </w:tcPr>
          <w:p w14:paraId="312D2857">
            <w:pPr>
              <w:pageBreakBefore w:val="0"/>
              <w:widowControl/>
              <w:kinsoku/>
              <w:wordWrap/>
              <w:overflowPunct/>
              <w:topLinePunct w:val="0"/>
              <w:autoSpaceDE/>
              <w:autoSpaceDN/>
              <w:bidi w:val="0"/>
              <w:adjustRightInd/>
              <w:spacing w:line="380" w:lineRule="exact"/>
              <w:rPr>
                <w:rFonts w:hint="eastAsia" w:ascii="宋体" w:hAnsi="宋体" w:eastAsia="宋体" w:cs="宋体"/>
                <w:b w:val="0"/>
                <w:bCs/>
                <w:color w:val="auto"/>
                <w:sz w:val="24"/>
                <w:szCs w:val="24"/>
                <w:highlight w:val="none"/>
                <w:shd w:val="clear" w:color="auto" w:fill="auto"/>
                <w:lang w:eastAsia="zh-CN"/>
              </w:rPr>
            </w:pPr>
            <w:r>
              <w:rPr>
                <w:rFonts w:hint="eastAsia" w:ascii="宋体" w:hAnsi="宋体" w:eastAsia="宋体" w:cs="宋体"/>
                <w:color w:val="auto"/>
                <w:sz w:val="24"/>
                <w:szCs w:val="24"/>
                <w:highlight w:val="none"/>
              </w:rPr>
              <w:t>投标人必须具有检验全项目的检验检测机构资质认定资质（CMA），具备与承检任务中食品品种、检测项目、检品数量相适应的检验检测能力。</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须提供相关资质扫描件</w:t>
            </w:r>
            <w:r>
              <w:rPr>
                <w:rFonts w:hint="eastAsia" w:ascii="宋体" w:hAnsi="宋体" w:cs="宋体"/>
                <w:color w:val="auto"/>
                <w:sz w:val="24"/>
                <w:szCs w:val="24"/>
                <w:highlight w:val="none"/>
                <w:lang w:eastAsia="zh-CN"/>
              </w:rPr>
              <w:t>】</w:t>
            </w:r>
          </w:p>
        </w:tc>
        <w:tc>
          <w:tcPr>
            <w:tcW w:w="360" w:type="pct"/>
            <w:vAlign w:val="center"/>
          </w:tcPr>
          <w:p w14:paraId="260B23B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00" w:type="pct"/>
            <w:vAlign w:val="center"/>
          </w:tcPr>
          <w:p w14:paraId="542FC47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7084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38" w:type="pct"/>
            <w:gridSpan w:val="2"/>
            <w:vAlign w:val="center"/>
          </w:tcPr>
          <w:p w14:paraId="1D47A605">
            <w:pPr>
              <w:pageBreakBefore w:val="0"/>
              <w:widowControl/>
              <w:kinsoku/>
              <w:wordWrap/>
              <w:overflowPunct/>
              <w:topLinePunct w:val="0"/>
              <w:autoSpaceDE/>
              <w:autoSpaceDN/>
              <w:bidi w:val="0"/>
              <w:adjustRightInd/>
              <w:spacing w:line="38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审查结果（通过/不通过）</w:t>
            </w:r>
          </w:p>
        </w:tc>
        <w:tc>
          <w:tcPr>
            <w:tcW w:w="360" w:type="pct"/>
            <w:vAlign w:val="center"/>
          </w:tcPr>
          <w:p w14:paraId="69E9BC7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00" w:type="pct"/>
            <w:vAlign w:val="center"/>
          </w:tcPr>
          <w:p w14:paraId="20998C1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29D3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jc w:val="center"/>
        </w:trPr>
        <w:tc>
          <w:tcPr>
            <w:tcW w:w="5000" w:type="pct"/>
            <w:gridSpan w:val="4"/>
            <w:vAlign w:val="center"/>
          </w:tcPr>
          <w:p w14:paraId="641F8359">
            <w:pPr>
              <w:pStyle w:val="50"/>
              <w:pageBreakBefore w:val="0"/>
              <w:kinsoku/>
              <w:wordWrap/>
              <w:overflowPunct/>
              <w:topLinePunct w:val="0"/>
              <w:autoSpaceDE/>
              <w:autoSpaceDN/>
              <w:bidi w:val="0"/>
              <w:adjustRightInd/>
              <w:spacing w:line="380" w:lineRule="exac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备注：如果</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中有一项未通过上述审查标准，</w:t>
            </w:r>
            <w:r>
              <w:rPr>
                <w:rFonts w:hint="eastAsia" w:ascii="宋体" w:hAnsi="宋体" w:eastAsia="宋体" w:cs="宋体"/>
                <w:color w:val="auto"/>
                <w:sz w:val="24"/>
                <w:szCs w:val="24"/>
                <w:highlight w:val="none"/>
                <w:lang w:val="en-US" w:eastAsia="zh-CN"/>
              </w:rPr>
              <w:t>评标委员会</w:t>
            </w:r>
            <w:r>
              <w:rPr>
                <w:rFonts w:hint="eastAsia" w:ascii="宋体" w:hAnsi="宋体" w:eastAsia="宋体" w:cs="宋体"/>
                <w:color w:val="auto"/>
                <w:sz w:val="24"/>
                <w:szCs w:val="24"/>
                <w:highlight w:val="none"/>
              </w:rPr>
              <w:t>将认定整个</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不响应</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件而予以无效处理，并且不允许</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通过修改或撤销其不符合要求的差异或保留，使之成为具有响应性的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w:t>
            </w:r>
          </w:p>
        </w:tc>
      </w:tr>
    </w:tbl>
    <w:p w14:paraId="0BD49852">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strike/>
          <w:color w:val="auto"/>
          <w:sz w:val="24"/>
          <w:szCs w:val="24"/>
          <w:highlight w:val="none"/>
        </w:rPr>
      </w:pPr>
      <w:r>
        <w:rPr>
          <w:rFonts w:hint="eastAsia" w:ascii="宋体" w:hAnsi="宋体" w:eastAsia="宋体" w:cs="宋体"/>
          <w:color w:val="auto"/>
          <w:sz w:val="24"/>
          <w:szCs w:val="24"/>
          <w:highlight w:val="none"/>
        </w:rPr>
        <w:t>3.2符合性审查。依据招标文件的规定，从投标文件的有效性、完整性和对招标文件的响应程度进行审查，以确定是否对招标文件的实质性要求作出响应。</w:t>
      </w:r>
    </w:p>
    <w:p w14:paraId="074292F4">
      <w:pPr>
        <w:pStyle w:val="29"/>
        <w:pageBreakBefore w:val="0"/>
        <w:kinsoku/>
        <w:wordWrap/>
        <w:overflowPunct/>
        <w:topLinePunct w:val="0"/>
        <w:autoSpaceDE/>
        <w:autoSpaceDN/>
        <w:bidi w:val="0"/>
        <w:adjustRightInd/>
        <w:spacing w:line="38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符合性审查表</w:t>
      </w:r>
    </w:p>
    <w:tbl>
      <w:tblPr>
        <w:tblStyle w:val="30"/>
        <w:tblW w:w="5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6"/>
        <w:gridCol w:w="7725"/>
        <w:gridCol w:w="698"/>
        <w:gridCol w:w="899"/>
      </w:tblGrid>
      <w:tr w14:paraId="6095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jc w:val="center"/>
        </w:trPr>
        <w:tc>
          <w:tcPr>
            <w:tcW w:w="324" w:type="pct"/>
            <w:vMerge w:val="restart"/>
            <w:vAlign w:val="center"/>
          </w:tcPr>
          <w:p w14:paraId="3D6BE9B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874" w:type="pct"/>
            <w:vMerge w:val="restart"/>
            <w:vAlign w:val="center"/>
          </w:tcPr>
          <w:p w14:paraId="41A5371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   查   标   准</w:t>
            </w:r>
          </w:p>
        </w:tc>
        <w:tc>
          <w:tcPr>
            <w:tcW w:w="800" w:type="pct"/>
            <w:gridSpan w:val="2"/>
            <w:vAlign w:val="center"/>
          </w:tcPr>
          <w:p w14:paraId="4637ACD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w:t>
            </w:r>
          </w:p>
        </w:tc>
      </w:tr>
      <w:tr w14:paraId="4CF2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324" w:type="pct"/>
            <w:vMerge w:val="continue"/>
            <w:vAlign w:val="center"/>
          </w:tcPr>
          <w:p w14:paraId="1AF8CCA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3874" w:type="pct"/>
            <w:vMerge w:val="continue"/>
            <w:vAlign w:val="center"/>
          </w:tcPr>
          <w:p w14:paraId="63FA832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350" w:type="pct"/>
            <w:vAlign w:val="center"/>
          </w:tcPr>
          <w:p w14:paraId="5902824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w:t>
            </w:r>
          </w:p>
        </w:tc>
        <w:tc>
          <w:tcPr>
            <w:tcW w:w="450" w:type="pct"/>
            <w:vAlign w:val="center"/>
          </w:tcPr>
          <w:p w14:paraId="1F79C2A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不通过</w:t>
            </w:r>
          </w:p>
        </w:tc>
      </w:tr>
      <w:tr w14:paraId="6A48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324" w:type="pct"/>
            <w:vAlign w:val="center"/>
          </w:tcPr>
          <w:p w14:paraId="69A02CE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874" w:type="pct"/>
            <w:vAlign w:val="center"/>
          </w:tcPr>
          <w:p w14:paraId="15CE71A0">
            <w:pPr>
              <w:pStyle w:val="50"/>
              <w:pageBreakBefore w:val="0"/>
              <w:kinsoku/>
              <w:wordWrap/>
              <w:overflowPunct/>
              <w:topLinePunct w:val="0"/>
              <w:autoSpaceDE/>
              <w:autoSpaceDN/>
              <w:bidi w:val="0"/>
              <w:adjustRightInd/>
              <w:spacing w:line="380" w:lineRule="exact"/>
              <w:ind w:left="210" w:leftChars="100"/>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w:t>
            </w:r>
            <w:r>
              <w:rPr>
                <w:rFonts w:hint="eastAsia" w:ascii="宋体" w:hAnsi="宋体" w:cs="宋体"/>
                <w:color w:val="auto"/>
                <w:sz w:val="24"/>
                <w:szCs w:val="24"/>
                <w:highlight w:val="none"/>
                <w:lang w:val="en-US" w:eastAsia="zh-CN"/>
              </w:rPr>
              <w:t>编制</w:t>
            </w:r>
            <w:r>
              <w:rPr>
                <w:rFonts w:hint="eastAsia" w:ascii="宋体" w:hAnsi="宋体" w:eastAsia="宋体" w:cs="宋体"/>
                <w:color w:val="auto"/>
                <w:sz w:val="24"/>
                <w:szCs w:val="24"/>
                <w:highlight w:val="none"/>
              </w:rPr>
              <w:t>符合招标文件要求；</w:t>
            </w:r>
          </w:p>
        </w:tc>
        <w:tc>
          <w:tcPr>
            <w:tcW w:w="350" w:type="pct"/>
            <w:vAlign w:val="center"/>
          </w:tcPr>
          <w:p w14:paraId="4E1E567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50" w:type="pct"/>
            <w:vAlign w:val="center"/>
          </w:tcPr>
          <w:p w14:paraId="4BFFA427">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52C1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324" w:type="pct"/>
            <w:vAlign w:val="center"/>
          </w:tcPr>
          <w:p w14:paraId="2E6DEE5A">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874" w:type="pct"/>
            <w:vAlign w:val="center"/>
          </w:tcPr>
          <w:p w14:paraId="724F0100">
            <w:pPr>
              <w:pStyle w:val="50"/>
              <w:pageBreakBefore w:val="0"/>
              <w:kinsoku/>
              <w:wordWrap/>
              <w:overflowPunct/>
              <w:topLinePunct w:val="0"/>
              <w:autoSpaceDE/>
              <w:autoSpaceDN/>
              <w:bidi w:val="0"/>
              <w:adjustRightInd/>
              <w:spacing w:line="380" w:lineRule="exact"/>
              <w:ind w:left="210" w:leftChars="100"/>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按照招标文件规定和要求签章；</w:t>
            </w:r>
          </w:p>
        </w:tc>
        <w:tc>
          <w:tcPr>
            <w:tcW w:w="350" w:type="pct"/>
            <w:vAlign w:val="center"/>
          </w:tcPr>
          <w:p w14:paraId="1E4FBB3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50" w:type="pct"/>
            <w:vAlign w:val="center"/>
          </w:tcPr>
          <w:p w14:paraId="24775C15">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7B44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324" w:type="pct"/>
            <w:vAlign w:val="center"/>
          </w:tcPr>
          <w:p w14:paraId="337F90A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874" w:type="pct"/>
            <w:vAlign w:val="center"/>
          </w:tcPr>
          <w:p w14:paraId="1EDC388F">
            <w:pPr>
              <w:pStyle w:val="50"/>
              <w:pageBreakBefore w:val="0"/>
              <w:kinsoku/>
              <w:wordWrap/>
              <w:overflowPunct/>
              <w:topLinePunct w:val="0"/>
              <w:autoSpaceDE/>
              <w:autoSpaceDN/>
              <w:bidi w:val="0"/>
              <w:adjustRightInd/>
              <w:spacing w:line="380" w:lineRule="exact"/>
              <w:ind w:left="210" w:leftChars="100"/>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按照招标文件规定缴纳投标保证金；</w:t>
            </w:r>
          </w:p>
        </w:tc>
        <w:tc>
          <w:tcPr>
            <w:tcW w:w="350" w:type="pct"/>
            <w:vAlign w:val="center"/>
          </w:tcPr>
          <w:p w14:paraId="358B240A">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50" w:type="pct"/>
            <w:vAlign w:val="center"/>
          </w:tcPr>
          <w:p w14:paraId="5FEC83C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3A35D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324" w:type="pct"/>
            <w:vAlign w:val="center"/>
          </w:tcPr>
          <w:p w14:paraId="37A2198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874" w:type="pct"/>
            <w:vAlign w:val="center"/>
          </w:tcPr>
          <w:p w14:paraId="6FAE9A3D">
            <w:pPr>
              <w:pStyle w:val="50"/>
              <w:pageBreakBefore w:val="0"/>
              <w:kinsoku/>
              <w:wordWrap/>
              <w:overflowPunct/>
              <w:topLinePunct w:val="0"/>
              <w:autoSpaceDE/>
              <w:autoSpaceDN/>
              <w:bidi w:val="0"/>
              <w:adjustRightInd/>
              <w:spacing w:line="380" w:lineRule="exact"/>
              <w:ind w:left="210" w:leftChars="100"/>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投标报价不得高于设定的最高限价；</w:t>
            </w:r>
          </w:p>
        </w:tc>
        <w:tc>
          <w:tcPr>
            <w:tcW w:w="350" w:type="pct"/>
            <w:vAlign w:val="center"/>
          </w:tcPr>
          <w:p w14:paraId="622E8910">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50" w:type="pct"/>
            <w:vAlign w:val="center"/>
          </w:tcPr>
          <w:p w14:paraId="0A894E7E">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4774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exact"/>
          <w:jc w:val="center"/>
        </w:trPr>
        <w:tc>
          <w:tcPr>
            <w:tcW w:w="324" w:type="pct"/>
            <w:vAlign w:val="center"/>
          </w:tcPr>
          <w:p w14:paraId="47225DC3">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3874" w:type="pct"/>
            <w:vAlign w:val="center"/>
          </w:tcPr>
          <w:p w14:paraId="72FF2734">
            <w:pPr>
              <w:pStyle w:val="50"/>
              <w:pageBreakBefore w:val="0"/>
              <w:kinsoku/>
              <w:wordWrap/>
              <w:overflowPunct/>
              <w:topLinePunct w:val="0"/>
              <w:autoSpaceDE/>
              <w:autoSpaceDN/>
              <w:bidi w:val="0"/>
              <w:adjustRightInd/>
              <w:spacing w:line="380" w:lineRule="exact"/>
              <w:ind w:left="210" w:leftChars="100"/>
              <w:textAlignment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rPr>
              <w:t>期符合招标文件规定期限；</w:t>
            </w:r>
          </w:p>
        </w:tc>
        <w:tc>
          <w:tcPr>
            <w:tcW w:w="350" w:type="pct"/>
            <w:vAlign w:val="center"/>
          </w:tcPr>
          <w:p w14:paraId="13B5708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50" w:type="pct"/>
            <w:vAlign w:val="center"/>
          </w:tcPr>
          <w:p w14:paraId="6D1F61F6">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63D1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exact"/>
          <w:jc w:val="center"/>
        </w:trPr>
        <w:tc>
          <w:tcPr>
            <w:tcW w:w="324" w:type="pct"/>
            <w:vAlign w:val="center"/>
          </w:tcPr>
          <w:p w14:paraId="40C670B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3874" w:type="pct"/>
            <w:vAlign w:val="center"/>
          </w:tcPr>
          <w:p w14:paraId="4F229B6E">
            <w:pPr>
              <w:pStyle w:val="50"/>
              <w:pageBreakBefore w:val="0"/>
              <w:kinsoku/>
              <w:wordWrap/>
              <w:overflowPunct/>
              <w:topLinePunct w:val="0"/>
              <w:autoSpaceDE/>
              <w:autoSpaceDN/>
              <w:bidi w:val="0"/>
              <w:adjustRightInd/>
              <w:spacing w:line="380" w:lineRule="exact"/>
              <w:ind w:left="210" w:leftChars="100"/>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按照招标文件规定的格式要求编制投标文件，实质性响应招标文件内容；</w:t>
            </w:r>
          </w:p>
        </w:tc>
        <w:tc>
          <w:tcPr>
            <w:tcW w:w="350" w:type="pct"/>
            <w:vAlign w:val="center"/>
          </w:tcPr>
          <w:p w14:paraId="174A2738">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50" w:type="pct"/>
            <w:vAlign w:val="center"/>
          </w:tcPr>
          <w:p w14:paraId="1C7D0974">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2103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exact"/>
          <w:jc w:val="center"/>
        </w:trPr>
        <w:tc>
          <w:tcPr>
            <w:tcW w:w="324" w:type="pct"/>
            <w:vAlign w:val="center"/>
          </w:tcPr>
          <w:p w14:paraId="0458D82F">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7</w:t>
            </w:r>
          </w:p>
        </w:tc>
        <w:tc>
          <w:tcPr>
            <w:tcW w:w="3874" w:type="pct"/>
            <w:vAlign w:val="center"/>
          </w:tcPr>
          <w:p w14:paraId="3776E914">
            <w:pPr>
              <w:pStyle w:val="50"/>
              <w:pageBreakBefore w:val="0"/>
              <w:kinsoku/>
              <w:wordWrap/>
              <w:overflowPunct/>
              <w:topLinePunct w:val="0"/>
              <w:autoSpaceDE/>
              <w:autoSpaceDN/>
              <w:bidi w:val="0"/>
              <w:adjustRightInd/>
              <w:spacing w:line="380" w:lineRule="exact"/>
              <w:ind w:left="210" w:leftChars="100"/>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投标文件不得附有采购人不能接受的条件</w:t>
            </w:r>
            <w:r>
              <w:rPr>
                <w:rFonts w:hint="eastAsia" w:ascii="宋体" w:hAnsi="宋体" w:eastAsia="宋体" w:cs="宋体"/>
                <w:color w:val="auto"/>
                <w:sz w:val="24"/>
                <w:szCs w:val="24"/>
                <w:highlight w:val="none"/>
                <w:lang w:eastAsia="zh-CN"/>
              </w:rPr>
              <w:t>。</w:t>
            </w:r>
          </w:p>
        </w:tc>
        <w:tc>
          <w:tcPr>
            <w:tcW w:w="350" w:type="pct"/>
            <w:vAlign w:val="center"/>
          </w:tcPr>
          <w:p w14:paraId="698C5CD0">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50" w:type="pct"/>
            <w:vAlign w:val="center"/>
          </w:tcPr>
          <w:p w14:paraId="6D735B40">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3EF3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1" w:hRule="exact"/>
          <w:jc w:val="center"/>
        </w:trPr>
        <w:tc>
          <w:tcPr>
            <w:tcW w:w="4199" w:type="pct"/>
            <w:gridSpan w:val="2"/>
            <w:vAlign w:val="center"/>
          </w:tcPr>
          <w:p w14:paraId="20714AF9">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审查结果（通过/不通过）</w:t>
            </w:r>
          </w:p>
        </w:tc>
        <w:tc>
          <w:tcPr>
            <w:tcW w:w="350" w:type="pct"/>
            <w:vAlign w:val="center"/>
          </w:tcPr>
          <w:p w14:paraId="1E6CF43D">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c>
          <w:tcPr>
            <w:tcW w:w="450" w:type="pct"/>
            <w:vAlign w:val="center"/>
          </w:tcPr>
          <w:p w14:paraId="165AB8CC">
            <w:pPr>
              <w:pStyle w:val="50"/>
              <w:pageBreakBefore w:val="0"/>
              <w:kinsoku/>
              <w:wordWrap/>
              <w:overflowPunct/>
              <w:topLinePunct w:val="0"/>
              <w:autoSpaceDE/>
              <w:autoSpaceDN/>
              <w:bidi w:val="0"/>
              <w:adjustRightInd/>
              <w:spacing w:line="380" w:lineRule="exact"/>
              <w:jc w:val="center"/>
              <w:textAlignment w:val="center"/>
              <w:rPr>
                <w:rFonts w:hint="eastAsia" w:ascii="宋体" w:hAnsi="宋体" w:eastAsia="宋体" w:cs="宋体"/>
                <w:color w:val="auto"/>
                <w:sz w:val="24"/>
                <w:szCs w:val="24"/>
                <w:highlight w:val="none"/>
              </w:rPr>
            </w:pPr>
          </w:p>
        </w:tc>
      </w:tr>
      <w:tr w14:paraId="6B4F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8" w:hRule="exact"/>
          <w:jc w:val="center"/>
        </w:trPr>
        <w:tc>
          <w:tcPr>
            <w:tcW w:w="5000" w:type="pct"/>
            <w:gridSpan w:val="4"/>
            <w:vAlign w:val="center"/>
          </w:tcPr>
          <w:p w14:paraId="52F71DE1">
            <w:pPr>
              <w:pStyle w:val="50"/>
              <w:pageBreakBefore w:val="0"/>
              <w:kinsoku/>
              <w:wordWrap/>
              <w:overflowPunct/>
              <w:topLinePunct w:val="0"/>
              <w:autoSpaceDE/>
              <w:autoSpaceDN/>
              <w:bidi w:val="0"/>
              <w:adjustRightInd/>
              <w:spacing w:line="380" w:lineRule="exact"/>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备注：如果投标文件中有一项未通过上述审查标准，评标委员会将认定整个投标文件不响应招标文件而予以无效处理，并且不允许投标人通过修改或撤销其不符合要求的差异或保留，使之成为具有响应性的投标。</w:t>
            </w:r>
          </w:p>
        </w:tc>
      </w:tr>
    </w:tbl>
    <w:p w14:paraId="284BBFAA">
      <w:pPr>
        <w:pStyle w:val="13"/>
        <w:pageBreakBefore w:val="0"/>
        <w:tabs>
          <w:tab w:val="left" w:pos="600"/>
        </w:tabs>
        <w:kinsoku/>
        <w:wordWrap/>
        <w:overflowPunct/>
        <w:topLinePunct w:val="0"/>
        <w:autoSpaceDE/>
        <w:autoSpaceDN/>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3.2.1在投标文件符合性审查过程中，如果出现评标委员会成员意见不一致的情况，按照少数服从多数的原则确定，但不得违背政府采购基本原则和招标文件规定。</w:t>
      </w:r>
    </w:p>
    <w:p w14:paraId="255D67DC">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澄清有关问题。对投标文件中含义不明确、同类问题表述不一致或者有明显文字和计算错误的内容，评标委员会可以书面形式（应当由评标委员会签字）要求投标人作出必要的澄清、说明或者补正。投标人的澄清、说明或者补正应当采用书面形式，由其授权人或者被授权人签字，并不得超出投标文件的范围或者改变投标文件的实质性内容。</w:t>
      </w:r>
      <w:bookmarkStart w:id="159" w:name="_Toc183682422"/>
      <w:bookmarkStart w:id="160" w:name="_Toc217446104"/>
      <w:bookmarkStart w:id="161" w:name="_Toc183582287"/>
    </w:p>
    <w:bookmarkEnd w:id="159"/>
    <w:bookmarkEnd w:id="160"/>
    <w:bookmarkEnd w:id="161"/>
    <w:p w14:paraId="2A2197C9">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3.4比较与评价。按招</w:t>
      </w:r>
      <w:r>
        <w:rPr>
          <w:rFonts w:hint="eastAsia" w:ascii="宋体" w:hAnsi="宋体" w:eastAsia="宋体" w:cs="宋体"/>
          <w:b w:val="0"/>
          <w:bCs w:val="0"/>
          <w:color w:val="auto"/>
          <w:sz w:val="24"/>
          <w:szCs w:val="24"/>
          <w:highlight w:val="none"/>
        </w:rPr>
        <w:t>标文件中规定的评标方法和标准，对符合性审查合格的投标文件进行综合比较与评价。</w:t>
      </w:r>
    </w:p>
    <w:p w14:paraId="1955626A">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3.5推荐中标候选人名单。中标候选人数量应当根据招标文件确定，但必须按顺序排列中标候选人。</w:t>
      </w:r>
    </w:p>
    <w:p w14:paraId="7ED1D3A1">
      <w:pPr>
        <w:pStyle w:val="44"/>
        <w:pageBreakBefore w:val="0"/>
        <w:kinsoku/>
        <w:wordWrap/>
        <w:overflowPunct/>
        <w:topLinePunct w:val="0"/>
        <w:autoSpaceDE/>
        <w:autoSpaceDN/>
        <w:bidi w:val="0"/>
        <w:adjustRightInd/>
        <w:spacing w:line="380" w:lineRule="exac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3.5.1评标委员会根据综合评分情况，按照评标得分由高到低顺序推荐3名中标候选人，并编写评标报告。得分相同的，按投标报价由低到高顺序排列。得分且投标报价相同的</w:t>
      </w:r>
      <w:r>
        <w:rPr>
          <w:rFonts w:hint="eastAsia" w:ascii="宋体" w:hAnsi="宋体" w:eastAsia="宋体" w:cs="宋体"/>
          <w:b w:val="0"/>
          <w:bCs w:val="0"/>
          <w:color w:val="auto"/>
          <w:sz w:val="24"/>
          <w:szCs w:val="24"/>
          <w:highlight w:val="none"/>
          <w:shd w:val="clear" w:color="auto" w:fill="FAFAFA"/>
        </w:rPr>
        <w:t>，按照技术指标优劣顺序推荐</w:t>
      </w:r>
      <w:r>
        <w:rPr>
          <w:rFonts w:hint="eastAsia" w:ascii="宋体" w:hAnsi="宋体" w:eastAsia="宋体" w:cs="宋体"/>
          <w:b w:val="0"/>
          <w:bCs w:val="0"/>
          <w:color w:val="auto"/>
          <w:sz w:val="24"/>
          <w:szCs w:val="24"/>
          <w:highlight w:val="none"/>
        </w:rPr>
        <w:t>。</w:t>
      </w:r>
    </w:p>
    <w:p w14:paraId="04BFF620">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3.6编写评标报告。评标报告是评标委员会根据评标委员成员签字的原始评标记录和评标结果编写的报告，其主要内容包括：</w:t>
      </w:r>
    </w:p>
    <w:p w14:paraId="4278BA5C">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（1）项目概况、开标日期和地点；</w:t>
      </w:r>
    </w:p>
    <w:p w14:paraId="6AFCDC38">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（2）参与竞争的的投标人名单和评标委员会成员名单；</w:t>
      </w:r>
    </w:p>
    <w:p w14:paraId="296AE010">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（3）评审因素和评分标准；</w:t>
      </w:r>
    </w:p>
    <w:p w14:paraId="37C2EE16">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（4）开标记录和评标情况及说明，包括投标无效投标人名单及原因；</w:t>
      </w:r>
    </w:p>
    <w:p w14:paraId="47B4D1CA">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（5）评标结果和中标候选人排序。</w:t>
      </w:r>
    </w:p>
    <w:p w14:paraId="6B9CC93E">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b w:val="0"/>
          <w:bCs w:val="0"/>
          <w:color w:val="auto"/>
          <w:sz w:val="24"/>
          <w:szCs w:val="24"/>
          <w:highlight w:val="none"/>
        </w:rPr>
      </w:pPr>
      <w:bookmarkStart w:id="162" w:name="_Toc217446103"/>
      <w:r>
        <w:rPr>
          <w:rFonts w:hint="eastAsia" w:ascii="宋体" w:hAnsi="宋体" w:eastAsia="宋体" w:cs="宋体"/>
          <w:b w:val="0"/>
          <w:bCs w:val="0"/>
          <w:color w:val="auto"/>
          <w:sz w:val="24"/>
          <w:szCs w:val="24"/>
          <w:highlight w:val="none"/>
        </w:rPr>
        <w:t>4. 评标细则及标准</w:t>
      </w:r>
      <w:bookmarkEnd w:id="162"/>
    </w:p>
    <w:p w14:paraId="0A9FEE1C">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4.1 评标委员会只对通过符合性审查的投标文件，根据招标文件的要求采用相同的评标程序、评分办法及标准进行评价和比较。</w:t>
      </w:r>
    </w:p>
    <w:p w14:paraId="1278A578">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4.2 本次综合评分的因素是：商务、价格、技术服务、业绩、对招标文件的响应程度以及投标文件规范性等。</w:t>
      </w:r>
    </w:p>
    <w:p w14:paraId="517220D8">
      <w:pPr>
        <w:pageBreakBefore w:val="0"/>
        <w:kinsoku/>
        <w:wordWrap/>
        <w:overflowPunct/>
        <w:topLinePunct w:val="0"/>
        <w:autoSpaceDE/>
        <w:autoSpaceDN/>
        <w:bidi w:val="0"/>
        <w:adjustRightInd/>
        <w:spacing w:line="3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4.3 除价格因素外，评标委员会成员应依据投标文件规定的评审因素和评分标准进行比较打分。</w:t>
      </w:r>
    </w:p>
    <w:p w14:paraId="365D2F05">
      <w:pPr>
        <w:pStyle w:val="13"/>
        <w:pageBreakBefore w:val="0"/>
        <w:tabs>
          <w:tab w:val="left" w:pos="600"/>
        </w:tabs>
        <w:kinsoku/>
        <w:wordWrap/>
        <w:overflowPunct/>
        <w:topLinePunct w:val="0"/>
        <w:autoSpaceDE/>
        <w:autoSpaceDN/>
        <w:bidi w:val="0"/>
        <w:adjustRightInd/>
        <w:spacing w:line="3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4.4评标细则及标准的制定以科学合理、降低评标委员会自由裁量权为原则。</w:t>
      </w:r>
    </w:p>
    <w:p w14:paraId="414BCBA1">
      <w:pPr>
        <w:pStyle w:val="13"/>
        <w:pageBreakBefore w:val="0"/>
        <w:tabs>
          <w:tab w:val="left" w:pos="600"/>
        </w:tabs>
        <w:kinsoku/>
        <w:wordWrap/>
        <w:overflowPunct/>
        <w:topLinePunct w:val="0"/>
        <w:autoSpaceDE/>
        <w:autoSpaceDN/>
        <w:bidi w:val="0"/>
        <w:adjustRightInd/>
        <w:spacing w:line="38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4.5评标委员会将按照下述评分标准对通过符合性审查的投标文件进行详细评标，投标人评标得分等于所有评委评分的算术平均值，结果保留两位小数。</w:t>
      </w:r>
    </w:p>
    <w:p w14:paraId="40AA1DD2">
      <w:pPr>
        <w:pStyle w:val="13"/>
        <w:tabs>
          <w:tab w:val="left" w:pos="600"/>
        </w:tabs>
        <w:spacing w:line="360" w:lineRule="auto"/>
        <w:ind w:firstLine="480" w:firstLineChars="200"/>
        <w:jc w:val="center"/>
        <w:rPr>
          <w:rFonts w:hint="eastAsia" w:ascii="宋体" w:hAnsi="宋体" w:eastAsia="宋体" w:cs="宋体"/>
          <w:b w:val="0"/>
          <w:bCs w:val="0"/>
          <w:color w:val="auto"/>
          <w:sz w:val="24"/>
          <w:szCs w:val="24"/>
          <w:highlight w:val="none"/>
        </w:rPr>
      </w:pPr>
    </w:p>
    <w:p w14:paraId="5BC0F60B">
      <w:pPr>
        <w:pStyle w:val="3"/>
        <w:bidi w:val="0"/>
        <w:jc w:val="center"/>
        <w:rPr>
          <w:rFonts w:hint="eastAsia"/>
          <w:color w:val="auto"/>
          <w:sz w:val="28"/>
          <w:szCs w:val="28"/>
          <w:highlight w:val="none"/>
        </w:rPr>
      </w:pPr>
      <w:r>
        <w:rPr>
          <w:rFonts w:hint="eastAsia"/>
          <w:color w:val="auto"/>
          <w:sz w:val="28"/>
          <w:szCs w:val="28"/>
          <w:highlight w:val="none"/>
        </w:rPr>
        <w:t>评审因素权重表</w:t>
      </w:r>
    </w:p>
    <w:tbl>
      <w:tblPr>
        <w:tblStyle w:val="30"/>
        <w:tblW w:w="52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1"/>
        <w:gridCol w:w="1974"/>
        <w:gridCol w:w="2241"/>
        <w:gridCol w:w="2698"/>
      </w:tblGrid>
      <w:tr w14:paraId="3E0E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57" w:type="pct"/>
            <w:tcBorders>
              <w:top w:val="single" w:color="auto" w:sz="4" w:space="0"/>
              <w:left w:val="single" w:color="auto" w:sz="4" w:space="0"/>
              <w:bottom w:val="single" w:color="auto" w:sz="4" w:space="0"/>
              <w:right w:val="single" w:color="auto" w:sz="4" w:space="0"/>
            </w:tcBorders>
            <w:vAlign w:val="center"/>
          </w:tcPr>
          <w:p w14:paraId="0AB691FD">
            <w:pPr>
              <w:autoSpaceDE w:val="0"/>
              <w:autoSpaceDN w:val="0"/>
              <w:adjustRightInd w:val="0"/>
              <w:jc w:val="center"/>
              <w:rPr>
                <w:rFonts w:hint="eastAsia" w:ascii="宋体" w:hAnsi="宋体" w:eastAsia="宋体" w:cs="宋体"/>
                <w:b w:val="0"/>
                <w:bCs w:val="0"/>
                <w:color w:val="auto"/>
                <w:spacing w:val="6"/>
                <w:kern w:val="0"/>
                <w:sz w:val="24"/>
                <w:szCs w:val="24"/>
                <w:highlight w:val="none"/>
              </w:rPr>
            </w:pPr>
            <w:r>
              <w:rPr>
                <w:rFonts w:hint="eastAsia" w:ascii="宋体" w:hAnsi="宋体" w:eastAsia="宋体" w:cs="宋体"/>
                <w:b w:val="0"/>
                <w:bCs w:val="0"/>
                <w:color w:val="auto"/>
                <w:spacing w:val="6"/>
                <w:kern w:val="0"/>
                <w:sz w:val="24"/>
                <w:szCs w:val="24"/>
                <w:highlight w:val="none"/>
              </w:rPr>
              <w:t>序号</w:t>
            </w:r>
          </w:p>
        </w:tc>
        <w:tc>
          <w:tcPr>
            <w:tcW w:w="1097" w:type="pct"/>
            <w:tcBorders>
              <w:top w:val="single" w:color="auto" w:sz="4" w:space="0"/>
              <w:left w:val="single" w:color="auto" w:sz="4" w:space="0"/>
              <w:bottom w:val="single" w:color="auto" w:sz="4" w:space="0"/>
              <w:right w:val="single" w:color="auto" w:sz="4" w:space="0"/>
            </w:tcBorders>
            <w:vAlign w:val="center"/>
          </w:tcPr>
          <w:p w14:paraId="28163DFC">
            <w:pPr>
              <w:autoSpaceDE w:val="0"/>
              <w:autoSpaceDN w:val="0"/>
              <w:adjustRightInd w:val="0"/>
              <w:jc w:val="center"/>
              <w:rPr>
                <w:rFonts w:hint="eastAsia" w:ascii="宋体" w:hAnsi="宋体" w:eastAsia="宋体" w:cs="宋体"/>
                <w:b w:val="0"/>
                <w:bCs w:val="0"/>
                <w:color w:val="auto"/>
                <w:spacing w:val="6"/>
                <w:kern w:val="0"/>
                <w:sz w:val="24"/>
                <w:szCs w:val="24"/>
                <w:highlight w:val="none"/>
              </w:rPr>
            </w:pPr>
            <w:r>
              <w:rPr>
                <w:rFonts w:hint="eastAsia" w:ascii="宋体" w:hAnsi="宋体" w:eastAsia="宋体" w:cs="宋体"/>
                <w:b w:val="0"/>
                <w:bCs w:val="0"/>
                <w:color w:val="auto"/>
                <w:spacing w:val="6"/>
                <w:kern w:val="0"/>
                <w:sz w:val="24"/>
                <w:szCs w:val="24"/>
                <w:highlight w:val="none"/>
              </w:rPr>
              <w:t>1</w:t>
            </w:r>
          </w:p>
        </w:tc>
        <w:tc>
          <w:tcPr>
            <w:tcW w:w="1245" w:type="pct"/>
            <w:tcBorders>
              <w:top w:val="single" w:color="auto" w:sz="4" w:space="0"/>
              <w:left w:val="single" w:color="auto" w:sz="4" w:space="0"/>
              <w:bottom w:val="single" w:color="auto" w:sz="4" w:space="0"/>
              <w:right w:val="single" w:color="auto" w:sz="4" w:space="0"/>
            </w:tcBorders>
            <w:vAlign w:val="center"/>
          </w:tcPr>
          <w:p w14:paraId="09F7EE4F">
            <w:pPr>
              <w:autoSpaceDE w:val="0"/>
              <w:autoSpaceDN w:val="0"/>
              <w:adjustRightInd w:val="0"/>
              <w:jc w:val="center"/>
              <w:rPr>
                <w:rFonts w:hint="eastAsia" w:ascii="宋体" w:hAnsi="宋体" w:eastAsia="宋体" w:cs="宋体"/>
                <w:b w:val="0"/>
                <w:bCs w:val="0"/>
                <w:color w:val="auto"/>
                <w:spacing w:val="6"/>
                <w:kern w:val="0"/>
                <w:sz w:val="24"/>
                <w:szCs w:val="24"/>
                <w:highlight w:val="none"/>
              </w:rPr>
            </w:pPr>
            <w:r>
              <w:rPr>
                <w:rFonts w:hint="eastAsia" w:ascii="宋体" w:hAnsi="宋体" w:eastAsia="宋体" w:cs="宋体"/>
                <w:b w:val="0"/>
                <w:bCs w:val="0"/>
                <w:color w:val="auto"/>
                <w:spacing w:val="6"/>
                <w:kern w:val="0"/>
                <w:sz w:val="24"/>
                <w:szCs w:val="24"/>
                <w:highlight w:val="none"/>
              </w:rPr>
              <w:t>2</w:t>
            </w:r>
          </w:p>
        </w:tc>
        <w:tc>
          <w:tcPr>
            <w:tcW w:w="1499" w:type="pct"/>
            <w:tcBorders>
              <w:top w:val="single" w:color="auto" w:sz="4" w:space="0"/>
              <w:left w:val="single" w:color="auto" w:sz="4" w:space="0"/>
              <w:bottom w:val="single" w:color="auto" w:sz="4" w:space="0"/>
              <w:right w:val="single" w:color="auto" w:sz="4" w:space="0"/>
            </w:tcBorders>
            <w:vAlign w:val="center"/>
          </w:tcPr>
          <w:p w14:paraId="1B2EE925">
            <w:pPr>
              <w:autoSpaceDE w:val="0"/>
              <w:autoSpaceDN w:val="0"/>
              <w:adjustRightInd w:val="0"/>
              <w:jc w:val="center"/>
              <w:rPr>
                <w:rFonts w:hint="eastAsia" w:ascii="宋体" w:hAnsi="宋体" w:eastAsia="宋体" w:cs="宋体"/>
                <w:b w:val="0"/>
                <w:bCs w:val="0"/>
                <w:color w:val="auto"/>
                <w:spacing w:val="6"/>
                <w:kern w:val="0"/>
                <w:sz w:val="24"/>
                <w:szCs w:val="24"/>
                <w:highlight w:val="none"/>
              </w:rPr>
            </w:pPr>
            <w:r>
              <w:rPr>
                <w:rFonts w:hint="eastAsia" w:ascii="宋体" w:hAnsi="宋体" w:eastAsia="宋体" w:cs="宋体"/>
                <w:b w:val="0"/>
                <w:bCs w:val="0"/>
                <w:color w:val="auto"/>
                <w:spacing w:val="6"/>
                <w:kern w:val="0"/>
                <w:sz w:val="24"/>
                <w:szCs w:val="24"/>
                <w:highlight w:val="none"/>
              </w:rPr>
              <w:t>3</w:t>
            </w:r>
          </w:p>
        </w:tc>
      </w:tr>
      <w:tr w14:paraId="68A1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57" w:type="pct"/>
            <w:tcBorders>
              <w:top w:val="single" w:color="auto" w:sz="4" w:space="0"/>
              <w:left w:val="single" w:color="auto" w:sz="4" w:space="0"/>
              <w:bottom w:val="single" w:color="auto" w:sz="4" w:space="0"/>
              <w:right w:val="single" w:color="auto" w:sz="4" w:space="0"/>
            </w:tcBorders>
            <w:vAlign w:val="center"/>
          </w:tcPr>
          <w:p w14:paraId="6F0258DB">
            <w:pPr>
              <w:autoSpaceDE w:val="0"/>
              <w:autoSpaceDN w:val="0"/>
              <w:adjustRightInd w:val="0"/>
              <w:jc w:val="center"/>
              <w:rPr>
                <w:rFonts w:hint="eastAsia" w:ascii="宋体" w:hAnsi="宋体" w:eastAsia="宋体" w:cs="宋体"/>
                <w:b w:val="0"/>
                <w:bCs w:val="0"/>
                <w:color w:val="auto"/>
                <w:spacing w:val="6"/>
                <w:kern w:val="0"/>
                <w:sz w:val="24"/>
                <w:szCs w:val="24"/>
                <w:highlight w:val="none"/>
              </w:rPr>
            </w:pPr>
            <w:r>
              <w:rPr>
                <w:rFonts w:hint="eastAsia" w:ascii="宋体" w:hAnsi="宋体" w:eastAsia="宋体" w:cs="宋体"/>
                <w:b w:val="0"/>
                <w:bCs w:val="0"/>
                <w:color w:val="auto"/>
                <w:spacing w:val="6"/>
                <w:kern w:val="0"/>
                <w:sz w:val="24"/>
                <w:szCs w:val="24"/>
                <w:highlight w:val="none"/>
              </w:rPr>
              <w:t>评审因素</w:t>
            </w:r>
          </w:p>
        </w:tc>
        <w:tc>
          <w:tcPr>
            <w:tcW w:w="1097" w:type="pct"/>
            <w:tcBorders>
              <w:top w:val="single" w:color="auto" w:sz="4" w:space="0"/>
              <w:left w:val="single" w:color="auto" w:sz="4" w:space="0"/>
              <w:bottom w:val="single" w:color="auto" w:sz="4" w:space="0"/>
              <w:right w:val="single" w:color="auto" w:sz="4" w:space="0"/>
            </w:tcBorders>
            <w:vAlign w:val="center"/>
          </w:tcPr>
          <w:p w14:paraId="4433AB12">
            <w:pPr>
              <w:autoSpaceDE w:val="0"/>
              <w:autoSpaceDN w:val="0"/>
              <w:adjustRightInd w:val="0"/>
              <w:jc w:val="center"/>
              <w:rPr>
                <w:rFonts w:hint="eastAsia" w:ascii="宋体" w:hAnsi="宋体" w:eastAsia="宋体" w:cs="宋体"/>
                <w:b w:val="0"/>
                <w:bCs w:val="0"/>
                <w:color w:val="auto"/>
                <w:spacing w:val="6"/>
                <w:kern w:val="0"/>
                <w:sz w:val="24"/>
                <w:szCs w:val="24"/>
                <w:highlight w:val="none"/>
              </w:rPr>
            </w:pPr>
            <w:r>
              <w:rPr>
                <w:rFonts w:hint="eastAsia" w:ascii="宋体" w:hAnsi="宋体" w:eastAsia="宋体" w:cs="宋体"/>
                <w:b w:val="0"/>
                <w:bCs w:val="0"/>
                <w:color w:val="auto"/>
                <w:spacing w:val="6"/>
                <w:kern w:val="0"/>
                <w:sz w:val="24"/>
                <w:szCs w:val="24"/>
                <w:highlight w:val="none"/>
              </w:rPr>
              <w:t>投标报价</w:t>
            </w:r>
          </w:p>
        </w:tc>
        <w:tc>
          <w:tcPr>
            <w:tcW w:w="1245" w:type="pct"/>
            <w:tcBorders>
              <w:top w:val="single" w:color="auto" w:sz="4" w:space="0"/>
              <w:left w:val="single" w:color="auto" w:sz="4" w:space="0"/>
              <w:bottom w:val="single" w:color="auto" w:sz="4" w:space="0"/>
              <w:right w:val="single" w:color="auto" w:sz="4" w:space="0"/>
            </w:tcBorders>
            <w:vAlign w:val="center"/>
          </w:tcPr>
          <w:p w14:paraId="3E312053">
            <w:pPr>
              <w:autoSpaceDE w:val="0"/>
              <w:autoSpaceDN w:val="0"/>
              <w:adjustRightInd w:val="0"/>
              <w:jc w:val="center"/>
              <w:rPr>
                <w:rFonts w:hint="eastAsia" w:ascii="宋体" w:hAnsi="宋体" w:eastAsia="宋体" w:cs="宋体"/>
                <w:b w:val="0"/>
                <w:bCs w:val="0"/>
                <w:color w:val="auto"/>
                <w:spacing w:val="6"/>
                <w:kern w:val="0"/>
                <w:sz w:val="24"/>
                <w:szCs w:val="24"/>
                <w:highlight w:val="none"/>
              </w:rPr>
            </w:pPr>
            <w:r>
              <w:rPr>
                <w:rFonts w:hint="eastAsia" w:ascii="宋体" w:hAnsi="宋体" w:eastAsia="宋体" w:cs="宋体"/>
                <w:b w:val="0"/>
                <w:bCs w:val="0"/>
                <w:color w:val="auto"/>
                <w:spacing w:val="6"/>
                <w:kern w:val="0"/>
                <w:sz w:val="24"/>
                <w:szCs w:val="24"/>
                <w:highlight w:val="none"/>
              </w:rPr>
              <w:t>技术、商务部分</w:t>
            </w:r>
          </w:p>
        </w:tc>
        <w:tc>
          <w:tcPr>
            <w:tcW w:w="1499" w:type="pct"/>
            <w:tcBorders>
              <w:top w:val="single" w:color="auto" w:sz="4" w:space="0"/>
              <w:left w:val="single" w:color="auto" w:sz="4" w:space="0"/>
              <w:bottom w:val="single" w:color="auto" w:sz="4" w:space="0"/>
              <w:right w:val="single" w:color="auto" w:sz="4" w:space="0"/>
            </w:tcBorders>
            <w:vAlign w:val="center"/>
          </w:tcPr>
          <w:p w14:paraId="1DEC8704">
            <w:pPr>
              <w:autoSpaceDE w:val="0"/>
              <w:autoSpaceDN w:val="0"/>
              <w:adjustRightInd w:val="0"/>
              <w:jc w:val="center"/>
              <w:rPr>
                <w:rFonts w:hint="eastAsia" w:ascii="宋体" w:hAnsi="宋体" w:eastAsia="宋体" w:cs="宋体"/>
                <w:b w:val="0"/>
                <w:bCs w:val="0"/>
                <w:color w:val="auto"/>
                <w:spacing w:val="6"/>
                <w:kern w:val="0"/>
                <w:sz w:val="24"/>
                <w:szCs w:val="24"/>
                <w:highlight w:val="none"/>
              </w:rPr>
            </w:pPr>
            <w:r>
              <w:rPr>
                <w:rFonts w:hint="eastAsia" w:ascii="宋体" w:hAnsi="宋体" w:eastAsia="宋体" w:cs="宋体"/>
                <w:b w:val="0"/>
                <w:bCs w:val="0"/>
                <w:color w:val="auto"/>
                <w:spacing w:val="6"/>
                <w:kern w:val="0"/>
                <w:sz w:val="24"/>
                <w:szCs w:val="24"/>
                <w:highlight w:val="none"/>
              </w:rPr>
              <w:t>合计</w:t>
            </w:r>
          </w:p>
        </w:tc>
      </w:tr>
      <w:tr w14:paraId="64F2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157" w:type="pct"/>
            <w:tcBorders>
              <w:top w:val="single" w:color="auto" w:sz="4" w:space="0"/>
              <w:left w:val="single" w:color="auto" w:sz="4" w:space="0"/>
              <w:bottom w:val="single" w:color="auto" w:sz="4" w:space="0"/>
              <w:right w:val="single" w:color="auto" w:sz="4" w:space="0"/>
            </w:tcBorders>
            <w:vAlign w:val="center"/>
          </w:tcPr>
          <w:p w14:paraId="5B025819">
            <w:pPr>
              <w:autoSpaceDE w:val="0"/>
              <w:autoSpaceDN w:val="0"/>
              <w:adjustRightInd w:val="0"/>
              <w:jc w:val="center"/>
              <w:rPr>
                <w:rFonts w:hint="eastAsia" w:ascii="宋体" w:hAnsi="宋体" w:eastAsia="宋体" w:cs="宋体"/>
                <w:b w:val="0"/>
                <w:bCs w:val="0"/>
                <w:color w:val="auto"/>
                <w:spacing w:val="6"/>
                <w:kern w:val="0"/>
                <w:sz w:val="24"/>
                <w:szCs w:val="24"/>
                <w:highlight w:val="none"/>
              </w:rPr>
            </w:pPr>
            <w:r>
              <w:rPr>
                <w:rFonts w:hint="eastAsia" w:ascii="宋体" w:hAnsi="宋体" w:eastAsia="宋体" w:cs="宋体"/>
                <w:b w:val="0"/>
                <w:bCs w:val="0"/>
                <w:color w:val="auto"/>
                <w:spacing w:val="6"/>
                <w:kern w:val="0"/>
                <w:sz w:val="24"/>
                <w:szCs w:val="24"/>
                <w:highlight w:val="none"/>
              </w:rPr>
              <w:t>权重</w:t>
            </w:r>
          </w:p>
        </w:tc>
        <w:tc>
          <w:tcPr>
            <w:tcW w:w="1097" w:type="pct"/>
            <w:tcBorders>
              <w:top w:val="single" w:color="auto" w:sz="4" w:space="0"/>
              <w:left w:val="single" w:color="auto" w:sz="4" w:space="0"/>
              <w:bottom w:val="single" w:color="auto" w:sz="4" w:space="0"/>
              <w:right w:val="single" w:color="auto" w:sz="4" w:space="0"/>
            </w:tcBorders>
            <w:vAlign w:val="center"/>
          </w:tcPr>
          <w:p w14:paraId="6983B7DB">
            <w:pPr>
              <w:autoSpaceDE w:val="0"/>
              <w:autoSpaceDN w:val="0"/>
              <w:adjustRightInd w:val="0"/>
              <w:jc w:val="center"/>
              <w:rPr>
                <w:rFonts w:hint="eastAsia" w:ascii="宋体" w:hAnsi="宋体" w:eastAsia="宋体" w:cs="宋体"/>
                <w:b w:val="0"/>
                <w:bCs w:val="0"/>
                <w:color w:val="auto"/>
                <w:spacing w:val="6"/>
                <w:kern w:val="0"/>
                <w:sz w:val="24"/>
                <w:szCs w:val="24"/>
                <w:highlight w:val="none"/>
              </w:rPr>
            </w:pPr>
            <w:r>
              <w:rPr>
                <w:rFonts w:hint="eastAsia" w:ascii="宋体" w:hAnsi="宋体" w:cs="宋体"/>
                <w:b w:val="0"/>
                <w:bCs w:val="0"/>
                <w:color w:val="auto"/>
                <w:spacing w:val="6"/>
                <w:kern w:val="0"/>
                <w:sz w:val="24"/>
                <w:szCs w:val="24"/>
                <w:highlight w:val="none"/>
                <w:lang w:val="en-US" w:eastAsia="zh-CN"/>
              </w:rPr>
              <w:t>10</w:t>
            </w:r>
            <w:r>
              <w:rPr>
                <w:rFonts w:hint="eastAsia" w:ascii="宋体" w:hAnsi="宋体" w:eastAsia="宋体" w:cs="宋体"/>
                <w:b w:val="0"/>
                <w:bCs w:val="0"/>
                <w:color w:val="auto"/>
                <w:spacing w:val="6"/>
                <w:kern w:val="0"/>
                <w:sz w:val="24"/>
                <w:szCs w:val="24"/>
                <w:highlight w:val="none"/>
              </w:rPr>
              <w:t>%</w:t>
            </w:r>
          </w:p>
        </w:tc>
        <w:tc>
          <w:tcPr>
            <w:tcW w:w="1245" w:type="pct"/>
            <w:tcBorders>
              <w:top w:val="single" w:color="auto" w:sz="4" w:space="0"/>
              <w:left w:val="single" w:color="auto" w:sz="4" w:space="0"/>
              <w:bottom w:val="single" w:color="auto" w:sz="4" w:space="0"/>
              <w:right w:val="single" w:color="auto" w:sz="4" w:space="0"/>
            </w:tcBorders>
            <w:vAlign w:val="center"/>
          </w:tcPr>
          <w:p w14:paraId="63E7368F">
            <w:pPr>
              <w:autoSpaceDE w:val="0"/>
              <w:autoSpaceDN w:val="0"/>
              <w:adjustRightInd w:val="0"/>
              <w:jc w:val="center"/>
              <w:rPr>
                <w:rFonts w:hint="eastAsia" w:ascii="宋体" w:hAnsi="宋体" w:eastAsia="宋体" w:cs="宋体"/>
                <w:b w:val="0"/>
                <w:bCs w:val="0"/>
                <w:color w:val="auto"/>
                <w:spacing w:val="6"/>
                <w:kern w:val="0"/>
                <w:sz w:val="24"/>
                <w:szCs w:val="24"/>
                <w:highlight w:val="none"/>
              </w:rPr>
            </w:pPr>
            <w:r>
              <w:rPr>
                <w:rFonts w:hint="eastAsia" w:ascii="宋体" w:hAnsi="宋体" w:cs="宋体"/>
                <w:b w:val="0"/>
                <w:bCs w:val="0"/>
                <w:color w:val="auto"/>
                <w:spacing w:val="6"/>
                <w:kern w:val="0"/>
                <w:sz w:val="24"/>
                <w:szCs w:val="24"/>
                <w:highlight w:val="none"/>
                <w:lang w:val="en-US" w:eastAsia="zh-CN"/>
              </w:rPr>
              <w:t>90</w:t>
            </w:r>
            <w:r>
              <w:rPr>
                <w:rFonts w:hint="eastAsia" w:ascii="宋体" w:hAnsi="宋体" w:eastAsia="宋体" w:cs="宋体"/>
                <w:b w:val="0"/>
                <w:bCs w:val="0"/>
                <w:color w:val="auto"/>
                <w:spacing w:val="6"/>
                <w:kern w:val="0"/>
                <w:sz w:val="24"/>
                <w:szCs w:val="24"/>
                <w:highlight w:val="none"/>
              </w:rPr>
              <w:t>%</w:t>
            </w:r>
          </w:p>
        </w:tc>
        <w:tc>
          <w:tcPr>
            <w:tcW w:w="1499" w:type="pct"/>
            <w:tcBorders>
              <w:top w:val="single" w:color="auto" w:sz="4" w:space="0"/>
              <w:left w:val="single" w:color="auto" w:sz="4" w:space="0"/>
              <w:bottom w:val="single" w:color="auto" w:sz="4" w:space="0"/>
              <w:right w:val="single" w:color="auto" w:sz="4" w:space="0"/>
            </w:tcBorders>
            <w:vAlign w:val="center"/>
          </w:tcPr>
          <w:p w14:paraId="7BBA9422">
            <w:pPr>
              <w:autoSpaceDE w:val="0"/>
              <w:autoSpaceDN w:val="0"/>
              <w:adjustRightInd w:val="0"/>
              <w:jc w:val="center"/>
              <w:rPr>
                <w:rFonts w:hint="eastAsia" w:ascii="宋体" w:hAnsi="宋体" w:eastAsia="宋体" w:cs="宋体"/>
                <w:b w:val="0"/>
                <w:bCs w:val="0"/>
                <w:color w:val="auto"/>
                <w:spacing w:val="6"/>
                <w:kern w:val="0"/>
                <w:sz w:val="24"/>
                <w:szCs w:val="24"/>
                <w:highlight w:val="none"/>
              </w:rPr>
            </w:pPr>
            <w:r>
              <w:rPr>
                <w:rFonts w:hint="eastAsia" w:ascii="宋体" w:hAnsi="宋体" w:eastAsia="宋体" w:cs="宋体"/>
                <w:b w:val="0"/>
                <w:bCs w:val="0"/>
                <w:color w:val="auto"/>
                <w:spacing w:val="6"/>
                <w:kern w:val="0"/>
                <w:sz w:val="24"/>
                <w:szCs w:val="24"/>
                <w:highlight w:val="none"/>
              </w:rPr>
              <w:t>100%</w:t>
            </w:r>
          </w:p>
        </w:tc>
      </w:tr>
    </w:tbl>
    <w:tbl>
      <w:tblPr>
        <w:tblStyle w:val="30"/>
        <w:tblpPr w:leftFromText="180" w:rightFromText="180" w:vertAnchor="text" w:horzAnchor="page" w:tblpX="1354" w:tblpY="988"/>
        <w:tblOverlap w:val="never"/>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8"/>
        <w:gridCol w:w="1030"/>
        <w:gridCol w:w="6370"/>
        <w:gridCol w:w="1231"/>
      </w:tblGrid>
      <w:tr w14:paraId="536BB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9"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E2D0F47">
            <w:pPr>
              <w:jc w:val="center"/>
              <w:rPr>
                <w:rFonts w:hint="eastAsia" w:ascii="宋体" w:hAnsi="宋体" w:eastAsia="宋体" w:cs="宋体"/>
                <w:b/>
                <w:bCs w:val="0"/>
                <w:color w:val="auto"/>
                <w:kern w:val="2"/>
                <w:sz w:val="24"/>
                <w:szCs w:val="24"/>
                <w:highlight w:val="none"/>
                <w:lang w:val="en-US" w:eastAsia="zh-CN" w:bidi="ar"/>
              </w:rPr>
            </w:pPr>
            <w:r>
              <w:rPr>
                <w:rStyle w:val="46"/>
                <w:rFonts w:hint="eastAsia"/>
                <w:color w:val="auto"/>
                <w:sz w:val="24"/>
                <w:szCs w:val="24"/>
                <w:highlight w:val="none"/>
                <w:lang w:val="en-US" w:eastAsia="zh-CN"/>
              </w:rPr>
              <w:t xml:space="preserve">标项一             </w:t>
            </w:r>
            <w:r>
              <w:rPr>
                <w:rStyle w:val="46"/>
                <w:rFonts w:hint="eastAsia"/>
                <w:color w:val="auto"/>
                <w:sz w:val="24"/>
                <w:szCs w:val="24"/>
                <w:highlight w:val="none"/>
              </w:rPr>
              <w:t>技术、商务部分评审标准</w:t>
            </w: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90</w:t>
            </w:r>
            <w:r>
              <w:rPr>
                <w:rFonts w:hint="eastAsia" w:ascii="宋体" w:hAnsi="宋体" w:eastAsia="宋体" w:cs="宋体"/>
                <w:b w:val="0"/>
                <w:bCs w:val="0"/>
                <w:color w:val="auto"/>
                <w:sz w:val="24"/>
                <w:szCs w:val="24"/>
                <w:highlight w:val="none"/>
              </w:rPr>
              <w:t>分）</w:t>
            </w:r>
          </w:p>
        </w:tc>
      </w:tr>
      <w:tr w14:paraId="4A03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9"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C15B761">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序号</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E13F5C9">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项目</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5CC2CDD">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评审内容</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0ABC2FC">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分值</w:t>
            </w:r>
          </w:p>
        </w:tc>
      </w:tr>
      <w:tr w14:paraId="575B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4"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69182F3D">
            <w:pPr>
              <w:keepNext w:val="0"/>
              <w:keepLines w:val="0"/>
              <w:widowControl w:val="0"/>
              <w:suppressLineNumbers w:val="0"/>
              <w:snapToGrid w:val="0"/>
              <w:spacing w:before="0" w:beforeAutospacing="0" w:after="0" w:afterAutospacing="0"/>
              <w:ind w:left="0" w:right="0"/>
              <w:jc w:val="both"/>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技术部分评分</w:t>
            </w:r>
            <w:r>
              <w:rPr>
                <w:rFonts w:hint="eastAsia" w:ascii="宋体" w:hAnsi="宋体" w:eastAsia="宋体" w:cs="Courier New"/>
                <w:b/>
                <w:bCs w:val="0"/>
                <w:color w:val="auto"/>
                <w:kern w:val="2"/>
                <w:sz w:val="24"/>
                <w:szCs w:val="24"/>
                <w:highlight w:val="none"/>
                <w:lang w:val="en-US" w:eastAsia="zh-CN" w:bidi="ar"/>
              </w:rPr>
              <w:t>70</w:t>
            </w:r>
            <w:r>
              <w:rPr>
                <w:rFonts w:hint="eastAsia" w:ascii="宋体" w:hAnsi="宋体" w:eastAsia="宋体" w:cs="宋体"/>
                <w:b/>
                <w:bCs w:val="0"/>
                <w:color w:val="auto"/>
                <w:kern w:val="2"/>
                <w:sz w:val="24"/>
                <w:szCs w:val="24"/>
                <w:highlight w:val="none"/>
                <w:lang w:val="en-US" w:eastAsia="zh-CN" w:bidi="ar"/>
              </w:rPr>
              <w:t>分</w:t>
            </w:r>
          </w:p>
        </w:tc>
      </w:tr>
      <w:tr w14:paraId="6A7A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44C01B9">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D6A6D54">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管理</w:t>
            </w:r>
          </w:p>
          <w:p w14:paraId="42609B1B">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制度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4CB8CC4">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针对本项目提供的管理制度进行综合评分，内容包含但不限于：①质量管理体系完善、健全；财务会计制度完善、健全；②管理制度完善、健全；③食品安全检验检测制度特别是抽样检验法规规范及知识培训制度完善（有相应的培训记录佐证材料）、健全；④责任追究制度完善、健全；⑤检验档案管理制度完善、健全。以上五项内容均有体现且完全满足采购实际需求的得5分；每有一项内容缺失的扣1分；每有一项内容存在缺陷或者不能满足采购实际需求的扣0.5分，扣完为止；本项满分为5分，未提供管理制度的则不得分。注：</w:t>
            </w:r>
            <w:r>
              <w:rPr>
                <w:rFonts w:hint="eastAsia" w:ascii="宋体" w:hAnsi="宋体" w:eastAsia="宋体" w:cs="宋体"/>
                <w:bCs/>
                <w:color w:val="auto"/>
                <w:kern w:val="2"/>
                <w:sz w:val="24"/>
                <w:szCs w:val="24"/>
                <w:highlight w:val="none"/>
                <w:lang w:val="en-US" w:eastAsia="zh-CN" w:bidi="ar"/>
              </w:rPr>
              <w:t>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2FA1456">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2933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5147720">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ED826D5">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突发事件的应急响应方案</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26F235C">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rPr>
              <w:t>根据承担抽检任务提供的事前、事中、事后应急预防处理措施包括但不限于：</w:t>
            </w:r>
          </w:p>
          <w:p w14:paraId="3B5839FD">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（1）突发食品安全事件应对；</w:t>
            </w:r>
          </w:p>
          <w:p w14:paraId="22F025CF">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（2）</w:t>
            </w:r>
            <w:r>
              <w:rPr>
                <w:rFonts w:hint="eastAsia" w:ascii="宋体" w:hAnsi="宋体" w:eastAsia="宋体" w:cs="仿宋"/>
                <w:bCs/>
                <w:color w:val="auto"/>
                <w:kern w:val="2"/>
                <w:sz w:val="24"/>
                <w:szCs w:val="24"/>
                <w:highlight w:val="none"/>
                <w:lang w:eastAsia="zh-CN"/>
              </w:rPr>
              <w:t>现场抽样</w:t>
            </w:r>
            <w:r>
              <w:rPr>
                <w:rFonts w:hint="eastAsia" w:ascii="宋体" w:hAnsi="宋体" w:eastAsia="宋体" w:cs="仿宋"/>
                <w:bCs/>
                <w:color w:val="auto"/>
                <w:kern w:val="2"/>
                <w:sz w:val="24"/>
                <w:szCs w:val="24"/>
                <w:highlight w:val="none"/>
              </w:rPr>
              <w:t>应急预案；</w:t>
            </w:r>
          </w:p>
          <w:p w14:paraId="29C41D24">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（3）实验室检验检测应急预案；</w:t>
            </w:r>
          </w:p>
          <w:p w14:paraId="1F1DD838">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（4）检验数据应急上报；</w:t>
            </w:r>
          </w:p>
          <w:p w14:paraId="24C56268">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（5）实验室对发生食品检测安全事故的处置；</w:t>
            </w:r>
          </w:p>
          <w:p w14:paraId="42FC22AD">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（6）对相关责任部门及责任人重大失误的处理等。</w:t>
            </w:r>
          </w:p>
          <w:p w14:paraId="1E5EFB4A">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以上方案内容均符合实际情况、内容完善详细、健全、完全响应采购要求的的得6分，</w:t>
            </w:r>
            <w:r>
              <w:rPr>
                <w:rFonts w:hint="eastAsia" w:ascii="宋体" w:hAnsi="宋体" w:eastAsia="宋体" w:cs="宋体"/>
                <w:color w:val="auto"/>
                <w:kern w:val="2"/>
                <w:sz w:val="24"/>
                <w:szCs w:val="24"/>
                <w:highlight w:val="none"/>
                <w:lang w:val="en-US" w:eastAsia="zh-CN" w:bidi="ar"/>
              </w:rPr>
              <w:t>每有一项内容缺失的扣1分</w:t>
            </w:r>
            <w:r>
              <w:rPr>
                <w:rFonts w:hint="eastAsia" w:ascii="宋体" w:hAnsi="宋体" w:cs="宋体"/>
                <w:color w:val="auto"/>
                <w:kern w:val="2"/>
                <w:sz w:val="24"/>
                <w:szCs w:val="24"/>
                <w:highlight w:val="none"/>
                <w:lang w:val="en-US" w:eastAsia="zh-CN" w:bidi="ar"/>
              </w:rPr>
              <w:t>，</w:t>
            </w:r>
            <w:r>
              <w:rPr>
                <w:rFonts w:hint="eastAsia" w:ascii="宋体" w:hAnsi="宋体" w:eastAsia="宋体" w:cs="仿宋"/>
                <w:bCs/>
                <w:color w:val="auto"/>
                <w:kern w:val="2"/>
                <w:sz w:val="24"/>
                <w:szCs w:val="24"/>
                <w:highlight w:val="none"/>
              </w:rPr>
              <w:t>每有一项内容不完整或未能满足采购需求的或每有一处不具有针对性或逻辑性错误且不完整的扣0.5分，扣完为止。</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E00E9FB">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6</w:t>
            </w:r>
            <w:r>
              <w:rPr>
                <w:rFonts w:hint="eastAsia" w:ascii="宋体" w:hAnsi="宋体" w:eastAsia="宋体" w:cs="宋体"/>
                <w:color w:val="auto"/>
                <w:kern w:val="2"/>
                <w:sz w:val="24"/>
                <w:szCs w:val="24"/>
                <w:highlight w:val="none"/>
                <w:lang w:val="en-US" w:eastAsia="zh-CN" w:bidi="ar"/>
              </w:rPr>
              <w:t>分</w:t>
            </w:r>
          </w:p>
        </w:tc>
      </w:tr>
      <w:tr w14:paraId="4300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1029FF3">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87BA4EF">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项目服务方案</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E9EFBC7">
            <w:pPr>
              <w:keepNext w:val="0"/>
              <w:keepLines w:val="0"/>
              <w:widowControl w:val="0"/>
              <w:suppressLineNumbers w:val="0"/>
              <w:spacing w:before="0" w:beforeAutospacing="0" w:after="0" w:afterAutospacing="0" w:line="300" w:lineRule="exact"/>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根据投标人针对本项目提供的</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进行综合评分，内容包含但不限于：①</w:t>
            </w:r>
            <w:r>
              <w:rPr>
                <w:rFonts w:hint="eastAsia" w:ascii="宋体" w:hAnsi="宋体" w:eastAsia="宋体" w:cs="宋体"/>
                <w:color w:val="auto"/>
                <w:kern w:val="2"/>
                <w:sz w:val="24"/>
                <w:szCs w:val="24"/>
                <w:highlight w:val="none"/>
                <w:lang w:val="en-US" w:eastAsia="zh-CN" w:bidi="ar"/>
              </w:rPr>
              <w:t>拥有独立稳定持久的实验室管理系统</w:t>
            </w:r>
            <w:r>
              <w:rPr>
                <w:rFonts w:hint="eastAsia" w:ascii="宋体" w:hAnsi="宋体" w:eastAsia="宋体" w:cs="宋体"/>
                <w:bCs/>
                <w:color w:val="auto"/>
                <w:kern w:val="2"/>
                <w:sz w:val="24"/>
                <w:szCs w:val="24"/>
                <w:highlight w:val="none"/>
                <w:lang w:val="en-US" w:eastAsia="zh-CN" w:bidi="ar"/>
              </w:rPr>
              <w:t>；②</w:t>
            </w:r>
            <w:r>
              <w:rPr>
                <w:rFonts w:hint="eastAsia" w:ascii="宋体" w:hAnsi="宋体" w:eastAsia="宋体" w:cs="宋体"/>
                <w:color w:val="auto"/>
                <w:kern w:val="2"/>
                <w:sz w:val="24"/>
                <w:szCs w:val="24"/>
                <w:highlight w:val="none"/>
                <w:lang w:val="en-US" w:eastAsia="zh-CN" w:bidi="ar"/>
              </w:rPr>
              <w:t>实现抽样、流转、检验、原始记录、出具报告全环节在线管理且可追溯</w:t>
            </w:r>
            <w:r>
              <w:rPr>
                <w:rFonts w:hint="eastAsia" w:ascii="宋体" w:hAnsi="宋体" w:eastAsia="宋体" w:cs="宋体"/>
                <w:bCs/>
                <w:color w:val="auto"/>
                <w:kern w:val="2"/>
                <w:sz w:val="24"/>
                <w:szCs w:val="24"/>
                <w:highlight w:val="none"/>
                <w:lang w:val="en-US" w:eastAsia="zh-CN" w:bidi="ar"/>
              </w:rPr>
              <w:t>；以上两项内容均有体现且完全满足采购实际需求的得</w:t>
            </w:r>
            <w:r>
              <w:rPr>
                <w:rFonts w:hint="eastAsia" w:ascii="宋体" w:hAnsi="宋体" w:cs="仿宋"/>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分；每有一项内容缺失的扣</w:t>
            </w:r>
            <w:r>
              <w:rPr>
                <w:rFonts w:hint="eastAsia" w:ascii="宋体" w:hAnsi="宋体" w:cs="宋体"/>
                <w:bCs/>
                <w:color w:val="auto"/>
                <w:kern w:val="2"/>
                <w:sz w:val="24"/>
                <w:szCs w:val="24"/>
                <w:highlight w:val="none"/>
                <w:lang w:val="en-US" w:eastAsia="zh-CN" w:bidi="ar"/>
              </w:rPr>
              <w:t>4.5</w:t>
            </w:r>
            <w:r>
              <w:rPr>
                <w:rFonts w:hint="eastAsia" w:ascii="宋体" w:hAnsi="宋体" w:eastAsia="宋体" w:cs="宋体"/>
                <w:bCs/>
                <w:color w:val="auto"/>
                <w:kern w:val="2"/>
                <w:sz w:val="24"/>
                <w:szCs w:val="24"/>
                <w:highlight w:val="none"/>
                <w:lang w:val="en-US" w:eastAsia="zh-CN" w:bidi="ar"/>
              </w:rPr>
              <w:t>分；每有一项内容存在缺陷或者不能满足采购实际需求的扣</w:t>
            </w:r>
            <w:r>
              <w:rPr>
                <w:rFonts w:hint="eastAsia" w:ascii="宋体" w:hAnsi="宋体" w:cs="宋体"/>
                <w:bCs/>
                <w:color w:val="auto"/>
                <w:kern w:val="2"/>
                <w:sz w:val="24"/>
                <w:szCs w:val="24"/>
                <w:highlight w:val="none"/>
                <w:lang w:val="en-US" w:eastAsia="zh-CN" w:bidi="ar"/>
              </w:rPr>
              <w:t>2</w:t>
            </w:r>
            <w:r>
              <w:rPr>
                <w:rFonts w:hint="eastAsia" w:ascii="宋体" w:hAnsi="宋体" w:eastAsia="宋体" w:cs="宋体"/>
                <w:bCs/>
                <w:color w:val="auto"/>
                <w:kern w:val="2"/>
                <w:sz w:val="24"/>
                <w:szCs w:val="24"/>
                <w:highlight w:val="none"/>
                <w:lang w:val="en-US" w:eastAsia="zh-CN" w:bidi="ar"/>
              </w:rPr>
              <w:t>分，扣完为止；本项满分为</w:t>
            </w:r>
            <w:r>
              <w:rPr>
                <w:rFonts w:hint="eastAsia" w:ascii="宋体" w:hAnsi="宋体" w:cs="宋体"/>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分，未提供</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5282E44">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9</w:t>
            </w:r>
            <w:r>
              <w:rPr>
                <w:rFonts w:hint="eastAsia" w:ascii="宋体" w:hAnsi="宋体" w:eastAsia="宋体" w:cs="宋体"/>
                <w:color w:val="auto"/>
                <w:kern w:val="2"/>
                <w:sz w:val="24"/>
                <w:szCs w:val="24"/>
                <w:highlight w:val="none"/>
                <w:lang w:val="en-US" w:eastAsia="zh-CN" w:bidi="ar"/>
              </w:rPr>
              <w:t>分</w:t>
            </w:r>
          </w:p>
        </w:tc>
      </w:tr>
      <w:tr w14:paraId="3DA34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D4220F5">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0F7D33D">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项目实施时间进度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27133B2">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针对本项目提供的项目实施时间进度进行综合评分，内容包含但不限于：①实施时间的进度；②实施时间的保障措施；以上两项内容均有体现且完全满足采购实际需求的得5分；每有一项内容缺失的扣2.5分；每有一项内容存在缺陷或者不能满足采购实际需求的扣1.5分，扣完为止；本项满分为5分，未提供项目服务方案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C7768EF">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598F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68C76FC">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C26B54C">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工作</w:t>
            </w:r>
          </w:p>
          <w:p w14:paraId="78EEB173">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场地</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10E7B16">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lang w:val="zh-CN"/>
              </w:rPr>
            </w:pPr>
            <w:r>
              <w:rPr>
                <w:rFonts w:hint="eastAsia" w:ascii="宋体" w:hAnsi="宋体" w:eastAsia="宋体" w:cs="仿宋"/>
                <w:bCs/>
                <w:color w:val="auto"/>
                <w:kern w:val="2"/>
                <w:sz w:val="24"/>
                <w:szCs w:val="24"/>
                <w:highlight w:val="none"/>
              </w:rPr>
              <w:t>1.投标人具备独立开展食品安全检验实验室，环境良好，布局合理，根据</w:t>
            </w:r>
            <w:r>
              <w:rPr>
                <w:rFonts w:hint="eastAsia" w:ascii="宋体" w:hAnsi="宋体" w:eastAsia="宋体" w:cs="仿宋"/>
                <w:bCs/>
                <w:color w:val="auto"/>
                <w:kern w:val="2"/>
                <w:sz w:val="24"/>
                <w:szCs w:val="24"/>
                <w:highlight w:val="none"/>
                <w:lang w:val="zh-CN"/>
              </w:rPr>
              <w:t>开展食品安全抽样检验工作实验场所面积</w:t>
            </w:r>
            <w:r>
              <w:rPr>
                <w:rFonts w:hint="eastAsia" w:ascii="宋体" w:hAnsi="宋体" w:eastAsia="宋体" w:cs="仿宋"/>
                <w:bCs/>
                <w:color w:val="auto"/>
                <w:kern w:val="2"/>
                <w:sz w:val="24"/>
                <w:szCs w:val="24"/>
                <w:highlight w:val="none"/>
              </w:rPr>
              <w:t>综合评定</w:t>
            </w:r>
            <w:r>
              <w:rPr>
                <w:rFonts w:hint="eastAsia" w:ascii="宋体" w:hAnsi="宋体" w:eastAsia="宋体" w:cs="仿宋"/>
                <w:bCs/>
                <w:color w:val="auto"/>
                <w:kern w:val="2"/>
                <w:sz w:val="24"/>
                <w:szCs w:val="24"/>
                <w:highlight w:val="none"/>
                <w:lang w:val="zh-CN"/>
              </w:rPr>
              <w:t>：</w:t>
            </w:r>
          </w:p>
          <w:p w14:paraId="26F943D9">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（1）5000（含）平方米及以上，得3分；</w:t>
            </w:r>
          </w:p>
          <w:p w14:paraId="742D60A2">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（2）4000（含）-5000（不含）平方米，得2分；</w:t>
            </w:r>
          </w:p>
          <w:p w14:paraId="2CB2E121">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（3）3000（含）-4000（不含）平方米，得1分；</w:t>
            </w:r>
          </w:p>
          <w:p w14:paraId="3A2D51C0">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（4）不符合上述要求的，得0分。</w:t>
            </w:r>
          </w:p>
          <w:p w14:paraId="6B47567B">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注：</w:t>
            </w:r>
            <w:r>
              <w:rPr>
                <w:rFonts w:hint="eastAsia" w:ascii="宋体" w:hAnsi="宋体" w:cs="仿宋"/>
                <w:bCs/>
                <w:color w:val="auto"/>
                <w:kern w:val="2"/>
                <w:sz w:val="24"/>
                <w:szCs w:val="24"/>
                <w:highlight w:val="none"/>
                <w:lang w:val="en-US" w:eastAsia="zh-CN"/>
              </w:rPr>
              <w:t>①</w:t>
            </w:r>
            <w:r>
              <w:rPr>
                <w:rFonts w:hint="eastAsia" w:ascii="宋体" w:hAnsi="宋体" w:eastAsia="宋体" w:cs="仿宋"/>
                <w:bCs/>
                <w:color w:val="auto"/>
                <w:kern w:val="2"/>
                <w:sz w:val="24"/>
                <w:szCs w:val="24"/>
                <w:highlight w:val="none"/>
              </w:rPr>
              <w:t>投标人</w:t>
            </w:r>
            <w:r>
              <w:rPr>
                <w:rFonts w:hint="eastAsia" w:ascii="宋体" w:hAnsi="宋体" w:eastAsia="宋体" w:cs="仿宋"/>
                <w:bCs/>
                <w:color w:val="auto"/>
                <w:kern w:val="2"/>
                <w:sz w:val="24"/>
                <w:szCs w:val="24"/>
                <w:highlight w:val="none"/>
                <w:lang w:val="zh-CN"/>
              </w:rPr>
              <w:t>须承诺抽样检验的实验室为</w:t>
            </w:r>
            <w:r>
              <w:rPr>
                <w:rFonts w:hint="eastAsia" w:ascii="宋体" w:hAnsi="宋体" w:eastAsia="宋体" w:cs="仿宋"/>
                <w:bCs/>
                <w:color w:val="auto"/>
                <w:kern w:val="2"/>
                <w:sz w:val="24"/>
                <w:szCs w:val="24"/>
                <w:highlight w:val="none"/>
              </w:rPr>
              <w:t>投标人</w:t>
            </w:r>
            <w:r>
              <w:rPr>
                <w:rFonts w:hint="eastAsia" w:ascii="宋体" w:hAnsi="宋体" w:eastAsia="宋体" w:cs="仿宋"/>
                <w:bCs/>
                <w:color w:val="auto"/>
                <w:kern w:val="2"/>
                <w:sz w:val="24"/>
                <w:szCs w:val="24"/>
                <w:highlight w:val="none"/>
                <w:lang w:val="zh-CN"/>
              </w:rPr>
              <w:t>自有实验室，并提供承诺书。招标人有权在合同签订前进行现场考察，一旦发现弄虚作假，将取消中标资格，并报有关部门严肃处理；</w:t>
            </w:r>
            <w:r>
              <w:rPr>
                <w:rFonts w:hint="eastAsia" w:ascii="宋体" w:hAnsi="宋体" w:cs="仿宋"/>
                <w:bCs/>
                <w:color w:val="auto"/>
                <w:kern w:val="2"/>
                <w:sz w:val="24"/>
                <w:szCs w:val="24"/>
                <w:highlight w:val="none"/>
                <w:lang w:val="en-US" w:eastAsia="zh-CN"/>
              </w:rPr>
              <w:t>②</w:t>
            </w:r>
            <w:r>
              <w:rPr>
                <w:rFonts w:hint="eastAsia" w:ascii="宋体" w:hAnsi="宋体" w:eastAsia="宋体" w:cs="仿宋"/>
                <w:bCs/>
                <w:color w:val="auto"/>
                <w:kern w:val="2"/>
                <w:sz w:val="24"/>
                <w:szCs w:val="24"/>
                <w:highlight w:val="none"/>
                <w:lang w:val="zh-CN"/>
              </w:rPr>
              <w:t>提供抽样检验场所的房产证或所有权证明文件或服务期内有效的房屋租赁合同加发票扫描件及相关证明材料</w:t>
            </w:r>
            <w:r>
              <w:rPr>
                <w:rFonts w:hint="eastAsia" w:ascii="宋体" w:hAnsi="宋体" w:eastAsia="宋体" w:cs="仿宋"/>
                <w:bCs/>
                <w:color w:val="auto"/>
                <w:kern w:val="2"/>
                <w:sz w:val="24"/>
                <w:szCs w:val="24"/>
                <w:highlight w:val="none"/>
              </w:rPr>
              <w:t>（租房合同须为投标人签署或房屋产权证书产权人为投标人）</w:t>
            </w:r>
            <w:r>
              <w:rPr>
                <w:rFonts w:hint="eastAsia" w:ascii="宋体" w:hAnsi="宋体" w:eastAsia="宋体" w:cs="仿宋"/>
                <w:bCs/>
                <w:color w:val="auto"/>
                <w:kern w:val="2"/>
                <w:sz w:val="24"/>
                <w:szCs w:val="24"/>
                <w:highlight w:val="none"/>
                <w:lang w:val="zh-CN"/>
              </w:rPr>
              <w:t>；</w:t>
            </w:r>
            <w:r>
              <w:rPr>
                <w:rFonts w:hint="eastAsia" w:ascii="宋体" w:hAnsi="宋体" w:cs="仿宋"/>
                <w:bCs/>
                <w:color w:val="auto"/>
                <w:kern w:val="2"/>
                <w:sz w:val="24"/>
                <w:szCs w:val="24"/>
                <w:highlight w:val="none"/>
                <w:lang w:val="en-US" w:eastAsia="zh-CN"/>
              </w:rPr>
              <w:t>③</w:t>
            </w:r>
            <w:r>
              <w:rPr>
                <w:rFonts w:hint="eastAsia" w:ascii="宋体" w:hAnsi="宋体" w:eastAsia="宋体" w:cs="仿宋"/>
                <w:bCs/>
                <w:color w:val="auto"/>
                <w:kern w:val="2"/>
                <w:sz w:val="24"/>
                <w:szCs w:val="24"/>
                <w:highlight w:val="none"/>
                <w:lang w:val="zh-CN"/>
              </w:rPr>
              <w:t>提供食品实验室平面布局图，并提供各组成部分面积清单；</w:t>
            </w:r>
            <w:r>
              <w:rPr>
                <w:rFonts w:hint="eastAsia" w:ascii="宋体" w:hAnsi="宋体" w:cs="仿宋"/>
                <w:bCs/>
                <w:color w:val="auto"/>
                <w:kern w:val="2"/>
                <w:sz w:val="24"/>
                <w:szCs w:val="24"/>
                <w:highlight w:val="none"/>
                <w:lang w:val="en-US" w:eastAsia="zh-CN"/>
              </w:rPr>
              <w:t>④</w:t>
            </w:r>
            <w:r>
              <w:rPr>
                <w:rFonts w:hint="eastAsia" w:ascii="宋体" w:hAnsi="宋体" w:eastAsia="宋体" w:cs="仿宋"/>
                <w:bCs/>
                <w:color w:val="auto"/>
                <w:kern w:val="2"/>
                <w:sz w:val="24"/>
                <w:szCs w:val="24"/>
                <w:highlight w:val="none"/>
                <w:lang w:val="zh-CN"/>
              </w:rPr>
              <w:t>未达到上述要求或未提供有效证明文件的不得分。</w:t>
            </w:r>
          </w:p>
          <w:p w14:paraId="623497EE">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2.投标人具备独立的微生物实验室，面积综合评定：</w:t>
            </w:r>
          </w:p>
          <w:p w14:paraId="6645B314">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（1）300（含）平方米及以上，得2分；</w:t>
            </w:r>
          </w:p>
          <w:p w14:paraId="003BA2A7">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（2）100（含）-300（不含）平方米，得1分；</w:t>
            </w:r>
          </w:p>
          <w:p w14:paraId="7A52A0A8">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（3）不符合上述要求的，得0分。</w:t>
            </w:r>
          </w:p>
          <w:p w14:paraId="782DEAE8">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注：</w:t>
            </w:r>
            <w:r>
              <w:rPr>
                <w:rFonts w:hint="eastAsia" w:ascii="宋体" w:hAnsi="宋体" w:cs="仿宋"/>
                <w:bCs/>
                <w:color w:val="auto"/>
                <w:kern w:val="2"/>
                <w:sz w:val="24"/>
                <w:szCs w:val="24"/>
                <w:highlight w:val="none"/>
                <w:lang w:val="en-US" w:eastAsia="zh-CN"/>
              </w:rPr>
              <w:t>①</w:t>
            </w:r>
            <w:r>
              <w:rPr>
                <w:rFonts w:hint="eastAsia" w:ascii="宋体" w:hAnsi="宋体" w:eastAsia="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lang w:val="zh-CN" w:eastAsia="zh-CN"/>
              </w:rPr>
              <w:t>须承诺</w:t>
            </w:r>
            <w:r>
              <w:rPr>
                <w:rFonts w:hint="eastAsia" w:ascii="宋体" w:hAnsi="宋体" w:eastAsia="宋体" w:cs="仿宋"/>
                <w:bCs/>
                <w:color w:val="auto"/>
                <w:kern w:val="2"/>
                <w:sz w:val="24"/>
                <w:szCs w:val="24"/>
                <w:highlight w:val="none"/>
                <w:lang w:val="en-US" w:eastAsia="zh-CN"/>
              </w:rPr>
              <w:t>微生物</w:t>
            </w:r>
            <w:r>
              <w:rPr>
                <w:rFonts w:hint="eastAsia" w:ascii="宋体" w:hAnsi="宋体" w:eastAsia="宋体" w:cs="仿宋"/>
                <w:bCs/>
                <w:color w:val="auto"/>
                <w:kern w:val="2"/>
                <w:sz w:val="24"/>
                <w:szCs w:val="24"/>
                <w:highlight w:val="none"/>
                <w:lang w:val="zh-CN" w:eastAsia="zh-CN"/>
              </w:rPr>
              <w:t>实验室为</w:t>
            </w:r>
            <w:r>
              <w:rPr>
                <w:rFonts w:hint="eastAsia" w:ascii="宋体" w:hAnsi="宋体" w:eastAsia="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lang w:val="zh-CN" w:eastAsia="zh-CN"/>
              </w:rPr>
              <w:t>自有实验室，并提供承诺书。招标人有权在合同签订前进行现场考察，一旦发现弄虚作假，将取消中标资格，并报有关部门严肃处理；</w:t>
            </w:r>
            <w:r>
              <w:rPr>
                <w:rFonts w:hint="eastAsia" w:ascii="宋体" w:hAnsi="宋体" w:cs="仿宋"/>
                <w:bCs/>
                <w:color w:val="auto"/>
                <w:kern w:val="2"/>
                <w:sz w:val="24"/>
                <w:szCs w:val="24"/>
                <w:highlight w:val="none"/>
                <w:lang w:val="en-US" w:eastAsia="zh-CN"/>
              </w:rPr>
              <w:t>②</w:t>
            </w:r>
            <w:r>
              <w:rPr>
                <w:rFonts w:hint="eastAsia" w:ascii="宋体" w:hAnsi="宋体" w:eastAsia="宋体" w:cs="仿宋"/>
                <w:bCs/>
                <w:color w:val="auto"/>
                <w:kern w:val="2"/>
                <w:sz w:val="24"/>
                <w:szCs w:val="24"/>
                <w:highlight w:val="none"/>
                <w:lang w:val="zh-CN" w:eastAsia="zh-CN"/>
              </w:rPr>
              <w:t>提供抽样检验场所的房产证或所有权证明文件或服务期内有效的房屋租赁合同加发票扫描件及相关证明材料</w:t>
            </w:r>
            <w:r>
              <w:rPr>
                <w:rFonts w:hint="eastAsia" w:ascii="宋体" w:hAnsi="宋体" w:eastAsia="宋体" w:cs="仿宋"/>
                <w:bCs/>
                <w:color w:val="auto"/>
                <w:kern w:val="2"/>
                <w:sz w:val="24"/>
                <w:szCs w:val="24"/>
                <w:highlight w:val="none"/>
                <w:lang w:val="en-US" w:eastAsia="zh-CN"/>
              </w:rPr>
              <w:t>（租房合同须为投标人签署或房屋产权证书产权人为投标人）</w:t>
            </w:r>
            <w:r>
              <w:rPr>
                <w:rFonts w:hint="eastAsia" w:ascii="宋体" w:hAnsi="宋体" w:eastAsia="宋体" w:cs="仿宋"/>
                <w:bCs/>
                <w:color w:val="auto"/>
                <w:kern w:val="2"/>
                <w:sz w:val="24"/>
                <w:szCs w:val="24"/>
                <w:highlight w:val="none"/>
                <w:lang w:val="zh-CN" w:eastAsia="zh-CN"/>
              </w:rPr>
              <w:t>；</w:t>
            </w:r>
            <w:r>
              <w:rPr>
                <w:rFonts w:hint="eastAsia" w:ascii="宋体" w:hAnsi="宋体" w:cs="仿宋"/>
                <w:bCs/>
                <w:color w:val="auto"/>
                <w:kern w:val="2"/>
                <w:sz w:val="24"/>
                <w:szCs w:val="24"/>
                <w:highlight w:val="none"/>
                <w:lang w:val="en-US" w:eastAsia="zh-CN"/>
              </w:rPr>
              <w:t>③</w:t>
            </w:r>
            <w:r>
              <w:rPr>
                <w:rFonts w:hint="eastAsia" w:ascii="宋体" w:hAnsi="宋体" w:eastAsia="宋体" w:cs="仿宋"/>
                <w:bCs/>
                <w:color w:val="auto"/>
                <w:kern w:val="2"/>
                <w:sz w:val="24"/>
                <w:szCs w:val="24"/>
                <w:highlight w:val="none"/>
                <w:lang w:val="zh-CN" w:eastAsia="zh-CN"/>
              </w:rPr>
              <w:t>提供</w:t>
            </w:r>
            <w:r>
              <w:rPr>
                <w:rFonts w:hint="eastAsia" w:ascii="宋体" w:hAnsi="宋体" w:eastAsia="宋体" w:cs="仿宋"/>
                <w:bCs/>
                <w:color w:val="auto"/>
                <w:kern w:val="2"/>
                <w:sz w:val="24"/>
                <w:szCs w:val="24"/>
                <w:highlight w:val="none"/>
                <w:lang w:val="en-US" w:eastAsia="zh-CN"/>
              </w:rPr>
              <w:t>微生物</w:t>
            </w:r>
            <w:r>
              <w:rPr>
                <w:rFonts w:hint="eastAsia" w:ascii="宋体" w:hAnsi="宋体" w:eastAsia="宋体" w:cs="仿宋"/>
                <w:bCs/>
                <w:color w:val="auto"/>
                <w:kern w:val="2"/>
                <w:sz w:val="24"/>
                <w:szCs w:val="24"/>
                <w:highlight w:val="none"/>
                <w:lang w:val="zh-CN" w:eastAsia="zh-CN"/>
              </w:rPr>
              <w:t>实验室</w:t>
            </w:r>
            <w:r>
              <w:rPr>
                <w:rFonts w:hint="eastAsia" w:ascii="宋体" w:hAnsi="宋体" w:eastAsia="宋体" w:cs="仿宋"/>
                <w:bCs/>
                <w:color w:val="auto"/>
                <w:kern w:val="2"/>
                <w:sz w:val="24"/>
                <w:szCs w:val="24"/>
                <w:highlight w:val="none"/>
                <w:lang w:val="en-US" w:eastAsia="zh-CN"/>
              </w:rPr>
              <w:t>及</w:t>
            </w:r>
            <w:r>
              <w:rPr>
                <w:rFonts w:hint="eastAsia" w:ascii="宋体" w:hAnsi="宋体" w:eastAsia="宋体" w:cs="仿宋"/>
                <w:bCs/>
                <w:color w:val="auto"/>
                <w:kern w:val="2"/>
                <w:sz w:val="24"/>
                <w:szCs w:val="24"/>
                <w:highlight w:val="none"/>
                <w:lang w:val="zh-CN" w:eastAsia="zh-CN"/>
              </w:rPr>
              <w:t>平面布局图，并提供各组成部分面积清单；</w:t>
            </w:r>
            <w:r>
              <w:rPr>
                <w:rFonts w:hint="eastAsia" w:ascii="宋体" w:hAnsi="宋体" w:cs="仿宋"/>
                <w:bCs/>
                <w:color w:val="auto"/>
                <w:kern w:val="2"/>
                <w:sz w:val="24"/>
                <w:szCs w:val="24"/>
                <w:highlight w:val="none"/>
                <w:lang w:val="en-US" w:eastAsia="zh-CN"/>
              </w:rPr>
              <w:t>④</w:t>
            </w:r>
            <w:r>
              <w:rPr>
                <w:rFonts w:hint="eastAsia" w:ascii="宋体" w:hAnsi="宋体" w:eastAsia="宋体" w:cs="仿宋"/>
                <w:bCs/>
                <w:color w:val="auto"/>
                <w:kern w:val="2"/>
                <w:sz w:val="24"/>
                <w:szCs w:val="24"/>
                <w:highlight w:val="none"/>
                <w:lang w:val="zh-CN" w:eastAsia="zh-CN"/>
              </w:rPr>
              <w:t>未达到上述要求或未提供有效证明文件的不得分。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E6E8FE8">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74C3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79"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5585522">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26CDE21F">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检验设备设施</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8D2FAA8">
            <w:pPr>
              <w:keepNext w:val="0"/>
              <w:keepLines w:val="0"/>
              <w:widowControl w:val="0"/>
              <w:numPr>
                <w:ilvl w:val="0"/>
                <w:numId w:val="8"/>
              </w:numPr>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具备液质联用仪GC/MS/MS、气质联用仪LC/MS/MS、HPLC（高效液相色谱仪）、GC（气相色谱仪）、UV（紫外分光光度计）、AAS（原子吸收光谱仪）、微波消解仪等（或同功能设备）、ICP-MS（电感耦合等离子体质谱仪）、IC（离子色谱仪）、电感耦合等离子体发射光谱仪（ICP-OES）、液相-原子荧光联用仪（LC-AFS）等与本项目相关的设备，得6分，少一项扣1分，扣完为止。</w:t>
            </w:r>
          </w:p>
          <w:p w14:paraId="4B6E09D2">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如果具备以上设备，20台以上（含）的，且GC/MS/MS、LC/MS/MS各2台以上（含）加2分；如果具备以上设备15台以上（含）的，且GC/MS/MS、LC/MS/MS各2台以上（含）加1.5分；如果具备以上设备10台以上（含）的，且GC/MS/MS或LC/MS/MS各2台以上（含）加1分；其他情况得0分。</w:t>
            </w:r>
          </w:p>
          <w:p w14:paraId="5A1EFC49">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（提供仪器设备清单、设备购置发票或仪器计量检定校准认证证书、相关实验室放置图片证明、购销合同或售后服务保障证明）</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B5B39C0">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8分</w:t>
            </w:r>
          </w:p>
        </w:tc>
      </w:tr>
      <w:tr w14:paraId="6D6D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8111728">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7C27C01">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样品运输及冷藏设备</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90E7952">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样品运输设备，如冷藏设备及车辆配置等情况进行比较（提供发票复印件）：自有或租赁车辆4辆以上（含4辆）、冷藏设备6台以上（含6台）得3分；自有或租赁车辆2-3辆（含2辆）、冷藏设备4-5台得2分；自有或租赁车辆2辆以下（含2辆）、冷藏设备4台以下得1分；其它情况0分。</w:t>
            </w:r>
          </w:p>
          <w:p w14:paraId="21DF5B38">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投标人自建或者租赁冷库面积50㎡以上（含50㎡）得1分，自建或者租赁冷库面积30㎡-50㎡得0.5分；其他情况0分。</w:t>
            </w:r>
          </w:p>
          <w:p w14:paraId="06502659">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注：需提供项目本地采样车辆和冷藏设备的图片证明材料，冷库建设或者租赁合同。</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AF915DF">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4分</w:t>
            </w:r>
          </w:p>
        </w:tc>
      </w:tr>
      <w:tr w14:paraId="1C74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3D9CB05">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43B5ED09">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科研及技术创新能力评价</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FA36100">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1、近三年（2023年-至今）投标人</w:t>
            </w:r>
            <w:r>
              <w:rPr>
                <w:rFonts w:hint="eastAsia"/>
                <w:color w:val="auto"/>
                <w:sz w:val="24"/>
                <w:szCs w:val="24"/>
                <w:highlight w:val="none"/>
                <w:lang w:eastAsia="zh-CN"/>
              </w:rPr>
              <w:t>起草食品检测相关标准</w:t>
            </w:r>
            <w:r>
              <w:rPr>
                <w:rFonts w:hint="eastAsia"/>
                <w:color w:val="auto"/>
                <w:sz w:val="24"/>
                <w:szCs w:val="24"/>
                <w:highlight w:val="none"/>
                <w:lang w:val="en-US" w:eastAsia="zh-CN"/>
              </w:rPr>
              <w:t>一项得0.5分</w:t>
            </w:r>
            <w:r>
              <w:rPr>
                <w:rFonts w:hint="eastAsia" w:ascii="宋体" w:hAnsi="宋体" w:eastAsia="宋体" w:cs="宋体"/>
                <w:color w:val="auto"/>
                <w:kern w:val="2"/>
                <w:sz w:val="24"/>
                <w:szCs w:val="24"/>
                <w:highlight w:val="none"/>
                <w:lang w:val="en-US" w:eastAsia="zh-CN" w:bidi="ar"/>
              </w:rPr>
              <w:t>；本项满分</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w:t>
            </w:r>
          </w:p>
          <w:p w14:paraId="2F8BF2AC">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（提供相关标准原文等相关证明材料，否则不得分）</w:t>
            </w:r>
          </w:p>
          <w:p w14:paraId="270F3705">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2.投标人20</w:t>
            </w:r>
            <w:r>
              <w:rPr>
                <w:rFonts w:hint="eastAsia" w:ascii="宋体" w:hAnsi="宋体" w:cs="宋体"/>
                <w:color w:val="auto"/>
                <w:kern w:val="2"/>
                <w:sz w:val="24"/>
                <w:szCs w:val="24"/>
                <w:highlight w:val="none"/>
                <w:lang w:val="en-US" w:eastAsia="zh-CN" w:bidi="ar"/>
              </w:rPr>
              <w:t>21</w:t>
            </w:r>
            <w:r>
              <w:rPr>
                <w:rFonts w:hint="eastAsia" w:ascii="宋体" w:hAnsi="宋体" w:eastAsia="宋体" w:cs="宋体"/>
                <w:color w:val="auto"/>
                <w:kern w:val="2"/>
                <w:sz w:val="24"/>
                <w:szCs w:val="24"/>
                <w:highlight w:val="none"/>
                <w:lang w:val="en-US" w:eastAsia="zh-CN" w:bidi="ar"/>
              </w:rPr>
              <w:t>年1月1日（含）以来获得的</w:t>
            </w:r>
            <w:r>
              <w:rPr>
                <w:rFonts w:hint="eastAsia"/>
                <w:color w:val="auto"/>
                <w:sz w:val="24"/>
                <w:szCs w:val="24"/>
                <w:highlight w:val="none"/>
                <w:lang w:eastAsia="zh-CN"/>
              </w:rPr>
              <w:t>食品检测相关专利证书</w:t>
            </w:r>
            <w:r>
              <w:rPr>
                <w:rFonts w:hint="eastAsia" w:ascii="宋体" w:hAnsi="宋体" w:eastAsia="宋体" w:cs="宋体"/>
                <w:color w:val="auto"/>
                <w:kern w:val="2"/>
                <w:sz w:val="24"/>
                <w:szCs w:val="24"/>
                <w:highlight w:val="none"/>
                <w:lang w:val="en-US" w:eastAsia="zh-CN" w:bidi="ar"/>
              </w:rPr>
              <w:t>，有1个得0.5分，最高得</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分。（需提供专利证书证明材料备查，软件著作权登记证书不得分）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D8196AB">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分</w:t>
            </w:r>
          </w:p>
        </w:tc>
      </w:tr>
      <w:tr w14:paraId="73AD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45D03DB">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CC6E4AF">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项目负责人及证书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01AE4BB">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具备食品相关专业高级以上职称，有类似项目经历的得4分；具备相关食品专业中级职称，缺少类似项目经历的得2分。中途更换，视为违约。（需提供职称证书和</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项目负责人（</w:t>
            </w:r>
            <w:r>
              <w:rPr>
                <w:rFonts w:hint="eastAsia" w:ascii="宋体" w:hAnsi="宋体" w:cs="宋体"/>
                <w:color w:val="auto"/>
                <w:kern w:val="2"/>
                <w:sz w:val="24"/>
                <w:szCs w:val="24"/>
                <w:highlight w:val="none"/>
                <w:lang w:val="en-US" w:eastAsia="zh-CN" w:bidi="ar"/>
              </w:rPr>
              <w:t>含</w:t>
            </w:r>
            <w:r>
              <w:rPr>
                <w:rFonts w:hint="eastAsia" w:ascii="宋体" w:hAnsi="宋体" w:eastAsia="宋体" w:cs="宋体"/>
                <w:color w:val="auto"/>
                <w:kern w:val="2"/>
                <w:sz w:val="24"/>
                <w:szCs w:val="24"/>
                <w:highlight w:val="none"/>
                <w:lang w:val="en-US" w:eastAsia="zh-CN" w:bidi="ar"/>
              </w:rPr>
              <w:t>主要技术人员）应与投标书内人员一致）</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D43E878">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4分</w:t>
            </w:r>
          </w:p>
        </w:tc>
      </w:tr>
      <w:tr w14:paraId="5FED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vMerge w:val="restart"/>
            <w:tcBorders>
              <w:top w:val="nil"/>
              <w:left w:val="single" w:color="auto" w:sz="4" w:space="0"/>
              <w:bottom w:val="single" w:color="auto" w:sz="4" w:space="0"/>
              <w:right w:val="single" w:color="auto" w:sz="4" w:space="0"/>
            </w:tcBorders>
            <w:shd w:val="clear" w:color="auto" w:fill="auto"/>
            <w:vAlign w:val="center"/>
          </w:tcPr>
          <w:p w14:paraId="157B0A2D">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10</w:t>
            </w:r>
          </w:p>
        </w:tc>
        <w:tc>
          <w:tcPr>
            <w:tcW w:w="1030" w:type="dxa"/>
            <w:vMerge w:val="restart"/>
            <w:tcBorders>
              <w:top w:val="nil"/>
              <w:left w:val="single" w:color="auto" w:sz="4" w:space="0"/>
              <w:bottom w:val="single" w:color="auto" w:sz="4" w:space="0"/>
              <w:right w:val="single" w:color="auto" w:sz="4" w:space="0"/>
            </w:tcBorders>
            <w:shd w:val="clear" w:color="auto" w:fill="auto"/>
            <w:vAlign w:val="center"/>
          </w:tcPr>
          <w:p w14:paraId="05487344">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项目实施团队能力</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60EA857">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1.投标人所配服务人员中为本单位人员，且具有专职承担食品抽检工作的独立抽样人员：10人及以下：1分；11-19人：2分；20人及以上：3分。</w:t>
            </w:r>
          </w:p>
          <w:p w14:paraId="7B04E705">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注：（1）须提供独立抽样工作人员名单及抽样员证（或其他证明性材料）复印件；（2）提供</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材料。</w:t>
            </w:r>
          </w:p>
        </w:tc>
        <w:tc>
          <w:tcPr>
            <w:tcW w:w="1231" w:type="dxa"/>
            <w:vMerge w:val="restart"/>
            <w:tcBorders>
              <w:top w:val="nil"/>
              <w:left w:val="single" w:color="auto" w:sz="4" w:space="0"/>
              <w:bottom w:val="single" w:color="auto" w:sz="4" w:space="0"/>
              <w:right w:val="single" w:color="auto" w:sz="4" w:space="0"/>
            </w:tcBorders>
            <w:shd w:val="clear" w:color="auto" w:fill="auto"/>
            <w:vAlign w:val="center"/>
          </w:tcPr>
          <w:p w14:paraId="4872B874">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9分</w:t>
            </w:r>
          </w:p>
        </w:tc>
      </w:tr>
      <w:tr w14:paraId="68BE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7CB37E4D">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nil"/>
              <w:left w:val="single" w:color="auto" w:sz="4" w:space="0"/>
              <w:bottom w:val="single" w:color="auto" w:sz="4" w:space="0"/>
              <w:right w:val="single" w:color="auto" w:sz="4" w:space="0"/>
            </w:tcBorders>
            <w:shd w:val="clear" w:color="auto" w:fill="auto"/>
            <w:vAlign w:val="center"/>
          </w:tcPr>
          <w:p w14:paraId="785A389B">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1F5EB9A">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2.投标人所配服务人员中为本单位人员，专职从事食品检验人员的数量：20人及以下：1分；21-30人：2分；30人及以上：3分。</w:t>
            </w:r>
          </w:p>
          <w:p w14:paraId="4A275D22">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注：（1）须提供专职从事食品检验人员名单及食品检验人员上岗证（或其他证明性材料）复印件；（2）提供</w:t>
            </w:r>
            <w:r>
              <w:rPr>
                <w:rFonts w:hint="eastAsia"/>
                <w:color w:val="auto"/>
                <w:sz w:val="24"/>
                <w:szCs w:val="24"/>
                <w:highlight w:val="none"/>
                <w:lang w:val="en-US" w:eastAsia="zh-CN"/>
              </w:rPr>
              <w:t>近六个月任意一个月缴纳社会保障证明</w:t>
            </w:r>
            <w:r>
              <w:rPr>
                <w:rFonts w:hint="eastAsia" w:ascii="宋体" w:hAnsi="宋体" w:eastAsia="宋体" w:cs="宋体"/>
                <w:color w:val="auto"/>
                <w:kern w:val="2"/>
                <w:sz w:val="24"/>
                <w:szCs w:val="24"/>
                <w:highlight w:val="none"/>
                <w:lang w:val="en-US" w:eastAsia="zh-CN" w:bidi="ar"/>
              </w:rPr>
              <w:t>材料。</w:t>
            </w:r>
          </w:p>
        </w:tc>
        <w:tc>
          <w:tcPr>
            <w:tcW w:w="1231" w:type="dxa"/>
            <w:vMerge w:val="continue"/>
            <w:tcBorders>
              <w:top w:val="nil"/>
              <w:left w:val="single" w:color="auto" w:sz="4" w:space="0"/>
              <w:bottom w:val="single" w:color="auto" w:sz="4" w:space="0"/>
              <w:right w:val="single" w:color="auto" w:sz="4" w:space="0"/>
            </w:tcBorders>
            <w:shd w:val="clear" w:color="auto" w:fill="auto"/>
            <w:vAlign w:val="center"/>
          </w:tcPr>
          <w:p w14:paraId="13836CEC">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5648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0691812E">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nil"/>
              <w:left w:val="single" w:color="auto" w:sz="4" w:space="0"/>
              <w:bottom w:val="single" w:color="auto" w:sz="4" w:space="0"/>
              <w:right w:val="single" w:color="auto" w:sz="4" w:space="0"/>
            </w:tcBorders>
            <w:shd w:val="clear" w:color="auto" w:fill="auto"/>
            <w:vAlign w:val="center"/>
          </w:tcPr>
          <w:p w14:paraId="59AA5965">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C53D1F6">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3.投标人所配服务人员中为本单位人员，具有高级技术职称，专职从事食品检验业务相关工作且在单位满2年及以上的人员数量：6人及以下：1.5分；7-9人：2分；10人及以上：3分。</w:t>
            </w:r>
          </w:p>
          <w:p w14:paraId="38E18DA2">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注：（1）须提供人员名单（至少包含：姓名、年龄、文化程度、职务、职称、从事本技术领域年限、现在部门岗位）并加盖公章；（2）提供人员高级职称证书复印件；（3）提供</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w:t>
            </w:r>
          </w:p>
        </w:tc>
        <w:tc>
          <w:tcPr>
            <w:tcW w:w="1231" w:type="dxa"/>
            <w:vMerge w:val="continue"/>
            <w:tcBorders>
              <w:top w:val="nil"/>
              <w:left w:val="single" w:color="auto" w:sz="4" w:space="0"/>
              <w:bottom w:val="single" w:color="auto" w:sz="4" w:space="0"/>
              <w:right w:val="single" w:color="auto" w:sz="4" w:space="0"/>
            </w:tcBorders>
            <w:shd w:val="clear" w:color="auto" w:fill="auto"/>
            <w:vAlign w:val="center"/>
          </w:tcPr>
          <w:p w14:paraId="2F0B0995">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07AAA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6C16B8C">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4053A8D">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服务</w:t>
            </w:r>
          </w:p>
          <w:p w14:paraId="5B5A8CA7">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承诺</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57760A1">
            <w:pPr>
              <w:keepNext w:val="0"/>
              <w:keepLines w:val="0"/>
              <w:widowControl w:val="0"/>
              <w:suppressLineNumbers w:val="0"/>
              <w:spacing w:before="0" w:beforeAutospacing="0" w:after="0" w:afterAutospacing="0" w:line="300" w:lineRule="exact"/>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根据投标人针对本项目提供的</w:t>
            </w:r>
            <w:r>
              <w:rPr>
                <w:rFonts w:hint="eastAsia" w:ascii="宋体" w:hAnsi="宋体" w:eastAsia="宋体" w:cs="宋体"/>
                <w:color w:val="auto"/>
                <w:kern w:val="2"/>
                <w:sz w:val="24"/>
                <w:szCs w:val="24"/>
                <w:highlight w:val="none"/>
                <w:lang w:val="en-US" w:eastAsia="zh-CN" w:bidi="ar"/>
              </w:rPr>
              <w:t>服务承诺</w:t>
            </w:r>
            <w:r>
              <w:rPr>
                <w:rFonts w:hint="eastAsia" w:ascii="宋体" w:hAnsi="宋体" w:eastAsia="宋体" w:cs="宋体"/>
                <w:bCs/>
                <w:color w:val="auto"/>
                <w:kern w:val="2"/>
                <w:sz w:val="24"/>
                <w:szCs w:val="24"/>
                <w:highlight w:val="none"/>
                <w:lang w:val="en-US" w:eastAsia="zh-CN" w:bidi="ar"/>
              </w:rPr>
              <w:t>进行综合评分，内容包含但不限于：①</w:t>
            </w:r>
            <w:r>
              <w:rPr>
                <w:rFonts w:hint="eastAsia" w:ascii="宋体" w:hAnsi="宋体" w:eastAsia="宋体" w:cs="宋体"/>
                <w:color w:val="auto"/>
                <w:kern w:val="2"/>
                <w:sz w:val="24"/>
                <w:szCs w:val="24"/>
                <w:highlight w:val="none"/>
                <w:lang w:val="en-US" w:eastAsia="zh-CN" w:bidi="ar"/>
              </w:rPr>
              <w:t>项目实施期间，定时在甲方指定地点参加任务部署会、推进会，缺席2次以上，视为违约</w:t>
            </w:r>
            <w:r>
              <w:rPr>
                <w:rFonts w:hint="eastAsia" w:ascii="宋体" w:hAnsi="宋体" w:eastAsia="宋体" w:cs="宋体"/>
                <w:bCs/>
                <w:color w:val="auto"/>
                <w:kern w:val="2"/>
                <w:sz w:val="24"/>
                <w:szCs w:val="24"/>
                <w:highlight w:val="none"/>
                <w:lang w:val="en-US" w:eastAsia="zh-CN" w:bidi="ar"/>
              </w:rPr>
              <w:t>；②</w:t>
            </w:r>
            <w:r>
              <w:rPr>
                <w:rFonts w:hint="eastAsia" w:ascii="宋体" w:hAnsi="宋体" w:eastAsia="宋体" w:cs="宋体"/>
                <w:color w:val="auto"/>
                <w:kern w:val="2"/>
                <w:sz w:val="24"/>
                <w:szCs w:val="24"/>
                <w:highlight w:val="none"/>
                <w:lang w:val="en-US" w:eastAsia="zh-CN" w:bidi="ar"/>
              </w:rPr>
              <w:t>合同期内及质保期内提供24小时应急响应到场服务，承诺响应服务处理结束后提交问题处理报告，不到场1次以上视为违约；</w:t>
            </w:r>
            <w:r>
              <w:rPr>
                <w:rFonts w:hint="eastAsia" w:ascii="宋体" w:hAnsi="宋体" w:eastAsia="宋体" w:cs="宋体"/>
                <w:bCs/>
                <w:color w:val="auto"/>
                <w:kern w:val="2"/>
                <w:sz w:val="24"/>
                <w:szCs w:val="24"/>
                <w:highlight w:val="none"/>
                <w:lang w:val="en-US" w:eastAsia="zh-CN" w:bidi="ar"/>
              </w:rPr>
              <w:t>③</w:t>
            </w:r>
            <w:r>
              <w:rPr>
                <w:rFonts w:hint="eastAsia" w:ascii="宋体" w:hAnsi="宋体" w:eastAsia="宋体" w:cs="宋体"/>
                <w:color w:val="auto"/>
                <w:kern w:val="2"/>
                <w:sz w:val="24"/>
                <w:szCs w:val="24"/>
                <w:highlight w:val="none"/>
                <w:lang w:val="en-US" w:eastAsia="zh-CN" w:bidi="ar"/>
              </w:rPr>
              <w:t>有保密责任承诺书；</w:t>
            </w:r>
            <w:r>
              <w:rPr>
                <w:rFonts w:hint="eastAsia" w:ascii="宋体" w:hAnsi="宋体" w:eastAsia="宋体" w:cs="宋体"/>
                <w:bCs/>
                <w:color w:val="auto"/>
                <w:kern w:val="2"/>
                <w:sz w:val="24"/>
                <w:szCs w:val="24"/>
                <w:highlight w:val="none"/>
                <w:lang w:val="en-US" w:eastAsia="zh-CN" w:bidi="ar"/>
              </w:rPr>
              <w:t>④</w:t>
            </w:r>
            <w:r>
              <w:rPr>
                <w:rFonts w:hint="eastAsia" w:ascii="宋体" w:hAnsi="宋体" w:eastAsia="宋体" w:cs="宋体"/>
                <w:color w:val="auto"/>
                <w:kern w:val="2"/>
                <w:sz w:val="24"/>
                <w:szCs w:val="24"/>
                <w:highlight w:val="none"/>
                <w:lang w:val="en-US" w:eastAsia="zh-CN" w:bidi="ar"/>
              </w:rPr>
              <w:t>协助做好重大活动等时间节点保障活动食品抽检工作；</w:t>
            </w:r>
            <w:r>
              <w:rPr>
                <w:rFonts w:hint="eastAsia" w:ascii="宋体" w:hAnsi="宋体" w:eastAsia="宋体" w:cs="宋体"/>
                <w:bCs/>
                <w:color w:val="auto"/>
                <w:kern w:val="2"/>
                <w:sz w:val="24"/>
                <w:szCs w:val="24"/>
                <w:highlight w:val="none"/>
                <w:lang w:val="en-US" w:eastAsia="zh-CN" w:bidi="ar"/>
              </w:rPr>
              <w:t>⑤</w:t>
            </w:r>
            <w:r>
              <w:rPr>
                <w:rFonts w:hint="eastAsia" w:ascii="宋体" w:hAnsi="宋体" w:eastAsia="宋体" w:cs="宋体"/>
                <w:color w:val="auto"/>
                <w:kern w:val="2"/>
                <w:sz w:val="24"/>
                <w:szCs w:val="24"/>
                <w:highlight w:val="none"/>
                <w:lang w:val="en-US" w:eastAsia="zh-CN" w:bidi="ar"/>
              </w:rPr>
              <w:t>协助做好食品安全突发事件应急演练保障工作；</w:t>
            </w:r>
            <w:r>
              <w:rPr>
                <w:rFonts w:hint="eastAsia" w:ascii="宋体" w:hAnsi="宋体" w:eastAsia="宋体" w:cs="宋体"/>
                <w:bCs/>
                <w:color w:val="auto"/>
                <w:kern w:val="2"/>
                <w:sz w:val="24"/>
                <w:szCs w:val="24"/>
                <w:highlight w:val="none"/>
                <w:lang w:val="en-US" w:eastAsia="zh-CN" w:bidi="ar"/>
              </w:rPr>
              <w:t>⑥</w:t>
            </w:r>
            <w:r>
              <w:rPr>
                <w:rFonts w:hint="eastAsia" w:ascii="宋体" w:hAnsi="宋体" w:eastAsia="宋体" w:cs="宋体"/>
                <w:color w:val="auto"/>
                <w:kern w:val="2"/>
                <w:sz w:val="24"/>
                <w:szCs w:val="24"/>
                <w:highlight w:val="none"/>
                <w:lang w:val="en-US" w:eastAsia="zh-CN" w:bidi="ar"/>
              </w:rPr>
              <w:t>各级股东中无外资成分及外籍员工的声明；</w:t>
            </w:r>
            <w:r>
              <w:rPr>
                <w:rFonts w:hint="eastAsia" w:ascii="宋体" w:hAnsi="宋体" w:eastAsia="宋体" w:cs="宋体"/>
                <w:bCs/>
                <w:color w:val="auto"/>
                <w:kern w:val="2"/>
                <w:sz w:val="24"/>
                <w:szCs w:val="24"/>
                <w:highlight w:val="none"/>
                <w:lang w:val="en-US" w:eastAsia="zh-CN" w:bidi="ar"/>
              </w:rPr>
              <w:t>以上六项内容均有体现且完全满足采购实际需求的得</w:t>
            </w:r>
            <w:r>
              <w:rPr>
                <w:rFonts w:hint="eastAsia" w:ascii="宋体" w:hAnsi="宋体" w:eastAsia="宋体" w:cs="仿宋"/>
                <w:bCs/>
                <w:color w:val="auto"/>
                <w:kern w:val="2"/>
                <w:sz w:val="24"/>
                <w:szCs w:val="24"/>
                <w:highlight w:val="none"/>
                <w:lang w:val="en-US" w:eastAsia="zh-CN" w:bidi="ar"/>
              </w:rPr>
              <w:t>6</w:t>
            </w:r>
            <w:r>
              <w:rPr>
                <w:rFonts w:hint="eastAsia" w:ascii="宋体" w:hAnsi="宋体" w:eastAsia="宋体" w:cs="宋体"/>
                <w:bCs/>
                <w:color w:val="auto"/>
                <w:kern w:val="2"/>
                <w:sz w:val="24"/>
                <w:szCs w:val="24"/>
                <w:highlight w:val="none"/>
                <w:lang w:val="en-US" w:eastAsia="zh-CN" w:bidi="ar"/>
              </w:rPr>
              <w:t>分；每有一项内容缺失的扣1分；每有一项内容存在缺陷或者不能满足采购实际需求的扣</w:t>
            </w:r>
            <w:r>
              <w:rPr>
                <w:rFonts w:hint="eastAsia" w:ascii="宋体" w:hAnsi="宋体" w:eastAsia="宋体" w:cs="仿宋"/>
                <w:bCs/>
                <w:color w:val="auto"/>
                <w:kern w:val="2"/>
                <w:sz w:val="24"/>
                <w:szCs w:val="24"/>
                <w:highlight w:val="none"/>
                <w:lang w:val="en-US" w:eastAsia="zh-CN" w:bidi="ar"/>
              </w:rPr>
              <w:t>0.5</w:t>
            </w:r>
            <w:r>
              <w:rPr>
                <w:rFonts w:hint="eastAsia" w:ascii="宋体" w:hAnsi="宋体" w:eastAsia="宋体" w:cs="宋体"/>
                <w:bCs/>
                <w:color w:val="auto"/>
                <w:kern w:val="2"/>
                <w:sz w:val="24"/>
                <w:szCs w:val="24"/>
                <w:highlight w:val="none"/>
                <w:lang w:val="en-US" w:eastAsia="zh-CN" w:bidi="ar"/>
              </w:rPr>
              <w:t>分，扣完为止；本项满分为6分，未提供</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C852677">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6分</w:t>
            </w:r>
          </w:p>
        </w:tc>
      </w:tr>
      <w:tr w14:paraId="5CB0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00"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3F1A91A">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8E4A1CF">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检验项目响应程度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6C74743">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根据投标人提供的检验项目商务、技术偏离表是否符合招标文件“第四部分，服务标准和要求”，完全响应得5分，偏离一项扣1分，扣完为止。</w:t>
            </w:r>
          </w:p>
          <w:p w14:paraId="44A09A70">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注：投标人提供的所投包组项目须提交实验室资质认可复印件盖章。</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67BAB10">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2253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4383CBBC">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13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C44F9D5">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0"/>
                <w:sz w:val="24"/>
                <w:szCs w:val="24"/>
                <w:highlight w:val="none"/>
                <w:lang w:val="en-US" w:eastAsia="zh-CN" w:bidi="zh-CN"/>
              </w:rPr>
            </w:pPr>
            <w:r>
              <w:rPr>
                <w:rFonts w:hint="eastAsia" w:ascii="宋体" w:hAnsi="宋体" w:cs="宋体"/>
                <w:color w:val="auto"/>
                <w:kern w:val="2"/>
                <w:sz w:val="24"/>
                <w:szCs w:val="24"/>
                <w:highlight w:val="none"/>
                <w:lang w:val="en-US" w:eastAsia="zh-CN" w:bidi="ar"/>
              </w:rPr>
              <w:t>承检</w:t>
            </w:r>
            <w:r>
              <w:rPr>
                <w:rFonts w:hint="eastAsia" w:ascii="宋体" w:hAnsi="宋体" w:eastAsia="宋体" w:cs="宋体"/>
                <w:color w:val="auto"/>
                <w:kern w:val="2"/>
                <w:sz w:val="24"/>
                <w:szCs w:val="24"/>
                <w:highlight w:val="none"/>
                <w:lang w:val="en-US" w:eastAsia="zh-CN" w:bidi="ar"/>
              </w:rPr>
              <w:t>机构考核</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205FB3E">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1.20</w:t>
            </w:r>
            <w:r>
              <w:rPr>
                <w:rFonts w:hint="eastAsia" w:ascii="宋体" w:hAnsi="宋体" w:cs="宋体"/>
                <w:color w:val="auto"/>
                <w:kern w:val="2"/>
                <w:sz w:val="24"/>
                <w:szCs w:val="24"/>
                <w:highlight w:val="none"/>
                <w:lang w:val="en-US" w:eastAsia="zh-CN" w:bidi="ar"/>
              </w:rPr>
              <w:t>22</w:t>
            </w:r>
            <w:r>
              <w:rPr>
                <w:rFonts w:hint="eastAsia" w:ascii="宋体" w:hAnsi="宋体" w:eastAsia="宋体" w:cs="宋体"/>
                <w:color w:val="auto"/>
                <w:kern w:val="2"/>
                <w:sz w:val="24"/>
                <w:szCs w:val="24"/>
                <w:highlight w:val="none"/>
                <w:lang w:val="en-US" w:eastAsia="zh-CN" w:bidi="ar"/>
              </w:rPr>
              <w:t>年1月1日以来，在行业相关监管部门（食品、食用农产品监管部门）组织的承检机构考核中的综合评价满意度情况：</w:t>
            </w:r>
          </w:p>
          <w:p w14:paraId="1E871DD8">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（1）获得相关监管部门满意的考核评价（优秀，或等同于相同等次），有一个得</w:t>
            </w:r>
            <w:r>
              <w:rPr>
                <w:rFonts w:hint="eastAsia" w:ascii="宋体" w:hAnsi="宋体" w:cs="宋体"/>
                <w:color w:val="auto"/>
                <w:kern w:val="2"/>
                <w:sz w:val="24"/>
                <w:szCs w:val="24"/>
                <w:highlight w:val="none"/>
                <w:lang w:val="en-US" w:eastAsia="zh-CN" w:bidi="ar"/>
              </w:rPr>
              <w:t>0.5</w:t>
            </w:r>
            <w:r>
              <w:rPr>
                <w:rFonts w:hint="eastAsia" w:ascii="宋体" w:hAnsi="宋体" w:eastAsia="宋体" w:cs="宋体"/>
                <w:color w:val="auto"/>
                <w:kern w:val="2"/>
                <w:sz w:val="24"/>
                <w:szCs w:val="24"/>
                <w:highlight w:val="none"/>
                <w:lang w:val="en-US" w:eastAsia="zh-CN" w:bidi="ar"/>
              </w:rPr>
              <w:t>分；本项最高得2分。</w:t>
            </w:r>
          </w:p>
          <w:p w14:paraId="56AB5F24">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注：须提供监管部门出具的“承检机构考核结果证明材料”原件扫描件，未提供不得分。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D249168">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color w:val="auto"/>
                <w:kern w:val="0"/>
                <w:sz w:val="24"/>
                <w:szCs w:val="24"/>
                <w:highlight w:val="none"/>
                <w:lang w:bidi="zh-CN"/>
              </w:rPr>
              <w:t>2</w:t>
            </w:r>
            <w:r>
              <w:rPr>
                <w:rFonts w:hint="eastAsia"/>
                <w:color w:val="auto"/>
                <w:kern w:val="0"/>
                <w:sz w:val="24"/>
                <w:szCs w:val="24"/>
                <w:highlight w:val="none"/>
                <w:lang w:val="zh-CN" w:bidi="zh-CN"/>
              </w:rPr>
              <w:t>分</w:t>
            </w:r>
          </w:p>
        </w:tc>
      </w:tr>
      <w:tr w14:paraId="214C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7"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69FBC906">
            <w:pPr>
              <w:keepNext w:val="0"/>
              <w:keepLines w:val="0"/>
              <w:widowControl w:val="0"/>
              <w:suppressLineNumbers w:val="0"/>
              <w:snapToGrid w:val="0"/>
              <w:spacing w:before="0" w:beforeAutospacing="0" w:after="0" w:afterAutospacing="0"/>
              <w:ind w:left="0" w:right="0"/>
              <w:jc w:val="both"/>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商务部分评分2</w:t>
            </w:r>
            <w:r>
              <w:rPr>
                <w:rFonts w:hint="eastAsia" w:ascii="宋体" w:hAnsi="宋体" w:eastAsia="宋体" w:cs="Courier New"/>
                <w:b/>
                <w:bCs w:val="0"/>
                <w:color w:val="auto"/>
                <w:kern w:val="2"/>
                <w:sz w:val="24"/>
                <w:szCs w:val="24"/>
                <w:highlight w:val="none"/>
                <w:lang w:val="en-US" w:eastAsia="zh-CN" w:bidi="ar"/>
              </w:rPr>
              <w:t>0</w:t>
            </w:r>
            <w:r>
              <w:rPr>
                <w:rFonts w:hint="eastAsia" w:ascii="宋体" w:hAnsi="宋体" w:eastAsia="宋体" w:cs="宋体"/>
                <w:b/>
                <w:bCs w:val="0"/>
                <w:color w:val="auto"/>
                <w:kern w:val="2"/>
                <w:sz w:val="24"/>
                <w:szCs w:val="24"/>
                <w:highlight w:val="none"/>
                <w:lang w:val="en-US" w:eastAsia="zh-CN" w:bidi="ar"/>
              </w:rPr>
              <w:t>分</w:t>
            </w:r>
          </w:p>
        </w:tc>
      </w:tr>
      <w:tr w14:paraId="64F1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restart"/>
            <w:tcBorders>
              <w:top w:val="nil"/>
              <w:left w:val="single" w:color="auto" w:sz="4" w:space="0"/>
              <w:bottom w:val="single" w:color="auto" w:sz="4" w:space="0"/>
              <w:right w:val="single" w:color="auto" w:sz="4" w:space="0"/>
            </w:tcBorders>
            <w:shd w:val="clear" w:color="auto" w:fill="auto"/>
            <w:vAlign w:val="center"/>
          </w:tcPr>
          <w:p w14:paraId="3CACDD76">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2137105">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企业</w:t>
            </w:r>
            <w:r>
              <w:rPr>
                <w:rFonts w:hint="eastAsia" w:ascii="宋体" w:hAnsi="宋体" w:eastAsia="宋体" w:cs="宋体"/>
                <w:color w:val="auto"/>
                <w:kern w:val="2"/>
                <w:sz w:val="24"/>
                <w:szCs w:val="24"/>
                <w:highlight w:val="none"/>
                <w:lang w:val="en-US" w:eastAsia="zh-CN" w:bidi="ar"/>
              </w:rPr>
              <w:t>实力</w:t>
            </w:r>
          </w:p>
          <w:p w14:paraId="1501E396">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799D511B">
            <w:pPr>
              <w:keepNext w:val="0"/>
              <w:keepLines w:val="0"/>
              <w:widowControl w:val="0"/>
              <w:suppressLineNumbers w:val="0"/>
              <w:snapToGrid w:val="0"/>
              <w:spacing w:before="0" w:beforeAutospacing="0" w:after="0" w:afterAutospacing="0"/>
              <w:ind w:left="0" w:right="0"/>
              <w:jc w:val="left"/>
              <w:rPr>
                <w:rFonts w:hint="eastAsia" w:ascii="宋体" w:hAnsi="宋体" w:eastAsia="宋体" w:cs="Times New Roman"/>
                <w:color w:val="auto"/>
                <w:kern w:val="2"/>
                <w:sz w:val="24"/>
                <w:szCs w:val="24"/>
                <w:highlight w:val="none"/>
              </w:rPr>
            </w:pPr>
            <w:r>
              <w:rPr>
                <w:rFonts w:hint="eastAsia" w:ascii="宋体" w:hAnsi="宋体" w:cs="Times New Roman"/>
                <w:color w:val="auto"/>
                <w:kern w:val="2"/>
                <w:sz w:val="24"/>
                <w:szCs w:val="24"/>
                <w:highlight w:val="none"/>
                <w:lang w:val="en-US" w:eastAsia="zh-CN"/>
              </w:rPr>
              <w:t>1.</w:t>
            </w:r>
            <w:r>
              <w:rPr>
                <w:rFonts w:hint="eastAsia" w:ascii="宋体" w:hAnsi="宋体" w:eastAsia="宋体" w:cs="Times New Roman"/>
                <w:color w:val="auto"/>
                <w:kern w:val="2"/>
                <w:sz w:val="24"/>
                <w:szCs w:val="24"/>
                <w:highlight w:val="none"/>
                <w:lang w:val="en-US" w:eastAsia="zh-CN"/>
              </w:rPr>
              <w:t>供应商</w:t>
            </w:r>
            <w:r>
              <w:rPr>
                <w:rFonts w:hint="eastAsia" w:ascii="宋体" w:hAnsi="宋体" w:eastAsia="宋体" w:cs="Times New Roman"/>
                <w:color w:val="auto"/>
                <w:kern w:val="2"/>
                <w:sz w:val="24"/>
                <w:szCs w:val="24"/>
                <w:highlight w:val="none"/>
                <w:lang w:eastAsia="zh-CN"/>
              </w:rPr>
              <w:t>告知承诺</w:t>
            </w:r>
            <w:r>
              <w:rPr>
                <w:rFonts w:hint="eastAsia" w:ascii="宋体" w:hAnsi="宋体" w:eastAsia="宋体" w:cs="Times New Roman"/>
                <w:color w:val="auto"/>
                <w:kern w:val="2"/>
                <w:sz w:val="24"/>
                <w:szCs w:val="24"/>
                <w:highlight w:val="none"/>
              </w:rPr>
              <w:t>系统有专职录入人员得2分；未提供证明材料</w:t>
            </w:r>
            <w:r>
              <w:rPr>
                <w:rFonts w:hint="eastAsia" w:ascii="宋体" w:hAnsi="宋体" w:eastAsia="宋体" w:cs="Times New Roman"/>
                <w:color w:val="auto"/>
                <w:kern w:val="2"/>
                <w:sz w:val="24"/>
                <w:szCs w:val="24"/>
                <w:highlight w:val="none"/>
                <w:lang w:eastAsia="zh-CN"/>
              </w:rPr>
              <w:t>（国抽平台显示人员姓名截图）</w:t>
            </w:r>
            <w:r>
              <w:rPr>
                <w:rFonts w:hint="eastAsia" w:ascii="宋体" w:hAnsi="宋体" w:eastAsia="宋体" w:cs="Times New Roman"/>
                <w:color w:val="auto"/>
                <w:kern w:val="2"/>
                <w:sz w:val="24"/>
                <w:szCs w:val="24"/>
                <w:highlight w:val="none"/>
              </w:rPr>
              <w:t>、未参加过培训</w:t>
            </w:r>
            <w:r>
              <w:rPr>
                <w:rFonts w:hint="eastAsia" w:ascii="宋体" w:hAnsi="宋体" w:eastAsia="宋体" w:cs="Times New Roman"/>
                <w:color w:val="auto"/>
                <w:kern w:val="2"/>
                <w:sz w:val="24"/>
                <w:szCs w:val="24"/>
                <w:highlight w:val="none"/>
                <w:lang w:eastAsia="zh-CN"/>
              </w:rPr>
              <w:t>（培训记录）</w:t>
            </w:r>
            <w:r>
              <w:rPr>
                <w:rFonts w:hint="eastAsia" w:ascii="宋体" w:hAnsi="宋体" w:eastAsia="宋体" w:cs="Times New Roman"/>
                <w:color w:val="auto"/>
                <w:kern w:val="2"/>
                <w:sz w:val="24"/>
                <w:szCs w:val="24"/>
                <w:highlight w:val="none"/>
              </w:rPr>
              <w:t>不得分。（2分）</w:t>
            </w:r>
          </w:p>
        </w:tc>
        <w:tc>
          <w:tcPr>
            <w:tcW w:w="12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2CD2FDD">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参考投标人的经营资质、行业口碑、资信情况进行打分（10分）</w:t>
            </w:r>
          </w:p>
          <w:p w14:paraId="51F6333B">
            <w:pPr>
              <w:pStyle w:val="5"/>
              <w:suppressLineNumbers w:val="0"/>
              <w:spacing w:beforeAutospacing="0" w:afterAutospacing="0"/>
              <w:ind w:left="0" w:right="0"/>
              <w:rPr>
                <w:rFonts w:hint="eastAsia"/>
                <w:color w:val="auto"/>
                <w:sz w:val="24"/>
                <w:szCs w:val="24"/>
                <w:highlight w:val="none"/>
              </w:rPr>
            </w:pPr>
          </w:p>
        </w:tc>
      </w:tr>
      <w:tr w14:paraId="45A9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1301F29C">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9A5804">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9836347">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eastAsia="zh-CN"/>
              </w:rPr>
            </w:pPr>
            <w:r>
              <w:rPr>
                <w:rFonts w:hint="eastAsia"/>
                <w:color w:val="auto"/>
                <w:sz w:val="24"/>
                <w:szCs w:val="24"/>
                <w:highlight w:val="none"/>
                <w:lang w:val="en-US" w:eastAsia="zh-CN"/>
              </w:rPr>
              <w:t>2.</w:t>
            </w:r>
            <w:r>
              <w:rPr>
                <w:rFonts w:hint="default"/>
                <w:color w:val="auto"/>
                <w:sz w:val="24"/>
                <w:szCs w:val="24"/>
                <w:highlight w:val="none"/>
                <w:lang w:val="en-US" w:eastAsia="zh-CN"/>
              </w:rPr>
              <w:t>供应商提供的中国合格评定国家认可委员会实验室认证认可证书（CMA证书）得1分。</w:t>
            </w:r>
          </w:p>
          <w:p w14:paraId="0C382FCB">
            <w:pPr>
              <w:keepNext w:val="0"/>
              <w:keepLines w:val="0"/>
              <w:widowControl w:val="0"/>
              <w:suppressLineNumbers w:val="0"/>
              <w:snapToGrid w:val="0"/>
              <w:spacing w:before="0" w:beforeAutospacing="0" w:after="0" w:afterAutospacing="0"/>
              <w:ind w:left="0" w:right="0"/>
              <w:jc w:val="left"/>
              <w:rPr>
                <w:rFonts w:hint="eastAsia" w:eastAsia="宋体"/>
                <w:color w:val="auto"/>
                <w:sz w:val="24"/>
                <w:szCs w:val="24"/>
                <w:highlight w:val="none"/>
                <w:lang w:val="en-US" w:eastAsia="zh-CN"/>
              </w:rPr>
            </w:pPr>
            <w:r>
              <w:rPr>
                <w:rFonts w:hint="eastAsia"/>
                <w:color w:val="auto"/>
                <w:sz w:val="24"/>
                <w:szCs w:val="24"/>
                <w:highlight w:val="none"/>
                <w:lang w:val="en-US" w:eastAsia="zh-CN"/>
              </w:rPr>
              <w:t>3.</w:t>
            </w:r>
            <w:r>
              <w:rPr>
                <w:rFonts w:hint="default"/>
                <w:color w:val="auto"/>
                <w:sz w:val="24"/>
                <w:szCs w:val="24"/>
                <w:highlight w:val="none"/>
                <w:lang w:val="en-US" w:eastAsia="zh-CN"/>
              </w:rPr>
              <w:t>供应商提供中国合格评定国家认可委员会颁发的认可证书（CNAS证书）得1</w:t>
            </w:r>
            <w:r>
              <w:rPr>
                <w:rFonts w:hint="default"/>
                <w:color w:val="auto"/>
                <w:sz w:val="24"/>
                <w:szCs w:val="24"/>
                <w:highlight w:val="none"/>
                <w:lang w:val="en-US"/>
              </w:rPr>
              <w:t>分</w:t>
            </w:r>
            <w:r>
              <w:rPr>
                <w:rFonts w:hint="eastAsia"/>
                <w:color w:val="auto"/>
                <w:sz w:val="24"/>
                <w:szCs w:val="24"/>
                <w:highlight w:val="none"/>
                <w:lang w:val="en-US" w:eastAsia="zh-CN"/>
              </w:rPr>
              <w:t>。</w:t>
            </w:r>
          </w:p>
          <w:p w14:paraId="5FF9ABE5">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rPr>
            </w:pPr>
            <w:r>
              <w:rPr>
                <w:rFonts w:hint="default"/>
                <w:color w:val="auto"/>
                <w:sz w:val="24"/>
                <w:szCs w:val="24"/>
                <w:highlight w:val="none"/>
                <w:lang w:val="en-US" w:eastAsia="zh-CN"/>
              </w:rPr>
              <w:t>未提供不得分。</w:t>
            </w:r>
          </w:p>
        </w:tc>
        <w:tc>
          <w:tcPr>
            <w:tcW w:w="12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F8533E">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0BC8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36469724">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B68908">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0373081">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cs="宋体"/>
                <w:color w:val="auto"/>
                <w:kern w:val="2"/>
                <w:sz w:val="24"/>
                <w:szCs w:val="24"/>
                <w:highlight w:val="none"/>
                <w:lang w:val="en-US" w:eastAsia="zh-CN" w:bidi="ar"/>
              </w:rPr>
              <w:t>4.</w:t>
            </w:r>
            <w:r>
              <w:rPr>
                <w:rFonts w:hint="eastAsia" w:ascii="宋体" w:hAnsi="宋体" w:eastAsia="宋体" w:cs="宋体"/>
                <w:color w:val="auto"/>
                <w:kern w:val="2"/>
                <w:sz w:val="24"/>
                <w:szCs w:val="24"/>
                <w:highlight w:val="none"/>
                <w:lang w:val="en-US" w:eastAsia="zh-CN" w:bidi="ar"/>
              </w:rPr>
              <w:t>获得国家级能力验证及实验室比对结果满意1项得1分</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获得省级以上能力验证及实验室比对结果满意5项得2分；10项得3分；10项以上得6分；</w:t>
            </w:r>
          </w:p>
          <w:p w14:paraId="390C2975">
            <w:pPr>
              <w:keepNext w:val="0"/>
              <w:keepLines w:val="0"/>
              <w:widowControl w:val="0"/>
              <w:suppressLineNumbers w:val="0"/>
              <w:snapToGrid w:val="0"/>
              <w:spacing w:before="0" w:beforeAutospacing="0" w:after="0" w:afterAutospacing="0"/>
              <w:ind w:left="0" w:right="0"/>
              <w:jc w:val="left"/>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注：须提供近三年</w:t>
            </w:r>
            <w:r>
              <w:rPr>
                <w:rFonts w:hint="eastAsia" w:ascii="宋体" w:hAnsi="宋体" w:cs="宋体"/>
                <w:color w:val="auto"/>
                <w:kern w:val="2"/>
                <w:sz w:val="24"/>
                <w:szCs w:val="24"/>
                <w:highlight w:val="none"/>
                <w:lang w:val="en-US" w:eastAsia="zh-CN" w:bidi="ar"/>
              </w:rPr>
              <w:t>（2023年-至今）</w:t>
            </w:r>
            <w:r>
              <w:rPr>
                <w:rFonts w:hint="eastAsia" w:ascii="宋体" w:hAnsi="宋体" w:eastAsia="宋体" w:cs="宋体"/>
                <w:color w:val="auto"/>
                <w:kern w:val="2"/>
                <w:sz w:val="24"/>
                <w:szCs w:val="24"/>
                <w:highlight w:val="none"/>
                <w:lang w:val="en-US" w:eastAsia="zh-CN" w:bidi="ar"/>
              </w:rPr>
              <w:t>国家级或省级能力验证或实验室比对满意结果证书复印件或公告证明资料。最多计6分，未提供得不得分。</w:t>
            </w:r>
          </w:p>
        </w:tc>
        <w:tc>
          <w:tcPr>
            <w:tcW w:w="12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FFBD8B">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4258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5986CC0">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1D94069">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类似项目经营业绩</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0B4B914">
            <w:pPr>
              <w:keepNext w:val="0"/>
              <w:keepLines w:val="0"/>
              <w:widowControl w:val="0"/>
              <w:suppressLineNumbers w:val="0"/>
              <w:snapToGrid w:val="0"/>
              <w:spacing w:before="0" w:beforeAutospacing="0" w:after="0" w:afterAutospacing="0"/>
              <w:ind w:left="0" w:right="0"/>
              <w:jc w:val="left"/>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投标人近三年（202</w:t>
            </w:r>
            <w:r>
              <w:rPr>
                <w:rFonts w:hint="eastAsia" w:ascii="宋体" w:hAnsi="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年-至今，业绩认定时间以委托检验合同或委托书或中标通知书为准）承担过类似项目业绩，则一个得2分，总计8分，需要提供委托检验合同或委托书或中标通知书等。</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7ACE0C1">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经营业绩（8分）</w:t>
            </w:r>
          </w:p>
        </w:tc>
      </w:tr>
      <w:tr w14:paraId="4073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65F5BD0">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2293553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售后</w:t>
            </w:r>
          </w:p>
          <w:p w14:paraId="7D02EBA6">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服务</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41AB1D8F">
            <w:pPr>
              <w:keepNext w:val="0"/>
              <w:keepLines w:val="0"/>
              <w:widowControl w:val="0"/>
              <w:suppressLineNumbers w:val="0"/>
              <w:snapToGrid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能够提供食品安全监督抽检分析报告及派遣人员协助抽检监测数据汇总和信息公示进行打分，承诺两项均能做到得2分；仅提供食品安全监督抽检分析报告得1分，仅派遣人员协助抽检监测数据汇总和信息公示得1分；否则，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F507FEA">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书面承诺书（2分）</w:t>
            </w:r>
          </w:p>
        </w:tc>
      </w:tr>
    </w:tbl>
    <w:p w14:paraId="7492FF3D">
      <w:pPr>
        <w:rPr>
          <w:rFonts w:hint="eastAsia" w:ascii="宋体" w:hAnsi="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rPr>
        <w:br w:type="page"/>
      </w:r>
    </w:p>
    <w:tbl>
      <w:tblPr>
        <w:tblStyle w:val="30"/>
        <w:tblpPr w:leftFromText="180" w:rightFromText="180" w:vertAnchor="text" w:horzAnchor="page" w:tblpX="1354" w:tblpY="988"/>
        <w:tblOverlap w:val="never"/>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8"/>
        <w:gridCol w:w="1030"/>
        <w:gridCol w:w="6370"/>
        <w:gridCol w:w="1231"/>
      </w:tblGrid>
      <w:tr w14:paraId="4E69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9"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6B0CC807">
            <w:pPr>
              <w:jc w:val="center"/>
              <w:rPr>
                <w:rFonts w:hint="eastAsia" w:ascii="宋体" w:hAnsi="宋体" w:eastAsia="宋体" w:cs="宋体"/>
                <w:b/>
                <w:bCs w:val="0"/>
                <w:color w:val="auto"/>
                <w:kern w:val="2"/>
                <w:sz w:val="24"/>
                <w:szCs w:val="24"/>
                <w:highlight w:val="none"/>
                <w:lang w:val="en-US" w:eastAsia="zh-CN" w:bidi="ar"/>
              </w:rPr>
            </w:pPr>
            <w:r>
              <w:rPr>
                <w:rFonts w:hint="eastAsia" w:ascii="宋体" w:hAnsi="宋体" w:cs="宋体"/>
                <w:b/>
                <w:bCs/>
                <w:color w:val="auto"/>
                <w:sz w:val="24"/>
                <w:szCs w:val="24"/>
                <w:highlight w:val="none"/>
                <w:lang w:val="en-US" w:eastAsia="zh-CN"/>
              </w:rPr>
              <w:t xml:space="preserve">标项二             </w:t>
            </w:r>
            <w:r>
              <w:rPr>
                <w:rFonts w:hint="eastAsia" w:ascii="宋体" w:hAnsi="宋体" w:eastAsia="宋体" w:cs="宋体"/>
                <w:b w:val="0"/>
                <w:bCs w:val="0"/>
                <w:color w:val="auto"/>
                <w:sz w:val="24"/>
                <w:szCs w:val="24"/>
                <w:highlight w:val="none"/>
              </w:rPr>
              <w:t>技术、商务部分评审标准（</w:t>
            </w:r>
            <w:r>
              <w:rPr>
                <w:rFonts w:hint="eastAsia" w:ascii="宋体" w:hAnsi="宋体" w:cs="宋体"/>
                <w:b w:val="0"/>
                <w:bCs w:val="0"/>
                <w:color w:val="auto"/>
                <w:sz w:val="24"/>
                <w:szCs w:val="24"/>
                <w:highlight w:val="none"/>
                <w:lang w:val="en-US" w:eastAsia="zh-CN"/>
              </w:rPr>
              <w:t>90</w:t>
            </w:r>
            <w:r>
              <w:rPr>
                <w:rFonts w:hint="eastAsia" w:ascii="宋体" w:hAnsi="宋体" w:eastAsia="宋体" w:cs="宋体"/>
                <w:b w:val="0"/>
                <w:bCs w:val="0"/>
                <w:color w:val="auto"/>
                <w:sz w:val="24"/>
                <w:szCs w:val="24"/>
                <w:highlight w:val="none"/>
              </w:rPr>
              <w:t>分）</w:t>
            </w:r>
          </w:p>
        </w:tc>
      </w:tr>
      <w:tr w14:paraId="48015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9"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BF1CFD2">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序号</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46DE23C4">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项目</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DB766F3">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评审内容</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77090F6">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分值</w:t>
            </w:r>
          </w:p>
        </w:tc>
      </w:tr>
      <w:tr w14:paraId="645E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08F08DC">
            <w:pPr>
              <w:keepNext w:val="0"/>
              <w:keepLines w:val="0"/>
              <w:widowControl w:val="0"/>
              <w:suppressLineNumbers w:val="0"/>
              <w:snapToGrid w:val="0"/>
              <w:spacing w:before="0" w:beforeAutospacing="0" w:after="0" w:afterAutospacing="0"/>
              <w:ind w:left="0" w:right="0"/>
              <w:jc w:val="both"/>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技术部分评分</w:t>
            </w:r>
            <w:r>
              <w:rPr>
                <w:rFonts w:hint="eastAsia" w:ascii="宋体" w:hAnsi="宋体" w:eastAsia="宋体" w:cs="Courier New"/>
                <w:b/>
                <w:bCs w:val="0"/>
                <w:color w:val="auto"/>
                <w:kern w:val="2"/>
                <w:sz w:val="24"/>
                <w:szCs w:val="24"/>
                <w:highlight w:val="none"/>
                <w:lang w:val="en-US" w:eastAsia="zh-CN" w:bidi="ar"/>
              </w:rPr>
              <w:t>70</w:t>
            </w:r>
            <w:r>
              <w:rPr>
                <w:rFonts w:hint="eastAsia" w:ascii="宋体" w:hAnsi="宋体" w:eastAsia="宋体" w:cs="宋体"/>
                <w:b/>
                <w:bCs w:val="0"/>
                <w:color w:val="auto"/>
                <w:kern w:val="2"/>
                <w:sz w:val="24"/>
                <w:szCs w:val="24"/>
                <w:highlight w:val="none"/>
                <w:lang w:val="en-US" w:eastAsia="zh-CN" w:bidi="ar"/>
              </w:rPr>
              <w:t>分</w:t>
            </w:r>
          </w:p>
        </w:tc>
      </w:tr>
      <w:tr w14:paraId="7120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70927F7">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F38E1B8">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管理</w:t>
            </w:r>
          </w:p>
          <w:p w14:paraId="15AF1E2B">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制度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1CC7AA0">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针对本项目提供的管理制度进行综合评分，内容包含但不限于：①质量管理体系完善、健全；财务会计制度完善、健全；②管理制度完善、健全；③食品安全检验检测制度特别是抽样检验法规规范及知识培训制度完善（有相应的培训记录佐证材料）、健全；④责任追究制度完善、健全；⑤检验档案管理制度完善、健全。以上五项内容均有体现且完全满足采购实际需求的得5分；每有一项内容缺失的扣1分；每有一项内容存在缺陷或者不能满足采购实际需求的扣0.5分，扣完为止；本项满分为5分，未提供管理制度的则不得分。注：</w:t>
            </w:r>
            <w:r>
              <w:rPr>
                <w:rFonts w:hint="eastAsia" w:ascii="宋体" w:hAnsi="宋体" w:eastAsia="宋体" w:cs="宋体"/>
                <w:bCs/>
                <w:color w:val="auto"/>
                <w:kern w:val="2"/>
                <w:sz w:val="24"/>
                <w:szCs w:val="24"/>
                <w:highlight w:val="none"/>
                <w:lang w:val="en-US" w:eastAsia="zh-CN" w:bidi="ar"/>
              </w:rPr>
              <w:t>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A21A805">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37CF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41384F33">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FC0CE78">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突发事件的应急响应方案</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D89443C">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rPr>
              <w:t>根据承担抽检任务提供的事前、事中、事后应急预防处理措施包括但不限于：</w:t>
            </w:r>
          </w:p>
          <w:p w14:paraId="7C52A5FA">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（1）突发食品安全事件应对；</w:t>
            </w:r>
          </w:p>
          <w:p w14:paraId="2B9E3D08">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（2）</w:t>
            </w:r>
            <w:r>
              <w:rPr>
                <w:rFonts w:hint="eastAsia" w:ascii="宋体" w:hAnsi="宋体" w:eastAsia="宋体" w:cs="仿宋"/>
                <w:bCs/>
                <w:color w:val="auto"/>
                <w:kern w:val="2"/>
                <w:sz w:val="24"/>
                <w:szCs w:val="24"/>
                <w:highlight w:val="none"/>
                <w:lang w:eastAsia="zh-CN"/>
              </w:rPr>
              <w:t>现场抽样</w:t>
            </w:r>
            <w:r>
              <w:rPr>
                <w:rFonts w:hint="eastAsia" w:ascii="宋体" w:hAnsi="宋体" w:eastAsia="宋体" w:cs="仿宋"/>
                <w:bCs/>
                <w:color w:val="auto"/>
                <w:kern w:val="2"/>
                <w:sz w:val="24"/>
                <w:szCs w:val="24"/>
                <w:highlight w:val="none"/>
              </w:rPr>
              <w:t>应急预案；</w:t>
            </w:r>
          </w:p>
          <w:p w14:paraId="60B261A1">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（3）实验室检验检测应急预案；</w:t>
            </w:r>
          </w:p>
          <w:p w14:paraId="22606937">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（4）检验数据应急上报；</w:t>
            </w:r>
          </w:p>
          <w:p w14:paraId="2858E59A">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（5）实验室对发生食品检测安全事故的处置；</w:t>
            </w:r>
          </w:p>
          <w:p w14:paraId="3F473298">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（6）对相关责任部门及责任人重大失误的处理等。</w:t>
            </w:r>
          </w:p>
          <w:p w14:paraId="2E9DC74C">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以上方案内容均符合实际情况、内容完善详细、健全、完全响应采购要求的的得6分，</w:t>
            </w:r>
            <w:r>
              <w:rPr>
                <w:rFonts w:hint="eastAsia" w:ascii="宋体" w:hAnsi="宋体" w:eastAsia="宋体" w:cs="宋体"/>
                <w:color w:val="auto"/>
                <w:kern w:val="2"/>
                <w:sz w:val="24"/>
                <w:szCs w:val="24"/>
                <w:highlight w:val="none"/>
                <w:lang w:val="en-US" w:eastAsia="zh-CN" w:bidi="ar"/>
              </w:rPr>
              <w:t>每有一项内容缺失的扣1分</w:t>
            </w:r>
            <w:r>
              <w:rPr>
                <w:rFonts w:hint="eastAsia" w:ascii="宋体" w:hAnsi="宋体" w:cs="宋体"/>
                <w:color w:val="auto"/>
                <w:kern w:val="2"/>
                <w:sz w:val="24"/>
                <w:szCs w:val="24"/>
                <w:highlight w:val="none"/>
                <w:lang w:val="en-US" w:eastAsia="zh-CN" w:bidi="ar"/>
              </w:rPr>
              <w:t>，</w:t>
            </w:r>
            <w:r>
              <w:rPr>
                <w:rFonts w:hint="eastAsia" w:ascii="宋体" w:hAnsi="宋体" w:eastAsia="宋体" w:cs="仿宋"/>
                <w:bCs/>
                <w:color w:val="auto"/>
                <w:kern w:val="2"/>
                <w:sz w:val="24"/>
                <w:szCs w:val="24"/>
                <w:highlight w:val="none"/>
              </w:rPr>
              <w:t>每有一项内容不完整或未能满足采购需求的或每有一处不具有针对性或逻辑性错误且不完整的扣0.5分，扣完为止。</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241FC28">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6</w:t>
            </w:r>
            <w:r>
              <w:rPr>
                <w:rFonts w:hint="eastAsia" w:ascii="宋体" w:hAnsi="宋体" w:eastAsia="宋体" w:cs="宋体"/>
                <w:color w:val="auto"/>
                <w:kern w:val="2"/>
                <w:sz w:val="24"/>
                <w:szCs w:val="24"/>
                <w:highlight w:val="none"/>
                <w:lang w:val="en-US" w:eastAsia="zh-CN" w:bidi="ar"/>
              </w:rPr>
              <w:t>分</w:t>
            </w:r>
          </w:p>
        </w:tc>
      </w:tr>
      <w:tr w14:paraId="7C09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048283A">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49DCE65">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项目服务方案</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764E4FD8">
            <w:pPr>
              <w:keepNext w:val="0"/>
              <w:keepLines w:val="0"/>
              <w:widowControl w:val="0"/>
              <w:suppressLineNumbers w:val="0"/>
              <w:spacing w:before="0" w:beforeAutospacing="0" w:after="0" w:afterAutospacing="0" w:line="300" w:lineRule="exact"/>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根据投标人针对本项目提供的</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进行综合评分，内容包含但不限于：①</w:t>
            </w:r>
            <w:r>
              <w:rPr>
                <w:rFonts w:hint="eastAsia" w:ascii="宋体" w:hAnsi="宋体" w:eastAsia="宋体" w:cs="宋体"/>
                <w:color w:val="auto"/>
                <w:kern w:val="2"/>
                <w:sz w:val="24"/>
                <w:szCs w:val="24"/>
                <w:highlight w:val="none"/>
                <w:lang w:val="en-US" w:eastAsia="zh-CN" w:bidi="ar"/>
              </w:rPr>
              <w:t>拥有独立稳定持久的实验室管理系统</w:t>
            </w:r>
            <w:r>
              <w:rPr>
                <w:rFonts w:hint="eastAsia" w:ascii="宋体" w:hAnsi="宋体" w:eastAsia="宋体" w:cs="宋体"/>
                <w:bCs/>
                <w:color w:val="auto"/>
                <w:kern w:val="2"/>
                <w:sz w:val="24"/>
                <w:szCs w:val="24"/>
                <w:highlight w:val="none"/>
                <w:lang w:val="en-US" w:eastAsia="zh-CN" w:bidi="ar"/>
              </w:rPr>
              <w:t>；②</w:t>
            </w:r>
            <w:r>
              <w:rPr>
                <w:rFonts w:hint="eastAsia" w:ascii="宋体" w:hAnsi="宋体" w:eastAsia="宋体" w:cs="宋体"/>
                <w:color w:val="auto"/>
                <w:kern w:val="2"/>
                <w:sz w:val="24"/>
                <w:szCs w:val="24"/>
                <w:highlight w:val="none"/>
                <w:lang w:val="en-US" w:eastAsia="zh-CN" w:bidi="ar"/>
              </w:rPr>
              <w:t>实现抽样、流转、检验、原始记录、出具报告全环节在线管理且可追溯</w:t>
            </w:r>
            <w:r>
              <w:rPr>
                <w:rFonts w:hint="eastAsia" w:ascii="宋体" w:hAnsi="宋体" w:eastAsia="宋体" w:cs="宋体"/>
                <w:bCs/>
                <w:color w:val="auto"/>
                <w:kern w:val="2"/>
                <w:sz w:val="24"/>
                <w:szCs w:val="24"/>
                <w:highlight w:val="none"/>
                <w:lang w:val="en-US" w:eastAsia="zh-CN" w:bidi="ar"/>
              </w:rPr>
              <w:t>；以上两项内容均有体现且完全满足采购实际需求的得</w:t>
            </w:r>
            <w:r>
              <w:rPr>
                <w:rFonts w:hint="eastAsia" w:ascii="宋体" w:hAnsi="宋体" w:cs="仿宋"/>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分；每有一项内容缺失的扣</w:t>
            </w:r>
            <w:r>
              <w:rPr>
                <w:rFonts w:hint="eastAsia" w:ascii="宋体" w:hAnsi="宋体" w:cs="宋体"/>
                <w:bCs/>
                <w:color w:val="auto"/>
                <w:kern w:val="2"/>
                <w:sz w:val="24"/>
                <w:szCs w:val="24"/>
                <w:highlight w:val="none"/>
                <w:lang w:val="en-US" w:eastAsia="zh-CN" w:bidi="ar"/>
              </w:rPr>
              <w:t>4.5</w:t>
            </w:r>
            <w:r>
              <w:rPr>
                <w:rFonts w:hint="eastAsia" w:ascii="宋体" w:hAnsi="宋体" w:eastAsia="宋体" w:cs="宋体"/>
                <w:bCs/>
                <w:color w:val="auto"/>
                <w:kern w:val="2"/>
                <w:sz w:val="24"/>
                <w:szCs w:val="24"/>
                <w:highlight w:val="none"/>
                <w:lang w:val="en-US" w:eastAsia="zh-CN" w:bidi="ar"/>
              </w:rPr>
              <w:t>分；每有一项内容存在缺陷或者不能满足采购实际需求的扣</w:t>
            </w:r>
            <w:r>
              <w:rPr>
                <w:rFonts w:hint="eastAsia" w:ascii="宋体" w:hAnsi="宋体" w:cs="宋体"/>
                <w:bCs/>
                <w:color w:val="auto"/>
                <w:kern w:val="2"/>
                <w:sz w:val="24"/>
                <w:szCs w:val="24"/>
                <w:highlight w:val="none"/>
                <w:lang w:val="en-US" w:eastAsia="zh-CN" w:bidi="ar"/>
              </w:rPr>
              <w:t>2</w:t>
            </w:r>
            <w:r>
              <w:rPr>
                <w:rFonts w:hint="eastAsia" w:ascii="宋体" w:hAnsi="宋体" w:eastAsia="宋体" w:cs="宋体"/>
                <w:bCs/>
                <w:color w:val="auto"/>
                <w:kern w:val="2"/>
                <w:sz w:val="24"/>
                <w:szCs w:val="24"/>
                <w:highlight w:val="none"/>
                <w:lang w:val="en-US" w:eastAsia="zh-CN" w:bidi="ar"/>
              </w:rPr>
              <w:t>分，扣完为止；本项满分为</w:t>
            </w:r>
            <w:r>
              <w:rPr>
                <w:rFonts w:hint="eastAsia" w:ascii="宋体" w:hAnsi="宋体" w:cs="宋体"/>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分，未提供</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6EBC9BC">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9</w:t>
            </w:r>
            <w:r>
              <w:rPr>
                <w:rFonts w:hint="eastAsia" w:ascii="宋体" w:hAnsi="宋体" w:eastAsia="宋体" w:cs="宋体"/>
                <w:color w:val="auto"/>
                <w:kern w:val="2"/>
                <w:sz w:val="24"/>
                <w:szCs w:val="24"/>
                <w:highlight w:val="none"/>
                <w:lang w:val="en-US" w:eastAsia="zh-CN" w:bidi="ar"/>
              </w:rPr>
              <w:t>分</w:t>
            </w:r>
          </w:p>
        </w:tc>
      </w:tr>
      <w:tr w14:paraId="24DC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79196E8">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3A11DD8">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项目实施时间进度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0E87680">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针对本项目提供的项目实施时间进度进行综合评分，内容包含但不限于：①实施时间的进度；②实施时间的保障措施；以上两项内容均有体现且完全满足采购实际需求的得5分；每有一项内容缺失的扣2.5分；每有一项内容存在缺陷或者不能满足采购实际需求的扣1.5分，扣完为止；本项满分为5分，未提供项目服务方案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D4A774B">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2CB97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C1D1B5F">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EE7A87C">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工作</w:t>
            </w:r>
          </w:p>
          <w:p w14:paraId="4D5F17D2">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场地</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B7ABEED">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lang w:val="zh-CN"/>
              </w:rPr>
            </w:pPr>
            <w:r>
              <w:rPr>
                <w:rFonts w:hint="eastAsia" w:ascii="宋体" w:hAnsi="宋体" w:eastAsia="宋体" w:cs="仿宋"/>
                <w:bCs/>
                <w:color w:val="auto"/>
                <w:kern w:val="2"/>
                <w:sz w:val="24"/>
                <w:szCs w:val="24"/>
                <w:highlight w:val="none"/>
              </w:rPr>
              <w:t>1.投标人具备独立开展食品安全检验实验室，环境良好，布局合理，根据</w:t>
            </w:r>
            <w:r>
              <w:rPr>
                <w:rFonts w:hint="eastAsia" w:ascii="宋体" w:hAnsi="宋体" w:eastAsia="宋体" w:cs="仿宋"/>
                <w:bCs/>
                <w:color w:val="auto"/>
                <w:kern w:val="2"/>
                <w:sz w:val="24"/>
                <w:szCs w:val="24"/>
                <w:highlight w:val="none"/>
                <w:lang w:val="zh-CN"/>
              </w:rPr>
              <w:t>开展食品安全抽样检验工作实验场所面积</w:t>
            </w:r>
            <w:r>
              <w:rPr>
                <w:rFonts w:hint="eastAsia" w:ascii="宋体" w:hAnsi="宋体" w:eastAsia="宋体" w:cs="仿宋"/>
                <w:bCs/>
                <w:color w:val="auto"/>
                <w:kern w:val="2"/>
                <w:sz w:val="24"/>
                <w:szCs w:val="24"/>
                <w:highlight w:val="none"/>
              </w:rPr>
              <w:t>综合评定</w:t>
            </w:r>
            <w:r>
              <w:rPr>
                <w:rFonts w:hint="eastAsia" w:ascii="宋体" w:hAnsi="宋体" w:eastAsia="宋体" w:cs="仿宋"/>
                <w:bCs/>
                <w:color w:val="auto"/>
                <w:kern w:val="2"/>
                <w:sz w:val="24"/>
                <w:szCs w:val="24"/>
                <w:highlight w:val="none"/>
                <w:lang w:val="zh-CN"/>
              </w:rPr>
              <w:t>：</w:t>
            </w:r>
          </w:p>
          <w:p w14:paraId="7894ABA1">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（1）5000（含）平方米及以上，得3分；</w:t>
            </w:r>
          </w:p>
          <w:p w14:paraId="18CBCC3F">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（2）4000（含）-5000（不含）平方米，得2分；</w:t>
            </w:r>
          </w:p>
          <w:p w14:paraId="6AB48C0A">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（3）3000（含）-4000（不含）平方米，得1分；</w:t>
            </w:r>
          </w:p>
          <w:p w14:paraId="6ADAB913">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（4）不符合上述要求的，得0分。</w:t>
            </w:r>
          </w:p>
          <w:p w14:paraId="3B438E02">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注：</w:t>
            </w:r>
            <w:r>
              <w:rPr>
                <w:rFonts w:hint="eastAsia" w:ascii="宋体" w:hAnsi="宋体" w:cs="仿宋"/>
                <w:bCs/>
                <w:color w:val="auto"/>
                <w:kern w:val="2"/>
                <w:sz w:val="24"/>
                <w:szCs w:val="24"/>
                <w:highlight w:val="none"/>
                <w:lang w:val="en-US" w:eastAsia="zh-CN"/>
              </w:rPr>
              <w:t>①</w:t>
            </w:r>
            <w:r>
              <w:rPr>
                <w:rFonts w:hint="eastAsia" w:ascii="宋体" w:hAnsi="宋体" w:eastAsia="宋体" w:cs="仿宋"/>
                <w:bCs/>
                <w:color w:val="auto"/>
                <w:kern w:val="2"/>
                <w:sz w:val="24"/>
                <w:szCs w:val="24"/>
                <w:highlight w:val="none"/>
              </w:rPr>
              <w:t>投标人</w:t>
            </w:r>
            <w:r>
              <w:rPr>
                <w:rFonts w:hint="eastAsia" w:ascii="宋体" w:hAnsi="宋体" w:eastAsia="宋体" w:cs="仿宋"/>
                <w:bCs/>
                <w:color w:val="auto"/>
                <w:kern w:val="2"/>
                <w:sz w:val="24"/>
                <w:szCs w:val="24"/>
                <w:highlight w:val="none"/>
                <w:lang w:val="zh-CN"/>
              </w:rPr>
              <w:t>须承诺抽样检验的实验室为</w:t>
            </w:r>
            <w:r>
              <w:rPr>
                <w:rFonts w:hint="eastAsia" w:ascii="宋体" w:hAnsi="宋体" w:eastAsia="宋体" w:cs="仿宋"/>
                <w:bCs/>
                <w:color w:val="auto"/>
                <w:kern w:val="2"/>
                <w:sz w:val="24"/>
                <w:szCs w:val="24"/>
                <w:highlight w:val="none"/>
              </w:rPr>
              <w:t>投标人</w:t>
            </w:r>
            <w:r>
              <w:rPr>
                <w:rFonts w:hint="eastAsia" w:ascii="宋体" w:hAnsi="宋体" w:eastAsia="宋体" w:cs="仿宋"/>
                <w:bCs/>
                <w:color w:val="auto"/>
                <w:kern w:val="2"/>
                <w:sz w:val="24"/>
                <w:szCs w:val="24"/>
                <w:highlight w:val="none"/>
                <w:lang w:val="zh-CN"/>
              </w:rPr>
              <w:t>自有实验室，并提供承诺书。招标人有权在合同签订前进行现场考察，一旦发现弄虚作假，将取消中标资格，并报有关部门严肃处理；</w:t>
            </w:r>
            <w:r>
              <w:rPr>
                <w:rFonts w:hint="eastAsia" w:ascii="宋体" w:hAnsi="宋体" w:cs="仿宋"/>
                <w:bCs/>
                <w:color w:val="auto"/>
                <w:kern w:val="2"/>
                <w:sz w:val="24"/>
                <w:szCs w:val="24"/>
                <w:highlight w:val="none"/>
                <w:lang w:val="en-US" w:eastAsia="zh-CN"/>
              </w:rPr>
              <w:t>②</w:t>
            </w:r>
            <w:r>
              <w:rPr>
                <w:rFonts w:hint="eastAsia" w:ascii="宋体" w:hAnsi="宋体" w:eastAsia="宋体" w:cs="仿宋"/>
                <w:bCs/>
                <w:color w:val="auto"/>
                <w:kern w:val="2"/>
                <w:sz w:val="24"/>
                <w:szCs w:val="24"/>
                <w:highlight w:val="none"/>
                <w:lang w:val="zh-CN"/>
              </w:rPr>
              <w:t>提供抽样检验场所的房产证或所有权证明文件或服务期内有效的房屋租赁合同加发票扫描件及相关证明材料</w:t>
            </w:r>
            <w:r>
              <w:rPr>
                <w:rFonts w:hint="eastAsia" w:ascii="宋体" w:hAnsi="宋体" w:eastAsia="宋体" w:cs="仿宋"/>
                <w:bCs/>
                <w:color w:val="auto"/>
                <w:kern w:val="2"/>
                <w:sz w:val="24"/>
                <w:szCs w:val="24"/>
                <w:highlight w:val="none"/>
              </w:rPr>
              <w:t>（租房合同须为投标人签署或房屋产权证书产权人为投标人）</w:t>
            </w:r>
            <w:r>
              <w:rPr>
                <w:rFonts w:hint="eastAsia" w:ascii="宋体" w:hAnsi="宋体" w:eastAsia="宋体" w:cs="仿宋"/>
                <w:bCs/>
                <w:color w:val="auto"/>
                <w:kern w:val="2"/>
                <w:sz w:val="24"/>
                <w:szCs w:val="24"/>
                <w:highlight w:val="none"/>
                <w:lang w:val="zh-CN"/>
              </w:rPr>
              <w:t>；</w:t>
            </w:r>
            <w:r>
              <w:rPr>
                <w:rFonts w:hint="eastAsia" w:ascii="宋体" w:hAnsi="宋体" w:cs="仿宋"/>
                <w:bCs/>
                <w:color w:val="auto"/>
                <w:kern w:val="2"/>
                <w:sz w:val="24"/>
                <w:szCs w:val="24"/>
                <w:highlight w:val="none"/>
                <w:lang w:val="en-US" w:eastAsia="zh-CN"/>
              </w:rPr>
              <w:t>③</w:t>
            </w:r>
            <w:r>
              <w:rPr>
                <w:rFonts w:hint="eastAsia" w:ascii="宋体" w:hAnsi="宋体" w:eastAsia="宋体" w:cs="仿宋"/>
                <w:bCs/>
                <w:color w:val="auto"/>
                <w:kern w:val="2"/>
                <w:sz w:val="24"/>
                <w:szCs w:val="24"/>
                <w:highlight w:val="none"/>
                <w:lang w:val="zh-CN"/>
              </w:rPr>
              <w:t>提供食品实验室平面布局图，并提供各组成部分面积清单；</w:t>
            </w:r>
            <w:r>
              <w:rPr>
                <w:rFonts w:hint="eastAsia" w:ascii="宋体" w:hAnsi="宋体" w:cs="仿宋"/>
                <w:bCs/>
                <w:color w:val="auto"/>
                <w:kern w:val="2"/>
                <w:sz w:val="24"/>
                <w:szCs w:val="24"/>
                <w:highlight w:val="none"/>
                <w:lang w:val="en-US" w:eastAsia="zh-CN"/>
              </w:rPr>
              <w:t>④</w:t>
            </w:r>
            <w:r>
              <w:rPr>
                <w:rFonts w:hint="eastAsia" w:ascii="宋体" w:hAnsi="宋体" w:eastAsia="宋体" w:cs="仿宋"/>
                <w:bCs/>
                <w:color w:val="auto"/>
                <w:kern w:val="2"/>
                <w:sz w:val="24"/>
                <w:szCs w:val="24"/>
                <w:highlight w:val="none"/>
                <w:lang w:val="zh-CN"/>
              </w:rPr>
              <w:t>未达到上述要求或未提供有效证明文件的不得分。</w:t>
            </w:r>
          </w:p>
          <w:p w14:paraId="69021A12">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2.投标人具备独立的微生物实验室，面积综合评定：</w:t>
            </w:r>
          </w:p>
          <w:p w14:paraId="4B190F5B">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（1）300（含）平方米及以上，得2分；</w:t>
            </w:r>
          </w:p>
          <w:p w14:paraId="1D10DED4">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（2）100（含）-300（不含）平方米，得1分；</w:t>
            </w:r>
          </w:p>
          <w:p w14:paraId="44FC6762">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（3）不符合上述要求的，得0分。</w:t>
            </w:r>
          </w:p>
          <w:p w14:paraId="3B473031">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注：</w:t>
            </w:r>
            <w:r>
              <w:rPr>
                <w:rFonts w:hint="eastAsia" w:ascii="宋体" w:hAnsi="宋体" w:cs="仿宋"/>
                <w:bCs/>
                <w:color w:val="auto"/>
                <w:kern w:val="2"/>
                <w:sz w:val="24"/>
                <w:szCs w:val="24"/>
                <w:highlight w:val="none"/>
                <w:lang w:val="en-US" w:eastAsia="zh-CN"/>
              </w:rPr>
              <w:t>①</w:t>
            </w:r>
            <w:r>
              <w:rPr>
                <w:rFonts w:hint="eastAsia" w:ascii="宋体" w:hAnsi="宋体" w:eastAsia="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lang w:val="zh-CN" w:eastAsia="zh-CN"/>
              </w:rPr>
              <w:t>须承诺</w:t>
            </w:r>
            <w:r>
              <w:rPr>
                <w:rFonts w:hint="eastAsia" w:ascii="宋体" w:hAnsi="宋体" w:eastAsia="宋体" w:cs="仿宋"/>
                <w:bCs/>
                <w:color w:val="auto"/>
                <w:kern w:val="2"/>
                <w:sz w:val="24"/>
                <w:szCs w:val="24"/>
                <w:highlight w:val="none"/>
                <w:lang w:val="en-US" w:eastAsia="zh-CN"/>
              </w:rPr>
              <w:t>微生物</w:t>
            </w:r>
            <w:r>
              <w:rPr>
                <w:rFonts w:hint="eastAsia" w:ascii="宋体" w:hAnsi="宋体" w:eastAsia="宋体" w:cs="仿宋"/>
                <w:bCs/>
                <w:color w:val="auto"/>
                <w:kern w:val="2"/>
                <w:sz w:val="24"/>
                <w:szCs w:val="24"/>
                <w:highlight w:val="none"/>
                <w:lang w:val="zh-CN" w:eastAsia="zh-CN"/>
              </w:rPr>
              <w:t>实验室为</w:t>
            </w:r>
            <w:r>
              <w:rPr>
                <w:rFonts w:hint="eastAsia" w:ascii="宋体" w:hAnsi="宋体" w:eastAsia="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lang w:val="zh-CN" w:eastAsia="zh-CN"/>
              </w:rPr>
              <w:t>自有实验室，并提供承诺书。招标人有权在合同签订前进行现场考察，一旦发现弄虚作假，将取消中标资格，并报有关部门严肃处理；</w:t>
            </w:r>
            <w:r>
              <w:rPr>
                <w:rFonts w:hint="eastAsia" w:ascii="宋体" w:hAnsi="宋体" w:cs="仿宋"/>
                <w:bCs/>
                <w:color w:val="auto"/>
                <w:kern w:val="2"/>
                <w:sz w:val="24"/>
                <w:szCs w:val="24"/>
                <w:highlight w:val="none"/>
                <w:lang w:val="en-US" w:eastAsia="zh-CN"/>
              </w:rPr>
              <w:t>②</w:t>
            </w:r>
            <w:r>
              <w:rPr>
                <w:rFonts w:hint="eastAsia" w:ascii="宋体" w:hAnsi="宋体" w:eastAsia="宋体" w:cs="仿宋"/>
                <w:bCs/>
                <w:color w:val="auto"/>
                <w:kern w:val="2"/>
                <w:sz w:val="24"/>
                <w:szCs w:val="24"/>
                <w:highlight w:val="none"/>
                <w:lang w:val="zh-CN" w:eastAsia="zh-CN"/>
              </w:rPr>
              <w:t>提供抽样检验场所的房产证或所有权证明文件或服务期内有效的房屋租赁合同加发票扫描件及相关证明材料</w:t>
            </w:r>
            <w:r>
              <w:rPr>
                <w:rFonts w:hint="eastAsia" w:ascii="宋体" w:hAnsi="宋体" w:eastAsia="宋体" w:cs="仿宋"/>
                <w:bCs/>
                <w:color w:val="auto"/>
                <w:kern w:val="2"/>
                <w:sz w:val="24"/>
                <w:szCs w:val="24"/>
                <w:highlight w:val="none"/>
                <w:lang w:val="en-US" w:eastAsia="zh-CN"/>
              </w:rPr>
              <w:t>（租房合同须为投标人签署或房屋产权证书产权人为投标人）</w:t>
            </w:r>
            <w:r>
              <w:rPr>
                <w:rFonts w:hint="eastAsia" w:ascii="宋体" w:hAnsi="宋体" w:eastAsia="宋体" w:cs="仿宋"/>
                <w:bCs/>
                <w:color w:val="auto"/>
                <w:kern w:val="2"/>
                <w:sz w:val="24"/>
                <w:szCs w:val="24"/>
                <w:highlight w:val="none"/>
                <w:lang w:val="zh-CN" w:eastAsia="zh-CN"/>
              </w:rPr>
              <w:t>；</w:t>
            </w:r>
            <w:r>
              <w:rPr>
                <w:rFonts w:hint="eastAsia" w:ascii="宋体" w:hAnsi="宋体" w:cs="仿宋"/>
                <w:bCs/>
                <w:color w:val="auto"/>
                <w:kern w:val="2"/>
                <w:sz w:val="24"/>
                <w:szCs w:val="24"/>
                <w:highlight w:val="none"/>
                <w:lang w:val="en-US" w:eastAsia="zh-CN"/>
              </w:rPr>
              <w:t>③</w:t>
            </w:r>
            <w:r>
              <w:rPr>
                <w:rFonts w:hint="eastAsia" w:ascii="宋体" w:hAnsi="宋体" w:eastAsia="宋体" w:cs="仿宋"/>
                <w:bCs/>
                <w:color w:val="auto"/>
                <w:kern w:val="2"/>
                <w:sz w:val="24"/>
                <w:szCs w:val="24"/>
                <w:highlight w:val="none"/>
                <w:lang w:val="zh-CN" w:eastAsia="zh-CN"/>
              </w:rPr>
              <w:t>提供</w:t>
            </w:r>
            <w:r>
              <w:rPr>
                <w:rFonts w:hint="eastAsia" w:ascii="宋体" w:hAnsi="宋体" w:eastAsia="宋体" w:cs="仿宋"/>
                <w:bCs/>
                <w:color w:val="auto"/>
                <w:kern w:val="2"/>
                <w:sz w:val="24"/>
                <w:szCs w:val="24"/>
                <w:highlight w:val="none"/>
                <w:lang w:val="en-US" w:eastAsia="zh-CN"/>
              </w:rPr>
              <w:t>微生物</w:t>
            </w:r>
            <w:r>
              <w:rPr>
                <w:rFonts w:hint="eastAsia" w:ascii="宋体" w:hAnsi="宋体" w:eastAsia="宋体" w:cs="仿宋"/>
                <w:bCs/>
                <w:color w:val="auto"/>
                <w:kern w:val="2"/>
                <w:sz w:val="24"/>
                <w:szCs w:val="24"/>
                <w:highlight w:val="none"/>
                <w:lang w:val="zh-CN" w:eastAsia="zh-CN"/>
              </w:rPr>
              <w:t>实验室</w:t>
            </w:r>
            <w:r>
              <w:rPr>
                <w:rFonts w:hint="eastAsia" w:ascii="宋体" w:hAnsi="宋体" w:eastAsia="宋体" w:cs="仿宋"/>
                <w:bCs/>
                <w:color w:val="auto"/>
                <w:kern w:val="2"/>
                <w:sz w:val="24"/>
                <w:szCs w:val="24"/>
                <w:highlight w:val="none"/>
                <w:lang w:val="en-US" w:eastAsia="zh-CN"/>
              </w:rPr>
              <w:t>及</w:t>
            </w:r>
            <w:r>
              <w:rPr>
                <w:rFonts w:hint="eastAsia" w:ascii="宋体" w:hAnsi="宋体" w:eastAsia="宋体" w:cs="仿宋"/>
                <w:bCs/>
                <w:color w:val="auto"/>
                <w:kern w:val="2"/>
                <w:sz w:val="24"/>
                <w:szCs w:val="24"/>
                <w:highlight w:val="none"/>
                <w:lang w:val="zh-CN" w:eastAsia="zh-CN"/>
              </w:rPr>
              <w:t>平面布局图，并提供各组成部分面积清单；</w:t>
            </w:r>
            <w:r>
              <w:rPr>
                <w:rFonts w:hint="eastAsia" w:ascii="宋体" w:hAnsi="宋体" w:cs="仿宋"/>
                <w:bCs/>
                <w:color w:val="auto"/>
                <w:kern w:val="2"/>
                <w:sz w:val="24"/>
                <w:szCs w:val="24"/>
                <w:highlight w:val="none"/>
                <w:lang w:val="en-US" w:eastAsia="zh-CN"/>
              </w:rPr>
              <w:t>④</w:t>
            </w:r>
            <w:r>
              <w:rPr>
                <w:rFonts w:hint="eastAsia" w:ascii="宋体" w:hAnsi="宋体" w:eastAsia="宋体" w:cs="仿宋"/>
                <w:bCs/>
                <w:color w:val="auto"/>
                <w:kern w:val="2"/>
                <w:sz w:val="24"/>
                <w:szCs w:val="24"/>
                <w:highlight w:val="none"/>
                <w:lang w:val="zh-CN" w:eastAsia="zh-CN"/>
              </w:rPr>
              <w:t>未达到上述要求或未提供有效证明文件的不得分。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CA7F346">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609A9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60F54867">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BEFB814">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检验设备设施</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FF00472">
            <w:pPr>
              <w:keepNext w:val="0"/>
              <w:keepLines w:val="0"/>
              <w:widowControl w:val="0"/>
              <w:numPr>
                <w:ilvl w:val="0"/>
                <w:numId w:val="8"/>
              </w:numPr>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具备液质联用仪GC/MS/MS、气质联用仪LC/MS/MS、HPLC（高效液相色谱仪）、GC（气相色谱仪）、UV（紫外分光光度计）、AAS（原子吸收光谱仪）、微波消解仪等（或同功能设备）、ICP-MS（电感耦合等离子体质谱仪）、IC（离子色谱仪）、电感耦合等离子体发射光谱仪（ICP-OES）、液相-原子荧光联用仪（LC-AFS）等与本项目相关的设备，得6分，少一项扣1分，扣完为止。</w:t>
            </w:r>
          </w:p>
          <w:p w14:paraId="3D3BD7CC">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如果具备以上设备，20台以上（含）的，且GC/MS/MS、LC/MS/MS各2台以上（含）加2分；如果具备以上设备15台以上（含）的，且GC/MS/MS、LC/MS/MS各2台以上（含）加1.5分；如果具备以上设备10台以上（含）的，且GC/MS/MS或LC/MS/MS各2台以上（含）加1分；其他情况得0分。</w:t>
            </w:r>
          </w:p>
          <w:p w14:paraId="57BD6B4A">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（提供仪器设备清单、设备购置发票或仪器计量检定校准认证证书、相关实验室放置图片证明、购销合同或售后服务保障证明）</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6BA2DAA">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8分</w:t>
            </w:r>
          </w:p>
        </w:tc>
      </w:tr>
      <w:tr w14:paraId="5FEA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540B11C">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4713521D">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样品运输及冷藏设备</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7EEADC2">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样品运输设备，如冷藏设备及车辆配置等情况进行比较（提供发票复印件）：自有或租赁车辆4辆以上（含4辆）、冷藏设备6台以上（含6台）得3分；自有或租赁车辆2-3辆（含2辆）、冷藏设备4-5台得2分；自有或租赁车辆2辆以下（含2辆）、冷藏设备4台以下得1分；其它情况0分。</w:t>
            </w:r>
          </w:p>
          <w:p w14:paraId="4CD0A7D2">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投标人自建或者租赁冷库面积50㎡以上（含50㎡）得1分，自建或者租赁冷库面积30㎡-50㎡得0.5分；其他情况0分。</w:t>
            </w:r>
          </w:p>
          <w:p w14:paraId="17AAF27C">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注：需提供项目本地采样车辆和冷藏设备的图片证明材料，冷库建设或者租赁合同。</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5EA1023">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4分</w:t>
            </w:r>
          </w:p>
        </w:tc>
      </w:tr>
      <w:tr w14:paraId="59F1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1E7CE65">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77C785F">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科研及技术创新能力评价</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315618C">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1、近三年</w:t>
            </w:r>
            <w:r>
              <w:rPr>
                <w:rFonts w:hint="eastAsia" w:ascii="宋体" w:hAnsi="宋体" w:cs="宋体"/>
                <w:color w:val="auto"/>
                <w:kern w:val="2"/>
                <w:sz w:val="24"/>
                <w:szCs w:val="24"/>
                <w:highlight w:val="none"/>
                <w:lang w:val="en-US" w:eastAsia="zh-CN" w:bidi="ar"/>
              </w:rPr>
              <w:t>（2023年-至今）</w:t>
            </w:r>
            <w:r>
              <w:rPr>
                <w:rFonts w:hint="eastAsia" w:ascii="宋体" w:hAnsi="宋体" w:eastAsia="宋体" w:cs="宋体"/>
                <w:color w:val="auto"/>
                <w:kern w:val="2"/>
                <w:sz w:val="24"/>
                <w:szCs w:val="24"/>
                <w:highlight w:val="none"/>
                <w:lang w:val="en-US" w:eastAsia="zh-CN" w:bidi="ar"/>
              </w:rPr>
              <w:t>投标人</w:t>
            </w:r>
            <w:r>
              <w:rPr>
                <w:rFonts w:hint="eastAsia"/>
                <w:color w:val="auto"/>
                <w:sz w:val="24"/>
                <w:szCs w:val="24"/>
                <w:highlight w:val="none"/>
                <w:lang w:eastAsia="zh-CN"/>
              </w:rPr>
              <w:t>起草食品检测相关标准</w:t>
            </w:r>
            <w:r>
              <w:rPr>
                <w:rFonts w:hint="eastAsia"/>
                <w:color w:val="auto"/>
                <w:sz w:val="24"/>
                <w:szCs w:val="24"/>
                <w:highlight w:val="none"/>
                <w:lang w:val="en-US" w:eastAsia="zh-CN"/>
              </w:rPr>
              <w:t>一项得0.5分</w:t>
            </w:r>
            <w:r>
              <w:rPr>
                <w:rFonts w:hint="eastAsia" w:ascii="宋体" w:hAnsi="宋体" w:eastAsia="宋体" w:cs="宋体"/>
                <w:color w:val="auto"/>
                <w:kern w:val="2"/>
                <w:sz w:val="24"/>
                <w:szCs w:val="24"/>
                <w:highlight w:val="none"/>
                <w:lang w:val="en-US" w:eastAsia="zh-CN" w:bidi="ar"/>
              </w:rPr>
              <w:t>；本项满分</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w:t>
            </w:r>
          </w:p>
          <w:p w14:paraId="3DB1783E">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（提供相关标准原文等相关证明材料备查，否则不得分）</w:t>
            </w:r>
          </w:p>
          <w:p w14:paraId="2F54A584">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2.投标人20</w:t>
            </w:r>
            <w:r>
              <w:rPr>
                <w:rFonts w:hint="eastAsia" w:ascii="宋体" w:hAnsi="宋体" w:cs="宋体"/>
                <w:color w:val="auto"/>
                <w:kern w:val="2"/>
                <w:sz w:val="24"/>
                <w:szCs w:val="24"/>
                <w:highlight w:val="none"/>
                <w:lang w:val="en-US" w:eastAsia="zh-CN" w:bidi="ar"/>
              </w:rPr>
              <w:t>21</w:t>
            </w:r>
            <w:r>
              <w:rPr>
                <w:rFonts w:hint="eastAsia" w:ascii="宋体" w:hAnsi="宋体" w:eastAsia="宋体" w:cs="宋体"/>
                <w:color w:val="auto"/>
                <w:kern w:val="2"/>
                <w:sz w:val="24"/>
                <w:szCs w:val="24"/>
                <w:highlight w:val="none"/>
                <w:lang w:val="en-US" w:eastAsia="zh-CN" w:bidi="ar"/>
              </w:rPr>
              <w:t>年1月1日（含）以来获得的</w:t>
            </w:r>
            <w:r>
              <w:rPr>
                <w:rFonts w:hint="eastAsia"/>
                <w:color w:val="auto"/>
                <w:sz w:val="24"/>
                <w:szCs w:val="24"/>
                <w:highlight w:val="none"/>
                <w:lang w:eastAsia="zh-CN"/>
              </w:rPr>
              <w:t>食品检测相关专利证书</w:t>
            </w:r>
            <w:r>
              <w:rPr>
                <w:rFonts w:hint="eastAsia" w:ascii="宋体" w:hAnsi="宋体" w:eastAsia="宋体" w:cs="宋体"/>
                <w:color w:val="auto"/>
                <w:kern w:val="2"/>
                <w:sz w:val="24"/>
                <w:szCs w:val="24"/>
                <w:highlight w:val="none"/>
                <w:lang w:val="en-US" w:eastAsia="zh-CN" w:bidi="ar"/>
              </w:rPr>
              <w:t>，有1个得0.5分，最高得</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分。（需提供专利证书证明材料备查，软件著作权登记证书不得分）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766EC29">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分</w:t>
            </w:r>
          </w:p>
        </w:tc>
      </w:tr>
      <w:tr w14:paraId="3887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13C085A">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A975E05">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项目负责人及证书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45C413D0">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具备食品相关专业高级以上职称，有类似项目经历的得4分；具备相关食品专业中级职称，缺少类似项目经历的得2分。中途更换，视为违约。（需提供职称证书和</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项目负责人（</w:t>
            </w:r>
            <w:r>
              <w:rPr>
                <w:rFonts w:hint="eastAsia" w:ascii="宋体" w:hAnsi="宋体" w:cs="宋体"/>
                <w:color w:val="auto"/>
                <w:kern w:val="2"/>
                <w:sz w:val="24"/>
                <w:szCs w:val="24"/>
                <w:highlight w:val="none"/>
                <w:lang w:val="en-US" w:eastAsia="zh-CN" w:bidi="ar"/>
              </w:rPr>
              <w:t>含</w:t>
            </w:r>
            <w:r>
              <w:rPr>
                <w:rFonts w:hint="eastAsia" w:ascii="宋体" w:hAnsi="宋体" w:eastAsia="宋体" w:cs="宋体"/>
                <w:color w:val="auto"/>
                <w:kern w:val="2"/>
                <w:sz w:val="24"/>
                <w:szCs w:val="24"/>
                <w:highlight w:val="none"/>
                <w:lang w:val="en-US" w:eastAsia="zh-CN" w:bidi="ar"/>
              </w:rPr>
              <w:t>主要技术人员）应与投标书内人员一致）</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F6CEDDC">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4分</w:t>
            </w:r>
          </w:p>
        </w:tc>
      </w:tr>
      <w:tr w14:paraId="28A7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vMerge w:val="restart"/>
            <w:tcBorders>
              <w:top w:val="nil"/>
              <w:left w:val="single" w:color="auto" w:sz="4" w:space="0"/>
              <w:bottom w:val="single" w:color="auto" w:sz="4" w:space="0"/>
              <w:right w:val="single" w:color="auto" w:sz="4" w:space="0"/>
            </w:tcBorders>
            <w:shd w:val="clear" w:color="auto" w:fill="auto"/>
            <w:vAlign w:val="center"/>
          </w:tcPr>
          <w:p w14:paraId="54B36F8F">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10</w:t>
            </w:r>
          </w:p>
        </w:tc>
        <w:tc>
          <w:tcPr>
            <w:tcW w:w="1030" w:type="dxa"/>
            <w:vMerge w:val="restart"/>
            <w:tcBorders>
              <w:top w:val="nil"/>
              <w:left w:val="single" w:color="auto" w:sz="4" w:space="0"/>
              <w:bottom w:val="single" w:color="auto" w:sz="4" w:space="0"/>
              <w:right w:val="single" w:color="auto" w:sz="4" w:space="0"/>
            </w:tcBorders>
            <w:shd w:val="clear" w:color="auto" w:fill="auto"/>
            <w:vAlign w:val="center"/>
          </w:tcPr>
          <w:p w14:paraId="7E334710">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项目实施团队能力</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CBC741D">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1.投标人所配服务人员中为本单位人员，且具有专职承担食品抽检工作的独立抽样人员：10人及以下：1分；11-19人：2分；20人及以上：3分。</w:t>
            </w:r>
          </w:p>
          <w:p w14:paraId="648C82E0">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注：（1）须提供独立抽样工作人员名单及抽样员证（或其他证明性材料）复印件；（2）提供</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材料。</w:t>
            </w:r>
          </w:p>
        </w:tc>
        <w:tc>
          <w:tcPr>
            <w:tcW w:w="1231" w:type="dxa"/>
            <w:vMerge w:val="restart"/>
            <w:tcBorders>
              <w:top w:val="nil"/>
              <w:left w:val="single" w:color="auto" w:sz="4" w:space="0"/>
              <w:bottom w:val="single" w:color="auto" w:sz="4" w:space="0"/>
              <w:right w:val="single" w:color="auto" w:sz="4" w:space="0"/>
            </w:tcBorders>
            <w:shd w:val="clear" w:color="auto" w:fill="auto"/>
            <w:vAlign w:val="center"/>
          </w:tcPr>
          <w:p w14:paraId="572659F4">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9分</w:t>
            </w:r>
          </w:p>
        </w:tc>
      </w:tr>
      <w:tr w14:paraId="4E8B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2DA2D24C">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nil"/>
              <w:left w:val="single" w:color="auto" w:sz="4" w:space="0"/>
              <w:bottom w:val="single" w:color="auto" w:sz="4" w:space="0"/>
              <w:right w:val="single" w:color="auto" w:sz="4" w:space="0"/>
            </w:tcBorders>
            <w:shd w:val="clear" w:color="auto" w:fill="auto"/>
            <w:vAlign w:val="center"/>
          </w:tcPr>
          <w:p w14:paraId="374C8E75">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51AF2AC">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2.投标人所配服务人员中为本单位人员，专职从事食品检验人员的数量：20人及以下：1分；21-30人：2分；30人及以上：3分。</w:t>
            </w:r>
          </w:p>
          <w:p w14:paraId="185D669B">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注：（1）须提供专职从事食品检验人员名单及食品检验人员上岗证（或其他证明性材料）复印件；（2）提供</w:t>
            </w:r>
            <w:r>
              <w:rPr>
                <w:rFonts w:hint="eastAsia"/>
                <w:color w:val="auto"/>
                <w:sz w:val="24"/>
                <w:szCs w:val="24"/>
                <w:highlight w:val="none"/>
                <w:lang w:val="en-US" w:eastAsia="zh-CN"/>
              </w:rPr>
              <w:t>近六个月任意一个月缴纳社会保障证明</w:t>
            </w:r>
            <w:r>
              <w:rPr>
                <w:rFonts w:hint="eastAsia" w:ascii="宋体" w:hAnsi="宋体" w:eastAsia="宋体" w:cs="宋体"/>
                <w:color w:val="auto"/>
                <w:kern w:val="2"/>
                <w:sz w:val="24"/>
                <w:szCs w:val="24"/>
                <w:highlight w:val="none"/>
                <w:lang w:val="en-US" w:eastAsia="zh-CN" w:bidi="ar"/>
              </w:rPr>
              <w:t>材料。</w:t>
            </w:r>
          </w:p>
        </w:tc>
        <w:tc>
          <w:tcPr>
            <w:tcW w:w="1231" w:type="dxa"/>
            <w:vMerge w:val="continue"/>
            <w:tcBorders>
              <w:top w:val="nil"/>
              <w:left w:val="single" w:color="auto" w:sz="4" w:space="0"/>
              <w:bottom w:val="single" w:color="auto" w:sz="4" w:space="0"/>
              <w:right w:val="single" w:color="auto" w:sz="4" w:space="0"/>
            </w:tcBorders>
            <w:shd w:val="clear" w:color="auto" w:fill="auto"/>
            <w:vAlign w:val="center"/>
          </w:tcPr>
          <w:p w14:paraId="3E0B79F4">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3C40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5644AF19">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nil"/>
              <w:left w:val="single" w:color="auto" w:sz="4" w:space="0"/>
              <w:bottom w:val="single" w:color="auto" w:sz="4" w:space="0"/>
              <w:right w:val="single" w:color="auto" w:sz="4" w:space="0"/>
            </w:tcBorders>
            <w:shd w:val="clear" w:color="auto" w:fill="auto"/>
            <w:vAlign w:val="center"/>
          </w:tcPr>
          <w:p w14:paraId="3E4E1809">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25A8D7D">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3.投标人所配服务人员中为本单位人员，具有高级技术职称，专职从事食品检验业务相关工作且在单位满2年及以上的人员数量：6人及以下：1.5分；7-9人：2分；10人及以上：3分。</w:t>
            </w:r>
          </w:p>
          <w:p w14:paraId="0A7BD7A2">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注：（1）须提供人员名单（至少包含：姓名、年龄、文化程度、职务、职称、从事本技术领域年限、现在部门岗位）并加盖公章；（2）提供人员高级职称证书复印件；（3）提供</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w:t>
            </w:r>
          </w:p>
        </w:tc>
        <w:tc>
          <w:tcPr>
            <w:tcW w:w="1231" w:type="dxa"/>
            <w:vMerge w:val="continue"/>
            <w:tcBorders>
              <w:top w:val="nil"/>
              <w:left w:val="single" w:color="auto" w:sz="4" w:space="0"/>
              <w:bottom w:val="single" w:color="auto" w:sz="4" w:space="0"/>
              <w:right w:val="single" w:color="auto" w:sz="4" w:space="0"/>
            </w:tcBorders>
            <w:shd w:val="clear" w:color="auto" w:fill="auto"/>
            <w:vAlign w:val="center"/>
          </w:tcPr>
          <w:p w14:paraId="3422F4F4">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64D9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2E842DF9">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4368CBB">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服务</w:t>
            </w:r>
          </w:p>
          <w:p w14:paraId="6BE69D9A">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承诺</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4B627FC5">
            <w:pPr>
              <w:keepNext w:val="0"/>
              <w:keepLines w:val="0"/>
              <w:widowControl w:val="0"/>
              <w:suppressLineNumbers w:val="0"/>
              <w:spacing w:before="0" w:beforeAutospacing="0" w:after="0" w:afterAutospacing="0" w:line="300" w:lineRule="exact"/>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根据投标人针对本项目提供的</w:t>
            </w:r>
            <w:r>
              <w:rPr>
                <w:rFonts w:hint="eastAsia" w:ascii="宋体" w:hAnsi="宋体" w:eastAsia="宋体" w:cs="宋体"/>
                <w:color w:val="auto"/>
                <w:kern w:val="2"/>
                <w:sz w:val="24"/>
                <w:szCs w:val="24"/>
                <w:highlight w:val="none"/>
                <w:lang w:val="en-US" w:eastAsia="zh-CN" w:bidi="ar"/>
              </w:rPr>
              <w:t>服务承诺</w:t>
            </w:r>
            <w:r>
              <w:rPr>
                <w:rFonts w:hint="eastAsia" w:ascii="宋体" w:hAnsi="宋体" w:eastAsia="宋体" w:cs="宋体"/>
                <w:bCs/>
                <w:color w:val="auto"/>
                <w:kern w:val="2"/>
                <w:sz w:val="24"/>
                <w:szCs w:val="24"/>
                <w:highlight w:val="none"/>
                <w:lang w:val="en-US" w:eastAsia="zh-CN" w:bidi="ar"/>
              </w:rPr>
              <w:t>进行综合评分，内容包含但不限于：①</w:t>
            </w:r>
            <w:r>
              <w:rPr>
                <w:rFonts w:hint="eastAsia" w:ascii="宋体" w:hAnsi="宋体" w:eastAsia="宋体" w:cs="宋体"/>
                <w:color w:val="auto"/>
                <w:kern w:val="2"/>
                <w:sz w:val="24"/>
                <w:szCs w:val="24"/>
                <w:highlight w:val="none"/>
                <w:lang w:val="en-US" w:eastAsia="zh-CN" w:bidi="ar"/>
              </w:rPr>
              <w:t>项目实施期间，定时在甲方指定地点参加任务部署会、推进会，缺席2次以上，视为违约</w:t>
            </w:r>
            <w:r>
              <w:rPr>
                <w:rFonts w:hint="eastAsia" w:ascii="宋体" w:hAnsi="宋体" w:eastAsia="宋体" w:cs="宋体"/>
                <w:bCs/>
                <w:color w:val="auto"/>
                <w:kern w:val="2"/>
                <w:sz w:val="24"/>
                <w:szCs w:val="24"/>
                <w:highlight w:val="none"/>
                <w:lang w:val="en-US" w:eastAsia="zh-CN" w:bidi="ar"/>
              </w:rPr>
              <w:t>；②</w:t>
            </w:r>
            <w:r>
              <w:rPr>
                <w:rFonts w:hint="eastAsia" w:ascii="宋体" w:hAnsi="宋体" w:eastAsia="宋体" w:cs="宋体"/>
                <w:color w:val="auto"/>
                <w:kern w:val="2"/>
                <w:sz w:val="24"/>
                <w:szCs w:val="24"/>
                <w:highlight w:val="none"/>
                <w:lang w:val="en-US" w:eastAsia="zh-CN" w:bidi="ar"/>
              </w:rPr>
              <w:t>合同期内及质保期内提供24小时应急响应到场服务，承诺响应服务处理结束后提交问题处理报告，不到场1次以上视为违约；</w:t>
            </w:r>
            <w:r>
              <w:rPr>
                <w:rFonts w:hint="eastAsia" w:ascii="宋体" w:hAnsi="宋体" w:eastAsia="宋体" w:cs="宋体"/>
                <w:bCs/>
                <w:color w:val="auto"/>
                <w:kern w:val="2"/>
                <w:sz w:val="24"/>
                <w:szCs w:val="24"/>
                <w:highlight w:val="none"/>
                <w:lang w:val="en-US" w:eastAsia="zh-CN" w:bidi="ar"/>
              </w:rPr>
              <w:t>③</w:t>
            </w:r>
            <w:r>
              <w:rPr>
                <w:rFonts w:hint="eastAsia" w:ascii="宋体" w:hAnsi="宋体" w:eastAsia="宋体" w:cs="宋体"/>
                <w:color w:val="auto"/>
                <w:kern w:val="2"/>
                <w:sz w:val="24"/>
                <w:szCs w:val="24"/>
                <w:highlight w:val="none"/>
                <w:lang w:val="en-US" w:eastAsia="zh-CN" w:bidi="ar"/>
              </w:rPr>
              <w:t>有保密责任承诺书；</w:t>
            </w:r>
            <w:r>
              <w:rPr>
                <w:rFonts w:hint="eastAsia" w:ascii="宋体" w:hAnsi="宋体" w:eastAsia="宋体" w:cs="宋体"/>
                <w:bCs/>
                <w:color w:val="auto"/>
                <w:kern w:val="2"/>
                <w:sz w:val="24"/>
                <w:szCs w:val="24"/>
                <w:highlight w:val="none"/>
                <w:lang w:val="en-US" w:eastAsia="zh-CN" w:bidi="ar"/>
              </w:rPr>
              <w:t>④</w:t>
            </w:r>
            <w:r>
              <w:rPr>
                <w:rFonts w:hint="eastAsia" w:ascii="宋体" w:hAnsi="宋体" w:eastAsia="宋体" w:cs="宋体"/>
                <w:color w:val="auto"/>
                <w:kern w:val="2"/>
                <w:sz w:val="24"/>
                <w:szCs w:val="24"/>
                <w:highlight w:val="none"/>
                <w:lang w:val="en-US" w:eastAsia="zh-CN" w:bidi="ar"/>
              </w:rPr>
              <w:t>协助做好重大活动等时间节点保障活动食品抽检工作；</w:t>
            </w:r>
            <w:r>
              <w:rPr>
                <w:rFonts w:hint="eastAsia" w:ascii="宋体" w:hAnsi="宋体" w:eastAsia="宋体" w:cs="宋体"/>
                <w:bCs/>
                <w:color w:val="auto"/>
                <w:kern w:val="2"/>
                <w:sz w:val="24"/>
                <w:szCs w:val="24"/>
                <w:highlight w:val="none"/>
                <w:lang w:val="en-US" w:eastAsia="zh-CN" w:bidi="ar"/>
              </w:rPr>
              <w:t>⑤</w:t>
            </w:r>
            <w:r>
              <w:rPr>
                <w:rFonts w:hint="eastAsia" w:ascii="宋体" w:hAnsi="宋体" w:eastAsia="宋体" w:cs="宋体"/>
                <w:color w:val="auto"/>
                <w:kern w:val="2"/>
                <w:sz w:val="24"/>
                <w:szCs w:val="24"/>
                <w:highlight w:val="none"/>
                <w:lang w:val="en-US" w:eastAsia="zh-CN" w:bidi="ar"/>
              </w:rPr>
              <w:t>协助做好食品安全突发事件应急演练保障工作；</w:t>
            </w:r>
            <w:r>
              <w:rPr>
                <w:rFonts w:hint="eastAsia" w:ascii="宋体" w:hAnsi="宋体" w:eastAsia="宋体" w:cs="宋体"/>
                <w:bCs/>
                <w:color w:val="auto"/>
                <w:kern w:val="2"/>
                <w:sz w:val="24"/>
                <w:szCs w:val="24"/>
                <w:highlight w:val="none"/>
                <w:lang w:val="en-US" w:eastAsia="zh-CN" w:bidi="ar"/>
              </w:rPr>
              <w:t>⑥</w:t>
            </w:r>
            <w:r>
              <w:rPr>
                <w:rFonts w:hint="eastAsia" w:ascii="宋体" w:hAnsi="宋体" w:eastAsia="宋体" w:cs="宋体"/>
                <w:color w:val="auto"/>
                <w:kern w:val="2"/>
                <w:sz w:val="24"/>
                <w:szCs w:val="24"/>
                <w:highlight w:val="none"/>
                <w:lang w:val="en-US" w:eastAsia="zh-CN" w:bidi="ar"/>
              </w:rPr>
              <w:t>各级股东中无外资成分及外籍员工的声明；</w:t>
            </w:r>
            <w:r>
              <w:rPr>
                <w:rFonts w:hint="eastAsia" w:ascii="宋体" w:hAnsi="宋体" w:eastAsia="宋体" w:cs="宋体"/>
                <w:bCs/>
                <w:color w:val="auto"/>
                <w:kern w:val="2"/>
                <w:sz w:val="24"/>
                <w:szCs w:val="24"/>
                <w:highlight w:val="none"/>
                <w:lang w:val="en-US" w:eastAsia="zh-CN" w:bidi="ar"/>
              </w:rPr>
              <w:t>以上六项内容均有体现且完全满足采购实际需求的得</w:t>
            </w:r>
            <w:r>
              <w:rPr>
                <w:rFonts w:hint="eastAsia" w:ascii="宋体" w:hAnsi="宋体" w:eastAsia="宋体" w:cs="仿宋"/>
                <w:bCs/>
                <w:color w:val="auto"/>
                <w:kern w:val="2"/>
                <w:sz w:val="24"/>
                <w:szCs w:val="24"/>
                <w:highlight w:val="none"/>
                <w:lang w:val="en-US" w:eastAsia="zh-CN" w:bidi="ar"/>
              </w:rPr>
              <w:t>6</w:t>
            </w:r>
            <w:r>
              <w:rPr>
                <w:rFonts w:hint="eastAsia" w:ascii="宋体" w:hAnsi="宋体" w:eastAsia="宋体" w:cs="宋体"/>
                <w:bCs/>
                <w:color w:val="auto"/>
                <w:kern w:val="2"/>
                <w:sz w:val="24"/>
                <w:szCs w:val="24"/>
                <w:highlight w:val="none"/>
                <w:lang w:val="en-US" w:eastAsia="zh-CN" w:bidi="ar"/>
              </w:rPr>
              <w:t>分；每有一项内容缺失的扣1分；每有一项内容存在缺陷或者不能满足采购实际需求的扣</w:t>
            </w:r>
            <w:r>
              <w:rPr>
                <w:rFonts w:hint="eastAsia" w:ascii="宋体" w:hAnsi="宋体" w:eastAsia="宋体" w:cs="仿宋"/>
                <w:bCs/>
                <w:color w:val="auto"/>
                <w:kern w:val="2"/>
                <w:sz w:val="24"/>
                <w:szCs w:val="24"/>
                <w:highlight w:val="none"/>
                <w:lang w:val="en-US" w:eastAsia="zh-CN" w:bidi="ar"/>
              </w:rPr>
              <w:t>0.5</w:t>
            </w:r>
            <w:r>
              <w:rPr>
                <w:rFonts w:hint="eastAsia" w:ascii="宋体" w:hAnsi="宋体" w:eastAsia="宋体" w:cs="宋体"/>
                <w:bCs/>
                <w:color w:val="auto"/>
                <w:kern w:val="2"/>
                <w:sz w:val="24"/>
                <w:szCs w:val="24"/>
                <w:highlight w:val="none"/>
                <w:lang w:val="en-US" w:eastAsia="zh-CN" w:bidi="ar"/>
              </w:rPr>
              <w:t>分，扣完为止；本项满分为6分，未提供</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6E44FD9">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6分</w:t>
            </w:r>
          </w:p>
        </w:tc>
      </w:tr>
      <w:tr w14:paraId="019A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E03BA89">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927819F">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检验项目响应程度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EDF2D28">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根据投标人提供的检验项目商务、技术偏离表是否符合招标文件“第四部分，服务标准和要求”，完全响应得5分，偏离一项扣1分，扣完为止。</w:t>
            </w:r>
          </w:p>
          <w:p w14:paraId="69351142">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注：投标人提供的所投包组项目须提交实验室资质认可复印件盖章。</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B936B98">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265E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5E0EDA5">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13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2D188F2">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0"/>
                <w:sz w:val="24"/>
                <w:szCs w:val="24"/>
                <w:highlight w:val="none"/>
                <w:lang w:val="en-US" w:eastAsia="zh-CN" w:bidi="zh-CN"/>
              </w:rPr>
            </w:pPr>
            <w:r>
              <w:rPr>
                <w:rFonts w:hint="eastAsia" w:ascii="宋体" w:hAnsi="宋体" w:cs="宋体"/>
                <w:color w:val="auto"/>
                <w:kern w:val="2"/>
                <w:sz w:val="24"/>
                <w:szCs w:val="24"/>
                <w:highlight w:val="none"/>
                <w:lang w:val="en-US" w:eastAsia="zh-CN" w:bidi="ar"/>
              </w:rPr>
              <w:t>承检</w:t>
            </w:r>
            <w:r>
              <w:rPr>
                <w:rFonts w:hint="eastAsia" w:ascii="宋体" w:hAnsi="宋体" w:eastAsia="宋体" w:cs="宋体"/>
                <w:color w:val="auto"/>
                <w:kern w:val="2"/>
                <w:sz w:val="24"/>
                <w:szCs w:val="24"/>
                <w:highlight w:val="none"/>
                <w:lang w:val="en-US" w:eastAsia="zh-CN" w:bidi="ar"/>
              </w:rPr>
              <w:t>机构考核</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FA5F1AB">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1.20</w:t>
            </w:r>
            <w:r>
              <w:rPr>
                <w:rFonts w:hint="eastAsia" w:ascii="宋体" w:hAnsi="宋体" w:cs="宋体"/>
                <w:color w:val="auto"/>
                <w:kern w:val="2"/>
                <w:sz w:val="24"/>
                <w:szCs w:val="24"/>
                <w:highlight w:val="none"/>
                <w:lang w:val="en-US" w:eastAsia="zh-CN" w:bidi="ar"/>
              </w:rPr>
              <w:t>22</w:t>
            </w:r>
            <w:r>
              <w:rPr>
                <w:rFonts w:hint="eastAsia" w:ascii="宋体" w:hAnsi="宋体" w:eastAsia="宋体" w:cs="宋体"/>
                <w:color w:val="auto"/>
                <w:kern w:val="2"/>
                <w:sz w:val="24"/>
                <w:szCs w:val="24"/>
                <w:highlight w:val="none"/>
                <w:lang w:val="en-US" w:eastAsia="zh-CN" w:bidi="ar"/>
              </w:rPr>
              <w:t>年1月1日以来，在行业相关监管部门（食品、食用农产品监管部门）组织的承检机构考核中的综合评价满意度情况：</w:t>
            </w:r>
          </w:p>
          <w:p w14:paraId="65FEE9CC">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（1）获得相关监管部门满意的考核评价（优秀，或等同于相同等次），有一个得</w:t>
            </w:r>
            <w:r>
              <w:rPr>
                <w:rFonts w:hint="eastAsia" w:ascii="宋体" w:hAnsi="宋体" w:cs="宋体"/>
                <w:color w:val="auto"/>
                <w:kern w:val="2"/>
                <w:sz w:val="24"/>
                <w:szCs w:val="24"/>
                <w:highlight w:val="none"/>
                <w:lang w:val="en-US" w:eastAsia="zh-CN" w:bidi="ar"/>
              </w:rPr>
              <w:t>0.5</w:t>
            </w:r>
            <w:r>
              <w:rPr>
                <w:rFonts w:hint="eastAsia" w:ascii="宋体" w:hAnsi="宋体" w:eastAsia="宋体" w:cs="宋体"/>
                <w:color w:val="auto"/>
                <w:kern w:val="2"/>
                <w:sz w:val="24"/>
                <w:szCs w:val="24"/>
                <w:highlight w:val="none"/>
                <w:lang w:val="en-US" w:eastAsia="zh-CN" w:bidi="ar"/>
              </w:rPr>
              <w:t>分；本项最高得2分。</w:t>
            </w:r>
          </w:p>
          <w:p w14:paraId="034FD07E">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注：须提供监管部门出具的“承检机构考核结果证明材料”原件扫描件，未提供不得分。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DA49747">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color w:val="auto"/>
                <w:kern w:val="0"/>
                <w:sz w:val="24"/>
                <w:szCs w:val="24"/>
                <w:highlight w:val="none"/>
                <w:lang w:bidi="zh-CN"/>
              </w:rPr>
              <w:t>2</w:t>
            </w:r>
            <w:r>
              <w:rPr>
                <w:rFonts w:hint="eastAsia"/>
                <w:color w:val="auto"/>
                <w:kern w:val="0"/>
                <w:sz w:val="24"/>
                <w:szCs w:val="24"/>
                <w:highlight w:val="none"/>
                <w:lang w:val="zh-CN" w:bidi="zh-CN"/>
              </w:rPr>
              <w:t>分</w:t>
            </w:r>
          </w:p>
        </w:tc>
      </w:tr>
      <w:tr w14:paraId="5424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C7D7D86">
            <w:pPr>
              <w:keepNext w:val="0"/>
              <w:keepLines w:val="0"/>
              <w:widowControl w:val="0"/>
              <w:suppressLineNumbers w:val="0"/>
              <w:snapToGrid w:val="0"/>
              <w:spacing w:before="0" w:beforeAutospacing="0" w:after="0" w:afterAutospacing="0"/>
              <w:ind w:left="0" w:right="0"/>
              <w:jc w:val="both"/>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商务部分评分2</w:t>
            </w:r>
            <w:r>
              <w:rPr>
                <w:rFonts w:hint="eastAsia" w:ascii="宋体" w:hAnsi="宋体" w:eastAsia="宋体" w:cs="Courier New"/>
                <w:b/>
                <w:bCs w:val="0"/>
                <w:color w:val="auto"/>
                <w:kern w:val="2"/>
                <w:sz w:val="24"/>
                <w:szCs w:val="24"/>
                <w:highlight w:val="none"/>
                <w:lang w:val="en-US" w:eastAsia="zh-CN" w:bidi="ar"/>
              </w:rPr>
              <w:t>0</w:t>
            </w:r>
            <w:r>
              <w:rPr>
                <w:rFonts w:hint="eastAsia" w:ascii="宋体" w:hAnsi="宋体" w:eastAsia="宋体" w:cs="宋体"/>
                <w:b/>
                <w:bCs w:val="0"/>
                <w:color w:val="auto"/>
                <w:kern w:val="2"/>
                <w:sz w:val="24"/>
                <w:szCs w:val="24"/>
                <w:highlight w:val="none"/>
                <w:lang w:val="en-US" w:eastAsia="zh-CN" w:bidi="ar"/>
              </w:rPr>
              <w:t>分</w:t>
            </w:r>
          </w:p>
        </w:tc>
      </w:tr>
      <w:tr w14:paraId="75CD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03" w:hRule="atLeast"/>
          <w:jc w:val="center"/>
        </w:trPr>
        <w:tc>
          <w:tcPr>
            <w:tcW w:w="638" w:type="dxa"/>
            <w:vMerge w:val="restart"/>
            <w:tcBorders>
              <w:top w:val="nil"/>
              <w:left w:val="single" w:color="auto" w:sz="4" w:space="0"/>
              <w:bottom w:val="single" w:color="auto" w:sz="4" w:space="0"/>
              <w:right w:val="single" w:color="auto" w:sz="4" w:space="0"/>
            </w:tcBorders>
            <w:shd w:val="clear" w:color="auto" w:fill="auto"/>
            <w:vAlign w:val="center"/>
          </w:tcPr>
          <w:p w14:paraId="42100C07">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11819B">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企业</w:t>
            </w:r>
            <w:r>
              <w:rPr>
                <w:rFonts w:hint="eastAsia" w:ascii="宋体" w:hAnsi="宋体" w:eastAsia="宋体" w:cs="宋体"/>
                <w:color w:val="auto"/>
                <w:kern w:val="2"/>
                <w:sz w:val="24"/>
                <w:szCs w:val="24"/>
                <w:highlight w:val="none"/>
                <w:lang w:val="en-US" w:eastAsia="zh-CN" w:bidi="ar"/>
              </w:rPr>
              <w:t>实力</w:t>
            </w:r>
          </w:p>
          <w:p w14:paraId="70030CC7">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6C24221">
            <w:pPr>
              <w:keepNext w:val="0"/>
              <w:keepLines w:val="0"/>
              <w:widowControl w:val="0"/>
              <w:suppressLineNumbers w:val="0"/>
              <w:snapToGrid w:val="0"/>
              <w:spacing w:before="0" w:beforeAutospacing="0" w:after="0" w:afterAutospacing="0"/>
              <w:ind w:left="0" w:right="0"/>
              <w:jc w:val="left"/>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rPr>
              <w:t>供应商</w:t>
            </w:r>
            <w:r>
              <w:rPr>
                <w:rFonts w:hint="eastAsia" w:ascii="宋体" w:hAnsi="宋体" w:eastAsia="宋体" w:cs="Times New Roman"/>
                <w:color w:val="auto"/>
                <w:kern w:val="2"/>
                <w:sz w:val="24"/>
                <w:szCs w:val="24"/>
                <w:highlight w:val="none"/>
                <w:lang w:eastAsia="zh-CN"/>
              </w:rPr>
              <w:t>告知承诺</w:t>
            </w:r>
            <w:r>
              <w:rPr>
                <w:rFonts w:hint="eastAsia" w:ascii="宋体" w:hAnsi="宋体" w:eastAsia="宋体" w:cs="Times New Roman"/>
                <w:color w:val="auto"/>
                <w:kern w:val="2"/>
                <w:sz w:val="24"/>
                <w:szCs w:val="24"/>
                <w:highlight w:val="none"/>
              </w:rPr>
              <w:t>系统有专职录入人员得2分；未提供证明材料</w:t>
            </w:r>
            <w:r>
              <w:rPr>
                <w:rFonts w:hint="eastAsia" w:ascii="宋体" w:hAnsi="宋体" w:eastAsia="宋体" w:cs="Times New Roman"/>
                <w:color w:val="auto"/>
                <w:kern w:val="2"/>
                <w:sz w:val="24"/>
                <w:szCs w:val="24"/>
                <w:highlight w:val="none"/>
                <w:lang w:eastAsia="zh-CN"/>
              </w:rPr>
              <w:t>（国抽平台显示人员姓名截图）</w:t>
            </w:r>
            <w:r>
              <w:rPr>
                <w:rFonts w:hint="eastAsia" w:ascii="宋体" w:hAnsi="宋体" w:eastAsia="宋体" w:cs="Times New Roman"/>
                <w:color w:val="auto"/>
                <w:kern w:val="2"/>
                <w:sz w:val="24"/>
                <w:szCs w:val="24"/>
                <w:highlight w:val="none"/>
              </w:rPr>
              <w:t>、未参加过培训</w:t>
            </w:r>
            <w:r>
              <w:rPr>
                <w:rFonts w:hint="eastAsia" w:ascii="宋体" w:hAnsi="宋体" w:eastAsia="宋体" w:cs="Times New Roman"/>
                <w:color w:val="auto"/>
                <w:kern w:val="2"/>
                <w:sz w:val="24"/>
                <w:szCs w:val="24"/>
                <w:highlight w:val="none"/>
                <w:lang w:eastAsia="zh-CN"/>
              </w:rPr>
              <w:t>（培训记录）</w:t>
            </w:r>
            <w:r>
              <w:rPr>
                <w:rFonts w:hint="eastAsia" w:ascii="宋体" w:hAnsi="宋体" w:eastAsia="宋体" w:cs="Times New Roman"/>
                <w:color w:val="auto"/>
                <w:kern w:val="2"/>
                <w:sz w:val="24"/>
                <w:szCs w:val="24"/>
                <w:highlight w:val="none"/>
              </w:rPr>
              <w:t>不得分。（2分）</w:t>
            </w:r>
          </w:p>
        </w:tc>
        <w:tc>
          <w:tcPr>
            <w:tcW w:w="12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450738F">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参考投标人的经营资质、行业口碑、资信情况进行打分（10分）</w:t>
            </w:r>
          </w:p>
          <w:p w14:paraId="789160B9">
            <w:pPr>
              <w:pStyle w:val="5"/>
              <w:suppressLineNumbers w:val="0"/>
              <w:spacing w:beforeAutospacing="0" w:afterAutospacing="0"/>
              <w:ind w:left="0" w:right="0"/>
              <w:rPr>
                <w:rFonts w:hint="eastAsia"/>
                <w:color w:val="auto"/>
                <w:sz w:val="24"/>
                <w:szCs w:val="24"/>
                <w:highlight w:val="none"/>
              </w:rPr>
            </w:pPr>
          </w:p>
        </w:tc>
      </w:tr>
      <w:tr w14:paraId="279A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458193C4">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4EA4B7">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753D988D">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eastAsia="zh-CN"/>
              </w:rPr>
            </w:pPr>
            <w:r>
              <w:rPr>
                <w:rFonts w:hint="default"/>
                <w:color w:val="auto"/>
                <w:sz w:val="24"/>
                <w:szCs w:val="24"/>
                <w:highlight w:val="none"/>
                <w:lang w:val="en-US" w:eastAsia="zh-CN"/>
              </w:rPr>
              <w:t>供应商提供的中国合格评定国家认可委员会实验室认证认可证书（CMA证书）得1分。</w:t>
            </w:r>
          </w:p>
          <w:p w14:paraId="5480DBB0">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rPr>
            </w:pPr>
            <w:r>
              <w:rPr>
                <w:rFonts w:hint="default"/>
                <w:color w:val="auto"/>
                <w:sz w:val="24"/>
                <w:szCs w:val="24"/>
                <w:highlight w:val="none"/>
                <w:lang w:val="en-US" w:eastAsia="zh-CN"/>
              </w:rPr>
              <w:t>供应商提供中国合格评定国家认可委员会颁发的认可证书（CNAS证书）得1</w:t>
            </w:r>
            <w:r>
              <w:rPr>
                <w:rFonts w:hint="default"/>
                <w:color w:val="auto"/>
                <w:sz w:val="24"/>
                <w:szCs w:val="24"/>
                <w:highlight w:val="none"/>
                <w:lang w:val="en-US"/>
              </w:rPr>
              <w:t>分</w:t>
            </w:r>
            <w:r>
              <w:rPr>
                <w:rFonts w:hint="default"/>
                <w:color w:val="auto"/>
                <w:sz w:val="24"/>
                <w:szCs w:val="24"/>
                <w:highlight w:val="none"/>
                <w:lang w:val="en-US" w:eastAsia="zh-CN"/>
              </w:rPr>
              <w:t>。</w:t>
            </w:r>
          </w:p>
          <w:p w14:paraId="77891422">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rPr>
            </w:pPr>
            <w:r>
              <w:rPr>
                <w:rFonts w:hint="default"/>
                <w:color w:val="auto"/>
                <w:sz w:val="24"/>
                <w:szCs w:val="24"/>
                <w:highlight w:val="none"/>
                <w:lang w:val="en-US" w:eastAsia="zh-CN"/>
              </w:rPr>
              <w:t>未提供不得分。</w:t>
            </w:r>
          </w:p>
        </w:tc>
        <w:tc>
          <w:tcPr>
            <w:tcW w:w="12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B5E5DD">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0565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192C3991">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C110E0">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63A5511">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获得国家级能力验证及实验室比对结果满意1项得1分</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获得省级以上能力验证及实验室比对结果满意5项得2分；10项得3分；10项以上得6分；</w:t>
            </w:r>
          </w:p>
          <w:p w14:paraId="737298C2">
            <w:pPr>
              <w:keepNext w:val="0"/>
              <w:keepLines w:val="0"/>
              <w:widowControl w:val="0"/>
              <w:suppressLineNumbers w:val="0"/>
              <w:snapToGrid w:val="0"/>
              <w:spacing w:before="0" w:beforeAutospacing="0" w:after="0" w:afterAutospacing="0"/>
              <w:ind w:left="0" w:right="0"/>
              <w:jc w:val="left"/>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注：须提供近三年</w:t>
            </w:r>
            <w:r>
              <w:rPr>
                <w:rFonts w:hint="eastAsia" w:ascii="宋体" w:hAnsi="宋体" w:cs="宋体"/>
                <w:color w:val="auto"/>
                <w:kern w:val="2"/>
                <w:sz w:val="24"/>
                <w:szCs w:val="24"/>
                <w:highlight w:val="none"/>
                <w:lang w:val="en-US" w:eastAsia="zh-CN" w:bidi="ar"/>
              </w:rPr>
              <w:t>（2023年-至今）</w:t>
            </w:r>
            <w:r>
              <w:rPr>
                <w:rFonts w:hint="eastAsia" w:ascii="宋体" w:hAnsi="宋体" w:eastAsia="宋体" w:cs="宋体"/>
                <w:color w:val="auto"/>
                <w:kern w:val="2"/>
                <w:sz w:val="24"/>
                <w:szCs w:val="24"/>
                <w:highlight w:val="none"/>
                <w:lang w:val="en-US" w:eastAsia="zh-CN" w:bidi="ar"/>
              </w:rPr>
              <w:t>国家级或省级能力验证或实验室比对满意结果证书复印件或公告证明资料。最多计6分，未提供得不得分。</w:t>
            </w:r>
          </w:p>
        </w:tc>
        <w:tc>
          <w:tcPr>
            <w:tcW w:w="12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69062E">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7FE8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928FD7D">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F26DD93">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类似项目经营业绩及其它有利资料</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70F6D5B8">
            <w:pPr>
              <w:keepNext w:val="0"/>
              <w:keepLines w:val="0"/>
              <w:widowControl w:val="0"/>
              <w:suppressLineNumbers w:val="0"/>
              <w:snapToGrid w:val="0"/>
              <w:spacing w:before="0" w:beforeAutospacing="0" w:after="0" w:afterAutospacing="0"/>
              <w:ind w:left="0" w:right="0"/>
              <w:jc w:val="left"/>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投标人近三年（202</w:t>
            </w:r>
            <w:r>
              <w:rPr>
                <w:rFonts w:hint="eastAsia" w:ascii="宋体" w:hAnsi="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年-至今，业绩认定时间以委托检验合同或委托书或中标通知书为准）承担过类似项目业绩，则一个得2分，总计8分，需要提供委托检验合同或委托书或中标通知书等。</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7D07411">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经营业绩（8分）</w:t>
            </w:r>
          </w:p>
        </w:tc>
      </w:tr>
      <w:tr w14:paraId="3E67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63C1EA5">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79BD27E">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售后</w:t>
            </w:r>
          </w:p>
          <w:p w14:paraId="4008686C">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服务</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F5F427C">
            <w:pPr>
              <w:keepNext w:val="0"/>
              <w:keepLines w:val="0"/>
              <w:widowControl w:val="0"/>
              <w:suppressLineNumbers w:val="0"/>
              <w:snapToGrid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能够提供食品安全监督抽检分析报告及派遣人员协助抽检监测数据汇总和信息公示进行打分，承诺两项均能做到得2分；仅提供食品安全监督抽检分析报告得1分，仅派遣人员协助抽检监测数据汇总和信息公示得1分；否则，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78EF5E2">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书面承诺书（2分）</w:t>
            </w:r>
          </w:p>
        </w:tc>
      </w:tr>
    </w:tbl>
    <w:p w14:paraId="7FAD12B1">
      <w:pPr>
        <w:rPr>
          <w:rFonts w:hint="eastAsia" w:ascii="宋体" w:hAnsi="宋体" w:cs="宋体"/>
          <w:b/>
          <w:bCs/>
          <w:color w:val="auto"/>
          <w:sz w:val="24"/>
          <w:szCs w:val="24"/>
          <w:highlight w:val="none"/>
          <w:lang w:val="en-US" w:eastAsia="zh-CN"/>
        </w:rPr>
      </w:pPr>
    </w:p>
    <w:p w14:paraId="7F0A3CBD">
      <w:pPr>
        <w:rPr>
          <w:rFonts w:hint="eastAsia" w:ascii="宋体" w:hAnsi="宋体" w:cs="宋体"/>
          <w:b/>
          <w:bCs/>
          <w:color w:val="auto"/>
          <w:sz w:val="24"/>
          <w:szCs w:val="24"/>
          <w:highlight w:val="none"/>
          <w:lang w:val="en-US" w:eastAsia="zh-CN"/>
        </w:rPr>
      </w:pPr>
    </w:p>
    <w:p w14:paraId="1D01C812">
      <w:pPr>
        <w:rPr>
          <w:rFonts w:hint="eastAsia" w:ascii="宋体" w:hAnsi="宋体" w:cs="宋体"/>
          <w:b/>
          <w:bCs/>
          <w:color w:val="auto"/>
          <w:sz w:val="24"/>
          <w:szCs w:val="24"/>
          <w:highlight w:val="none"/>
          <w:lang w:val="en-US" w:eastAsia="zh-CN"/>
        </w:rPr>
      </w:pPr>
    </w:p>
    <w:p w14:paraId="0CEC2C95">
      <w:pPr>
        <w:rPr>
          <w:rFonts w:hint="eastAsia" w:ascii="宋体" w:hAnsi="宋体" w:cs="宋体"/>
          <w:b/>
          <w:bCs/>
          <w:color w:val="auto"/>
          <w:sz w:val="24"/>
          <w:szCs w:val="24"/>
          <w:highlight w:val="none"/>
          <w:lang w:val="en-US" w:eastAsia="zh-CN"/>
        </w:rPr>
      </w:pPr>
    </w:p>
    <w:p w14:paraId="419284BC">
      <w:pPr>
        <w:rPr>
          <w:rFonts w:hint="eastAsia" w:ascii="宋体" w:hAnsi="宋体" w:cs="宋体"/>
          <w:b/>
          <w:bCs/>
          <w:color w:val="auto"/>
          <w:sz w:val="24"/>
          <w:szCs w:val="24"/>
          <w:highlight w:val="none"/>
          <w:lang w:val="en-US" w:eastAsia="zh-CN"/>
        </w:rPr>
      </w:pPr>
    </w:p>
    <w:p w14:paraId="0150BAC8">
      <w:pPr>
        <w:rPr>
          <w:rFonts w:hint="eastAsia" w:ascii="宋体" w:hAnsi="宋体" w:cs="宋体"/>
          <w:b/>
          <w:bCs/>
          <w:color w:val="auto"/>
          <w:sz w:val="24"/>
          <w:szCs w:val="24"/>
          <w:highlight w:val="none"/>
          <w:lang w:val="en-US" w:eastAsia="zh-CN"/>
        </w:rPr>
      </w:pPr>
    </w:p>
    <w:p w14:paraId="27906589">
      <w:pPr>
        <w:rPr>
          <w:rFonts w:hint="eastAsia" w:ascii="宋体" w:hAnsi="宋体" w:cs="宋体"/>
          <w:b/>
          <w:bCs/>
          <w:color w:val="auto"/>
          <w:sz w:val="24"/>
          <w:szCs w:val="24"/>
          <w:highlight w:val="none"/>
          <w:lang w:val="en-US" w:eastAsia="zh-CN"/>
        </w:rPr>
      </w:pPr>
    </w:p>
    <w:p w14:paraId="004A6FFF">
      <w:pP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br w:type="page"/>
      </w:r>
    </w:p>
    <w:tbl>
      <w:tblPr>
        <w:tblStyle w:val="30"/>
        <w:tblpPr w:leftFromText="180" w:rightFromText="180" w:vertAnchor="text" w:horzAnchor="page" w:tblpX="1354" w:tblpY="988"/>
        <w:tblOverlap w:val="never"/>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8"/>
        <w:gridCol w:w="1030"/>
        <w:gridCol w:w="6370"/>
        <w:gridCol w:w="1231"/>
      </w:tblGrid>
      <w:tr w14:paraId="4AF91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9"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81BEC74">
            <w:pPr>
              <w:jc w:val="center"/>
              <w:rPr>
                <w:rFonts w:hint="eastAsia" w:ascii="宋体" w:hAnsi="宋体" w:eastAsia="宋体" w:cs="宋体"/>
                <w:b/>
                <w:bCs w:val="0"/>
                <w:color w:val="auto"/>
                <w:kern w:val="2"/>
                <w:sz w:val="24"/>
                <w:szCs w:val="24"/>
                <w:highlight w:val="none"/>
                <w:lang w:val="en-US" w:eastAsia="zh-CN" w:bidi="ar"/>
              </w:rPr>
            </w:pPr>
            <w:r>
              <w:rPr>
                <w:rFonts w:hint="eastAsia" w:ascii="宋体" w:hAnsi="宋体" w:cs="宋体"/>
                <w:b/>
                <w:bCs/>
                <w:color w:val="auto"/>
                <w:sz w:val="24"/>
                <w:szCs w:val="24"/>
                <w:highlight w:val="none"/>
                <w:lang w:val="en-US" w:eastAsia="zh-CN"/>
              </w:rPr>
              <w:t xml:space="preserve">标项三             </w:t>
            </w:r>
            <w:r>
              <w:rPr>
                <w:rFonts w:hint="eastAsia" w:ascii="宋体" w:hAnsi="宋体" w:eastAsia="宋体" w:cs="宋体"/>
                <w:b w:val="0"/>
                <w:bCs w:val="0"/>
                <w:color w:val="auto"/>
                <w:sz w:val="24"/>
                <w:szCs w:val="24"/>
                <w:highlight w:val="none"/>
              </w:rPr>
              <w:t>技术、商务部分评审标准（</w:t>
            </w:r>
            <w:r>
              <w:rPr>
                <w:rFonts w:hint="eastAsia" w:ascii="宋体" w:hAnsi="宋体" w:cs="宋体"/>
                <w:b w:val="0"/>
                <w:bCs w:val="0"/>
                <w:color w:val="auto"/>
                <w:sz w:val="24"/>
                <w:szCs w:val="24"/>
                <w:highlight w:val="none"/>
                <w:lang w:val="en-US" w:eastAsia="zh-CN"/>
              </w:rPr>
              <w:t>90</w:t>
            </w:r>
            <w:r>
              <w:rPr>
                <w:rFonts w:hint="eastAsia" w:ascii="宋体" w:hAnsi="宋体" w:eastAsia="宋体" w:cs="宋体"/>
                <w:b w:val="0"/>
                <w:bCs w:val="0"/>
                <w:color w:val="auto"/>
                <w:sz w:val="24"/>
                <w:szCs w:val="24"/>
                <w:highlight w:val="none"/>
              </w:rPr>
              <w:t>分）</w:t>
            </w:r>
          </w:p>
        </w:tc>
      </w:tr>
      <w:tr w14:paraId="6B73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ECA8FEC">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序号</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9D4AC1F">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项目</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E727C11">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评审内容</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E33182F">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分值</w:t>
            </w:r>
          </w:p>
        </w:tc>
      </w:tr>
      <w:tr w14:paraId="6F08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5749534E">
            <w:pPr>
              <w:keepNext w:val="0"/>
              <w:keepLines w:val="0"/>
              <w:widowControl w:val="0"/>
              <w:suppressLineNumbers w:val="0"/>
              <w:snapToGrid w:val="0"/>
              <w:spacing w:before="0" w:beforeAutospacing="0" w:after="0" w:afterAutospacing="0"/>
              <w:ind w:left="0" w:right="0"/>
              <w:jc w:val="both"/>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技术部分评分</w:t>
            </w:r>
            <w:r>
              <w:rPr>
                <w:rFonts w:hint="eastAsia" w:ascii="宋体" w:hAnsi="宋体" w:eastAsia="宋体" w:cs="Courier New"/>
                <w:b/>
                <w:bCs w:val="0"/>
                <w:color w:val="auto"/>
                <w:kern w:val="2"/>
                <w:sz w:val="24"/>
                <w:szCs w:val="24"/>
                <w:highlight w:val="none"/>
                <w:lang w:val="en-US" w:eastAsia="zh-CN" w:bidi="ar"/>
              </w:rPr>
              <w:t>70</w:t>
            </w:r>
            <w:r>
              <w:rPr>
                <w:rFonts w:hint="eastAsia" w:ascii="宋体" w:hAnsi="宋体" w:eastAsia="宋体" w:cs="宋体"/>
                <w:b/>
                <w:bCs w:val="0"/>
                <w:color w:val="auto"/>
                <w:kern w:val="2"/>
                <w:sz w:val="24"/>
                <w:szCs w:val="24"/>
                <w:highlight w:val="none"/>
                <w:lang w:val="en-US" w:eastAsia="zh-CN" w:bidi="ar"/>
              </w:rPr>
              <w:t>分</w:t>
            </w:r>
          </w:p>
        </w:tc>
      </w:tr>
      <w:tr w14:paraId="206C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67658091">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42743921">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管理</w:t>
            </w:r>
          </w:p>
          <w:p w14:paraId="617E00C4">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制度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07E02AE">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针对本项目提供的管理制度进行综合评分，内容包含但不限于：①质量管理体系完善、健全；财务会计制度完善、健全；②管理制度完善、健全；③食品安全检验检测制度特别是抽样检验法规规范及知识培训制度完善（有相应的培训记录佐证材料）、健全；④责任追究制度完善、健全；⑤检验档案管理制度完善、健全。以上五项内容均有体现且完全满足采购实际需求的得5分；每有一项内容缺失的扣1分；每有一项内容存在缺陷或者不能满足采购实际需求的扣0.5分，扣完为止；本项满分为5分，未提供管理制度的则不得分。注：</w:t>
            </w:r>
            <w:r>
              <w:rPr>
                <w:rFonts w:hint="eastAsia" w:ascii="宋体" w:hAnsi="宋体" w:eastAsia="宋体" w:cs="宋体"/>
                <w:bCs/>
                <w:color w:val="auto"/>
                <w:kern w:val="2"/>
                <w:sz w:val="24"/>
                <w:szCs w:val="24"/>
                <w:highlight w:val="none"/>
                <w:lang w:val="en-US" w:eastAsia="zh-CN" w:bidi="ar"/>
              </w:rPr>
              <w:t>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835E0DF">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5993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5BBEE7D">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9F33A91">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突发事件的应急响应方案</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F3D7EEB">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rPr>
              <w:t>根据承担抽检任务提供的事前、事中、事后应急预防处理措施包括但不限于：</w:t>
            </w:r>
          </w:p>
          <w:p w14:paraId="7689F467">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（1）突发食品安全事件应对；</w:t>
            </w:r>
          </w:p>
          <w:p w14:paraId="66753C4A">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（2）</w:t>
            </w:r>
            <w:r>
              <w:rPr>
                <w:rFonts w:hint="eastAsia" w:ascii="宋体" w:hAnsi="宋体" w:eastAsia="宋体" w:cs="仿宋"/>
                <w:bCs/>
                <w:color w:val="auto"/>
                <w:kern w:val="2"/>
                <w:sz w:val="24"/>
                <w:szCs w:val="24"/>
                <w:highlight w:val="none"/>
                <w:lang w:eastAsia="zh-CN"/>
              </w:rPr>
              <w:t>现场抽样</w:t>
            </w:r>
            <w:r>
              <w:rPr>
                <w:rFonts w:hint="eastAsia" w:ascii="宋体" w:hAnsi="宋体" w:eastAsia="宋体" w:cs="仿宋"/>
                <w:bCs/>
                <w:color w:val="auto"/>
                <w:kern w:val="2"/>
                <w:sz w:val="24"/>
                <w:szCs w:val="24"/>
                <w:highlight w:val="none"/>
              </w:rPr>
              <w:t>应急预案；</w:t>
            </w:r>
          </w:p>
          <w:p w14:paraId="5C7CC836">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（3）实验室检验检测应急预案；</w:t>
            </w:r>
          </w:p>
          <w:p w14:paraId="3C04D157">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（4）检验数据应急上报；</w:t>
            </w:r>
          </w:p>
          <w:p w14:paraId="14617320">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（5）实验室对发生食品检测安全事故的处置；</w:t>
            </w:r>
          </w:p>
          <w:p w14:paraId="0D0DF501">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（6）对相关责任部门及责任人重大失误的处理等。</w:t>
            </w:r>
          </w:p>
          <w:p w14:paraId="5A93CEA1">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以上方案内容均符合实际情况、内容完善详细、健全、完全响应采购要求的的得6分，</w:t>
            </w:r>
            <w:r>
              <w:rPr>
                <w:rFonts w:hint="eastAsia" w:ascii="宋体" w:hAnsi="宋体" w:eastAsia="宋体" w:cs="宋体"/>
                <w:color w:val="auto"/>
                <w:kern w:val="2"/>
                <w:sz w:val="24"/>
                <w:szCs w:val="24"/>
                <w:highlight w:val="none"/>
                <w:lang w:val="en-US" w:eastAsia="zh-CN" w:bidi="ar"/>
              </w:rPr>
              <w:t>每有一项内容缺失的扣1分</w:t>
            </w:r>
            <w:r>
              <w:rPr>
                <w:rFonts w:hint="eastAsia" w:ascii="宋体" w:hAnsi="宋体" w:cs="宋体"/>
                <w:color w:val="auto"/>
                <w:kern w:val="2"/>
                <w:sz w:val="24"/>
                <w:szCs w:val="24"/>
                <w:highlight w:val="none"/>
                <w:lang w:val="en-US" w:eastAsia="zh-CN" w:bidi="ar"/>
              </w:rPr>
              <w:t>，</w:t>
            </w:r>
            <w:r>
              <w:rPr>
                <w:rFonts w:hint="eastAsia" w:ascii="宋体" w:hAnsi="宋体" w:eastAsia="宋体" w:cs="仿宋"/>
                <w:bCs/>
                <w:color w:val="auto"/>
                <w:kern w:val="2"/>
                <w:sz w:val="24"/>
                <w:szCs w:val="24"/>
                <w:highlight w:val="none"/>
              </w:rPr>
              <w:t>每有一项内容不完整或未能满足采购需求的或每有一处不具有针对性或逻辑性错误且不完整的扣0.5分，扣完为止。</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0104641">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6</w:t>
            </w:r>
            <w:r>
              <w:rPr>
                <w:rFonts w:hint="eastAsia" w:ascii="宋体" w:hAnsi="宋体" w:eastAsia="宋体" w:cs="宋体"/>
                <w:color w:val="auto"/>
                <w:kern w:val="2"/>
                <w:sz w:val="24"/>
                <w:szCs w:val="24"/>
                <w:highlight w:val="none"/>
                <w:lang w:val="en-US" w:eastAsia="zh-CN" w:bidi="ar"/>
              </w:rPr>
              <w:t>分</w:t>
            </w:r>
          </w:p>
        </w:tc>
      </w:tr>
      <w:tr w14:paraId="6934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DB0547A">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1F426AD">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项目服务方案</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1894F54">
            <w:pPr>
              <w:keepNext w:val="0"/>
              <w:keepLines w:val="0"/>
              <w:widowControl w:val="0"/>
              <w:suppressLineNumbers w:val="0"/>
              <w:spacing w:before="0" w:beforeAutospacing="0" w:after="0" w:afterAutospacing="0" w:line="300" w:lineRule="exact"/>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根据投标人针对本项目提供的</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进行综合评分，内容包含但不限于：①</w:t>
            </w:r>
            <w:r>
              <w:rPr>
                <w:rFonts w:hint="eastAsia" w:ascii="宋体" w:hAnsi="宋体" w:eastAsia="宋体" w:cs="宋体"/>
                <w:color w:val="auto"/>
                <w:kern w:val="2"/>
                <w:sz w:val="24"/>
                <w:szCs w:val="24"/>
                <w:highlight w:val="none"/>
                <w:lang w:val="en-US" w:eastAsia="zh-CN" w:bidi="ar"/>
              </w:rPr>
              <w:t>拥有独立稳定持久的实验室管理系统</w:t>
            </w:r>
            <w:r>
              <w:rPr>
                <w:rFonts w:hint="eastAsia" w:ascii="宋体" w:hAnsi="宋体" w:eastAsia="宋体" w:cs="宋体"/>
                <w:bCs/>
                <w:color w:val="auto"/>
                <w:kern w:val="2"/>
                <w:sz w:val="24"/>
                <w:szCs w:val="24"/>
                <w:highlight w:val="none"/>
                <w:lang w:val="en-US" w:eastAsia="zh-CN" w:bidi="ar"/>
              </w:rPr>
              <w:t>；②</w:t>
            </w:r>
            <w:r>
              <w:rPr>
                <w:rFonts w:hint="eastAsia" w:ascii="宋体" w:hAnsi="宋体" w:eastAsia="宋体" w:cs="宋体"/>
                <w:color w:val="auto"/>
                <w:kern w:val="2"/>
                <w:sz w:val="24"/>
                <w:szCs w:val="24"/>
                <w:highlight w:val="none"/>
                <w:lang w:val="en-US" w:eastAsia="zh-CN" w:bidi="ar"/>
              </w:rPr>
              <w:t>实现抽样、流转、检验、原始记录、出具报告全环节在线管理且可追溯</w:t>
            </w:r>
            <w:r>
              <w:rPr>
                <w:rFonts w:hint="eastAsia" w:ascii="宋体" w:hAnsi="宋体" w:eastAsia="宋体" w:cs="宋体"/>
                <w:bCs/>
                <w:color w:val="auto"/>
                <w:kern w:val="2"/>
                <w:sz w:val="24"/>
                <w:szCs w:val="24"/>
                <w:highlight w:val="none"/>
                <w:lang w:val="en-US" w:eastAsia="zh-CN" w:bidi="ar"/>
              </w:rPr>
              <w:t>；以上两项内容均有体现且完全满足采购实际需求的得</w:t>
            </w:r>
            <w:r>
              <w:rPr>
                <w:rFonts w:hint="eastAsia" w:ascii="宋体" w:hAnsi="宋体" w:cs="仿宋"/>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分；每有一项内容缺失的扣</w:t>
            </w:r>
            <w:r>
              <w:rPr>
                <w:rFonts w:hint="eastAsia" w:ascii="宋体" w:hAnsi="宋体" w:cs="宋体"/>
                <w:bCs/>
                <w:color w:val="auto"/>
                <w:kern w:val="2"/>
                <w:sz w:val="24"/>
                <w:szCs w:val="24"/>
                <w:highlight w:val="none"/>
                <w:lang w:val="en-US" w:eastAsia="zh-CN" w:bidi="ar"/>
              </w:rPr>
              <w:t>4.5</w:t>
            </w:r>
            <w:r>
              <w:rPr>
                <w:rFonts w:hint="eastAsia" w:ascii="宋体" w:hAnsi="宋体" w:eastAsia="宋体" w:cs="宋体"/>
                <w:bCs/>
                <w:color w:val="auto"/>
                <w:kern w:val="2"/>
                <w:sz w:val="24"/>
                <w:szCs w:val="24"/>
                <w:highlight w:val="none"/>
                <w:lang w:val="en-US" w:eastAsia="zh-CN" w:bidi="ar"/>
              </w:rPr>
              <w:t>分；每有一项内容存在缺陷或者不能满足采购实际需求的扣</w:t>
            </w:r>
            <w:r>
              <w:rPr>
                <w:rFonts w:hint="eastAsia" w:ascii="宋体" w:hAnsi="宋体" w:cs="宋体"/>
                <w:bCs/>
                <w:color w:val="auto"/>
                <w:kern w:val="2"/>
                <w:sz w:val="24"/>
                <w:szCs w:val="24"/>
                <w:highlight w:val="none"/>
                <w:lang w:val="en-US" w:eastAsia="zh-CN" w:bidi="ar"/>
              </w:rPr>
              <w:t>2</w:t>
            </w:r>
            <w:r>
              <w:rPr>
                <w:rFonts w:hint="eastAsia" w:ascii="宋体" w:hAnsi="宋体" w:eastAsia="宋体" w:cs="宋体"/>
                <w:bCs/>
                <w:color w:val="auto"/>
                <w:kern w:val="2"/>
                <w:sz w:val="24"/>
                <w:szCs w:val="24"/>
                <w:highlight w:val="none"/>
                <w:lang w:val="en-US" w:eastAsia="zh-CN" w:bidi="ar"/>
              </w:rPr>
              <w:t>分，扣完为止；本项满分为</w:t>
            </w:r>
            <w:r>
              <w:rPr>
                <w:rFonts w:hint="eastAsia" w:ascii="宋体" w:hAnsi="宋体" w:cs="宋体"/>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分，未提供</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398BE6CD">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9</w:t>
            </w:r>
            <w:r>
              <w:rPr>
                <w:rFonts w:hint="eastAsia" w:ascii="宋体" w:hAnsi="宋体" w:eastAsia="宋体" w:cs="宋体"/>
                <w:color w:val="auto"/>
                <w:kern w:val="2"/>
                <w:sz w:val="24"/>
                <w:szCs w:val="24"/>
                <w:highlight w:val="none"/>
                <w:lang w:val="en-US" w:eastAsia="zh-CN" w:bidi="ar"/>
              </w:rPr>
              <w:t>分</w:t>
            </w:r>
          </w:p>
        </w:tc>
      </w:tr>
      <w:tr w14:paraId="090F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CE698BD">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9316C84">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项目实施时间进度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8778EA0">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针对本项目提供的项目实施时间进度进行综合评分，内容包含但不限于：①实施时间的进度；②实施时间的保障措施；以上两项内容均有体现且完全满足采购实际需求的得5分；每有一项内容缺失的扣2.5分；每有一项内容存在缺陷或者不能满足采购实际需求的扣1.5分，扣完为止；本项满分为5分，未提供项目服务方案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B1DE356">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6C29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28290C90">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D4566A3">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工作</w:t>
            </w:r>
          </w:p>
          <w:p w14:paraId="220C4028">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场地</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7B30E34A">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lang w:val="zh-CN"/>
              </w:rPr>
            </w:pPr>
            <w:r>
              <w:rPr>
                <w:rFonts w:hint="eastAsia" w:ascii="宋体" w:hAnsi="宋体" w:eastAsia="宋体" w:cs="仿宋"/>
                <w:bCs/>
                <w:color w:val="auto"/>
                <w:kern w:val="2"/>
                <w:sz w:val="24"/>
                <w:szCs w:val="24"/>
                <w:highlight w:val="none"/>
              </w:rPr>
              <w:t>1.投标人具备独立开展食品安全检验实验室，环境良好，布局合理，根据</w:t>
            </w:r>
            <w:r>
              <w:rPr>
                <w:rFonts w:hint="eastAsia" w:ascii="宋体" w:hAnsi="宋体" w:eastAsia="宋体" w:cs="仿宋"/>
                <w:bCs/>
                <w:color w:val="auto"/>
                <w:kern w:val="2"/>
                <w:sz w:val="24"/>
                <w:szCs w:val="24"/>
                <w:highlight w:val="none"/>
                <w:lang w:val="zh-CN"/>
              </w:rPr>
              <w:t>开展食品安全抽样检验工作实验场所面积</w:t>
            </w:r>
            <w:r>
              <w:rPr>
                <w:rFonts w:hint="eastAsia" w:ascii="宋体" w:hAnsi="宋体" w:eastAsia="宋体" w:cs="仿宋"/>
                <w:bCs/>
                <w:color w:val="auto"/>
                <w:kern w:val="2"/>
                <w:sz w:val="24"/>
                <w:szCs w:val="24"/>
                <w:highlight w:val="none"/>
              </w:rPr>
              <w:t>综合评定</w:t>
            </w:r>
            <w:r>
              <w:rPr>
                <w:rFonts w:hint="eastAsia" w:ascii="宋体" w:hAnsi="宋体" w:eastAsia="宋体" w:cs="仿宋"/>
                <w:bCs/>
                <w:color w:val="auto"/>
                <w:kern w:val="2"/>
                <w:sz w:val="24"/>
                <w:szCs w:val="24"/>
                <w:highlight w:val="none"/>
                <w:lang w:val="zh-CN"/>
              </w:rPr>
              <w:t>：</w:t>
            </w:r>
          </w:p>
          <w:p w14:paraId="7E1D123D">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（1）5000（含）平方米及以上，得3分；</w:t>
            </w:r>
          </w:p>
          <w:p w14:paraId="3B6CC09C">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（2）4000（含）-5000（不含）平方米，得2分；</w:t>
            </w:r>
          </w:p>
          <w:p w14:paraId="5B55E44B">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（3）3000（含）-4000（不含）平方米，得1分；</w:t>
            </w:r>
          </w:p>
          <w:p w14:paraId="0F59B1D4">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（4）不符合上述要求的，得0分。</w:t>
            </w:r>
          </w:p>
          <w:p w14:paraId="10A3AF85">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注：</w:t>
            </w:r>
            <w:r>
              <w:rPr>
                <w:rFonts w:hint="eastAsia" w:ascii="宋体" w:hAnsi="宋体" w:cs="仿宋"/>
                <w:bCs/>
                <w:color w:val="auto"/>
                <w:kern w:val="2"/>
                <w:sz w:val="24"/>
                <w:szCs w:val="24"/>
                <w:highlight w:val="none"/>
                <w:lang w:val="en-US" w:eastAsia="zh-CN"/>
              </w:rPr>
              <w:t>①</w:t>
            </w:r>
            <w:r>
              <w:rPr>
                <w:rFonts w:hint="eastAsia" w:ascii="宋体" w:hAnsi="宋体" w:eastAsia="宋体" w:cs="仿宋"/>
                <w:bCs/>
                <w:color w:val="auto"/>
                <w:kern w:val="2"/>
                <w:sz w:val="24"/>
                <w:szCs w:val="24"/>
                <w:highlight w:val="none"/>
              </w:rPr>
              <w:t>投标人</w:t>
            </w:r>
            <w:r>
              <w:rPr>
                <w:rFonts w:hint="eastAsia" w:ascii="宋体" w:hAnsi="宋体" w:eastAsia="宋体" w:cs="仿宋"/>
                <w:bCs/>
                <w:color w:val="auto"/>
                <w:kern w:val="2"/>
                <w:sz w:val="24"/>
                <w:szCs w:val="24"/>
                <w:highlight w:val="none"/>
                <w:lang w:val="zh-CN"/>
              </w:rPr>
              <w:t>须承诺抽样检验的实验室为</w:t>
            </w:r>
            <w:r>
              <w:rPr>
                <w:rFonts w:hint="eastAsia" w:ascii="宋体" w:hAnsi="宋体" w:eastAsia="宋体" w:cs="仿宋"/>
                <w:bCs/>
                <w:color w:val="auto"/>
                <w:kern w:val="2"/>
                <w:sz w:val="24"/>
                <w:szCs w:val="24"/>
                <w:highlight w:val="none"/>
              </w:rPr>
              <w:t>投标人</w:t>
            </w:r>
            <w:r>
              <w:rPr>
                <w:rFonts w:hint="eastAsia" w:ascii="宋体" w:hAnsi="宋体" w:eastAsia="宋体" w:cs="仿宋"/>
                <w:bCs/>
                <w:color w:val="auto"/>
                <w:kern w:val="2"/>
                <w:sz w:val="24"/>
                <w:szCs w:val="24"/>
                <w:highlight w:val="none"/>
                <w:lang w:val="zh-CN"/>
              </w:rPr>
              <w:t>自有实验室，并提供承诺书。招标人有权在合同签订前进行现场考察，一旦发现弄虚作假，将取消中标资格，并报有关部门严肃处理；</w:t>
            </w:r>
            <w:r>
              <w:rPr>
                <w:rFonts w:hint="eastAsia" w:ascii="宋体" w:hAnsi="宋体" w:cs="仿宋"/>
                <w:bCs/>
                <w:color w:val="auto"/>
                <w:kern w:val="2"/>
                <w:sz w:val="24"/>
                <w:szCs w:val="24"/>
                <w:highlight w:val="none"/>
                <w:lang w:val="en-US" w:eastAsia="zh-CN"/>
              </w:rPr>
              <w:t>②</w:t>
            </w:r>
            <w:r>
              <w:rPr>
                <w:rFonts w:hint="eastAsia" w:ascii="宋体" w:hAnsi="宋体" w:eastAsia="宋体" w:cs="仿宋"/>
                <w:bCs/>
                <w:color w:val="auto"/>
                <w:kern w:val="2"/>
                <w:sz w:val="24"/>
                <w:szCs w:val="24"/>
                <w:highlight w:val="none"/>
                <w:lang w:val="zh-CN"/>
              </w:rPr>
              <w:t>提供抽样检验场所的房产证或所有权证明文件或服务期内有效的房屋租赁合同加发票扫描件及相关证明材料</w:t>
            </w:r>
            <w:r>
              <w:rPr>
                <w:rFonts w:hint="eastAsia" w:ascii="宋体" w:hAnsi="宋体" w:eastAsia="宋体" w:cs="仿宋"/>
                <w:bCs/>
                <w:color w:val="auto"/>
                <w:kern w:val="2"/>
                <w:sz w:val="24"/>
                <w:szCs w:val="24"/>
                <w:highlight w:val="none"/>
              </w:rPr>
              <w:t>（租房合同须为投标人签署或房屋产权证书产权人为投标人）</w:t>
            </w:r>
            <w:r>
              <w:rPr>
                <w:rFonts w:hint="eastAsia" w:ascii="宋体" w:hAnsi="宋体" w:eastAsia="宋体" w:cs="仿宋"/>
                <w:bCs/>
                <w:color w:val="auto"/>
                <w:kern w:val="2"/>
                <w:sz w:val="24"/>
                <w:szCs w:val="24"/>
                <w:highlight w:val="none"/>
                <w:lang w:val="zh-CN"/>
              </w:rPr>
              <w:t>；</w:t>
            </w:r>
            <w:r>
              <w:rPr>
                <w:rFonts w:hint="eastAsia" w:ascii="宋体" w:hAnsi="宋体" w:cs="仿宋"/>
                <w:bCs/>
                <w:color w:val="auto"/>
                <w:kern w:val="2"/>
                <w:sz w:val="24"/>
                <w:szCs w:val="24"/>
                <w:highlight w:val="none"/>
                <w:lang w:val="en-US" w:eastAsia="zh-CN"/>
              </w:rPr>
              <w:t>③</w:t>
            </w:r>
            <w:r>
              <w:rPr>
                <w:rFonts w:hint="eastAsia" w:ascii="宋体" w:hAnsi="宋体" w:eastAsia="宋体" w:cs="仿宋"/>
                <w:bCs/>
                <w:color w:val="auto"/>
                <w:kern w:val="2"/>
                <w:sz w:val="24"/>
                <w:szCs w:val="24"/>
                <w:highlight w:val="none"/>
                <w:lang w:val="zh-CN"/>
              </w:rPr>
              <w:t>提供食品实验室平面布局图，并提供各组成部分面积清单；</w:t>
            </w:r>
            <w:r>
              <w:rPr>
                <w:rFonts w:hint="eastAsia" w:ascii="宋体" w:hAnsi="宋体" w:cs="仿宋"/>
                <w:bCs/>
                <w:color w:val="auto"/>
                <w:kern w:val="2"/>
                <w:sz w:val="24"/>
                <w:szCs w:val="24"/>
                <w:highlight w:val="none"/>
                <w:lang w:val="en-US" w:eastAsia="zh-CN"/>
              </w:rPr>
              <w:t>④</w:t>
            </w:r>
            <w:r>
              <w:rPr>
                <w:rFonts w:hint="eastAsia" w:ascii="宋体" w:hAnsi="宋体" w:eastAsia="宋体" w:cs="仿宋"/>
                <w:bCs/>
                <w:color w:val="auto"/>
                <w:kern w:val="2"/>
                <w:sz w:val="24"/>
                <w:szCs w:val="24"/>
                <w:highlight w:val="none"/>
                <w:lang w:val="zh-CN"/>
              </w:rPr>
              <w:t>未达到上述要求或未提供有效证明文件的不得分。</w:t>
            </w:r>
          </w:p>
          <w:p w14:paraId="35354414">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2.投标人具备独立的微生物实验室，面积综合评定：</w:t>
            </w:r>
          </w:p>
          <w:p w14:paraId="0247C69E">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（1）300（含）平方米及以上，得2分；</w:t>
            </w:r>
          </w:p>
          <w:p w14:paraId="461B6CE3">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（2）100（含）-300（不含）平方米，得1分；</w:t>
            </w:r>
          </w:p>
          <w:p w14:paraId="2FBEEC8E">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（3）不符合上述要求的，得0分。</w:t>
            </w:r>
          </w:p>
          <w:p w14:paraId="75223686">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注：</w:t>
            </w:r>
            <w:r>
              <w:rPr>
                <w:rFonts w:hint="eastAsia" w:ascii="宋体" w:hAnsi="宋体" w:cs="仿宋"/>
                <w:bCs/>
                <w:color w:val="auto"/>
                <w:kern w:val="2"/>
                <w:sz w:val="24"/>
                <w:szCs w:val="24"/>
                <w:highlight w:val="none"/>
                <w:lang w:val="en-US" w:eastAsia="zh-CN"/>
              </w:rPr>
              <w:t>①</w:t>
            </w:r>
            <w:r>
              <w:rPr>
                <w:rFonts w:hint="eastAsia" w:ascii="宋体" w:hAnsi="宋体" w:eastAsia="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lang w:val="zh-CN" w:eastAsia="zh-CN"/>
              </w:rPr>
              <w:t>须承诺</w:t>
            </w:r>
            <w:r>
              <w:rPr>
                <w:rFonts w:hint="eastAsia" w:ascii="宋体" w:hAnsi="宋体" w:eastAsia="宋体" w:cs="仿宋"/>
                <w:bCs/>
                <w:color w:val="auto"/>
                <w:kern w:val="2"/>
                <w:sz w:val="24"/>
                <w:szCs w:val="24"/>
                <w:highlight w:val="none"/>
                <w:lang w:val="en-US" w:eastAsia="zh-CN"/>
              </w:rPr>
              <w:t>微生物</w:t>
            </w:r>
            <w:r>
              <w:rPr>
                <w:rFonts w:hint="eastAsia" w:ascii="宋体" w:hAnsi="宋体" w:eastAsia="宋体" w:cs="仿宋"/>
                <w:bCs/>
                <w:color w:val="auto"/>
                <w:kern w:val="2"/>
                <w:sz w:val="24"/>
                <w:szCs w:val="24"/>
                <w:highlight w:val="none"/>
                <w:lang w:val="zh-CN" w:eastAsia="zh-CN"/>
              </w:rPr>
              <w:t>实验室为</w:t>
            </w:r>
            <w:r>
              <w:rPr>
                <w:rFonts w:hint="eastAsia" w:ascii="宋体" w:hAnsi="宋体" w:eastAsia="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lang w:val="zh-CN" w:eastAsia="zh-CN"/>
              </w:rPr>
              <w:t>自有实验室，并提供承诺书。招标人有权在合同签订前进行现场考察，一旦发现弄虚作假，将取消中标资格，并报有关部门严肃处理；</w:t>
            </w:r>
            <w:r>
              <w:rPr>
                <w:rFonts w:hint="eastAsia" w:ascii="宋体" w:hAnsi="宋体" w:cs="仿宋"/>
                <w:bCs/>
                <w:color w:val="auto"/>
                <w:kern w:val="2"/>
                <w:sz w:val="24"/>
                <w:szCs w:val="24"/>
                <w:highlight w:val="none"/>
                <w:lang w:val="en-US" w:eastAsia="zh-CN"/>
              </w:rPr>
              <w:t>②</w:t>
            </w:r>
            <w:r>
              <w:rPr>
                <w:rFonts w:hint="eastAsia" w:ascii="宋体" w:hAnsi="宋体" w:eastAsia="宋体" w:cs="仿宋"/>
                <w:bCs/>
                <w:color w:val="auto"/>
                <w:kern w:val="2"/>
                <w:sz w:val="24"/>
                <w:szCs w:val="24"/>
                <w:highlight w:val="none"/>
                <w:lang w:val="zh-CN" w:eastAsia="zh-CN"/>
              </w:rPr>
              <w:t>提供抽样检验场所的房产证或所有权证明文件或服务期内有效的房屋租赁合同加发票扫描件及相关证明材料</w:t>
            </w:r>
            <w:r>
              <w:rPr>
                <w:rFonts w:hint="eastAsia" w:ascii="宋体" w:hAnsi="宋体" w:eastAsia="宋体" w:cs="仿宋"/>
                <w:bCs/>
                <w:color w:val="auto"/>
                <w:kern w:val="2"/>
                <w:sz w:val="24"/>
                <w:szCs w:val="24"/>
                <w:highlight w:val="none"/>
                <w:lang w:val="en-US" w:eastAsia="zh-CN"/>
              </w:rPr>
              <w:t>（租房合同须为投标人签署或房屋产权证书产权人为投标人）</w:t>
            </w:r>
            <w:r>
              <w:rPr>
                <w:rFonts w:hint="eastAsia" w:ascii="宋体" w:hAnsi="宋体" w:eastAsia="宋体" w:cs="仿宋"/>
                <w:bCs/>
                <w:color w:val="auto"/>
                <w:kern w:val="2"/>
                <w:sz w:val="24"/>
                <w:szCs w:val="24"/>
                <w:highlight w:val="none"/>
                <w:lang w:val="zh-CN" w:eastAsia="zh-CN"/>
              </w:rPr>
              <w:t>；</w:t>
            </w:r>
            <w:r>
              <w:rPr>
                <w:rFonts w:hint="eastAsia" w:ascii="宋体" w:hAnsi="宋体" w:cs="仿宋"/>
                <w:bCs/>
                <w:color w:val="auto"/>
                <w:kern w:val="2"/>
                <w:sz w:val="24"/>
                <w:szCs w:val="24"/>
                <w:highlight w:val="none"/>
                <w:lang w:val="en-US" w:eastAsia="zh-CN"/>
              </w:rPr>
              <w:t>③</w:t>
            </w:r>
            <w:r>
              <w:rPr>
                <w:rFonts w:hint="eastAsia" w:ascii="宋体" w:hAnsi="宋体" w:eastAsia="宋体" w:cs="仿宋"/>
                <w:bCs/>
                <w:color w:val="auto"/>
                <w:kern w:val="2"/>
                <w:sz w:val="24"/>
                <w:szCs w:val="24"/>
                <w:highlight w:val="none"/>
                <w:lang w:val="zh-CN" w:eastAsia="zh-CN"/>
              </w:rPr>
              <w:t>提供</w:t>
            </w:r>
            <w:r>
              <w:rPr>
                <w:rFonts w:hint="eastAsia" w:ascii="宋体" w:hAnsi="宋体" w:eastAsia="宋体" w:cs="仿宋"/>
                <w:bCs/>
                <w:color w:val="auto"/>
                <w:kern w:val="2"/>
                <w:sz w:val="24"/>
                <w:szCs w:val="24"/>
                <w:highlight w:val="none"/>
                <w:lang w:val="en-US" w:eastAsia="zh-CN"/>
              </w:rPr>
              <w:t>微生物</w:t>
            </w:r>
            <w:r>
              <w:rPr>
                <w:rFonts w:hint="eastAsia" w:ascii="宋体" w:hAnsi="宋体" w:eastAsia="宋体" w:cs="仿宋"/>
                <w:bCs/>
                <w:color w:val="auto"/>
                <w:kern w:val="2"/>
                <w:sz w:val="24"/>
                <w:szCs w:val="24"/>
                <w:highlight w:val="none"/>
                <w:lang w:val="zh-CN" w:eastAsia="zh-CN"/>
              </w:rPr>
              <w:t>实验室</w:t>
            </w:r>
            <w:r>
              <w:rPr>
                <w:rFonts w:hint="eastAsia" w:ascii="宋体" w:hAnsi="宋体" w:eastAsia="宋体" w:cs="仿宋"/>
                <w:bCs/>
                <w:color w:val="auto"/>
                <w:kern w:val="2"/>
                <w:sz w:val="24"/>
                <w:szCs w:val="24"/>
                <w:highlight w:val="none"/>
                <w:lang w:val="en-US" w:eastAsia="zh-CN"/>
              </w:rPr>
              <w:t>及</w:t>
            </w:r>
            <w:r>
              <w:rPr>
                <w:rFonts w:hint="eastAsia" w:ascii="宋体" w:hAnsi="宋体" w:eastAsia="宋体" w:cs="仿宋"/>
                <w:bCs/>
                <w:color w:val="auto"/>
                <w:kern w:val="2"/>
                <w:sz w:val="24"/>
                <w:szCs w:val="24"/>
                <w:highlight w:val="none"/>
                <w:lang w:val="zh-CN" w:eastAsia="zh-CN"/>
              </w:rPr>
              <w:t>平面布局图，并提供各组成部分面积清单；</w:t>
            </w:r>
            <w:r>
              <w:rPr>
                <w:rFonts w:hint="eastAsia" w:ascii="宋体" w:hAnsi="宋体" w:cs="仿宋"/>
                <w:bCs/>
                <w:color w:val="auto"/>
                <w:kern w:val="2"/>
                <w:sz w:val="24"/>
                <w:szCs w:val="24"/>
                <w:highlight w:val="none"/>
                <w:lang w:val="en-US" w:eastAsia="zh-CN"/>
              </w:rPr>
              <w:t>④</w:t>
            </w:r>
            <w:r>
              <w:rPr>
                <w:rFonts w:hint="eastAsia" w:ascii="宋体" w:hAnsi="宋体" w:eastAsia="宋体" w:cs="仿宋"/>
                <w:bCs/>
                <w:color w:val="auto"/>
                <w:kern w:val="2"/>
                <w:sz w:val="24"/>
                <w:szCs w:val="24"/>
                <w:highlight w:val="none"/>
                <w:lang w:val="zh-CN" w:eastAsia="zh-CN"/>
              </w:rPr>
              <w:t>未达到上述要求或未提供有效证明文件的不得分。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046F337">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3A95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E1F63E7">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6D109BC">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检验设备设施</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B7A27B2">
            <w:pPr>
              <w:keepNext w:val="0"/>
              <w:keepLines w:val="0"/>
              <w:widowControl w:val="0"/>
              <w:numPr>
                <w:ilvl w:val="0"/>
                <w:numId w:val="8"/>
              </w:numPr>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具备液质联用仪GC/MS/MS、气质联用仪LC/MS/MS、HPLC（高效液相色谱仪）、GC（气相色谱仪）、UV（紫外分光光度计）、AAS（原子吸收光谱仪）、微波消解仪等（或同功能设备）、ICP-MS（电感耦合等离子体质谱仪）、IC（离子色谱仪）、电感耦合等离子体发射光谱仪（ICP-OES）、液相-原子荧光联用仪（LC-AFS）等与本项目相关的设备，得6分，少一项扣1分，扣完为止。</w:t>
            </w:r>
          </w:p>
          <w:p w14:paraId="5134EE00">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如果具备以上设备，20台以上（含）的，且GC/MS/MS、LC/MS/MS各2台以上（含）加2分；如果具备以上设备15台以上（含）的，且GC/MS/MS、LC/MS/MS各2台以上（含）加1.5分；如果具备以上设备10台以上（含）的，且GC/MS/MS或LC/MS/MS各2台以上（含）加1分；其他情况得0分。</w:t>
            </w:r>
          </w:p>
          <w:p w14:paraId="6EA65ACF">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（提供仪器设备清单、设备购置发票或仪器计量检定校准认证证书、相关实验室放置图片证明、购销合同或售后服务保障证明）</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B6DC63D">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8分</w:t>
            </w:r>
          </w:p>
        </w:tc>
      </w:tr>
      <w:tr w14:paraId="268A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75AD4D6">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2B5833D9">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样品运输及冷藏设备</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26EB044">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样品运输设备，如冷藏设备及车辆配置等情况进行比较（提供发票复印件）：自有或租赁车辆4辆以上（含4辆）、冷藏设备6台以上（含6台）得3分；自有或租赁车辆2-3辆（含2辆）、冷藏设备4-5台得2分；自有或租赁车辆2辆以下（含2辆）、冷藏设备4台以下得1分；其它情况0分。</w:t>
            </w:r>
          </w:p>
          <w:p w14:paraId="5E559E03">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投标人自建或者租赁冷库面积50㎡以上（含50㎡）得1分，自建或者租赁冷库面积30㎡-50㎡得0.5分；其他情况0分。</w:t>
            </w:r>
          </w:p>
          <w:p w14:paraId="6618B26C">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注：需提供项目本地采样车辆和冷藏设备的图片证明材料，冷库建设或者租赁合同。</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96E358F">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4分</w:t>
            </w:r>
          </w:p>
        </w:tc>
      </w:tr>
      <w:tr w14:paraId="278E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BB119D0">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A650A95">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科研及技术创新能力评价</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DB7A5C0">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1、近三年</w:t>
            </w:r>
            <w:r>
              <w:rPr>
                <w:rFonts w:hint="eastAsia" w:ascii="宋体" w:hAnsi="宋体" w:cs="宋体"/>
                <w:color w:val="auto"/>
                <w:kern w:val="2"/>
                <w:sz w:val="24"/>
                <w:szCs w:val="24"/>
                <w:highlight w:val="none"/>
                <w:lang w:val="en-US" w:eastAsia="zh-CN" w:bidi="ar"/>
              </w:rPr>
              <w:t>（2023年-至今）</w:t>
            </w:r>
            <w:r>
              <w:rPr>
                <w:rFonts w:hint="eastAsia" w:ascii="宋体" w:hAnsi="宋体" w:eastAsia="宋体" w:cs="宋体"/>
                <w:color w:val="auto"/>
                <w:kern w:val="2"/>
                <w:sz w:val="24"/>
                <w:szCs w:val="24"/>
                <w:highlight w:val="none"/>
                <w:lang w:val="en-US" w:eastAsia="zh-CN" w:bidi="ar"/>
              </w:rPr>
              <w:t>投标人</w:t>
            </w:r>
            <w:r>
              <w:rPr>
                <w:rFonts w:hint="eastAsia"/>
                <w:color w:val="auto"/>
                <w:sz w:val="24"/>
                <w:szCs w:val="24"/>
                <w:highlight w:val="none"/>
                <w:lang w:eastAsia="zh-CN"/>
              </w:rPr>
              <w:t>起草食品检测相关标准</w:t>
            </w:r>
            <w:r>
              <w:rPr>
                <w:rFonts w:hint="eastAsia"/>
                <w:color w:val="auto"/>
                <w:sz w:val="24"/>
                <w:szCs w:val="24"/>
                <w:highlight w:val="none"/>
                <w:lang w:val="en-US" w:eastAsia="zh-CN"/>
              </w:rPr>
              <w:t>一项得0.5分</w:t>
            </w:r>
            <w:r>
              <w:rPr>
                <w:rFonts w:hint="eastAsia" w:ascii="宋体" w:hAnsi="宋体" w:eastAsia="宋体" w:cs="宋体"/>
                <w:color w:val="auto"/>
                <w:kern w:val="2"/>
                <w:sz w:val="24"/>
                <w:szCs w:val="24"/>
                <w:highlight w:val="none"/>
                <w:lang w:val="en-US" w:eastAsia="zh-CN" w:bidi="ar"/>
              </w:rPr>
              <w:t>；本项满分</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w:t>
            </w:r>
          </w:p>
          <w:p w14:paraId="10879757">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（提供相关标准原文等相关证明材料备查，否则不得分）</w:t>
            </w:r>
          </w:p>
          <w:p w14:paraId="34FD792E">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2.投标人202</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年1月1日（含）以来获得的</w:t>
            </w:r>
            <w:r>
              <w:rPr>
                <w:rFonts w:hint="eastAsia"/>
                <w:color w:val="auto"/>
                <w:sz w:val="24"/>
                <w:szCs w:val="24"/>
                <w:highlight w:val="none"/>
                <w:lang w:eastAsia="zh-CN"/>
              </w:rPr>
              <w:t>食品检测相关专利证书</w:t>
            </w:r>
            <w:r>
              <w:rPr>
                <w:rFonts w:hint="eastAsia" w:ascii="宋体" w:hAnsi="宋体" w:eastAsia="宋体" w:cs="宋体"/>
                <w:color w:val="auto"/>
                <w:kern w:val="2"/>
                <w:sz w:val="24"/>
                <w:szCs w:val="24"/>
                <w:highlight w:val="none"/>
                <w:lang w:val="en-US" w:eastAsia="zh-CN" w:bidi="ar"/>
              </w:rPr>
              <w:t>，有1个得0.5分，最高得</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分。（需提供专利证书证明材料备查，软件著作权登记证书不得分）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C2EC61D">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分</w:t>
            </w:r>
          </w:p>
        </w:tc>
      </w:tr>
      <w:tr w14:paraId="1FAF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9A9ED49">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100879A">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项目负责人及证书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5344D4A">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具备食品相关专业高级以上职称，有类似项目经历的得4分；具备相关食品专业中级职称，缺少类似项目经历的得2分。中途更换，视为违约。（需提供职称证书和</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项目负责人（</w:t>
            </w:r>
            <w:r>
              <w:rPr>
                <w:rFonts w:hint="eastAsia" w:ascii="宋体" w:hAnsi="宋体" w:cs="宋体"/>
                <w:color w:val="auto"/>
                <w:kern w:val="2"/>
                <w:sz w:val="24"/>
                <w:szCs w:val="24"/>
                <w:highlight w:val="none"/>
                <w:lang w:val="en-US" w:eastAsia="zh-CN" w:bidi="ar"/>
              </w:rPr>
              <w:t>含</w:t>
            </w:r>
            <w:r>
              <w:rPr>
                <w:rFonts w:hint="eastAsia" w:ascii="宋体" w:hAnsi="宋体" w:eastAsia="宋体" w:cs="宋体"/>
                <w:color w:val="auto"/>
                <w:kern w:val="2"/>
                <w:sz w:val="24"/>
                <w:szCs w:val="24"/>
                <w:highlight w:val="none"/>
                <w:lang w:val="en-US" w:eastAsia="zh-CN" w:bidi="ar"/>
              </w:rPr>
              <w:t>主要技术人员）应与投标书内人员一致）</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66A4BC7">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4分</w:t>
            </w:r>
          </w:p>
        </w:tc>
      </w:tr>
      <w:tr w14:paraId="220F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vMerge w:val="restart"/>
            <w:tcBorders>
              <w:top w:val="nil"/>
              <w:left w:val="single" w:color="auto" w:sz="4" w:space="0"/>
              <w:bottom w:val="single" w:color="auto" w:sz="4" w:space="0"/>
              <w:right w:val="single" w:color="auto" w:sz="4" w:space="0"/>
            </w:tcBorders>
            <w:shd w:val="clear" w:color="auto" w:fill="auto"/>
            <w:vAlign w:val="center"/>
          </w:tcPr>
          <w:p w14:paraId="325D9058">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10</w:t>
            </w:r>
          </w:p>
        </w:tc>
        <w:tc>
          <w:tcPr>
            <w:tcW w:w="1030" w:type="dxa"/>
            <w:vMerge w:val="restart"/>
            <w:tcBorders>
              <w:top w:val="nil"/>
              <w:left w:val="single" w:color="auto" w:sz="4" w:space="0"/>
              <w:bottom w:val="single" w:color="auto" w:sz="4" w:space="0"/>
              <w:right w:val="single" w:color="auto" w:sz="4" w:space="0"/>
            </w:tcBorders>
            <w:shd w:val="clear" w:color="auto" w:fill="auto"/>
            <w:vAlign w:val="center"/>
          </w:tcPr>
          <w:p w14:paraId="68230D7E">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项目实施团队能力</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64B19DB">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1.投标人所配服务人员中为本单位人员，且具有专职承担食品抽检工作的独立抽样人员：10人及以下：1分；11-19人：2分；20人及以上：3分。</w:t>
            </w:r>
          </w:p>
          <w:p w14:paraId="2DCB7D5E">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注：（1）须提供独立抽样工作人员名单及抽样员证（或其他证明性材料）复印件；（2）提供</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材料。</w:t>
            </w:r>
          </w:p>
        </w:tc>
        <w:tc>
          <w:tcPr>
            <w:tcW w:w="1231" w:type="dxa"/>
            <w:vMerge w:val="restart"/>
            <w:tcBorders>
              <w:top w:val="nil"/>
              <w:left w:val="single" w:color="auto" w:sz="4" w:space="0"/>
              <w:bottom w:val="single" w:color="auto" w:sz="4" w:space="0"/>
              <w:right w:val="single" w:color="auto" w:sz="4" w:space="0"/>
            </w:tcBorders>
            <w:shd w:val="clear" w:color="auto" w:fill="auto"/>
            <w:vAlign w:val="center"/>
          </w:tcPr>
          <w:p w14:paraId="3D87EE23">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9分</w:t>
            </w:r>
          </w:p>
        </w:tc>
      </w:tr>
      <w:tr w14:paraId="5B118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6D8742A4">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nil"/>
              <w:left w:val="single" w:color="auto" w:sz="4" w:space="0"/>
              <w:bottom w:val="single" w:color="auto" w:sz="4" w:space="0"/>
              <w:right w:val="single" w:color="auto" w:sz="4" w:space="0"/>
            </w:tcBorders>
            <w:shd w:val="clear" w:color="auto" w:fill="auto"/>
            <w:vAlign w:val="center"/>
          </w:tcPr>
          <w:p w14:paraId="16DAA2A5">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0352448">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2.投标人所配服务人员中为本单位人员，专职从事食品检验人员的数量：20人及以下：1分；21-30人：2分；30人及以上：3分。</w:t>
            </w:r>
          </w:p>
          <w:p w14:paraId="6C48ADF5">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注：（1）须提供专职从事食品检验人员名单及食品检验人员上岗证（或其他证明性材料）复印件；（2）提供</w:t>
            </w:r>
            <w:r>
              <w:rPr>
                <w:rFonts w:hint="eastAsia"/>
                <w:color w:val="auto"/>
                <w:sz w:val="24"/>
                <w:szCs w:val="24"/>
                <w:highlight w:val="none"/>
                <w:lang w:val="en-US" w:eastAsia="zh-CN"/>
              </w:rPr>
              <w:t>近六个月任意一个月缴纳社会保障证明</w:t>
            </w:r>
            <w:r>
              <w:rPr>
                <w:rFonts w:hint="eastAsia" w:ascii="宋体" w:hAnsi="宋体" w:eastAsia="宋体" w:cs="宋体"/>
                <w:color w:val="auto"/>
                <w:kern w:val="2"/>
                <w:sz w:val="24"/>
                <w:szCs w:val="24"/>
                <w:highlight w:val="none"/>
                <w:lang w:val="en-US" w:eastAsia="zh-CN" w:bidi="ar"/>
              </w:rPr>
              <w:t>材料。</w:t>
            </w:r>
          </w:p>
        </w:tc>
        <w:tc>
          <w:tcPr>
            <w:tcW w:w="1231" w:type="dxa"/>
            <w:vMerge w:val="continue"/>
            <w:tcBorders>
              <w:top w:val="nil"/>
              <w:left w:val="single" w:color="auto" w:sz="4" w:space="0"/>
              <w:bottom w:val="single" w:color="auto" w:sz="4" w:space="0"/>
              <w:right w:val="single" w:color="auto" w:sz="4" w:space="0"/>
            </w:tcBorders>
            <w:shd w:val="clear" w:color="auto" w:fill="auto"/>
            <w:vAlign w:val="center"/>
          </w:tcPr>
          <w:p w14:paraId="65E57436">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0F22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44AD51C7">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nil"/>
              <w:left w:val="single" w:color="auto" w:sz="4" w:space="0"/>
              <w:bottom w:val="single" w:color="auto" w:sz="4" w:space="0"/>
              <w:right w:val="single" w:color="auto" w:sz="4" w:space="0"/>
            </w:tcBorders>
            <w:shd w:val="clear" w:color="auto" w:fill="auto"/>
            <w:vAlign w:val="center"/>
          </w:tcPr>
          <w:p w14:paraId="086C1ED2">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D25929A">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3.投标人所配服务人员中为本单位人员，具有高级技术职称，专职从事食品检验业务相关工作且在单位满2年及以上的人员数量：6人及以下：1.5分；7-9人：2分；10人及以上：3分。</w:t>
            </w:r>
          </w:p>
          <w:p w14:paraId="6295CE15">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注：（1）须提供人员名单（至少包含：姓名、年龄、文化程度、职务、职称、从事本技术领域年限、现在部门岗位）并加盖公章；（2）提供人员高级职称证书复印件；（3）提供</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w:t>
            </w:r>
          </w:p>
        </w:tc>
        <w:tc>
          <w:tcPr>
            <w:tcW w:w="1231" w:type="dxa"/>
            <w:vMerge w:val="continue"/>
            <w:tcBorders>
              <w:top w:val="nil"/>
              <w:left w:val="single" w:color="auto" w:sz="4" w:space="0"/>
              <w:bottom w:val="single" w:color="auto" w:sz="4" w:space="0"/>
              <w:right w:val="single" w:color="auto" w:sz="4" w:space="0"/>
            </w:tcBorders>
            <w:shd w:val="clear" w:color="auto" w:fill="auto"/>
            <w:vAlign w:val="center"/>
          </w:tcPr>
          <w:p w14:paraId="44D06C44">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65B53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1E3D879">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0AE18DB">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服务</w:t>
            </w:r>
          </w:p>
          <w:p w14:paraId="463C1AC3">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承诺</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CD59DA5">
            <w:pPr>
              <w:keepNext w:val="0"/>
              <w:keepLines w:val="0"/>
              <w:widowControl w:val="0"/>
              <w:suppressLineNumbers w:val="0"/>
              <w:spacing w:before="0" w:beforeAutospacing="0" w:after="0" w:afterAutospacing="0" w:line="300" w:lineRule="exact"/>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根据投标人针对本项目提供的</w:t>
            </w:r>
            <w:r>
              <w:rPr>
                <w:rFonts w:hint="eastAsia" w:ascii="宋体" w:hAnsi="宋体" w:eastAsia="宋体" w:cs="宋体"/>
                <w:color w:val="auto"/>
                <w:kern w:val="2"/>
                <w:sz w:val="24"/>
                <w:szCs w:val="24"/>
                <w:highlight w:val="none"/>
                <w:lang w:val="en-US" w:eastAsia="zh-CN" w:bidi="ar"/>
              </w:rPr>
              <w:t>服务承诺</w:t>
            </w:r>
            <w:r>
              <w:rPr>
                <w:rFonts w:hint="eastAsia" w:ascii="宋体" w:hAnsi="宋体" w:eastAsia="宋体" w:cs="宋体"/>
                <w:bCs/>
                <w:color w:val="auto"/>
                <w:kern w:val="2"/>
                <w:sz w:val="24"/>
                <w:szCs w:val="24"/>
                <w:highlight w:val="none"/>
                <w:lang w:val="en-US" w:eastAsia="zh-CN" w:bidi="ar"/>
              </w:rPr>
              <w:t>进行综合评分，内容包含但不限于：①</w:t>
            </w:r>
            <w:r>
              <w:rPr>
                <w:rFonts w:hint="eastAsia" w:ascii="宋体" w:hAnsi="宋体" w:eastAsia="宋体" w:cs="宋体"/>
                <w:color w:val="auto"/>
                <w:kern w:val="2"/>
                <w:sz w:val="24"/>
                <w:szCs w:val="24"/>
                <w:highlight w:val="none"/>
                <w:lang w:val="en-US" w:eastAsia="zh-CN" w:bidi="ar"/>
              </w:rPr>
              <w:t>项目实施期间，定时在甲方指定地点参加任务部署会、推进会，缺席2次以上，视为违约</w:t>
            </w:r>
            <w:r>
              <w:rPr>
                <w:rFonts w:hint="eastAsia" w:ascii="宋体" w:hAnsi="宋体" w:eastAsia="宋体" w:cs="宋体"/>
                <w:bCs/>
                <w:color w:val="auto"/>
                <w:kern w:val="2"/>
                <w:sz w:val="24"/>
                <w:szCs w:val="24"/>
                <w:highlight w:val="none"/>
                <w:lang w:val="en-US" w:eastAsia="zh-CN" w:bidi="ar"/>
              </w:rPr>
              <w:t>；②</w:t>
            </w:r>
            <w:r>
              <w:rPr>
                <w:rFonts w:hint="eastAsia" w:ascii="宋体" w:hAnsi="宋体" w:eastAsia="宋体" w:cs="宋体"/>
                <w:color w:val="auto"/>
                <w:kern w:val="2"/>
                <w:sz w:val="24"/>
                <w:szCs w:val="24"/>
                <w:highlight w:val="none"/>
                <w:lang w:val="en-US" w:eastAsia="zh-CN" w:bidi="ar"/>
              </w:rPr>
              <w:t>合同期内及质保期内提供24小时应急响应到场服务，承诺响应服务处理结束后提交问题处理报告，不到场1次以上视为违约；</w:t>
            </w:r>
            <w:r>
              <w:rPr>
                <w:rFonts w:hint="eastAsia" w:ascii="宋体" w:hAnsi="宋体" w:eastAsia="宋体" w:cs="宋体"/>
                <w:bCs/>
                <w:color w:val="auto"/>
                <w:kern w:val="2"/>
                <w:sz w:val="24"/>
                <w:szCs w:val="24"/>
                <w:highlight w:val="none"/>
                <w:lang w:val="en-US" w:eastAsia="zh-CN" w:bidi="ar"/>
              </w:rPr>
              <w:t>③</w:t>
            </w:r>
            <w:r>
              <w:rPr>
                <w:rFonts w:hint="eastAsia" w:ascii="宋体" w:hAnsi="宋体" w:eastAsia="宋体" w:cs="宋体"/>
                <w:color w:val="auto"/>
                <w:kern w:val="2"/>
                <w:sz w:val="24"/>
                <w:szCs w:val="24"/>
                <w:highlight w:val="none"/>
                <w:lang w:val="en-US" w:eastAsia="zh-CN" w:bidi="ar"/>
              </w:rPr>
              <w:t>有保密责任承诺书；</w:t>
            </w:r>
            <w:r>
              <w:rPr>
                <w:rFonts w:hint="eastAsia" w:ascii="宋体" w:hAnsi="宋体" w:eastAsia="宋体" w:cs="宋体"/>
                <w:bCs/>
                <w:color w:val="auto"/>
                <w:kern w:val="2"/>
                <w:sz w:val="24"/>
                <w:szCs w:val="24"/>
                <w:highlight w:val="none"/>
                <w:lang w:val="en-US" w:eastAsia="zh-CN" w:bidi="ar"/>
              </w:rPr>
              <w:t>④</w:t>
            </w:r>
            <w:r>
              <w:rPr>
                <w:rFonts w:hint="eastAsia" w:ascii="宋体" w:hAnsi="宋体" w:eastAsia="宋体" w:cs="宋体"/>
                <w:color w:val="auto"/>
                <w:kern w:val="2"/>
                <w:sz w:val="24"/>
                <w:szCs w:val="24"/>
                <w:highlight w:val="none"/>
                <w:lang w:val="en-US" w:eastAsia="zh-CN" w:bidi="ar"/>
              </w:rPr>
              <w:t>协助做好重大活动等时间节点保障活动食品抽检工作；</w:t>
            </w:r>
            <w:r>
              <w:rPr>
                <w:rFonts w:hint="eastAsia" w:ascii="宋体" w:hAnsi="宋体" w:eastAsia="宋体" w:cs="宋体"/>
                <w:bCs/>
                <w:color w:val="auto"/>
                <w:kern w:val="2"/>
                <w:sz w:val="24"/>
                <w:szCs w:val="24"/>
                <w:highlight w:val="none"/>
                <w:lang w:val="en-US" w:eastAsia="zh-CN" w:bidi="ar"/>
              </w:rPr>
              <w:t>⑤</w:t>
            </w:r>
            <w:r>
              <w:rPr>
                <w:rFonts w:hint="eastAsia" w:ascii="宋体" w:hAnsi="宋体" w:eastAsia="宋体" w:cs="宋体"/>
                <w:color w:val="auto"/>
                <w:kern w:val="2"/>
                <w:sz w:val="24"/>
                <w:szCs w:val="24"/>
                <w:highlight w:val="none"/>
                <w:lang w:val="en-US" w:eastAsia="zh-CN" w:bidi="ar"/>
              </w:rPr>
              <w:t>协助做好食品安全突发事件应急演练保障工作；</w:t>
            </w:r>
            <w:r>
              <w:rPr>
                <w:rFonts w:hint="eastAsia" w:ascii="宋体" w:hAnsi="宋体" w:eastAsia="宋体" w:cs="宋体"/>
                <w:bCs/>
                <w:color w:val="auto"/>
                <w:kern w:val="2"/>
                <w:sz w:val="24"/>
                <w:szCs w:val="24"/>
                <w:highlight w:val="none"/>
                <w:lang w:val="en-US" w:eastAsia="zh-CN" w:bidi="ar"/>
              </w:rPr>
              <w:t>⑥</w:t>
            </w:r>
            <w:r>
              <w:rPr>
                <w:rFonts w:hint="eastAsia" w:ascii="宋体" w:hAnsi="宋体" w:eastAsia="宋体" w:cs="宋体"/>
                <w:color w:val="auto"/>
                <w:kern w:val="2"/>
                <w:sz w:val="24"/>
                <w:szCs w:val="24"/>
                <w:highlight w:val="none"/>
                <w:lang w:val="en-US" w:eastAsia="zh-CN" w:bidi="ar"/>
              </w:rPr>
              <w:t>各级股东中无外资成分及外籍员工的声明；</w:t>
            </w:r>
            <w:r>
              <w:rPr>
                <w:rFonts w:hint="eastAsia" w:ascii="宋体" w:hAnsi="宋体" w:eastAsia="宋体" w:cs="宋体"/>
                <w:bCs/>
                <w:color w:val="auto"/>
                <w:kern w:val="2"/>
                <w:sz w:val="24"/>
                <w:szCs w:val="24"/>
                <w:highlight w:val="none"/>
                <w:lang w:val="en-US" w:eastAsia="zh-CN" w:bidi="ar"/>
              </w:rPr>
              <w:t>以上六项内容均有体现且完全满足采购实际需求的得</w:t>
            </w:r>
            <w:r>
              <w:rPr>
                <w:rFonts w:hint="eastAsia" w:ascii="宋体" w:hAnsi="宋体" w:eastAsia="宋体" w:cs="仿宋"/>
                <w:bCs/>
                <w:color w:val="auto"/>
                <w:kern w:val="2"/>
                <w:sz w:val="24"/>
                <w:szCs w:val="24"/>
                <w:highlight w:val="none"/>
                <w:lang w:val="en-US" w:eastAsia="zh-CN" w:bidi="ar"/>
              </w:rPr>
              <w:t>6</w:t>
            </w:r>
            <w:r>
              <w:rPr>
                <w:rFonts w:hint="eastAsia" w:ascii="宋体" w:hAnsi="宋体" w:eastAsia="宋体" w:cs="宋体"/>
                <w:bCs/>
                <w:color w:val="auto"/>
                <w:kern w:val="2"/>
                <w:sz w:val="24"/>
                <w:szCs w:val="24"/>
                <w:highlight w:val="none"/>
                <w:lang w:val="en-US" w:eastAsia="zh-CN" w:bidi="ar"/>
              </w:rPr>
              <w:t>分；每有一项内容缺失的扣1分；每有一项内容存在缺陷或者不能满足采购实际需求的扣</w:t>
            </w:r>
            <w:r>
              <w:rPr>
                <w:rFonts w:hint="eastAsia" w:ascii="宋体" w:hAnsi="宋体" w:eastAsia="宋体" w:cs="仿宋"/>
                <w:bCs/>
                <w:color w:val="auto"/>
                <w:kern w:val="2"/>
                <w:sz w:val="24"/>
                <w:szCs w:val="24"/>
                <w:highlight w:val="none"/>
                <w:lang w:val="en-US" w:eastAsia="zh-CN" w:bidi="ar"/>
              </w:rPr>
              <w:t>0.5</w:t>
            </w:r>
            <w:r>
              <w:rPr>
                <w:rFonts w:hint="eastAsia" w:ascii="宋体" w:hAnsi="宋体" w:eastAsia="宋体" w:cs="宋体"/>
                <w:bCs/>
                <w:color w:val="auto"/>
                <w:kern w:val="2"/>
                <w:sz w:val="24"/>
                <w:szCs w:val="24"/>
                <w:highlight w:val="none"/>
                <w:lang w:val="en-US" w:eastAsia="zh-CN" w:bidi="ar"/>
              </w:rPr>
              <w:t>分，扣完为止；本项满分为6分，未提供</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0EA1A3E">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6分</w:t>
            </w:r>
          </w:p>
        </w:tc>
      </w:tr>
      <w:tr w14:paraId="0DF5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B3AACEB">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0A1E080">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检验项目响应程度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3543B5A">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根据投标人提供的检验项目商务、技术偏离表是否符合招标文件“第四部分，服务标准和要求”，完全响应得5分，偏离一项扣1分，扣完为止。</w:t>
            </w:r>
          </w:p>
          <w:p w14:paraId="3CFD0911">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注：投标人提供的所投包组项目须提交实验室资质认可复印件盖章。</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D3BBB08">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0B22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67C7DDA2">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13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56F86CA">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0"/>
                <w:sz w:val="24"/>
                <w:szCs w:val="24"/>
                <w:highlight w:val="none"/>
                <w:lang w:val="en-US" w:eastAsia="zh-CN" w:bidi="zh-CN"/>
              </w:rPr>
            </w:pPr>
            <w:r>
              <w:rPr>
                <w:rFonts w:hint="eastAsia" w:ascii="宋体" w:hAnsi="宋体" w:cs="宋体"/>
                <w:color w:val="auto"/>
                <w:kern w:val="2"/>
                <w:sz w:val="24"/>
                <w:szCs w:val="24"/>
                <w:highlight w:val="none"/>
                <w:lang w:val="en-US" w:eastAsia="zh-CN" w:bidi="ar"/>
              </w:rPr>
              <w:t>承检</w:t>
            </w:r>
            <w:r>
              <w:rPr>
                <w:rFonts w:hint="eastAsia" w:ascii="宋体" w:hAnsi="宋体" w:eastAsia="宋体" w:cs="宋体"/>
                <w:color w:val="auto"/>
                <w:kern w:val="2"/>
                <w:sz w:val="24"/>
                <w:szCs w:val="24"/>
                <w:highlight w:val="none"/>
                <w:lang w:val="en-US" w:eastAsia="zh-CN" w:bidi="ar"/>
              </w:rPr>
              <w:t>机构考核</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D9B30E8">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1.202</w:t>
            </w: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年1月1日以来，在行业相关监管部门（食品、食用农产品监管部门）组织的承检机构考核中的综合评价满意度情况：</w:t>
            </w:r>
          </w:p>
          <w:p w14:paraId="7038F86C">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（1）获得相关监管部门满意的考核评价（优秀，或等同于相同等次），有一个得</w:t>
            </w:r>
            <w:r>
              <w:rPr>
                <w:rFonts w:hint="eastAsia" w:ascii="宋体" w:hAnsi="宋体" w:cs="宋体"/>
                <w:color w:val="auto"/>
                <w:kern w:val="2"/>
                <w:sz w:val="24"/>
                <w:szCs w:val="24"/>
                <w:highlight w:val="none"/>
                <w:lang w:val="en-US" w:eastAsia="zh-CN" w:bidi="ar"/>
              </w:rPr>
              <w:t>0.5</w:t>
            </w:r>
            <w:r>
              <w:rPr>
                <w:rFonts w:hint="eastAsia" w:ascii="宋体" w:hAnsi="宋体" w:eastAsia="宋体" w:cs="宋体"/>
                <w:color w:val="auto"/>
                <w:kern w:val="2"/>
                <w:sz w:val="24"/>
                <w:szCs w:val="24"/>
                <w:highlight w:val="none"/>
                <w:lang w:val="en-US" w:eastAsia="zh-CN" w:bidi="ar"/>
              </w:rPr>
              <w:t>分；本项最高得2分。</w:t>
            </w:r>
          </w:p>
          <w:p w14:paraId="01E55892">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注：须提供监管部门出具的“承检机构考核结果证明材料”原件扫描件，未提供不得分。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5F32EB7">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color w:val="auto"/>
                <w:kern w:val="0"/>
                <w:sz w:val="24"/>
                <w:szCs w:val="24"/>
                <w:highlight w:val="none"/>
                <w:lang w:bidi="zh-CN"/>
              </w:rPr>
              <w:t>2</w:t>
            </w:r>
            <w:r>
              <w:rPr>
                <w:rFonts w:hint="eastAsia"/>
                <w:color w:val="auto"/>
                <w:kern w:val="0"/>
                <w:sz w:val="24"/>
                <w:szCs w:val="24"/>
                <w:highlight w:val="none"/>
                <w:lang w:val="zh-CN" w:bidi="zh-CN"/>
              </w:rPr>
              <w:t>分</w:t>
            </w:r>
          </w:p>
        </w:tc>
      </w:tr>
      <w:tr w14:paraId="4CA1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C9D9D73">
            <w:pPr>
              <w:keepNext w:val="0"/>
              <w:keepLines w:val="0"/>
              <w:widowControl w:val="0"/>
              <w:suppressLineNumbers w:val="0"/>
              <w:snapToGrid w:val="0"/>
              <w:spacing w:before="0" w:beforeAutospacing="0" w:after="0" w:afterAutospacing="0"/>
              <w:ind w:left="0" w:right="0"/>
              <w:jc w:val="both"/>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商务部分评分2</w:t>
            </w:r>
            <w:r>
              <w:rPr>
                <w:rFonts w:hint="eastAsia" w:ascii="宋体" w:hAnsi="宋体" w:eastAsia="宋体" w:cs="Courier New"/>
                <w:b/>
                <w:bCs w:val="0"/>
                <w:color w:val="auto"/>
                <w:kern w:val="2"/>
                <w:sz w:val="24"/>
                <w:szCs w:val="24"/>
                <w:highlight w:val="none"/>
                <w:lang w:val="en-US" w:eastAsia="zh-CN" w:bidi="ar"/>
              </w:rPr>
              <w:t>0</w:t>
            </w:r>
            <w:r>
              <w:rPr>
                <w:rFonts w:hint="eastAsia" w:ascii="宋体" w:hAnsi="宋体" w:eastAsia="宋体" w:cs="宋体"/>
                <w:b/>
                <w:bCs w:val="0"/>
                <w:color w:val="auto"/>
                <w:kern w:val="2"/>
                <w:sz w:val="24"/>
                <w:szCs w:val="24"/>
                <w:highlight w:val="none"/>
                <w:lang w:val="en-US" w:eastAsia="zh-CN" w:bidi="ar"/>
              </w:rPr>
              <w:t>分</w:t>
            </w:r>
          </w:p>
        </w:tc>
      </w:tr>
      <w:tr w14:paraId="08FF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restart"/>
            <w:tcBorders>
              <w:top w:val="nil"/>
              <w:left w:val="single" w:color="auto" w:sz="4" w:space="0"/>
              <w:bottom w:val="single" w:color="auto" w:sz="4" w:space="0"/>
              <w:right w:val="single" w:color="auto" w:sz="4" w:space="0"/>
            </w:tcBorders>
            <w:shd w:val="clear" w:color="auto" w:fill="auto"/>
            <w:vAlign w:val="center"/>
          </w:tcPr>
          <w:p w14:paraId="3A17C823">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ED305D">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企业</w:t>
            </w:r>
            <w:r>
              <w:rPr>
                <w:rFonts w:hint="eastAsia" w:ascii="宋体" w:hAnsi="宋体" w:eastAsia="宋体" w:cs="宋体"/>
                <w:color w:val="auto"/>
                <w:kern w:val="2"/>
                <w:sz w:val="24"/>
                <w:szCs w:val="24"/>
                <w:highlight w:val="none"/>
                <w:lang w:val="en-US" w:eastAsia="zh-CN" w:bidi="ar"/>
              </w:rPr>
              <w:t>实力</w:t>
            </w:r>
          </w:p>
          <w:p w14:paraId="7A03B3AE">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1058BDB">
            <w:pPr>
              <w:keepNext w:val="0"/>
              <w:keepLines w:val="0"/>
              <w:widowControl w:val="0"/>
              <w:suppressLineNumbers w:val="0"/>
              <w:snapToGrid w:val="0"/>
              <w:spacing w:before="0" w:beforeAutospacing="0" w:after="0" w:afterAutospacing="0"/>
              <w:ind w:left="0" w:right="0"/>
              <w:jc w:val="left"/>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rPr>
              <w:t>供应商</w:t>
            </w:r>
            <w:r>
              <w:rPr>
                <w:rFonts w:hint="eastAsia" w:ascii="宋体" w:hAnsi="宋体" w:eastAsia="宋体" w:cs="Times New Roman"/>
                <w:color w:val="auto"/>
                <w:kern w:val="2"/>
                <w:sz w:val="24"/>
                <w:szCs w:val="24"/>
                <w:highlight w:val="none"/>
                <w:lang w:eastAsia="zh-CN"/>
              </w:rPr>
              <w:t>告知承诺</w:t>
            </w:r>
            <w:r>
              <w:rPr>
                <w:rFonts w:hint="eastAsia" w:ascii="宋体" w:hAnsi="宋体" w:eastAsia="宋体" w:cs="Times New Roman"/>
                <w:color w:val="auto"/>
                <w:kern w:val="2"/>
                <w:sz w:val="24"/>
                <w:szCs w:val="24"/>
                <w:highlight w:val="none"/>
              </w:rPr>
              <w:t>系统有专职录入人员得2分；未提供证明材料</w:t>
            </w:r>
            <w:r>
              <w:rPr>
                <w:rFonts w:hint="eastAsia" w:ascii="宋体" w:hAnsi="宋体" w:eastAsia="宋体" w:cs="Times New Roman"/>
                <w:color w:val="auto"/>
                <w:kern w:val="2"/>
                <w:sz w:val="24"/>
                <w:szCs w:val="24"/>
                <w:highlight w:val="none"/>
                <w:lang w:eastAsia="zh-CN"/>
              </w:rPr>
              <w:t>（国抽平台显示人员姓名截图）</w:t>
            </w:r>
            <w:r>
              <w:rPr>
                <w:rFonts w:hint="eastAsia" w:ascii="宋体" w:hAnsi="宋体" w:eastAsia="宋体" w:cs="Times New Roman"/>
                <w:color w:val="auto"/>
                <w:kern w:val="2"/>
                <w:sz w:val="24"/>
                <w:szCs w:val="24"/>
                <w:highlight w:val="none"/>
              </w:rPr>
              <w:t>、未参加过培训</w:t>
            </w:r>
            <w:r>
              <w:rPr>
                <w:rFonts w:hint="eastAsia" w:ascii="宋体" w:hAnsi="宋体" w:eastAsia="宋体" w:cs="Times New Roman"/>
                <w:color w:val="auto"/>
                <w:kern w:val="2"/>
                <w:sz w:val="24"/>
                <w:szCs w:val="24"/>
                <w:highlight w:val="none"/>
                <w:lang w:eastAsia="zh-CN"/>
              </w:rPr>
              <w:t>（培训记录）</w:t>
            </w:r>
            <w:r>
              <w:rPr>
                <w:rFonts w:hint="eastAsia" w:ascii="宋体" w:hAnsi="宋体" w:eastAsia="宋体" w:cs="Times New Roman"/>
                <w:color w:val="auto"/>
                <w:kern w:val="2"/>
                <w:sz w:val="24"/>
                <w:szCs w:val="24"/>
                <w:highlight w:val="none"/>
              </w:rPr>
              <w:t>不得分。（2分）</w:t>
            </w:r>
          </w:p>
        </w:tc>
        <w:tc>
          <w:tcPr>
            <w:tcW w:w="12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191B7BA">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参考投标人的经营资质、行业口碑、资信情况进行打分（10分）</w:t>
            </w:r>
          </w:p>
          <w:p w14:paraId="2A5A8437">
            <w:pPr>
              <w:pStyle w:val="5"/>
              <w:suppressLineNumbers w:val="0"/>
              <w:spacing w:beforeAutospacing="0" w:afterAutospacing="0"/>
              <w:ind w:left="0" w:right="0"/>
              <w:rPr>
                <w:rFonts w:hint="eastAsia"/>
                <w:color w:val="auto"/>
                <w:sz w:val="24"/>
                <w:szCs w:val="24"/>
                <w:highlight w:val="none"/>
              </w:rPr>
            </w:pPr>
          </w:p>
        </w:tc>
      </w:tr>
      <w:tr w14:paraId="34E6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11C96DAB">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60E910">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CE0D8ED">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eastAsia="zh-CN"/>
              </w:rPr>
            </w:pPr>
            <w:r>
              <w:rPr>
                <w:rFonts w:hint="default"/>
                <w:color w:val="auto"/>
                <w:sz w:val="24"/>
                <w:szCs w:val="24"/>
                <w:highlight w:val="none"/>
                <w:lang w:val="en-US" w:eastAsia="zh-CN"/>
              </w:rPr>
              <w:t>供应商提供的中国合格评定国家认可委员会实验室认证认可证书（CMA证书）得1分。</w:t>
            </w:r>
          </w:p>
          <w:p w14:paraId="6848BDB2">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rPr>
            </w:pPr>
            <w:r>
              <w:rPr>
                <w:rFonts w:hint="default"/>
                <w:color w:val="auto"/>
                <w:sz w:val="24"/>
                <w:szCs w:val="24"/>
                <w:highlight w:val="none"/>
                <w:lang w:val="en-US" w:eastAsia="zh-CN"/>
              </w:rPr>
              <w:t>供应商提供中国合格评定国家认可委员会颁发的认可证书（CNAS证书）得1</w:t>
            </w:r>
            <w:r>
              <w:rPr>
                <w:rFonts w:hint="default"/>
                <w:color w:val="auto"/>
                <w:sz w:val="24"/>
                <w:szCs w:val="24"/>
                <w:highlight w:val="none"/>
                <w:lang w:val="en-US"/>
              </w:rPr>
              <w:t>分</w:t>
            </w:r>
            <w:r>
              <w:rPr>
                <w:rFonts w:hint="default"/>
                <w:color w:val="auto"/>
                <w:sz w:val="24"/>
                <w:szCs w:val="24"/>
                <w:highlight w:val="none"/>
                <w:lang w:val="en-US" w:eastAsia="zh-CN"/>
              </w:rPr>
              <w:t>。</w:t>
            </w:r>
          </w:p>
          <w:p w14:paraId="14AF98E7">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rPr>
            </w:pPr>
            <w:r>
              <w:rPr>
                <w:rFonts w:hint="default"/>
                <w:color w:val="auto"/>
                <w:sz w:val="24"/>
                <w:szCs w:val="24"/>
                <w:highlight w:val="none"/>
                <w:lang w:val="en-US" w:eastAsia="zh-CN"/>
              </w:rPr>
              <w:t>未提供不得分。</w:t>
            </w:r>
          </w:p>
        </w:tc>
        <w:tc>
          <w:tcPr>
            <w:tcW w:w="12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FDD2BB">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26D0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42DD4AEF">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2D62A6">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9B359E2">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获得国家级能力验证及实验室比对结果满意1项得1分</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获得省级以上能力验证及实验室比对结果满意5项得2分；10项得3分；10项以上得6分；</w:t>
            </w:r>
          </w:p>
          <w:p w14:paraId="298E5DD0">
            <w:pPr>
              <w:keepNext w:val="0"/>
              <w:keepLines w:val="0"/>
              <w:widowControl w:val="0"/>
              <w:suppressLineNumbers w:val="0"/>
              <w:snapToGrid w:val="0"/>
              <w:spacing w:before="0" w:beforeAutospacing="0" w:after="0" w:afterAutospacing="0"/>
              <w:ind w:left="0" w:right="0"/>
              <w:jc w:val="left"/>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注：须提供近三年</w:t>
            </w:r>
            <w:r>
              <w:rPr>
                <w:rFonts w:hint="eastAsia" w:ascii="宋体" w:hAnsi="宋体" w:cs="宋体"/>
                <w:color w:val="auto"/>
                <w:kern w:val="2"/>
                <w:sz w:val="24"/>
                <w:szCs w:val="24"/>
                <w:highlight w:val="none"/>
                <w:lang w:val="en-US" w:eastAsia="zh-CN" w:bidi="ar"/>
              </w:rPr>
              <w:t>（2023年-至今）</w:t>
            </w:r>
            <w:r>
              <w:rPr>
                <w:rFonts w:hint="eastAsia" w:ascii="宋体" w:hAnsi="宋体" w:eastAsia="宋体" w:cs="宋体"/>
                <w:color w:val="auto"/>
                <w:kern w:val="2"/>
                <w:sz w:val="24"/>
                <w:szCs w:val="24"/>
                <w:highlight w:val="none"/>
                <w:lang w:val="en-US" w:eastAsia="zh-CN" w:bidi="ar"/>
              </w:rPr>
              <w:t>国家级或省级能力验证或实验室比对满意结果证书复印件或公告证明资料。最多计6分，未提供得不得分。</w:t>
            </w:r>
          </w:p>
        </w:tc>
        <w:tc>
          <w:tcPr>
            <w:tcW w:w="12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D9D5B0">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6BDE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6A7900A">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F93694C">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类似项目经营业绩及其它有利资料</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03D2253">
            <w:pPr>
              <w:keepNext w:val="0"/>
              <w:keepLines w:val="0"/>
              <w:widowControl w:val="0"/>
              <w:suppressLineNumbers w:val="0"/>
              <w:snapToGrid w:val="0"/>
              <w:spacing w:before="0" w:beforeAutospacing="0" w:after="0" w:afterAutospacing="0"/>
              <w:ind w:left="0" w:right="0"/>
              <w:jc w:val="left"/>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投标人近三年（202</w:t>
            </w:r>
            <w:r>
              <w:rPr>
                <w:rFonts w:hint="eastAsia" w:ascii="宋体" w:hAnsi="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年-至今，业绩认定时间以委托检验合同或委托书或中标通知书为准）承担过类似项目业绩，则一个得2分，总计8分，需要提供委托检验合同或委托书或中标通知书等。</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B6537B1">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经营业绩（8分）</w:t>
            </w:r>
          </w:p>
        </w:tc>
      </w:tr>
      <w:tr w14:paraId="1333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D1C6420">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27A6C696">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售后</w:t>
            </w:r>
          </w:p>
          <w:p w14:paraId="0D8BA545">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服务</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47BB3B0">
            <w:pPr>
              <w:keepNext w:val="0"/>
              <w:keepLines w:val="0"/>
              <w:widowControl w:val="0"/>
              <w:suppressLineNumbers w:val="0"/>
              <w:snapToGrid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能够提供食品安全监督抽检分析报告及派遣人员协助抽检监测数据汇总和信息公示进行打分，承诺两项均能做到得2分；仅提供食品安全监督抽检分析报告得1分，仅派遣人员协助抽检监测数据汇总和信息公示得1分；否则，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A647372">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书面承诺书（2分）</w:t>
            </w:r>
          </w:p>
        </w:tc>
      </w:tr>
    </w:tbl>
    <w:p w14:paraId="77FF8FDD">
      <w:pP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br w:type="page"/>
      </w:r>
    </w:p>
    <w:tbl>
      <w:tblPr>
        <w:tblStyle w:val="30"/>
        <w:tblpPr w:leftFromText="180" w:rightFromText="180" w:vertAnchor="text" w:horzAnchor="page" w:tblpX="1354" w:tblpY="988"/>
        <w:tblOverlap w:val="never"/>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8"/>
        <w:gridCol w:w="1030"/>
        <w:gridCol w:w="6370"/>
        <w:gridCol w:w="1231"/>
      </w:tblGrid>
      <w:tr w14:paraId="3588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9"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E0EE05A">
            <w:pPr>
              <w:jc w:val="center"/>
              <w:rPr>
                <w:rFonts w:hint="eastAsia" w:ascii="宋体" w:hAnsi="宋体" w:eastAsia="宋体" w:cs="宋体"/>
                <w:b/>
                <w:bCs w:val="0"/>
                <w:color w:val="auto"/>
                <w:kern w:val="2"/>
                <w:sz w:val="24"/>
                <w:szCs w:val="24"/>
                <w:highlight w:val="none"/>
                <w:lang w:val="en-US" w:eastAsia="zh-CN" w:bidi="ar"/>
              </w:rPr>
            </w:pPr>
            <w:r>
              <w:rPr>
                <w:rFonts w:hint="eastAsia" w:ascii="宋体" w:hAnsi="宋体" w:cs="宋体"/>
                <w:b/>
                <w:bCs/>
                <w:color w:val="auto"/>
                <w:sz w:val="24"/>
                <w:szCs w:val="24"/>
                <w:highlight w:val="none"/>
                <w:lang w:val="en-US" w:eastAsia="zh-CN"/>
              </w:rPr>
              <w:t xml:space="preserve">标项四             </w:t>
            </w:r>
            <w:r>
              <w:rPr>
                <w:rFonts w:hint="eastAsia" w:ascii="宋体" w:hAnsi="宋体" w:eastAsia="宋体" w:cs="宋体"/>
                <w:b w:val="0"/>
                <w:bCs w:val="0"/>
                <w:color w:val="auto"/>
                <w:sz w:val="24"/>
                <w:szCs w:val="24"/>
                <w:highlight w:val="none"/>
              </w:rPr>
              <w:t>技术、商务部分评审标准（</w:t>
            </w:r>
            <w:r>
              <w:rPr>
                <w:rFonts w:hint="eastAsia" w:ascii="宋体" w:hAnsi="宋体" w:cs="宋体"/>
                <w:b w:val="0"/>
                <w:bCs w:val="0"/>
                <w:color w:val="auto"/>
                <w:sz w:val="24"/>
                <w:szCs w:val="24"/>
                <w:highlight w:val="none"/>
                <w:lang w:val="en-US" w:eastAsia="zh-CN"/>
              </w:rPr>
              <w:t>90</w:t>
            </w:r>
            <w:r>
              <w:rPr>
                <w:rFonts w:hint="eastAsia" w:ascii="宋体" w:hAnsi="宋体" w:eastAsia="宋体" w:cs="宋体"/>
                <w:b w:val="0"/>
                <w:bCs w:val="0"/>
                <w:color w:val="auto"/>
                <w:sz w:val="24"/>
                <w:szCs w:val="24"/>
                <w:highlight w:val="none"/>
              </w:rPr>
              <w:t>分）</w:t>
            </w:r>
          </w:p>
        </w:tc>
      </w:tr>
      <w:tr w14:paraId="3E3F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21B52500">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序号</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4435E8B3">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项目</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4A3F3B5C">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评审内容</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915BA8A">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分值</w:t>
            </w:r>
          </w:p>
        </w:tc>
      </w:tr>
      <w:tr w14:paraId="33C87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551F477">
            <w:pPr>
              <w:keepNext w:val="0"/>
              <w:keepLines w:val="0"/>
              <w:widowControl w:val="0"/>
              <w:suppressLineNumbers w:val="0"/>
              <w:snapToGrid w:val="0"/>
              <w:spacing w:before="0" w:beforeAutospacing="0" w:after="0" w:afterAutospacing="0"/>
              <w:ind w:left="0" w:right="0"/>
              <w:jc w:val="both"/>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技术部分评分</w:t>
            </w:r>
            <w:r>
              <w:rPr>
                <w:rFonts w:hint="eastAsia" w:ascii="宋体" w:hAnsi="宋体" w:eastAsia="宋体" w:cs="Courier New"/>
                <w:b/>
                <w:bCs w:val="0"/>
                <w:color w:val="auto"/>
                <w:kern w:val="2"/>
                <w:sz w:val="24"/>
                <w:szCs w:val="24"/>
                <w:highlight w:val="none"/>
                <w:lang w:val="en-US" w:eastAsia="zh-CN" w:bidi="ar"/>
              </w:rPr>
              <w:t>70</w:t>
            </w:r>
            <w:r>
              <w:rPr>
                <w:rFonts w:hint="eastAsia" w:ascii="宋体" w:hAnsi="宋体" w:eastAsia="宋体" w:cs="宋体"/>
                <w:b/>
                <w:bCs w:val="0"/>
                <w:color w:val="auto"/>
                <w:kern w:val="2"/>
                <w:sz w:val="24"/>
                <w:szCs w:val="24"/>
                <w:highlight w:val="none"/>
                <w:lang w:val="en-US" w:eastAsia="zh-CN" w:bidi="ar"/>
              </w:rPr>
              <w:t>分</w:t>
            </w:r>
          </w:p>
        </w:tc>
      </w:tr>
      <w:tr w14:paraId="1C82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2A06506">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4393F38">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管理</w:t>
            </w:r>
          </w:p>
          <w:p w14:paraId="134F3438">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制度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48168BD7">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针对本项目提供的管理制度进行综合评分，内容包含但不限于：①质量管理体系完善、健全；财务会计制度完善、健全；②管理制度完善、健全；③食品安全检验检测制度特别是抽样检验法规规范及知识培训制度完善（有相应的培训记录佐证材料）、健全；④责任追究制度完善、健全；⑤检验档案管理制度完善、健全。以上五项内容均有体现且完全满足采购实际需求的得5分；每有一项内容缺失的扣1分；每有一项内容存在缺陷或者不能满足采购实际需求的扣0.5分，扣完为止；本项满分为5分，未提供管理制度的则不得分。注：</w:t>
            </w:r>
            <w:r>
              <w:rPr>
                <w:rFonts w:hint="eastAsia" w:ascii="宋体" w:hAnsi="宋体" w:eastAsia="宋体" w:cs="宋体"/>
                <w:bCs/>
                <w:color w:val="auto"/>
                <w:kern w:val="2"/>
                <w:sz w:val="24"/>
                <w:szCs w:val="24"/>
                <w:highlight w:val="none"/>
                <w:lang w:val="en-US" w:eastAsia="zh-CN" w:bidi="ar"/>
              </w:rPr>
              <w:t>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D093D36">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24A0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FB3F086">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4D62DDB2">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突发事件的应急响应方案</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6E69A36">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rPr>
              <w:t>根据承担抽检任务提供的事前、事中、事后应急预防处理措施包括但不限于：</w:t>
            </w:r>
          </w:p>
          <w:p w14:paraId="4C8F8BF1">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（1）突发食品安全事件应对；</w:t>
            </w:r>
          </w:p>
          <w:p w14:paraId="24FA0318">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（2）</w:t>
            </w:r>
            <w:r>
              <w:rPr>
                <w:rFonts w:hint="eastAsia" w:ascii="宋体" w:hAnsi="宋体" w:eastAsia="宋体" w:cs="仿宋"/>
                <w:bCs/>
                <w:color w:val="auto"/>
                <w:kern w:val="2"/>
                <w:sz w:val="24"/>
                <w:szCs w:val="24"/>
                <w:highlight w:val="none"/>
                <w:lang w:eastAsia="zh-CN"/>
              </w:rPr>
              <w:t>现场抽样</w:t>
            </w:r>
            <w:r>
              <w:rPr>
                <w:rFonts w:hint="eastAsia" w:ascii="宋体" w:hAnsi="宋体" w:eastAsia="宋体" w:cs="仿宋"/>
                <w:bCs/>
                <w:color w:val="auto"/>
                <w:kern w:val="2"/>
                <w:sz w:val="24"/>
                <w:szCs w:val="24"/>
                <w:highlight w:val="none"/>
              </w:rPr>
              <w:t>应急预案；</w:t>
            </w:r>
          </w:p>
          <w:p w14:paraId="2D2F1F55">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（3）实验室检验检测应急预案；</w:t>
            </w:r>
          </w:p>
          <w:p w14:paraId="0DC2645C">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（4）检验数据应急上报；</w:t>
            </w:r>
          </w:p>
          <w:p w14:paraId="575C8266">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（5）实验室对发生食品检测安全事故的处置；</w:t>
            </w:r>
          </w:p>
          <w:p w14:paraId="48E1EA73">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（6）对相关责任部门及责任人重大失误的处理等。</w:t>
            </w:r>
          </w:p>
          <w:p w14:paraId="7A452B01">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以上方案内容均符合实际情况、内容完善详细、健全、完全响应采购要求的的得6分，</w:t>
            </w:r>
            <w:r>
              <w:rPr>
                <w:rFonts w:hint="eastAsia" w:ascii="宋体" w:hAnsi="宋体" w:eastAsia="宋体" w:cs="宋体"/>
                <w:color w:val="auto"/>
                <w:kern w:val="2"/>
                <w:sz w:val="24"/>
                <w:szCs w:val="24"/>
                <w:highlight w:val="none"/>
                <w:lang w:val="en-US" w:eastAsia="zh-CN" w:bidi="ar"/>
              </w:rPr>
              <w:t>每有一项内容缺失的扣1分</w:t>
            </w:r>
            <w:r>
              <w:rPr>
                <w:rFonts w:hint="eastAsia" w:ascii="宋体" w:hAnsi="宋体" w:cs="宋体"/>
                <w:color w:val="auto"/>
                <w:kern w:val="2"/>
                <w:sz w:val="24"/>
                <w:szCs w:val="24"/>
                <w:highlight w:val="none"/>
                <w:lang w:val="en-US" w:eastAsia="zh-CN" w:bidi="ar"/>
              </w:rPr>
              <w:t>，</w:t>
            </w:r>
            <w:r>
              <w:rPr>
                <w:rFonts w:hint="eastAsia" w:ascii="宋体" w:hAnsi="宋体" w:eastAsia="宋体" w:cs="仿宋"/>
                <w:bCs/>
                <w:color w:val="auto"/>
                <w:kern w:val="2"/>
                <w:sz w:val="24"/>
                <w:szCs w:val="24"/>
                <w:highlight w:val="none"/>
              </w:rPr>
              <w:t>每有一项内容不完整或未能满足采购需求的或每有一处不具有针对性或逻辑性错误且不完整的扣0.5分，扣完为止。</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8129C57">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6</w:t>
            </w:r>
            <w:r>
              <w:rPr>
                <w:rFonts w:hint="eastAsia" w:ascii="宋体" w:hAnsi="宋体" w:eastAsia="宋体" w:cs="宋体"/>
                <w:color w:val="auto"/>
                <w:kern w:val="2"/>
                <w:sz w:val="24"/>
                <w:szCs w:val="24"/>
                <w:highlight w:val="none"/>
                <w:lang w:val="en-US" w:eastAsia="zh-CN" w:bidi="ar"/>
              </w:rPr>
              <w:t>分</w:t>
            </w:r>
          </w:p>
        </w:tc>
      </w:tr>
      <w:tr w14:paraId="0B4B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628EEB1">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41649A5B">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项目服务方案</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2D72C19">
            <w:pPr>
              <w:keepNext w:val="0"/>
              <w:keepLines w:val="0"/>
              <w:widowControl w:val="0"/>
              <w:suppressLineNumbers w:val="0"/>
              <w:spacing w:before="0" w:beforeAutospacing="0" w:after="0" w:afterAutospacing="0" w:line="300" w:lineRule="exact"/>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根据投标人针对本项目提供的</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进行综合评分，内容包含但不限于：①</w:t>
            </w:r>
            <w:r>
              <w:rPr>
                <w:rFonts w:hint="eastAsia" w:ascii="宋体" w:hAnsi="宋体" w:eastAsia="宋体" w:cs="宋体"/>
                <w:color w:val="auto"/>
                <w:kern w:val="2"/>
                <w:sz w:val="24"/>
                <w:szCs w:val="24"/>
                <w:highlight w:val="none"/>
                <w:lang w:val="en-US" w:eastAsia="zh-CN" w:bidi="ar"/>
              </w:rPr>
              <w:t>拥有独立稳定持久的实验室管理系统</w:t>
            </w:r>
            <w:r>
              <w:rPr>
                <w:rFonts w:hint="eastAsia" w:ascii="宋体" w:hAnsi="宋体" w:eastAsia="宋体" w:cs="宋体"/>
                <w:bCs/>
                <w:color w:val="auto"/>
                <w:kern w:val="2"/>
                <w:sz w:val="24"/>
                <w:szCs w:val="24"/>
                <w:highlight w:val="none"/>
                <w:lang w:val="en-US" w:eastAsia="zh-CN" w:bidi="ar"/>
              </w:rPr>
              <w:t>；②</w:t>
            </w:r>
            <w:r>
              <w:rPr>
                <w:rFonts w:hint="eastAsia" w:ascii="宋体" w:hAnsi="宋体" w:eastAsia="宋体" w:cs="宋体"/>
                <w:color w:val="auto"/>
                <w:kern w:val="2"/>
                <w:sz w:val="24"/>
                <w:szCs w:val="24"/>
                <w:highlight w:val="none"/>
                <w:lang w:val="en-US" w:eastAsia="zh-CN" w:bidi="ar"/>
              </w:rPr>
              <w:t>实现抽样、流转、检验、原始记录、出具报告全环节在线管理且可追溯</w:t>
            </w:r>
            <w:r>
              <w:rPr>
                <w:rFonts w:hint="eastAsia" w:ascii="宋体" w:hAnsi="宋体" w:eastAsia="宋体" w:cs="宋体"/>
                <w:bCs/>
                <w:color w:val="auto"/>
                <w:kern w:val="2"/>
                <w:sz w:val="24"/>
                <w:szCs w:val="24"/>
                <w:highlight w:val="none"/>
                <w:lang w:val="en-US" w:eastAsia="zh-CN" w:bidi="ar"/>
              </w:rPr>
              <w:t>；以上两项内容均有体现且完全满足采购实际需求的得</w:t>
            </w:r>
            <w:r>
              <w:rPr>
                <w:rFonts w:hint="eastAsia" w:ascii="宋体" w:hAnsi="宋体" w:cs="仿宋"/>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分；每有一项内容缺失的扣</w:t>
            </w:r>
            <w:r>
              <w:rPr>
                <w:rFonts w:hint="eastAsia" w:ascii="宋体" w:hAnsi="宋体" w:cs="宋体"/>
                <w:bCs/>
                <w:color w:val="auto"/>
                <w:kern w:val="2"/>
                <w:sz w:val="24"/>
                <w:szCs w:val="24"/>
                <w:highlight w:val="none"/>
                <w:lang w:val="en-US" w:eastAsia="zh-CN" w:bidi="ar"/>
              </w:rPr>
              <w:t>4.5</w:t>
            </w:r>
            <w:r>
              <w:rPr>
                <w:rFonts w:hint="eastAsia" w:ascii="宋体" w:hAnsi="宋体" w:eastAsia="宋体" w:cs="宋体"/>
                <w:bCs/>
                <w:color w:val="auto"/>
                <w:kern w:val="2"/>
                <w:sz w:val="24"/>
                <w:szCs w:val="24"/>
                <w:highlight w:val="none"/>
                <w:lang w:val="en-US" w:eastAsia="zh-CN" w:bidi="ar"/>
              </w:rPr>
              <w:t>分；每有一项内容存在缺陷或者不能满足采购实际需求的扣</w:t>
            </w:r>
            <w:r>
              <w:rPr>
                <w:rFonts w:hint="eastAsia" w:ascii="宋体" w:hAnsi="宋体" w:cs="宋体"/>
                <w:bCs/>
                <w:color w:val="auto"/>
                <w:kern w:val="2"/>
                <w:sz w:val="24"/>
                <w:szCs w:val="24"/>
                <w:highlight w:val="none"/>
                <w:lang w:val="en-US" w:eastAsia="zh-CN" w:bidi="ar"/>
              </w:rPr>
              <w:t>2</w:t>
            </w:r>
            <w:r>
              <w:rPr>
                <w:rFonts w:hint="eastAsia" w:ascii="宋体" w:hAnsi="宋体" w:eastAsia="宋体" w:cs="宋体"/>
                <w:bCs/>
                <w:color w:val="auto"/>
                <w:kern w:val="2"/>
                <w:sz w:val="24"/>
                <w:szCs w:val="24"/>
                <w:highlight w:val="none"/>
                <w:lang w:val="en-US" w:eastAsia="zh-CN" w:bidi="ar"/>
              </w:rPr>
              <w:t>分，扣完为止；本项满分为</w:t>
            </w:r>
            <w:r>
              <w:rPr>
                <w:rFonts w:hint="eastAsia" w:ascii="宋体" w:hAnsi="宋体" w:cs="宋体"/>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分，未提供</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FF5F79D">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9</w:t>
            </w:r>
            <w:r>
              <w:rPr>
                <w:rFonts w:hint="eastAsia" w:ascii="宋体" w:hAnsi="宋体" w:eastAsia="宋体" w:cs="宋体"/>
                <w:color w:val="auto"/>
                <w:kern w:val="2"/>
                <w:sz w:val="24"/>
                <w:szCs w:val="24"/>
                <w:highlight w:val="none"/>
                <w:lang w:val="en-US" w:eastAsia="zh-CN" w:bidi="ar"/>
              </w:rPr>
              <w:t>分</w:t>
            </w:r>
          </w:p>
        </w:tc>
      </w:tr>
      <w:tr w14:paraId="11F8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C8A017A">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F357EBB">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项目实施时间进度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489DF03A">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针对本项目提供的项目实施时间进度进行综合评分，内容包含但不限于：①实施时间的进度；②实施时间的保障措施；以上两项内容均有体现且完全满足采购实际需求的得5分；每有一项内容缺失的扣2.5分；每有一项内容存在缺陷或者不能满足采购实际需求的扣1.5分，扣完为止；本项满分为5分，未提供项目服务方案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10F7D3F">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0E1EA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80DEFB4">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0932DA4">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工作</w:t>
            </w:r>
          </w:p>
          <w:p w14:paraId="71C92B58">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场地</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7D430E6">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lang w:val="zh-CN"/>
              </w:rPr>
            </w:pPr>
            <w:r>
              <w:rPr>
                <w:rFonts w:hint="eastAsia" w:ascii="宋体" w:hAnsi="宋体" w:eastAsia="宋体" w:cs="仿宋"/>
                <w:bCs/>
                <w:color w:val="auto"/>
                <w:kern w:val="2"/>
                <w:sz w:val="24"/>
                <w:szCs w:val="24"/>
                <w:highlight w:val="none"/>
              </w:rPr>
              <w:t>1.投标人具备独立开展食品安全检验实验室，环境良好，布局合理，根据</w:t>
            </w:r>
            <w:r>
              <w:rPr>
                <w:rFonts w:hint="eastAsia" w:ascii="宋体" w:hAnsi="宋体" w:eastAsia="宋体" w:cs="仿宋"/>
                <w:bCs/>
                <w:color w:val="auto"/>
                <w:kern w:val="2"/>
                <w:sz w:val="24"/>
                <w:szCs w:val="24"/>
                <w:highlight w:val="none"/>
                <w:lang w:val="zh-CN"/>
              </w:rPr>
              <w:t>开展食品安全抽样检验工作实验场所面积</w:t>
            </w:r>
            <w:r>
              <w:rPr>
                <w:rFonts w:hint="eastAsia" w:ascii="宋体" w:hAnsi="宋体" w:eastAsia="宋体" w:cs="仿宋"/>
                <w:bCs/>
                <w:color w:val="auto"/>
                <w:kern w:val="2"/>
                <w:sz w:val="24"/>
                <w:szCs w:val="24"/>
                <w:highlight w:val="none"/>
              </w:rPr>
              <w:t>综合评定</w:t>
            </w:r>
            <w:r>
              <w:rPr>
                <w:rFonts w:hint="eastAsia" w:ascii="宋体" w:hAnsi="宋体" w:eastAsia="宋体" w:cs="仿宋"/>
                <w:bCs/>
                <w:color w:val="auto"/>
                <w:kern w:val="2"/>
                <w:sz w:val="24"/>
                <w:szCs w:val="24"/>
                <w:highlight w:val="none"/>
                <w:lang w:val="zh-CN"/>
              </w:rPr>
              <w:t>：</w:t>
            </w:r>
          </w:p>
          <w:p w14:paraId="42DE1F9F">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（1）5000（含）平方米及以上，得3分；</w:t>
            </w:r>
          </w:p>
          <w:p w14:paraId="12BF660A">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（2）4000（含）-5000（不含）平方米，得2分；</w:t>
            </w:r>
          </w:p>
          <w:p w14:paraId="38205A5B">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（3）3000（含）-4000（不含）平方米，得1分；</w:t>
            </w:r>
          </w:p>
          <w:p w14:paraId="110482E3">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（4）不符合上述要求的，得0分。</w:t>
            </w:r>
          </w:p>
          <w:p w14:paraId="73B8C573">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注：</w:t>
            </w:r>
            <w:r>
              <w:rPr>
                <w:rFonts w:hint="eastAsia" w:ascii="宋体" w:hAnsi="宋体" w:cs="仿宋"/>
                <w:bCs/>
                <w:color w:val="auto"/>
                <w:kern w:val="2"/>
                <w:sz w:val="24"/>
                <w:szCs w:val="24"/>
                <w:highlight w:val="none"/>
                <w:lang w:val="en-US" w:eastAsia="zh-CN"/>
              </w:rPr>
              <w:t>①</w:t>
            </w:r>
            <w:r>
              <w:rPr>
                <w:rFonts w:hint="eastAsia" w:ascii="宋体" w:hAnsi="宋体" w:eastAsia="宋体" w:cs="仿宋"/>
                <w:bCs/>
                <w:color w:val="auto"/>
                <w:kern w:val="2"/>
                <w:sz w:val="24"/>
                <w:szCs w:val="24"/>
                <w:highlight w:val="none"/>
              </w:rPr>
              <w:t>投标人</w:t>
            </w:r>
            <w:r>
              <w:rPr>
                <w:rFonts w:hint="eastAsia" w:ascii="宋体" w:hAnsi="宋体" w:eastAsia="宋体" w:cs="仿宋"/>
                <w:bCs/>
                <w:color w:val="auto"/>
                <w:kern w:val="2"/>
                <w:sz w:val="24"/>
                <w:szCs w:val="24"/>
                <w:highlight w:val="none"/>
                <w:lang w:val="zh-CN"/>
              </w:rPr>
              <w:t>须承诺抽样检验的实验室为</w:t>
            </w:r>
            <w:r>
              <w:rPr>
                <w:rFonts w:hint="eastAsia" w:ascii="宋体" w:hAnsi="宋体" w:eastAsia="宋体" w:cs="仿宋"/>
                <w:bCs/>
                <w:color w:val="auto"/>
                <w:kern w:val="2"/>
                <w:sz w:val="24"/>
                <w:szCs w:val="24"/>
                <w:highlight w:val="none"/>
              </w:rPr>
              <w:t>投标人</w:t>
            </w:r>
            <w:r>
              <w:rPr>
                <w:rFonts w:hint="eastAsia" w:ascii="宋体" w:hAnsi="宋体" w:eastAsia="宋体" w:cs="仿宋"/>
                <w:bCs/>
                <w:color w:val="auto"/>
                <w:kern w:val="2"/>
                <w:sz w:val="24"/>
                <w:szCs w:val="24"/>
                <w:highlight w:val="none"/>
                <w:lang w:val="zh-CN"/>
              </w:rPr>
              <w:t>自有实验室，并提供承诺书。招标人有权在合同签订前进行现场考察，一旦发现弄虚作假，将取消中标资格，并报有关部门严肃处理；</w:t>
            </w:r>
            <w:r>
              <w:rPr>
                <w:rFonts w:hint="eastAsia" w:ascii="宋体" w:hAnsi="宋体" w:cs="仿宋"/>
                <w:bCs/>
                <w:color w:val="auto"/>
                <w:kern w:val="2"/>
                <w:sz w:val="24"/>
                <w:szCs w:val="24"/>
                <w:highlight w:val="none"/>
                <w:lang w:val="en-US" w:eastAsia="zh-CN"/>
              </w:rPr>
              <w:t>②</w:t>
            </w:r>
            <w:r>
              <w:rPr>
                <w:rFonts w:hint="eastAsia" w:ascii="宋体" w:hAnsi="宋体" w:eastAsia="宋体" w:cs="仿宋"/>
                <w:bCs/>
                <w:color w:val="auto"/>
                <w:kern w:val="2"/>
                <w:sz w:val="24"/>
                <w:szCs w:val="24"/>
                <w:highlight w:val="none"/>
                <w:lang w:val="zh-CN"/>
              </w:rPr>
              <w:t>提供抽样检验场所的房产证或所有权证明文件或服务期内有效的房屋租赁合同加发票扫描件及相关证明材料</w:t>
            </w:r>
            <w:r>
              <w:rPr>
                <w:rFonts w:hint="eastAsia" w:ascii="宋体" w:hAnsi="宋体" w:eastAsia="宋体" w:cs="仿宋"/>
                <w:bCs/>
                <w:color w:val="auto"/>
                <w:kern w:val="2"/>
                <w:sz w:val="24"/>
                <w:szCs w:val="24"/>
                <w:highlight w:val="none"/>
              </w:rPr>
              <w:t>（租房合同须为投标人签署或房屋产权证书产权人为投标人）</w:t>
            </w:r>
            <w:r>
              <w:rPr>
                <w:rFonts w:hint="eastAsia" w:ascii="宋体" w:hAnsi="宋体" w:eastAsia="宋体" w:cs="仿宋"/>
                <w:bCs/>
                <w:color w:val="auto"/>
                <w:kern w:val="2"/>
                <w:sz w:val="24"/>
                <w:szCs w:val="24"/>
                <w:highlight w:val="none"/>
                <w:lang w:val="zh-CN"/>
              </w:rPr>
              <w:t>；</w:t>
            </w:r>
            <w:r>
              <w:rPr>
                <w:rFonts w:hint="eastAsia" w:ascii="宋体" w:hAnsi="宋体" w:cs="仿宋"/>
                <w:bCs/>
                <w:color w:val="auto"/>
                <w:kern w:val="2"/>
                <w:sz w:val="24"/>
                <w:szCs w:val="24"/>
                <w:highlight w:val="none"/>
                <w:lang w:val="en-US" w:eastAsia="zh-CN"/>
              </w:rPr>
              <w:t>③</w:t>
            </w:r>
            <w:r>
              <w:rPr>
                <w:rFonts w:hint="eastAsia" w:ascii="宋体" w:hAnsi="宋体" w:eastAsia="宋体" w:cs="仿宋"/>
                <w:bCs/>
                <w:color w:val="auto"/>
                <w:kern w:val="2"/>
                <w:sz w:val="24"/>
                <w:szCs w:val="24"/>
                <w:highlight w:val="none"/>
                <w:lang w:val="zh-CN"/>
              </w:rPr>
              <w:t>提供食品实验室平面布局图，并提供各组成部分面积清单；</w:t>
            </w:r>
            <w:r>
              <w:rPr>
                <w:rFonts w:hint="eastAsia" w:ascii="宋体" w:hAnsi="宋体" w:cs="仿宋"/>
                <w:bCs/>
                <w:color w:val="auto"/>
                <w:kern w:val="2"/>
                <w:sz w:val="24"/>
                <w:szCs w:val="24"/>
                <w:highlight w:val="none"/>
                <w:lang w:val="en-US" w:eastAsia="zh-CN"/>
              </w:rPr>
              <w:t>④</w:t>
            </w:r>
            <w:r>
              <w:rPr>
                <w:rFonts w:hint="eastAsia" w:ascii="宋体" w:hAnsi="宋体" w:eastAsia="宋体" w:cs="仿宋"/>
                <w:bCs/>
                <w:color w:val="auto"/>
                <w:kern w:val="2"/>
                <w:sz w:val="24"/>
                <w:szCs w:val="24"/>
                <w:highlight w:val="none"/>
                <w:lang w:val="zh-CN"/>
              </w:rPr>
              <w:t>未达到上述要求或未提供有效证明文件的不得分。</w:t>
            </w:r>
          </w:p>
          <w:p w14:paraId="1E4A4433">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2.投标人具备独立的微生物实验室，面积综合评定：</w:t>
            </w:r>
          </w:p>
          <w:p w14:paraId="5A066C62">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（1）300（含）平方米及以上，得2分；</w:t>
            </w:r>
          </w:p>
          <w:p w14:paraId="526CBD6B">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（2）100（含）-300（不含）平方米，得1分；</w:t>
            </w:r>
          </w:p>
          <w:p w14:paraId="5610671A">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（3）不符合上述要求的，得0分。</w:t>
            </w:r>
          </w:p>
          <w:p w14:paraId="55835105">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注：</w:t>
            </w:r>
            <w:r>
              <w:rPr>
                <w:rFonts w:hint="eastAsia" w:ascii="宋体" w:hAnsi="宋体" w:cs="仿宋"/>
                <w:bCs/>
                <w:color w:val="auto"/>
                <w:kern w:val="2"/>
                <w:sz w:val="24"/>
                <w:szCs w:val="24"/>
                <w:highlight w:val="none"/>
                <w:lang w:val="en-US" w:eastAsia="zh-CN"/>
              </w:rPr>
              <w:t>①</w:t>
            </w:r>
            <w:r>
              <w:rPr>
                <w:rFonts w:hint="eastAsia" w:ascii="宋体" w:hAnsi="宋体" w:eastAsia="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lang w:val="zh-CN" w:eastAsia="zh-CN"/>
              </w:rPr>
              <w:t>须承诺</w:t>
            </w:r>
            <w:r>
              <w:rPr>
                <w:rFonts w:hint="eastAsia" w:ascii="宋体" w:hAnsi="宋体" w:eastAsia="宋体" w:cs="仿宋"/>
                <w:bCs/>
                <w:color w:val="auto"/>
                <w:kern w:val="2"/>
                <w:sz w:val="24"/>
                <w:szCs w:val="24"/>
                <w:highlight w:val="none"/>
                <w:lang w:val="en-US" w:eastAsia="zh-CN"/>
              </w:rPr>
              <w:t>微生物</w:t>
            </w:r>
            <w:r>
              <w:rPr>
                <w:rFonts w:hint="eastAsia" w:ascii="宋体" w:hAnsi="宋体" w:eastAsia="宋体" w:cs="仿宋"/>
                <w:bCs/>
                <w:color w:val="auto"/>
                <w:kern w:val="2"/>
                <w:sz w:val="24"/>
                <w:szCs w:val="24"/>
                <w:highlight w:val="none"/>
                <w:lang w:val="zh-CN" w:eastAsia="zh-CN"/>
              </w:rPr>
              <w:t>实验室为</w:t>
            </w:r>
            <w:r>
              <w:rPr>
                <w:rFonts w:hint="eastAsia" w:ascii="宋体" w:hAnsi="宋体" w:eastAsia="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lang w:val="zh-CN" w:eastAsia="zh-CN"/>
              </w:rPr>
              <w:t>自有实验室，并提供承诺书。招标人有权在合同签订前进行现场考察，一旦发现弄虚作假，将取消中标资格，并报有关部门严肃处理；</w:t>
            </w:r>
            <w:r>
              <w:rPr>
                <w:rFonts w:hint="eastAsia" w:ascii="宋体" w:hAnsi="宋体" w:cs="仿宋"/>
                <w:bCs/>
                <w:color w:val="auto"/>
                <w:kern w:val="2"/>
                <w:sz w:val="24"/>
                <w:szCs w:val="24"/>
                <w:highlight w:val="none"/>
                <w:lang w:val="en-US" w:eastAsia="zh-CN"/>
              </w:rPr>
              <w:t>②</w:t>
            </w:r>
            <w:r>
              <w:rPr>
                <w:rFonts w:hint="eastAsia" w:ascii="宋体" w:hAnsi="宋体" w:eastAsia="宋体" w:cs="仿宋"/>
                <w:bCs/>
                <w:color w:val="auto"/>
                <w:kern w:val="2"/>
                <w:sz w:val="24"/>
                <w:szCs w:val="24"/>
                <w:highlight w:val="none"/>
                <w:lang w:val="zh-CN" w:eastAsia="zh-CN"/>
              </w:rPr>
              <w:t>提供抽样检验场所的房产证或所有权证明文件或服务期内有效的房屋租赁合同加发票扫描件及相关证明材料</w:t>
            </w:r>
            <w:r>
              <w:rPr>
                <w:rFonts w:hint="eastAsia" w:ascii="宋体" w:hAnsi="宋体" w:eastAsia="宋体" w:cs="仿宋"/>
                <w:bCs/>
                <w:color w:val="auto"/>
                <w:kern w:val="2"/>
                <w:sz w:val="24"/>
                <w:szCs w:val="24"/>
                <w:highlight w:val="none"/>
                <w:lang w:val="en-US" w:eastAsia="zh-CN"/>
              </w:rPr>
              <w:t>（租房合同须为投标人签署或房屋产权证书产权人为投标人）</w:t>
            </w:r>
            <w:r>
              <w:rPr>
                <w:rFonts w:hint="eastAsia" w:ascii="宋体" w:hAnsi="宋体" w:eastAsia="宋体" w:cs="仿宋"/>
                <w:bCs/>
                <w:color w:val="auto"/>
                <w:kern w:val="2"/>
                <w:sz w:val="24"/>
                <w:szCs w:val="24"/>
                <w:highlight w:val="none"/>
                <w:lang w:val="zh-CN" w:eastAsia="zh-CN"/>
              </w:rPr>
              <w:t>；</w:t>
            </w:r>
            <w:r>
              <w:rPr>
                <w:rFonts w:hint="eastAsia" w:ascii="宋体" w:hAnsi="宋体" w:cs="仿宋"/>
                <w:bCs/>
                <w:color w:val="auto"/>
                <w:kern w:val="2"/>
                <w:sz w:val="24"/>
                <w:szCs w:val="24"/>
                <w:highlight w:val="none"/>
                <w:lang w:val="en-US" w:eastAsia="zh-CN"/>
              </w:rPr>
              <w:t>③</w:t>
            </w:r>
            <w:r>
              <w:rPr>
                <w:rFonts w:hint="eastAsia" w:ascii="宋体" w:hAnsi="宋体" w:eastAsia="宋体" w:cs="仿宋"/>
                <w:bCs/>
                <w:color w:val="auto"/>
                <w:kern w:val="2"/>
                <w:sz w:val="24"/>
                <w:szCs w:val="24"/>
                <w:highlight w:val="none"/>
                <w:lang w:val="zh-CN" w:eastAsia="zh-CN"/>
              </w:rPr>
              <w:t>提供</w:t>
            </w:r>
            <w:r>
              <w:rPr>
                <w:rFonts w:hint="eastAsia" w:ascii="宋体" w:hAnsi="宋体" w:eastAsia="宋体" w:cs="仿宋"/>
                <w:bCs/>
                <w:color w:val="auto"/>
                <w:kern w:val="2"/>
                <w:sz w:val="24"/>
                <w:szCs w:val="24"/>
                <w:highlight w:val="none"/>
                <w:lang w:val="en-US" w:eastAsia="zh-CN"/>
              </w:rPr>
              <w:t>微生物</w:t>
            </w:r>
            <w:r>
              <w:rPr>
                <w:rFonts w:hint="eastAsia" w:ascii="宋体" w:hAnsi="宋体" w:eastAsia="宋体" w:cs="仿宋"/>
                <w:bCs/>
                <w:color w:val="auto"/>
                <w:kern w:val="2"/>
                <w:sz w:val="24"/>
                <w:szCs w:val="24"/>
                <w:highlight w:val="none"/>
                <w:lang w:val="zh-CN" w:eastAsia="zh-CN"/>
              </w:rPr>
              <w:t>实验室</w:t>
            </w:r>
            <w:r>
              <w:rPr>
                <w:rFonts w:hint="eastAsia" w:ascii="宋体" w:hAnsi="宋体" w:eastAsia="宋体" w:cs="仿宋"/>
                <w:bCs/>
                <w:color w:val="auto"/>
                <w:kern w:val="2"/>
                <w:sz w:val="24"/>
                <w:szCs w:val="24"/>
                <w:highlight w:val="none"/>
                <w:lang w:val="en-US" w:eastAsia="zh-CN"/>
              </w:rPr>
              <w:t>及</w:t>
            </w:r>
            <w:r>
              <w:rPr>
                <w:rFonts w:hint="eastAsia" w:ascii="宋体" w:hAnsi="宋体" w:eastAsia="宋体" w:cs="仿宋"/>
                <w:bCs/>
                <w:color w:val="auto"/>
                <w:kern w:val="2"/>
                <w:sz w:val="24"/>
                <w:szCs w:val="24"/>
                <w:highlight w:val="none"/>
                <w:lang w:val="zh-CN" w:eastAsia="zh-CN"/>
              </w:rPr>
              <w:t>平面布局图，并提供各组成部分面积清单；</w:t>
            </w:r>
            <w:r>
              <w:rPr>
                <w:rFonts w:hint="eastAsia" w:ascii="宋体" w:hAnsi="宋体" w:cs="仿宋"/>
                <w:bCs/>
                <w:color w:val="auto"/>
                <w:kern w:val="2"/>
                <w:sz w:val="24"/>
                <w:szCs w:val="24"/>
                <w:highlight w:val="none"/>
                <w:lang w:val="en-US" w:eastAsia="zh-CN"/>
              </w:rPr>
              <w:t>④</w:t>
            </w:r>
            <w:r>
              <w:rPr>
                <w:rFonts w:hint="eastAsia" w:ascii="宋体" w:hAnsi="宋体" w:eastAsia="宋体" w:cs="仿宋"/>
                <w:bCs/>
                <w:color w:val="auto"/>
                <w:kern w:val="2"/>
                <w:sz w:val="24"/>
                <w:szCs w:val="24"/>
                <w:highlight w:val="none"/>
                <w:lang w:val="zh-CN" w:eastAsia="zh-CN"/>
              </w:rPr>
              <w:t>未达到上述要求或未提供有效证明文件的不得分。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DB6D71E">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7B08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294E7F82">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3309C0E">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检验设备设施</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E946884">
            <w:pPr>
              <w:keepNext w:val="0"/>
              <w:keepLines w:val="0"/>
              <w:widowControl w:val="0"/>
              <w:numPr>
                <w:ilvl w:val="0"/>
                <w:numId w:val="8"/>
              </w:numPr>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具备液质联用仪GC/MS/MS、气质联用仪LC/MS/MS、HPLC（高效液相色谱仪）、GC（气相色谱仪）、UV（紫外分光光度计）、AAS（原子吸收光谱仪）、微波消解仪等（或同功能设备）、ICP-MS（电感耦合等离子体质谱仪）、IC（离子色谱仪）、电感耦合等离子体发射光谱仪（ICP-OES）、液相-原子荧光联用仪（LC-AFS）等与本项目相关的设备，得6分，少一项扣1分，扣完为止。</w:t>
            </w:r>
          </w:p>
          <w:p w14:paraId="61B474FE">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如果具备以上设备，20台以上（含）的，且GC/MS/MS、LC/MS/MS各2台以上（含）加2分；如果具备以上设备15台以上（含）的，且GC/MS/MS、LC/MS/MS各2台以上（含）加1.5分；如果具备以上设备10台以上（含）的，且GC/MS/MS或LC/MS/MS各2台以上（含）加1分；其他情况得0分。</w:t>
            </w:r>
          </w:p>
          <w:p w14:paraId="44B6486C">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（提供仪器设备清单、设备购置发票或仪器计量检定校准认证证书、相关实验室放置图片证明、购销合同或售后服务保障证明）</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3852901">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8分</w:t>
            </w:r>
          </w:p>
        </w:tc>
      </w:tr>
      <w:tr w14:paraId="3187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BDE998A">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2E41DFD">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样品运输及冷藏设备</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BBF642F">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样品运输设备，如冷藏设备及车辆配置等情况进行比较（提供发票复印件）：自有或租赁车辆4辆以上（含4辆）、冷藏设备6台以上（含6台）得3分；自有或租赁车辆2-3辆（含2辆）、冷藏设备4-5台得2分；自有或租赁车辆2辆以下（含2辆）、冷藏设备4台以下得1分；其它情况0分。</w:t>
            </w:r>
          </w:p>
          <w:p w14:paraId="7CEB88FE">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投标人自建或者租赁冷库面积50㎡以上（含50㎡）得1分，自建或者租赁冷库面积30㎡-50㎡得0.5分；其他情况0分。</w:t>
            </w:r>
          </w:p>
          <w:p w14:paraId="74E762A2">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注：需提供项目本地采样车辆和冷藏设备的图片证明材料，冷库建设或者租赁合同。</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3D9A3733">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4分</w:t>
            </w:r>
          </w:p>
        </w:tc>
      </w:tr>
      <w:tr w14:paraId="1501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A3FB0AD">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DA5C1AE">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科研及技术创新能力评价</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31EBBDA">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1、近三年</w:t>
            </w:r>
            <w:r>
              <w:rPr>
                <w:rFonts w:hint="eastAsia" w:ascii="宋体" w:hAnsi="宋体" w:cs="宋体"/>
                <w:color w:val="auto"/>
                <w:kern w:val="2"/>
                <w:sz w:val="24"/>
                <w:szCs w:val="24"/>
                <w:highlight w:val="none"/>
                <w:lang w:val="en-US" w:eastAsia="zh-CN" w:bidi="ar"/>
              </w:rPr>
              <w:t>（2023年-至今）</w:t>
            </w:r>
            <w:r>
              <w:rPr>
                <w:rFonts w:hint="eastAsia" w:ascii="宋体" w:hAnsi="宋体" w:eastAsia="宋体" w:cs="宋体"/>
                <w:color w:val="auto"/>
                <w:kern w:val="2"/>
                <w:sz w:val="24"/>
                <w:szCs w:val="24"/>
                <w:highlight w:val="none"/>
                <w:lang w:val="en-US" w:eastAsia="zh-CN" w:bidi="ar"/>
              </w:rPr>
              <w:t>投标人</w:t>
            </w:r>
            <w:r>
              <w:rPr>
                <w:rFonts w:hint="eastAsia"/>
                <w:color w:val="auto"/>
                <w:sz w:val="24"/>
                <w:szCs w:val="24"/>
                <w:highlight w:val="none"/>
                <w:lang w:eastAsia="zh-CN"/>
              </w:rPr>
              <w:t>起草食品检测相关标准</w:t>
            </w:r>
            <w:r>
              <w:rPr>
                <w:rFonts w:hint="eastAsia"/>
                <w:color w:val="auto"/>
                <w:sz w:val="24"/>
                <w:szCs w:val="24"/>
                <w:highlight w:val="none"/>
                <w:lang w:val="en-US" w:eastAsia="zh-CN"/>
              </w:rPr>
              <w:t>一项得0.5分</w:t>
            </w:r>
            <w:r>
              <w:rPr>
                <w:rFonts w:hint="eastAsia" w:ascii="宋体" w:hAnsi="宋体" w:eastAsia="宋体" w:cs="宋体"/>
                <w:color w:val="auto"/>
                <w:kern w:val="2"/>
                <w:sz w:val="24"/>
                <w:szCs w:val="24"/>
                <w:highlight w:val="none"/>
                <w:lang w:val="en-US" w:eastAsia="zh-CN" w:bidi="ar"/>
              </w:rPr>
              <w:t>；本项满分</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w:t>
            </w:r>
          </w:p>
          <w:p w14:paraId="3717F66C">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（提供相关标准原文等相关证明材料备查，否则不得分）</w:t>
            </w:r>
          </w:p>
          <w:p w14:paraId="0A98CAA5">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2.投标人202</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年1月1日（含）以来获得的</w:t>
            </w:r>
            <w:r>
              <w:rPr>
                <w:rFonts w:hint="eastAsia"/>
                <w:color w:val="auto"/>
                <w:sz w:val="24"/>
                <w:szCs w:val="24"/>
                <w:highlight w:val="none"/>
                <w:lang w:eastAsia="zh-CN"/>
              </w:rPr>
              <w:t>食品检测相关专利证书</w:t>
            </w:r>
            <w:r>
              <w:rPr>
                <w:rFonts w:hint="eastAsia" w:ascii="宋体" w:hAnsi="宋体" w:eastAsia="宋体" w:cs="宋体"/>
                <w:color w:val="auto"/>
                <w:kern w:val="2"/>
                <w:sz w:val="24"/>
                <w:szCs w:val="24"/>
                <w:highlight w:val="none"/>
                <w:lang w:val="en-US" w:eastAsia="zh-CN" w:bidi="ar"/>
              </w:rPr>
              <w:t>，有1个得0.5分，最高得</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分。（需提供专利证书证明材料备查，软件著作权登记证书不得分）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051A58C">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分</w:t>
            </w:r>
          </w:p>
        </w:tc>
      </w:tr>
      <w:tr w14:paraId="04F64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8CF195A">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60C8980">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项目负责人及证书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EABDB05">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具备食品相关专业高级以上职称，有类似项目经历的得4分；具备相关食品专业中级职称，缺少类似项目经历的得2分。中途更换，视为违约。（需提供职称证书和</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项目负责人（</w:t>
            </w:r>
            <w:r>
              <w:rPr>
                <w:rFonts w:hint="eastAsia" w:ascii="宋体" w:hAnsi="宋体" w:cs="宋体"/>
                <w:color w:val="auto"/>
                <w:kern w:val="2"/>
                <w:sz w:val="24"/>
                <w:szCs w:val="24"/>
                <w:highlight w:val="none"/>
                <w:lang w:val="en-US" w:eastAsia="zh-CN" w:bidi="ar"/>
              </w:rPr>
              <w:t>含</w:t>
            </w:r>
            <w:r>
              <w:rPr>
                <w:rFonts w:hint="eastAsia" w:ascii="宋体" w:hAnsi="宋体" w:eastAsia="宋体" w:cs="宋体"/>
                <w:color w:val="auto"/>
                <w:kern w:val="2"/>
                <w:sz w:val="24"/>
                <w:szCs w:val="24"/>
                <w:highlight w:val="none"/>
                <w:lang w:val="en-US" w:eastAsia="zh-CN" w:bidi="ar"/>
              </w:rPr>
              <w:t>主要技术人员）应与投标书内人员一致）</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C0BC129">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4分</w:t>
            </w:r>
          </w:p>
        </w:tc>
      </w:tr>
      <w:tr w14:paraId="428A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vMerge w:val="restart"/>
            <w:tcBorders>
              <w:top w:val="nil"/>
              <w:left w:val="single" w:color="auto" w:sz="4" w:space="0"/>
              <w:bottom w:val="single" w:color="auto" w:sz="4" w:space="0"/>
              <w:right w:val="single" w:color="auto" w:sz="4" w:space="0"/>
            </w:tcBorders>
            <w:shd w:val="clear" w:color="auto" w:fill="auto"/>
            <w:vAlign w:val="center"/>
          </w:tcPr>
          <w:p w14:paraId="017FFDE9">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10</w:t>
            </w:r>
          </w:p>
        </w:tc>
        <w:tc>
          <w:tcPr>
            <w:tcW w:w="1030" w:type="dxa"/>
            <w:vMerge w:val="restart"/>
            <w:tcBorders>
              <w:top w:val="nil"/>
              <w:left w:val="single" w:color="auto" w:sz="4" w:space="0"/>
              <w:bottom w:val="single" w:color="auto" w:sz="4" w:space="0"/>
              <w:right w:val="single" w:color="auto" w:sz="4" w:space="0"/>
            </w:tcBorders>
            <w:shd w:val="clear" w:color="auto" w:fill="auto"/>
            <w:vAlign w:val="center"/>
          </w:tcPr>
          <w:p w14:paraId="4172774C">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项目实施团队能力</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4F0E16F">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1.投标人所配服务人员中为本单位人员，且具有专职承担食品抽检工作的独立抽样人员：10人及以下：1分；11-19人：2分；20人及以上：3分。</w:t>
            </w:r>
          </w:p>
          <w:p w14:paraId="37A79897">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注：（1）须提供独立抽样工作人员名单及抽样员证（或其他证明性材料）复印件；（2）提供</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材料。</w:t>
            </w:r>
          </w:p>
        </w:tc>
        <w:tc>
          <w:tcPr>
            <w:tcW w:w="1231" w:type="dxa"/>
            <w:vMerge w:val="restart"/>
            <w:tcBorders>
              <w:top w:val="nil"/>
              <w:left w:val="single" w:color="auto" w:sz="4" w:space="0"/>
              <w:bottom w:val="single" w:color="auto" w:sz="4" w:space="0"/>
              <w:right w:val="single" w:color="auto" w:sz="4" w:space="0"/>
            </w:tcBorders>
            <w:shd w:val="clear" w:color="auto" w:fill="auto"/>
            <w:vAlign w:val="center"/>
          </w:tcPr>
          <w:p w14:paraId="36D98859">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9分</w:t>
            </w:r>
          </w:p>
        </w:tc>
      </w:tr>
      <w:tr w14:paraId="4CCD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7E7DDAEB">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nil"/>
              <w:left w:val="single" w:color="auto" w:sz="4" w:space="0"/>
              <w:bottom w:val="single" w:color="auto" w:sz="4" w:space="0"/>
              <w:right w:val="single" w:color="auto" w:sz="4" w:space="0"/>
            </w:tcBorders>
            <w:shd w:val="clear" w:color="auto" w:fill="auto"/>
            <w:vAlign w:val="center"/>
          </w:tcPr>
          <w:p w14:paraId="7E5CFD5A">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A25C32C">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2.投标人所配服务人员中为本单位人员，专职从事食品检验人员的数量：20人及以下：1分；21-30人：2分；30人及以上：3分。</w:t>
            </w:r>
          </w:p>
          <w:p w14:paraId="792FD6E0">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注：（1）须提供专职从事食品检验人员名单及食品检验人员上岗证（或其他证明性材料）复印件；（2）提供</w:t>
            </w:r>
            <w:r>
              <w:rPr>
                <w:rFonts w:hint="eastAsia"/>
                <w:color w:val="auto"/>
                <w:sz w:val="24"/>
                <w:szCs w:val="24"/>
                <w:highlight w:val="none"/>
                <w:lang w:val="en-US" w:eastAsia="zh-CN"/>
              </w:rPr>
              <w:t>近六个月任意一个月缴纳社会保障证明</w:t>
            </w:r>
            <w:r>
              <w:rPr>
                <w:rFonts w:hint="eastAsia" w:ascii="宋体" w:hAnsi="宋体" w:eastAsia="宋体" w:cs="宋体"/>
                <w:color w:val="auto"/>
                <w:kern w:val="2"/>
                <w:sz w:val="24"/>
                <w:szCs w:val="24"/>
                <w:highlight w:val="none"/>
                <w:lang w:val="en-US" w:eastAsia="zh-CN" w:bidi="ar"/>
              </w:rPr>
              <w:t>材料。</w:t>
            </w:r>
          </w:p>
        </w:tc>
        <w:tc>
          <w:tcPr>
            <w:tcW w:w="1231" w:type="dxa"/>
            <w:vMerge w:val="continue"/>
            <w:tcBorders>
              <w:top w:val="nil"/>
              <w:left w:val="single" w:color="auto" w:sz="4" w:space="0"/>
              <w:bottom w:val="single" w:color="auto" w:sz="4" w:space="0"/>
              <w:right w:val="single" w:color="auto" w:sz="4" w:space="0"/>
            </w:tcBorders>
            <w:shd w:val="clear" w:color="auto" w:fill="auto"/>
            <w:vAlign w:val="center"/>
          </w:tcPr>
          <w:p w14:paraId="29FC5663">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32DD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2E69C6BF">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nil"/>
              <w:left w:val="single" w:color="auto" w:sz="4" w:space="0"/>
              <w:bottom w:val="single" w:color="auto" w:sz="4" w:space="0"/>
              <w:right w:val="single" w:color="auto" w:sz="4" w:space="0"/>
            </w:tcBorders>
            <w:shd w:val="clear" w:color="auto" w:fill="auto"/>
            <w:vAlign w:val="center"/>
          </w:tcPr>
          <w:p w14:paraId="5FAD9C58">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7130516">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3.投标人所配服务人员中为本单位人员，具有高级技术职称，专职从事食品检验业务相关工作且在单位满2年及以上的人员数量：6人及以下：1.5分；7-9人：2分；10人及以上：3分。</w:t>
            </w:r>
          </w:p>
          <w:p w14:paraId="16AAFF55">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注：（1）须提供人员名单（至少包含：姓名、年龄、文化程度、职务、职称、从事本技术领域年限、现在部门岗位）并加盖公章；（2）提供人员高级职称证书复印件；（3）提供</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w:t>
            </w:r>
          </w:p>
        </w:tc>
        <w:tc>
          <w:tcPr>
            <w:tcW w:w="1231" w:type="dxa"/>
            <w:vMerge w:val="continue"/>
            <w:tcBorders>
              <w:top w:val="nil"/>
              <w:left w:val="single" w:color="auto" w:sz="4" w:space="0"/>
              <w:bottom w:val="single" w:color="auto" w:sz="4" w:space="0"/>
              <w:right w:val="single" w:color="auto" w:sz="4" w:space="0"/>
            </w:tcBorders>
            <w:shd w:val="clear" w:color="auto" w:fill="auto"/>
            <w:vAlign w:val="center"/>
          </w:tcPr>
          <w:p w14:paraId="0AFBC208">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3706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262CC53">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8ADD4C8">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服务</w:t>
            </w:r>
          </w:p>
          <w:p w14:paraId="5B5B3136">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承诺</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13D3D6A">
            <w:pPr>
              <w:keepNext w:val="0"/>
              <w:keepLines w:val="0"/>
              <w:widowControl w:val="0"/>
              <w:suppressLineNumbers w:val="0"/>
              <w:spacing w:before="0" w:beforeAutospacing="0" w:after="0" w:afterAutospacing="0" w:line="300" w:lineRule="exact"/>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根据投标人针对本项目提供的</w:t>
            </w:r>
            <w:r>
              <w:rPr>
                <w:rFonts w:hint="eastAsia" w:ascii="宋体" w:hAnsi="宋体" w:eastAsia="宋体" w:cs="宋体"/>
                <w:color w:val="auto"/>
                <w:kern w:val="2"/>
                <w:sz w:val="24"/>
                <w:szCs w:val="24"/>
                <w:highlight w:val="none"/>
                <w:lang w:val="en-US" w:eastAsia="zh-CN" w:bidi="ar"/>
              </w:rPr>
              <w:t>服务承诺</w:t>
            </w:r>
            <w:r>
              <w:rPr>
                <w:rFonts w:hint="eastAsia" w:ascii="宋体" w:hAnsi="宋体" w:eastAsia="宋体" w:cs="宋体"/>
                <w:bCs/>
                <w:color w:val="auto"/>
                <w:kern w:val="2"/>
                <w:sz w:val="24"/>
                <w:szCs w:val="24"/>
                <w:highlight w:val="none"/>
                <w:lang w:val="en-US" w:eastAsia="zh-CN" w:bidi="ar"/>
              </w:rPr>
              <w:t>进行综合评分，内容包含但不限于：①</w:t>
            </w:r>
            <w:r>
              <w:rPr>
                <w:rFonts w:hint="eastAsia" w:ascii="宋体" w:hAnsi="宋体" w:eastAsia="宋体" w:cs="宋体"/>
                <w:color w:val="auto"/>
                <w:kern w:val="2"/>
                <w:sz w:val="24"/>
                <w:szCs w:val="24"/>
                <w:highlight w:val="none"/>
                <w:lang w:val="en-US" w:eastAsia="zh-CN" w:bidi="ar"/>
              </w:rPr>
              <w:t>项目实施期间，定时在甲方指定地点参加任务部署会、推进会，缺席2次以上，视为违约</w:t>
            </w:r>
            <w:r>
              <w:rPr>
                <w:rFonts w:hint="eastAsia" w:ascii="宋体" w:hAnsi="宋体" w:eastAsia="宋体" w:cs="宋体"/>
                <w:bCs/>
                <w:color w:val="auto"/>
                <w:kern w:val="2"/>
                <w:sz w:val="24"/>
                <w:szCs w:val="24"/>
                <w:highlight w:val="none"/>
                <w:lang w:val="en-US" w:eastAsia="zh-CN" w:bidi="ar"/>
              </w:rPr>
              <w:t>；②</w:t>
            </w:r>
            <w:r>
              <w:rPr>
                <w:rFonts w:hint="eastAsia" w:ascii="宋体" w:hAnsi="宋体" w:eastAsia="宋体" w:cs="宋体"/>
                <w:color w:val="auto"/>
                <w:kern w:val="2"/>
                <w:sz w:val="24"/>
                <w:szCs w:val="24"/>
                <w:highlight w:val="none"/>
                <w:lang w:val="en-US" w:eastAsia="zh-CN" w:bidi="ar"/>
              </w:rPr>
              <w:t>合同期内及质保期内提供24小时应急响应到场服务，承诺响应服务处理结束后提交问题处理报告，不到场1次以上视为违约；</w:t>
            </w:r>
            <w:r>
              <w:rPr>
                <w:rFonts w:hint="eastAsia" w:ascii="宋体" w:hAnsi="宋体" w:eastAsia="宋体" w:cs="宋体"/>
                <w:bCs/>
                <w:color w:val="auto"/>
                <w:kern w:val="2"/>
                <w:sz w:val="24"/>
                <w:szCs w:val="24"/>
                <w:highlight w:val="none"/>
                <w:lang w:val="en-US" w:eastAsia="zh-CN" w:bidi="ar"/>
              </w:rPr>
              <w:t>③</w:t>
            </w:r>
            <w:r>
              <w:rPr>
                <w:rFonts w:hint="eastAsia" w:ascii="宋体" w:hAnsi="宋体" w:eastAsia="宋体" w:cs="宋体"/>
                <w:color w:val="auto"/>
                <w:kern w:val="2"/>
                <w:sz w:val="24"/>
                <w:szCs w:val="24"/>
                <w:highlight w:val="none"/>
                <w:lang w:val="en-US" w:eastAsia="zh-CN" w:bidi="ar"/>
              </w:rPr>
              <w:t>有保密责任承诺书；</w:t>
            </w:r>
            <w:r>
              <w:rPr>
                <w:rFonts w:hint="eastAsia" w:ascii="宋体" w:hAnsi="宋体" w:eastAsia="宋体" w:cs="宋体"/>
                <w:bCs/>
                <w:color w:val="auto"/>
                <w:kern w:val="2"/>
                <w:sz w:val="24"/>
                <w:szCs w:val="24"/>
                <w:highlight w:val="none"/>
                <w:lang w:val="en-US" w:eastAsia="zh-CN" w:bidi="ar"/>
              </w:rPr>
              <w:t>④</w:t>
            </w:r>
            <w:r>
              <w:rPr>
                <w:rFonts w:hint="eastAsia" w:ascii="宋体" w:hAnsi="宋体" w:eastAsia="宋体" w:cs="宋体"/>
                <w:color w:val="auto"/>
                <w:kern w:val="2"/>
                <w:sz w:val="24"/>
                <w:szCs w:val="24"/>
                <w:highlight w:val="none"/>
                <w:lang w:val="en-US" w:eastAsia="zh-CN" w:bidi="ar"/>
              </w:rPr>
              <w:t>协助做好重大活动等时间节点保障活动食品抽检工作；</w:t>
            </w:r>
            <w:r>
              <w:rPr>
                <w:rFonts w:hint="eastAsia" w:ascii="宋体" w:hAnsi="宋体" w:eastAsia="宋体" w:cs="宋体"/>
                <w:bCs/>
                <w:color w:val="auto"/>
                <w:kern w:val="2"/>
                <w:sz w:val="24"/>
                <w:szCs w:val="24"/>
                <w:highlight w:val="none"/>
                <w:lang w:val="en-US" w:eastAsia="zh-CN" w:bidi="ar"/>
              </w:rPr>
              <w:t>⑤</w:t>
            </w:r>
            <w:r>
              <w:rPr>
                <w:rFonts w:hint="eastAsia" w:ascii="宋体" w:hAnsi="宋体" w:eastAsia="宋体" w:cs="宋体"/>
                <w:color w:val="auto"/>
                <w:kern w:val="2"/>
                <w:sz w:val="24"/>
                <w:szCs w:val="24"/>
                <w:highlight w:val="none"/>
                <w:lang w:val="en-US" w:eastAsia="zh-CN" w:bidi="ar"/>
              </w:rPr>
              <w:t>协助做好食品安全突发事件应急演练保障工作；</w:t>
            </w:r>
            <w:r>
              <w:rPr>
                <w:rFonts w:hint="eastAsia" w:ascii="宋体" w:hAnsi="宋体" w:eastAsia="宋体" w:cs="宋体"/>
                <w:bCs/>
                <w:color w:val="auto"/>
                <w:kern w:val="2"/>
                <w:sz w:val="24"/>
                <w:szCs w:val="24"/>
                <w:highlight w:val="none"/>
                <w:lang w:val="en-US" w:eastAsia="zh-CN" w:bidi="ar"/>
              </w:rPr>
              <w:t>⑥</w:t>
            </w:r>
            <w:r>
              <w:rPr>
                <w:rFonts w:hint="eastAsia" w:ascii="宋体" w:hAnsi="宋体" w:eastAsia="宋体" w:cs="宋体"/>
                <w:color w:val="auto"/>
                <w:kern w:val="2"/>
                <w:sz w:val="24"/>
                <w:szCs w:val="24"/>
                <w:highlight w:val="none"/>
                <w:lang w:val="en-US" w:eastAsia="zh-CN" w:bidi="ar"/>
              </w:rPr>
              <w:t>各级股东中无外资成分及外籍员工的声明；</w:t>
            </w:r>
            <w:r>
              <w:rPr>
                <w:rFonts w:hint="eastAsia" w:ascii="宋体" w:hAnsi="宋体" w:eastAsia="宋体" w:cs="宋体"/>
                <w:bCs/>
                <w:color w:val="auto"/>
                <w:kern w:val="2"/>
                <w:sz w:val="24"/>
                <w:szCs w:val="24"/>
                <w:highlight w:val="none"/>
                <w:lang w:val="en-US" w:eastAsia="zh-CN" w:bidi="ar"/>
              </w:rPr>
              <w:t>以上六项内容均有体现且完全满足采购实际需求的得</w:t>
            </w:r>
            <w:r>
              <w:rPr>
                <w:rFonts w:hint="eastAsia" w:ascii="宋体" w:hAnsi="宋体" w:eastAsia="宋体" w:cs="仿宋"/>
                <w:bCs/>
                <w:color w:val="auto"/>
                <w:kern w:val="2"/>
                <w:sz w:val="24"/>
                <w:szCs w:val="24"/>
                <w:highlight w:val="none"/>
                <w:lang w:val="en-US" w:eastAsia="zh-CN" w:bidi="ar"/>
              </w:rPr>
              <w:t>6</w:t>
            </w:r>
            <w:r>
              <w:rPr>
                <w:rFonts w:hint="eastAsia" w:ascii="宋体" w:hAnsi="宋体" w:eastAsia="宋体" w:cs="宋体"/>
                <w:bCs/>
                <w:color w:val="auto"/>
                <w:kern w:val="2"/>
                <w:sz w:val="24"/>
                <w:szCs w:val="24"/>
                <w:highlight w:val="none"/>
                <w:lang w:val="en-US" w:eastAsia="zh-CN" w:bidi="ar"/>
              </w:rPr>
              <w:t>分；每有一项内容缺失的扣1分；每有一项内容存在缺陷或者不能满足采购实际需求的扣</w:t>
            </w:r>
            <w:r>
              <w:rPr>
                <w:rFonts w:hint="eastAsia" w:ascii="宋体" w:hAnsi="宋体" w:eastAsia="宋体" w:cs="仿宋"/>
                <w:bCs/>
                <w:color w:val="auto"/>
                <w:kern w:val="2"/>
                <w:sz w:val="24"/>
                <w:szCs w:val="24"/>
                <w:highlight w:val="none"/>
                <w:lang w:val="en-US" w:eastAsia="zh-CN" w:bidi="ar"/>
              </w:rPr>
              <w:t>0.5</w:t>
            </w:r>
            <w:r>
              <w:rPr>
                <w:rFonts w:hint="eastAsia" w:ascii="宋体" w:hAnsi="宋体" w:eastAsia="宋体" w:cs="宋体"/>
                <w:bCs/>
                <w:color w:val="auto"/>
                <w:kern w:val="2"/>
                <w:sz w:val="24"/>
                <w:szCs w:val="24"/>
                <w:highlight w:val="none"/>
                <w:lang w:val="en-US" w:eastAsia="zh-CN" w:bidi="ar"/>
              </w:rPr>
              <w:t>分，扣完为止；本项满分为6分，未提供</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8BBDF78">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6分</w:t>
            </w:r>
          </w:p>
        </w:tc>
      </w:tr>
      <w:tr w14:paraId="419A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6A340D1F">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69C9541">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检验项目响应程度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CF7B0B6">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根据投标人提供的检验项目商务、技术偏离表是否符合招标文件“第四部分，服务标准和要求”，完全响应得5分，偏离一项扣1分，扣完为止。</w:t>
            </w:r>
          </w:p>
          <w:p w14:paraId="329BCAD3">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注：投标人提供的所投包组项目须提交实验室资质认可复印件盖章。</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DD3028D">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2152E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6B9BE24">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13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90628B6">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0"/>
                <w:sz w:val="24"/>
                <w:szCs w:val="24"/>
                <w:highlight w:val="none"/>
                <w:lang w:val="en-US" w:eastAsia="zh-CN" w:bidi="zh-CN"/>
              </w:rPr>
            </w:pPr>
            <w:r>
              <w:rPr>
                <w:rFonts w:hint="eastAsia" w:ascii="宋体" w:hAnsi="宋体" w:cs="宋体"/>
                <w:color w:val="auto"/>
                <w:kern w:val="2"/>
                <w:sz w:val="24"/>
                <w:szCs w:val="24"/>
                <w:highlight w:val="none"/>
                <w:lang w:val="en-US" w:eastAsia="zh-CN" w:bidi="ar"/>
              </w:rPr>
              <w:t>承检</w:t>
            </w:r>
            <w:r>
              <w:rPr>
                <w:rFonts w:hint="eastAsia" w:ascii="宋体" w:hAnsi="宋体" w:eastAsia="宋体" w:cs="宋体"/>
                <w:color w:val="auto"/>
                <w:kern w:val="2"/>
                <w:sz w:val="24"/>
                <w:szCs w:val="24"/>
                <w:highlight w:val="none"/>
                <w:lang w:val="en-US" w:eastAsia="zh-CN" w:bidi="ar"/>
              </w:rPr>
              <w:t>机构考核</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1D3E30A">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1.202</w:t>
            </w: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年1月1日以来，在行业相关监管部门（食品、食用农产品监管部门）组织的承检机构考核中的综合评价满意度情况：</w:t>
            </w:r>
          </w:p>
          <w:p w14:paraId="138EE8EB">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（1）获得相关监管部门满意的考核评价（优秀，或等同于相同等次），有一个得</w:t>
            </w:r>
            <w:r>
              <w:rPr>
                <w:rFonts w:hint="eastAsia" w:ascii="宋体" w:hAnsi="宋体" w:cs="宋体"/>
                <w:color w:val="auto"/>
                <w:kern w:val="2"/>
                <w:sz w:val="24"/>
                <w:szCs w:val="24"/>
                <w:highlight w:val="none"/>
                <w:lang w:val="en-US" w:eastAsia="zh-CN" w:bidi="ar"/>
              </w:rPr>
              <w:t>0.5</w:t>
            </w:r>
            <w:r>
              <w:rPr>
                <w:rFonts w:hint="eastAsia" w:ascii="宋体" w:hAnsi="宋体" w:eastAsia="宋体" w:cs="宋体"/>
                <w:color w:val="auto"/>
                <w:kern w:val="2"/>
                <w:sz w:val="24"/>
                <w:szCs w:val="24"/>
                <w:highlight w:val="none"/>
                <w:lang w:val="en-US" w:eastAsia="zh-CN" w:bidi="ar"/>
              </w:rPr>
              <w:t>分；本项最高得2分。</w:t>
            </w:r>
          </w:p>
          <w:p w14:paraId="039E1056">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注：须提供监管部门出具的“承检机构考核结果证明材料”原件扫描件，未提供不得分。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15264C3">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color w:val="auto"/>
                <w:kern w:val="0"/>
                <w:sz w:val="24"/>
                <w:szCs w:val="24"/>
                <w:highlight w:val="none"/>
                <w:lang w:bidi="zh-CN"/>
              </w:rPr>
              <w:t>2</w:t>
            </w:r>
            <w:r>
              <w:rPr>
                <w:rFonts w:hint="eastAsia"/>
                <w:color w:val="auto"/>
                <w:kern w:val="0"/>
                <w:sz w:val="24"/>
                <w:szCs w:val="24"/>
                <w:highlight w:val="none"/>
                <w:lang w:val="zh-CN" w:bidi="zh-CN"/>
              </w:rPr>
              <w:t>分</w:t>
            </w:r>
          </w:p>
        </w:tc>
      </w:tr>
      <w:tr w14:paraId="281E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EEBD949">
            <w:pPr>
              <w:keepNext w:val="0"/>
              <w:keepLines w:val="0"/>
              <w:widowControl w:val="0"/>
              <w:suppressLineNumbers w:val="0"/>
              <w:snapToGrid w:val="0"/>
              <w:spacing w:before="0" w:beforeAutospacing="0" w:after="0" w:afterAutospacing="0"/>
              <w:ind w:left="0" w:right="0"/>
              <w:jc w:val="both"/>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商务部分评分2</w:t>
            </w:r>
            <w:r>
              <w:rPr>
                <w:rFonts w:hint="eastAsia" w:ascii="宋体" w:hAnsi="宋体" w:eastAsia="宋体" w:cs="Courier New"/>
                <w:b/>
                <w:bCs w:val="0"/>
                <w:color w:val="auto"/>
                <w:kern w:val="2"/>
                <w:sz w:val="24"/>
                <w:szCs w:val="24"/>
                <w:highlight w:val="none"/>
                <w:lang w:val="en-US" w:eastAsia="zh-CN" w:bidi="ar"/>
              </w:rPr>
              <w:t>0</w:t>
            </w:r>
            <w:r>
              <w:rPr>
                <w:rFonts w:hint="eastAsia" w:ascii="宋体" w:hAnsi="宋体" w:eastAsia="宋体" w:cs="宋体"/>
                <w:b/>
                <w:bCs w:val="0"/>
                <w:color w:val="auto"/>
                <w:kern w:val="2"/>
                <w:sz w:val="24"/>
                <w:szCs w:val="24"/>
                <w:highlight w:val="none"/>
                <w:lang w:val="en-US" w:eastAsia="zh-CN" w:bidi="ar"/>
              </w:rPr>
              <w:t>分</w:t>
            </w:r>
          </w:p>
        </w:tc>
      </w:tr>
      <w:tr w14:paraId="61CB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restart"/>
            <w:tcBorders>
              <w:top w:val="nil"/>
              <w:left w:val="single" w:color="auto" w:sz="4" w:space="0"/>
              <w:bottom w:val="single" w:color="auto" w:sz="4" w:space="0"/>
              <w:right w:val="single" w:color="auto" w:sz="4" w:space="0"/>
            </w:tcBorders>
            <w:shd w:val="clear" w:color="auto" w:fill="auto"/>
            <w:vAlign w:val="center"/>
          </w:tcPr>
          <w:p w14:paraId="75B64B73">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D5438C">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企业</w:t>
            </w:r>
            <w:r>
              <w:rPr>
                <w:rFonts w:hint="eastAsia" w:ascii="宋体" w:hAnsi="宋体" w:eastAsia="宋体" w:cs="宋体"/>
                <w:color w:val="auto"/>
                <w:kern w:val="2"/>
                <w:sz w:val="24"/>
                <w:szCs w:val="24"/>
                <w:highlight w:val="none"/>
                <w:lang w:val="en-US" w:eastAsia="zh-CN" w:bidi="ar"/>
              </w:rPr>
              <w:t>实力</w:t>
            </w:r>
          </w:p>
          <w:p w14:paraId="2AAFC13D">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77467F25">
            <w:pPr>
              <w:keepNext w:val="0"/>
              <w:keepLines w:val="0"/>
              <w:widowControl w:val="0"/>
              <w:suppressLineNumbers w:val="0"/>
              <w:snapToGrid w:val="0"/>
              <w:spacing w:before="0" w:beforeAutospacing="0" w:after="0" w:afterAutospacing="0"/>
              <w:ind w:left="0" w:right="0"/>
              <w:jc w:val="left"/>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rPr>
              <w:t>供应商</w:t>
            </w:r>
            <w:r>
              <w:rPr>
                <w:rFonts w:hint="eastAsia" w:ascii="宋体" w:hAnsi="宋体" w:eastAsia="宋体" w:cs="Times New Roman"/>
                <w:color w:val="auto"/>
                <w:kern w:val="2"/>
                <w:sz w:val="24"/>
                <w:szCs w:val="24"/>
                <w:highlight w:val="none"/>
                <w:lang w:eastAsia="zh-CN"/>
              </w:rPr>
              <w:t>告知承诺</w:t>
            </w:r>
            <w:r>
              <w:rPr>
                <w:rFonts w:hint="eastAsia" w:ascii="宋体" w:hAnsi="宋体" w:eastAsia="宋体" w:cs="Times New Roman"/>
                <w:color w:val="auto"/>
                <w:kern w:val="2"/>
                <w:sz w:val="24"/>
                <w:szCs w:val="24"/>
                <w:highlight w:val="none"/>
              </w:rPr>
              <w:t>系统有专职录入人员得2分；未提供证明材料</w:t>
            </w:r>
            <w:r>
              <w:rPr>
                <w:rFonts w:hint="eastAsia" w:ascii="宋体" w:hAnsi="宋体" w:eastAsia="宋体" w:cs="Times New Roman"/>
                <w:color w:val="auto"/>
                <w:kern w:val="2"/>
                <w:sz w:val="24"/>
                <w:szCs w:val="24"/>
                <w:highlight w:val="none"/>
                <w:lang w:eastAsia="zh-CN"/>
              </w:rPr>
              <w:t>（国抽平台显示人员姓名截图）</w:t>
            </w:r>
            <w:r>
              <w:rPr>
                <w:rFonts w:hint="eastAsia" w:ascii="宋体" w:hAnsi="宋体" w:eastAsia="宋体" w:cs="Times New Roman"/>
                <w:color w:val="auto"/>
                <w:kern w:val="2"/>
                <w:sz w:val="24"/>
                <w:szCs w:val="24"/>
                <w:highlight w:val="none"/>
              </w:rPr>
              <w:t>、未参加过培训</w:t>
            </w:r>
            <w:r>
              <w:rPr>
                <w:rFonts w:hint="eastAsia" w:ascii="宋体" w:hAnsi="宋体" w:eastAsia="宋体" w:cs="Times New Roman"/>
                <w:color w:val="auto"/>
                <w:kern w:val="2"/>
                <w:sz w:val="24"/>
                <w:szCs w:val="24"/>
                <w:highlight w:val="none"/>
                <w:lang w:eastAsia="zh-CN"/>
              </w:rPr>
              <w:t>（培训记录）</w:t>
            </w:r>
            <w:r>
              <w:rPr>
                <w:rFonts w:hint="eastAsia" w:ascii="宋体" w:hAnsi="宋体" w:eastAsia="宋体" w:cs="Times New Roman"/>
                <w:color w:val="auto"/>
                <w:kern w:val="2"/>
                <w:sz w:val="24"/>
                <w:szCs w:val="24"/>
                <w:highlight w:val="none"/>
              </w:rPr>
              <w:t>不得分。（2分）</w:t>
            </w:r>
          </w:p>
        </w:tc>
        <w:tc>
          <w:tcPr>
            <w:tcW w:w="12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ED8FFA">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参考投标人的经营资质、行业口碑、资信情况进行打分（10分）</w:t>
            </w:r>
          </w:p>
          <w:p w14:paraId="2D0D8C4A">
            <w:pPr>
              <w:pStyle w:val="5"/>
              <w:suppressLineNumbers w:val="0"/>
              <w:spacing w:beforeAutospacing="0" w:afterAutospacing="0"/>
              <w:ind w:left="0" w:right="0"/>
              <w:rPr>
                <w:rFonts w:hint="eastAsia"/>
                <w:color w:val="auto"/>
                <w:sz w:val="24"/>
                <w:szCs w:val="24"/>
                <w:highlight w:val="none"/>
              </w:rPr>
            </w:pPr>
          </w:p>
        </w:tc>
      </w:tr>
      <w:tr w14:paraId="4F69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66492A09">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313DD0">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1CF6948">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eastAsia="zh-CN"/>
              </w:rPr>
            </w:pPr>
            <w:r>
              <w:rPr>
                <w:rFonts w:hint="default"/>
                <w:color w:val="auto"/>
                <w:sz w:val="24"/>
                <w:szCs w:val="24"/>
                <w:highlight w:val="none"/>
                <w:lang w:val="en-US" w:eastAsia="zh-CN"/>
              </w:rPr>
              <w:t>供应商提供的中国合格评定国家认可委员会实验室认证认可证书（CMA证书）得1分。</w:t>
            </w:r>
          </w:p>
          <w:p w14:paraId="47F28ABD">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rPr>
            </w:pPr>
            <w:r>
              <w:rPr>
                <w:rFonts w:hint="default"/>
                <w:color w:val="auto"/>
                <w:sz w:val="24"/>
                <w:szCs w:val="24"/>
                <w:highlight w:val="none"/>
                <w:lang w:val="en-US" w:eastAsia="zh-CN"/>
              </w:rPr>
              <w:t>供应商提供中国合格评定国家认可委员会颁发的认可证书（CNAS证书）得1</w:t>
            </w:r>
            <w:r>
              <w:rPr>
                <w:rFonts w:hint="default"/>
                <w:color w:val="auto"/>
                <w:sz w:val="24"/>
                <w:szCs w:val="24"/>
                <w:highlight w:val="none"/>
                <w:lang w:val="en-US"/>
              </w:rPr>
              <w:t>分</w:t>
            </w:r>
            <w:r>
              <w:rPr>
                <w:rFonts w:hint="default"/>
                <w:color w:val="auto"/>
                <w:sz w:val="24"/>
                <w:szCs w:val="24"/>
                <w:highlight w:val="none"/>
                <w:lang w:val="en-US" w:eastAsia="zh-CN"/>
              </w:rPr>
              <w:t>。</w:t>
            </w:r>
          </w:p>
          <w:p w14:paraId="35E93F0D">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rPr>
            </w:pPr>
            <w:r>
              <w:rPr>
                <w:rFonts w:hint="default"/>
                <w:color w:val="auto"/>
                <w:sz w:val="24"/>
                <w:szCs w:val="24"/>
                <w:highlight w:val="none"/>
                <w:lang w:val="en-US" w:eastAsia="zh-CN"/>
              </w:rPr>
              <w:t>未提供不得分。</w:t>
            </w:r>
          </w:p>
        </w:tc>
        <w:tc>
          <w:tcPr>
            <w:tcW w:w="12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78F1F8">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365EF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04851C82">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97CEB6">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75337F2F">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获得国家级能力验证及实验室比对结果满意1项得1分</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获得省级以上能力验证及实验室比对结果满意5项得2分；10项得3分；10项以上得6分；</w:t>
            </w:r>
          </w:p>
          <w:p w14:paraId="5CBBD9D7">
            <w:pPr>
              <w:keepNext w:val="0"/>
              <w:keepLines w:val="0"/>
              <w:widowControl w:val="0"/>
              <w:suppressLineNumbers w:val="0"/>
              <w:snapToGrid w:val="0"/>
              <w:spacing w:before="0" w:beforeAutospacing="0" w:after="0" w:afterAutospacing="0"/>
              <w:ind w:left="0" w:right="0"/>
              <w:jc w:val="left"/>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注：须提供近三年</w:t>
            </w:r>
            <w:r>
              <w:rPr>
                <w:rFonts w:hint="eastAsia" w:ascii="宋体" w:hAnsi="宋体" w:cs="宋体"/>
                <w:color w:val="auto"/>
                <w:kern w:val="2"/>
                <w:sz w:val="24"/>
                <w:szCs w:val="24"/>
                <w:highlight w:val="none"/>
                <w:lang w:val="en-US" w:eastAsia="zh-CN" w:bidi="ar"/>
              </w:rPr>
              <w:t>（2023年-至今）</w:t>
            </w:r>
            <w:r>
              <w:rPr>
                <w:rFonts w:hint="eastAsia" w:ascii="宋体" w:hAnsi="宋体" w:eastAsia="宋体" w:cs="宋体"/>
                <w:color w:val="auto"/>
                <w:kern w:val="2"/>
                <w:sz w:val="24"/>
                <w:szCs w:val="24"/>
                <w:highlight w:val="none"/>
                <w:lang w:val="en-US" w:eastAsia="zh-CN" w:bidi="ar"/>
              </w:rPr>
              <w:t>国家级或省级能力验证或实验室比对满意结果证书复印件或公告证明资料。最多计6分，未提供得不得分。</w:t>
            </w:r>
          </w:p>
        </w:tc>
        <w:tc>
          <w:tcPr>
            <w:tcW w:w="12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24F440">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65BA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6E1269B">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23C289E2">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类似项目经营业绩及其它有利资料</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0372CD7">
            <w:pPr>
              <w:keepNext w:val="0"/>
              <w:keepLines w:val="0"/>
              <w:widowControl w:val="0"/>
              <w:suppressLineNumbers w:val="0"/>
              <w:snapToGrid w:val="0"/>
              <w:spacing w:before="0" w:beforeAutospacing="0" w:after="0" w:afterAutospacing="0"/>
              <w:ind w:left="0" w:right="0"/>
              <w:jc w:val="left"/>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投标人近三年（202</w:t>
            </w:r>
            <w:r>
              <w:rPr>
                <w:rFonts w:hint="eastAsia" w:ascii="宋体" w:hAnsi="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年-至今，业绩认定时间以委托检验合同或委托书或中标通知书为准）承担过类似项目业绩，则一个得2分，总计8分，需要提供委托检验合同或委托书或中标通知书等。</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F7DEDD8">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经营业绩（8分）</w:t>
            </w:r>
          </w:p>
        </w:tc>
      </w:tr>
      <w:tr w14:paraId="696C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6E7198A4">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31F7C0D">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售后</w:t>
            </w:r>
          </w:p>
          <w:p w14:paraId="239F16FF">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服务</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E860962">
            <w:pPr>
              <w:keepNext w:val="0"/>
              <w:keepLines w:val="0"/>
              <w:widowControl w:val="0"/>
              <w:suppressLineNumbers w:val="0"/>
              <w:snapToGrid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能够提供食品安全监督抽检分析报告及派遣人员协助抽检监测数据汇总和信息公示进行打分，承诺两项均能做到得2分；仅提供食品安全监督抽检分析报告得1分，仅派遣人员协助抽检监测数据汇总和信息公示得1分；否则，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EEF22D5">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书面承诺书（2分）</w:t>
            </w:r>
          </w:p>
        </w:tc>
      </w:tr>
    </w:tbl>
    <w:p w14:paraId="37863E5B">
      <w:pP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br w:type="page"/>
      </w:r>
    </w:p>
    <w:tbl>
      <w:tblPr>
        <w:tblStyle w:val="30"/>
        <w:tblpPr w:leftFromText="180" w:rightFromText="180" w:vertAnchor="text" w:horzAnchor="page" w:tblpX="1354" w:tblpY="988"/>
        <w:tblOverlap w:val="never"/>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8"/>
        <w:gridCol w:w="1030"/>
        <w:gridCol w:w="6370"/>
        <w:gridCol w:w="1231"/>
      </w:tblGrid>
      <w:tr w14:paraId="07EE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C28D79F">
            <w:pPr>
              <w:jc w:val="center"/>
              <w:rPr>
                <w:rFonts w:hint="eastAsia" w:ascii="宋体" w:hAnsi="宋体" w:eastAsia="宋体" w:cs="宋体"/>
                <w:b/>
                <w:bCs w:val="0"/>
                <w:color w:val="auto"/>
                <w:kern w:val="2"/>
                <w:sz w:val="24"/>
                <w:szCs w:val="24"/>
                <w:highlight w:val="none"/>
                <w:lang w:val="en-US" w:eastAsia="zh-CN" w:bidi="ar"/>
              </w:rPr>
            </w:pPr>
            <w:r>
              <w:rPr>
                <w:rFonts w:hint="eastAsia" w:ascii="宋体" w:hAnsi="宋体" w:cs="宋体"/>
                <w:b/>
                <w:bCs/>
                <w:color w:val="auto"/>
                <w:sz w:val="24"/>
                <w:szCs w:val="24"/>
                <w:highlight w:val="none"/>
                <w:lang w:val="en-US" w:eastAsia="zh-CN"/>
              </w:rPr>
              <w:t xml:space="preserve">标项五             </w:t>
            </w:r>
            <w:r>
              <w:rPr>
                <w:rFonts w:hint="eastAsia" w:ascii="宋体" w:hAnsi="宋体" w:eastAsia="宋体" w:cs="宋体"/>
                <w:b w:val="0"/>
                <w:bCs w:val="0"/>
                <w:color w:val="auto"/>
                <w:sz w:val="24"/>
                <w:szCs w:val="24"/>
                <w:highlight w:val="none"/>
              </w:rPr>
              <w:t>技术、商务部分评审标准（</w:t>
            </w:r>
            <w:r>
              <w:rPr>
                <w:rFonts w:hint="eastAsia" w:ascii="宋体" w:hAnsi="宋体" w:cs="宋体"/>
                <w:b w:val="0"/>
                <w:bCs w:val="0"/>
                <w:color w:val="auto"/>
                <w:sz w:val="24"/>
                <w:szCs w:val="24"/>
                <w:highlight w:val="none"/>
                <w:lang w:val="en-US" w:eastAsia="zh-CN"/>
              </w:rPr>
              <w:t>90</w:t>
            </w:r>
            <w:r>
              <w:rPr>
                <w:rFonts w:hint="eastAsia" w:ascii="宋体" w:hAnsi="宋体" w:eastAsia="宋体" w:cs="宋体"/>
                <w:b w:val="0"/>
                <w:bCs w:val="0"/>
                <w:color w:val="auto"/>
                <w:sz w:val="24"/>
                <w:szCs w:val="24"/>
                <w:highlight w:val="none"/>
              </w:rPr>
              <w:t>分）</w:t>
            </w:r>
          </w:p>
        </w:tc>
      </w:tr>
      <w:tr w14:paraId="1F38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7E56103">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序号</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8FC14B8">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项目</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4C8674F">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评审内容</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2AC2197">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分值</w:t>
            </w:r>
          </w:p>
        </w:tc>
      </w:tr>
      <w:tr w14:paraId="6F96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5BF54FB">
            <w:pPr>
              <w:keepNext w:val="0"/>
              <w:keepLines w:val="0"/>
              <w:widowControl w:val="0"/>
              <w:suppressLineNumbers w:val="0"/>
              <w:snapToGrid w:val="0"/>
              <w:spacing w:before="0" w:beforeAutospacing="0" w:after="0" w:afterAutospacing="0"/>
              <w:ind w:left="0" w:right="0"/>
              <w:jc w:val="both"/>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技术部分评分</w:t>
            </w:r>
            <w:r>
              <w:rPr>
                <w:rFonts w:hint="eastAsia" w:ascii="宋体" w:hAnsi="宋体" w:eastAsia="宋体" w:cs="Courier New"/>
                <w:b/>
                <w:bCs w:val="0"/>
                <w:color w:val="auto"/>
                <w:kern w:val="2"/>
                <w:sz w:val="24"/>
                <w:szCs w:val="24"/>
                <w:highlight w:val="none"/>
                <w:lang w:val="en-US" w:eastAsia="zh-CN" w:bidi="ar"/>
              </w:rPr>
              <w:t>70</w:t>
            </w:r>
            <w:r>
              <w:rPr>
                <w:rFonts w:hint="eastAsia" w:ascii="宋体" w:hAnsi="宋体" w:eastAsia="宋体" w:cs="宋体"/>
                <w:b/>
                <w:bCs w:val="0"/>
                <w:color w:val="auto"/>
                <w:kern w:val="2"/>
                <w:sz w:val="24"/>
                <w:szCs w:val="24"/>
                <w:highlight w:val="none"/>
                <w:lang w:val="en-US" w:eastAsia="zh-CN" w:bidi="ar"/>
              </w:rPr>
              <w:t>分</w:t>
            </w:r>
          </w:p>
        </w:tc>
      </w:tr>
      <w:tr w14:paraId="66A1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48FFE257">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1BEA913">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管理</w:t>
            </w:r>
          </w:p>
          <w:p w14:paraId="656FBFE1">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制度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40A78B0A">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针对本项目提供的管理制度进行综合评分，内容包含但不限于：①质量管理体系完善、健全；财务会计制度完善、健全；②管理制度完善、健全；③食品安全检验检测制度特别是抽样检验法规规范及知识培训制度完善（有相应的培训记录佐证材料）、健全；④责任追究制度完善、健全；⑤检验档案管理制度完善、健全。以上五项内容均有体现且完全满足采购实际需求的得5分；每有一项内容缺失的扣1分；每有一项内容存在缺陷或者不能满足采购实际需求的扣0.5分，扣完为止；本项满分为5分，未提供管理制度的则不得分。注：</w:t>
            </w:r>
            <w:r>
              <w:rPr>
                <w:rFonts w:hint="eastAsia" w:ascii="宋体" w:hAnsi="宋体" w:eastAsia="宋体" w:cs="宋体"/>
                <w:bCs/>
                <w:color w:val="auto"/>
                <w:kern w:val="2"/>
                <w:sz w:val="24"/>
                <w:szCs w:val="24"/>
                <w:highlight w:val="none"/>
                <w:lang w:val="en-US" w:eastAsia="zh-CN" w:bidi="ar"/>
              </w:rPr>
              <w:t>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38821E87">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0003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685EB73">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2537FE2E">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突发事件的应急响应方案</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13DA23E">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rPr>
              <w:t>根据承担抽检任务提供的事前、事中、事后应急预防处理措施包括但不限于：</w:t>
            </w:r>
          </w:p>
          <w:p w14:paraId="0FEEC63F">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（1）突发食品安全事件应对；</w:t>
            </w:r>
          </w:p>
          <w:p w14:paraId="6640E8BF">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（2）</w:t>
            </w:r>
            <w:r>
              <w:rPr>
                <w:rFonts w:hint="eastAsia" w:ascii="宋体" w:hAnsi="宋体" w:eastAsia="宋体" w:cs="仿宋"/>
                <w:bCs/>
                <w:color w:val="auto"/>
                <w:kern w:val="2"/>
                <w:sz w:val="24"/>
                <w:szCs w:val="24"/>
                <w:highlight w:val="none"/>
                <w:lang w:eastAsia="zh-CN"/>
              </w:rPr>
              <w:t>现场抽样</w:t>
            </w:r>
            <w:r>
              <w:rPr>
                <w:rFonts w:hint="eastAsia" w:ascii="宋体" w:hAnsi="宋体" w:eastAsia="宋体" w:cs="仿宋"/>
                <w:bCs/>
                <w:color w:val="auto"/>
                <w:kern w:val="2"/>
                <w:sz w:val="24"/>
                <w:szCs w:val="24"/>
                <w:highlight w:val="none"/>
              </w:rPr>
              <w:t>应急预案；</w:t>
            </w:r>
          </w:p>
          <w:p w14:paraId="01763DFE">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（3）实验室检验检测应急预案；</w:t>
            </w:r>
          </w:p>
          <w:p w14:paraId="54ED86F8">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（4）检验数据应急上报；</w:t>
            </w:r>
          </w:p>
          <w:p w14:paraId="4B46FF3D">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（5）实验室对发生食品检测安全事故的处置；</w:t>
            </w:r>
          </w:p>
          <w:p w14:paraId="14AEE3B4">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（6）对相关责任部门及责任人重大失误的处理等。</w:t>
            </w:r>
          </w:p>
          <w:p w14:paraId="2E41CD16">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以上方案内容均符合实际情况、内容完善详细、健全、完全响应采购要求的的得6分，</w:t>
            </w:r>
            <w:r>
              <w:rPr>
                <w:rFonts w:hint="eastAsia" w:ascii="宋体" w:hAnsi="宋体" w:eastAsia="宋体" w:cs="宋体"/>
                <w:color w:val="auto"/>
                <w:kern w:val="2"/>
                <w:sz w:val="24"/>
                <w:szCs w:val="24"/>
                <w:highlight w:val="none"/>
                <w:lang w:val="en-US" w:eastAsia="zh-CN" w:bidi="ar"/>
              </w:rPr>
              <w:t>每有一项内容缺失的扣1分</w:t>
            </w:r>
            <w:r>
              <w:rPr>
                <w:rFonts w:hint="eastAsia" w:ascii="宋体" w:hAnsi="宋体" w:cs="宋体"/>
                <w:color w:val="auto"/>
                <w:kern w:val="2"/>
                <w:sz w:val="24"/>
                <w:szCs w:val="24"/>
                <w:highlight w:val="none"/>
                <w:lang w:val="en-US" w:eastAsia="zh-CN" w:bidi="ar"/>
              </w:rPr>
              <w:t>，</w:t>
            </w:r>
            <w:r>
              <w:rPr>
                <w:rFonts w:hint="eastAsia" w:ascii="宋体" w:hAnsi="宋体" w:eastAsia="宋体" w:cs="仿宋"/>
                <w:bCs/>
                <w:color w:val="auto"/>
                <w:kern w:val="2"/>
                <w:sz w:val="24"/>
                <w:szCs w:val="24"/>
                <w:highlight w:val="none"/>
              </w:rPr>
              <w:t>每有一项内容不完整或未能满足采购需求的或每有一处不具有针对性或逻辑性错误且不完整的扣0.5分，扣完为止。</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0247762">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6</w:t>
            </w:r>
            <w:r>
              <w:rPr>
                <w:rFonts w:hint="eastAsia" w:ascii="宋体" w:hAnsi="宋体" w:eastAsia="宋体" w:cs="宋体"/>
                <w:color w:val="auto"/>
                <w:kern w:val="2"/>
                <w:sz w:val="24"/>
                <w:szCs w:val="24"/>
                <w:highlight w:val="none"/>
                <w:lang w:val="en-US" w:eastAsia="zh-CN" w:bidi="ar"/>
              </w:rPr>
              <w:t>分</w:t>
            </w:r>
          </w:p>
        </w:tc>
      </w:tr>
      <w:tr w14:paraId="5BA0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5440F83">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BF7102B">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项目服务方案</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CF1A3A6">
            <w:pPr>
              <w:keepNext w:val="0"/>
              <w:keepLines w:val="0"/>
              <w:widowControl w:val="0"/>
              <w:suppressLineNumbers w:val="0"/>
              <w:spacing w:before="0" w:beforeAutospacing="0" w:after="0" w:afterAutospacing="0" w:line="300" w:lineRule="exact"/>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根据投标人针对本项目提供的</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进行综合评分，内容包含但不限于：①</w:t>
            </w:r>
            <w:r>
              <w:rPr>
                <w:rFonts w:hint="eastAsia" w:ascii="宋体" w:hAnsi="宋体" w:eastAsia="宋体" w:cs="宋体"/>
                <w:color w:val="auto"/>
                <w:kern w:val="2"/>
                <w:sz w:val="24"/>
                <w:szCs w:val="24"/>
                <w:highlight w:val="none"/>
                <w:lang w:val="en-US" w:eastAsia="zh-CN" w:bidi="ar"/>
              </w:rPr>
              <w:t>拥有独立稳定持久的实验室管理系统</w:t>
            </w:r>
            <w:r>
              <w:rPr>
                <w:rFonts w:hint="eastAsia" w:ascii="宋体" w:hAnsi="宋体" w:eastAsia="宋体" w:cs="宋体"/>
                <w:bCs/>
                <w:color w:val="auto"/>
                <w:kern w:val="2"/>
                <w:sz w:val="24"/>
                <w:szCs w:val="24"/>
                <w:highlight w:val="none"/>
                <w:lang w:val="en-US" w:eastAsia="zh-CN" w:bidi="ar"/>
              </w:rPr>
              <w:t>；②</w:t>
            </w:r>
            <w:r>
              <w:rPr>
                <w:rFonts w:hint="eastAsia" w:ascii="宋体" w:hAnsi="宋体" w:eastAsia="宋体" w:cs="宋体"/>
                <w:color w:val="auto"/>
                <w:kern w:val="2"/>
                <w:sz w:val="24"/>
                <w:szCs w:val="24"/>
                <w:highlight w:val="none"/>
                <w:lang w:val="en-US" w:eastAsia="zh-CN" w:bidi="ar"/>
              </w:rPr>
              <w:t>实现抽样、流转、检验、原始记录、出具报告全环节在线管理且可追溯</w:t>
            </w:r>
            <w:r>
              <w:rPr>
                <w:rFonts w:hint="eastAsia" w:ascii="宋体" w:hAnsi="宋体" w:eastAsia="宋体" w:cs="宋体"/>
                <w:bCs/>
                <w:color w:val="auto"/>
                <w:kern w:val="2"/>
                <w:sz w:val="24"/>
                <w:szCs w:val="24"/>
                <w:highlight w:val="none"/>
                <w:lang w:val="en-US" w:eastAsia="zh-CN" w:bidi="ar"/>
              </w:rPr>
              <w:t>；以上两项内容均有体现且完全满足采购实际需求的得</w:t>
            </w:r>
            <w:r>
              <w:rPr>
                <w:rFonts w:hint="eastAsia" w:ascii="宋体" w:hAnsi="宋体" w:cs="仿宋"/>
                <w:bCs/>
                <w:color w:val="auto"/>
                <w:kern w:val="2"/>
                <w:sz w:val="24"/>
                <w:szCs w:val="24"/>
                <w:highlight w:val="none"/>
                <w:lang w:val="en-US" w:eastAsia="zh-CN" w:bidi="ar"/>
              </w:rPr>
              <w:t>7</w:t>
            </w:r>
            <w:r>
              <w:rPr>
                <w:rFonts w:hint="eastAsia" w:ascii="宋体" w:hAnsi="宋体" w:eastAsia="宋体" w:cs="宋体"/>
                <w:bCs/>
                <w:color w:val="auto"/>
                <w:kern w:val="2"/>
                <w:sz w:val="24"/>
                <w:szCs w:val="24"/>
                <w:highlight w:val="none"/>
                <w:lang w:val="en-US" w:eastAsia="zh-CN" w:bidi="ar"/>
              </w:rPr>
              <w:t>分；每有一项内容缺失的扣</w:t>
            </w:r>
            <w:r>
              <w:rPr>
                <w:rFonts w:hint="eastAsia" w:ascii="宋体" w:hAnsi="宋体" w:cs="宋体"/>
                <w:bCs/>
                <w:color w:val="auto"/>
                <w:kern w:val="2"/>
                <w:sz w:val="24"/>
                <w:szCs w:val="24"/>
                <w:highlight w:val="none"/>
                <w:lang w:val="en-US" w:eastAsia="zh-CN" w:bidi="ar"/>
              </w:rPr>
              <w:t>3.5</w:t>
            </w:r>
            <w:r>
              <w:rPr>
                <w:rFonts w:hint="eastAsia" w:ascii="宋体" w:hAnsi="宋体" w:eastAsia="宋体" w:cs="宋体"/>
                <w:bCs/>
                <w:color w:val="auto"/>
                <w:kern w:val="2"/>
                <w:sz w:val="24"/>
                <w:szCs w:val="24"/>
                <w:highlight w:val="none"/>
                <w:lang w:val="en-US" w:eastAsia="zh-CN" w:bidi="ar"/>
              </w:rPr>
              <w:t>分；每有一项内容存在缺陷或者不能满足采购实际需求的扣</w:t>
            </w:r>
            <w:r>
              <w:rPr>
                <w:rFonts w:hint="eastAsia" w:ascii="宋体" w:hAnsi="宋体" w:cs="宋体"/>
                <w:bCs/>
                <w:color w:val="auto"/>
                <w:kern w:val="2"/>
                <w:sz w:val="24"/>
                <w:szCs w:val="24"/>
                <w:highlight w:val="none"/>
                <w:lang w:val="en-US" w:eastAsia="zh-CN" w:bidi="ar"/>
              </w:rPr>
              <w:t>1.5</w:t>
            </w:r>
            <w:r>
              <w:rPr>
                <w:rFonts w:hint="eastAsia" w:ascii="宋体" w:hAnsi="宋体" w:eastAsia="宋体" w:cs="宋体"/>
                <w:bCs/>
                <w:color w:val="auto"/>
                <w:kern w:val="2"/>
                <w:sz w:val="24"/>
                <w:szCs w:val="24"/>
                <w:highlight w:val="none"/>
                <w:lang w:val="en-US" w:eastAsia="zh-CN" w:bidi="ar"/>
              </w:rPr>
              <w:t>分，扣完为止；本项满分为</w:t>
            </w:r>
            <w:r>
              <w:rPr>
                <w:rFonts w:hint="eastAsia" w:ascii="宋体" w:hAnsi="宋体" w:cs="宋体"/>
                <w:bCs/>
                <w:color w:val="auto"/>
                <w:kern w:val="2"/>
                <w:sz w:val="24"/>
                <w:szCs w:val="24"/>
                <w:highlight w:val="none"/>
                <w:lang w:val="en-US" w:eastAsia="zh-CN" w:bidi="ar"/>
              </w:rPr>
              <w:t>7</w:t>
            </w:r>
            <w:r>
              <w:rPr>
                <w:rFonts w:hint="eastAsia" w:ascii="宋体" w:hAnsi="宋体" w:eastAsia="宋体" w:cs="宋体"/>
                <w:bCs/>
                <w:color w:val="auto"/>
                <w:kern w:val="2"/>
                <w:sz w:val="24"/>
                <w:szCs w:val="24"/>
                <w:highlight w:val="none"/>
                <w:lang w:val="en-US" w:eastAsia="zh-CN" w:bidi="ar"/>
              </w:rPr>
              <w:t>分，未提供</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80F99F7">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分</w:t>
            </w:r>
          </w:p>
        </w:tc>
      </w:tr>
      <w:tr w14:paraId="0C30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6DEA992">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272EBE3">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项目实施时间进度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7E701EC">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针对本项目提供的项目实施时间进度进行综合评分，内容包含但不限于：①实施时间的进度；②实施时间的保障措施；以上两项内容均有体现且完全满足采购实际需求的得5分；每有一项内容缺失的扣2.5分；每有一项内容存在缺陷或者不能满足采购实际需求的扣1.5分，扣完为止；本项满分为5分，未提供项目服务方案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87C273B">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3303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BDFA2DD">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76D293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工作</w:t>
            </w:r>
          </w:p>
          <w:p w14:paraId="3F15E2E9">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场地</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89E54A1">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lang w:val="zh-CN"/>
              </w:rPr>
            </w:pPr>
            <w:r>
              <w:rPr>
                <w:rFonts w:hint="eastAsia" w:ascii="宋体" w:hAnsi="宋体" w:eastAsia="宋体" w:cs="仿宋"/>
                <w:bCs/>
                <w:color w:val="auto"/>
                <w:kern w:val="2"/>
                <w:sz w:val="24"/>
                <w:szCs w:val="24"/>
                <w:highlight w:val="none"/>
              </w:rPr>
              <w:t>1.投标人具备独立开展食品安全检验实验室，环境良好，布局合理，根据</w:t>
            </w:r>
            <w:r>
              <w:rPr>
                <w:rFonts w:hint="eastAsia" w:ascii="宋体" w:hAnsi="宋体" w:eastAsia="宋体" w:cs="仿宋"/>
                <w:bCs/>
                <w:color w:val="auto"/>
                <w:kern w:val="2"/>
                <w:sz w:val="24"/>
                <w:szCs w:val="24"/>
                <w:highlight w:val="none"/>
                <w:lang w:val="zh-CN"/>
              </w:rPr>
              <w:t>开展食品安全抽样检验工作实验场所面积</w:t>
            </w:r>
            <w:r>
              <w:rPr>
                <w:rFonts w:hint="eastAsia" w:ascii="宋体" w:hAnsi="宋体" w:eastAsia="宋体" w:cs="仿宋"/>
                <w:bCs/>
                <w:color w:val="auto"/>
                <w:kern w:val="2"/>
                <w:sz w:val="24"/>
                <w:szCs w:val="24"/>
                <w:highlight w:val="none"/>
              </w:rPr>
              <w:t>综合评定</w:t>
            </w:r>
            <w:r>
              <w:rPr>
                <w:rFonts w:hint="eastAsia" w:ascii="宋体" w:hAnsi="宋体" w:eastAsia="宋体" w:cs="仿宋"/>
                <w:bCs/>
                <w:color w:val="auto"/>
                <w:kern w:val="2"/>
                <w:sz w:val="24"/>
                <w:szCs w:val="24"/>
                <w:highlight w:val="none"/>
                <w:lang w:val="zh-CN"/>
              </w:rPr>
              <w:t>：</w:t>
            </w:r>
          </w:p>
          <w:p w14:paraId="5F8A491A">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（1）5000（含）平方米及以上，得3分；</w:t>
            </w:r>
          </w:p>
          <w:p w14:paraId="21BC0659">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（2）4000（含）-5000（不含）平方米，得2分；</w:t>
            </w:r>
          </w:p>
          <w:p w14:paraId="55E70BDB">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（3）3000（含）-4000（不含）平方米，得1分；</w:t>
            </w:r>
          </w:p>
          <w:p w14:paraId="0280A057">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（4）不符合上述要求的，得0分。</w:t>
            </w:r>
          </w:p>
          <w:p w14:paraId="295B66F9">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注：</w:t>
            </w:r>
            <w:r>
              <w:rPr>
                <w:rFonts w:hint="eastAsia" w:ascii="宋体" w:hAnsi="宋体" w:cs="仿宋"/>
                <w:bCs/>
                <w:color w:val="auto"/>
                <w:kern w:val="2"/>
                <w:sz w:val="24"/>
                <w:szCs w:val="24"/>
                <w:highlight w:val="none"/>
                <w:lang w:val="en-US" w:eastAsia="zh-CN"/>
              </w:rPr>
              <w:t>①</w:t>
            </w:r>
            <w:r>
              <w:rPr>
                <w:rFonts w:hint="eastAsia" w:ascii="宋体" w:hAnsi="宋体" w:eastAsia="宋体" w:cs="仿宋"/>
                <w:bCs/>
                <w:color w:val="auto"/>
                <w:kern w:val="2"/>
                <w:sz w:val="24"/>
                <w:szCs w:val="24"/>
                <w:highlight w:val="none"/>
              </w:rPr>
              <w:t>投标人</w:t>
            </w:r>
            <w:r>
              <w:rPr>
                <w:rFonts w:hint="eastAsia" w:ascii="宋体" w:hAnsi="宋体" w:eastAsia="宋体" w:cs="仿宋"/>
                <w:bCs/>
                <w:color w:val="auto"/>
                <w:kern w:val="2"/>
                <w:sz w:val="24"/>
                <w:szCs w:val="24"/>
                <w:highlight w:val="none"/>
                <w:lang w:val="zh-CN"/>
              </w:rPr>
              <w:t>须承诺抽样检验的实验室为</w:t>
            </w:r>
            <w:r>
              <w:rPr>
                <w:rFonts w:hint="eastAsia" w:ascii="宋体" w:hAnsi="宋体" w:eastAsia="宋体" w:cs="仿宋"/>
                <w:bCs/>
                <w:color w:val="auto"/>
                <w:kern w:val="2"/>
                <w:sz w:val="24"/>
                <w:szCs w:val="24"/>
                <w:highlight w:val="none"/>
              </w:rPr>
              <w:t>投标人</w:t>
            </w:r>
            <w:r>
              <w:rPr>
                <w:rFonts w:hint="eastAsia" w:ascii="宋体" w:hAnsi="宋体" w:eastAsia="宋体" w:cs="仿宋"/>
                <w:bCs/>
                <w:color w:val="auto"/>
                <w:kern w:val="2"/>
                <w:sz w:val="24"/>
                <w:szCs w:val="24"/>
                <w:highlight w:val="none"/>
                <w:lang w:val="zh-CN"/>
              </w:rPr>
              <w:t>自有实验室，并提供承诺书。招标人有权在合同签订前进行现场考察，一旦发现弄虚作假，将取消中标资格，并报有关部门严肃处理；</w:t>
            </w:r>
            <w:r>
              <w:rPr>
                <w:rFonts w:hint="eastAsia" w:ascii="宋体" w:hAnsi="宋体" w:cs="仿宋"/>
                <w:bCs/>
                <w:color w:val="auto"/>
                <w:kern w:val="2"/>
                <w:sz w:val="24"/>
                <w:szCs w:val="24"/>
                <w:highlight w:val="none"/>
                <w:lang w:val="en-US" w:eastAsia="zh-CN"/>
              </w:rPr>
              <w:t>②</w:t>
            </w:r>
            <w:r>
              <w:rPr>
                <w:rFonts w:hint="eastAsia" w:ascii="宋体" w:hAnsi="宋体" w:eastAsia="宋体" w:cs="仿宋"/>
                <w:bCs/>
                <w:color w:val="auto"/>
                <w:kern w:val="2"/>
                <w:sz w:val="24"/>
                <w:szCs w:val="24"/>
                <w:highlight w:val="none"/>
                <w:lang w:val="zh-CN"/>
              </w:rPr>
              <w:t>提供抽样检验场所的房产证或所有权证明文件或服务期内有效的房屋租赁合同加发票扫描件及相关证明材料</w:t>
            </w:r>
            <w:r>
              <w:rPr>
                <w:rFonts w:hint="eastAsia" w:ascii="宋体" w:hAnsi="宋体" w:eastAsia="宋体" w:cs="仿宋"/>
                <w:bCs/>
                <w:color w:val="auto"/>
                <w:kern w:val="2"/>
                <w:sz w:val="24"/>
                <w:szCs w:val="24"/>
                <w:highlight w:val="none"/>
              </w:rPr>
              <w:t>（租房合同须为投标人签署或房屋产权证书产权人为投标人）</w:t>
            </w:r>
            <w:r>
              <w:rPr>
                <w:rFonts w:hint="eastAsia" w:ascii="宋体" w:hAnsi="宋体" w:eastAsia="宋体" w:cs="仿宋"/>
                <w:bCs/>
                <w:color w:val="auto"/>
                <w:kern w:val="2"/>
                <w:sz w:val="24"/>
                <w:szCs w:val="24"/>
                <w:highlight w:val="none"/>
                <w:lang w:val="zh-CN"/>
              </w:rPr>
              <w:t>；</w:t>
            </w:r>
            <w:r>
              <w:rPr>
                <w:rFonts w:hint="eastAsia" w:ascii="宋体" w:hAnsi="宋体" w:cs="仿宋"/>
                <w:bCs/>
                <w:color w:val="auto"/>
                <w:kern w:val="2"/>
                <w:sz w:val="24"/>
                <w:szCs w:val="24"/>
                <w:highlight w:val="none"/>
                <w:lang w:val="en-US" w:eastAsia="zh-CN"/>
              </w:rPr>
              <w:t>③</w:t>
            </w:r>
            <w:r>
              <w:rPr>
                <w:rFonts w:hint="eastAsia" w:ascii="宋体" w:hAnsi="宋体" w:eastAsia="宋体" w:cs="仿宋"/>
                <w:bCs/>
                <w:color w:val="auto"/>
                <w:kern w:val="2"/>
                <w:sz w:val="24"/>
                <w:szCs w:val="24"/>
                <w:highlight w:val="none"/>
                <w:lang w:val="zh-CN"/>
              </w:rPr>
              <w:t>提供食品实验室平面布局图，并提供各组成部分面积清单；</w:t>
            </w:r>
            <w:r>
              <w:rPr>
                <w:rFonts w:hint="eastAsia" w:ascii="宋体" w:hAnsi="宋体" w:cs="仿宋"/>
                <w:bCs/>
                <w:color w:val="auto"/>
                <w:kern w:val="2"/>
                <w:sz w:val="24"/>
                <w:szCs w:val="24"/>
                <w:highlight w:val="none"/>
                <w:lang w:val="en-US" w:eastAsia="zh-CN"/>
              </w:rPr>
              <w:t>④</w:t>
            </w:r>
            <w:r>
              <w:rPr>
                <w:rFonts w:hint="eastAsia" w:ascii="宋体" w:hAnsi="宋体" w:eastAsia="宋体" w:cs="仿宋"/>
                <w:bCs/>
                <w:color w:val="auto"/>
                <w:kern w:val="2"/>
                <w:sz w:val="24"/>
                <w:szCs w:val="24"/>
                <w:highlight w:val="none"/>
                <w:lang w:val="zh-CN"/>
              </w:rPr>
              <w:t>未达到上述要求或未提供有效证明文件的不得分。</w:t>
            </w:r>
          </w:p>
          <w:p w14:paraId="2AB8060E">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2.投标人具备独立的微生物实验室，面积综合评定：</w:t>
            </w:r>
          </w:p>
          <w:p w14:paraId="638125C9">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（1）300（含）平方米及以上，得2分；</w:t>
            </w:r>
          </w:p>
          <w:p w14:paraId="119FD1C7">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（2）100（含）-300（不含）平方米，得1分；</w:t>
            </w:r>
          </w:p>
          <w:p w14:paraId="2741CCA6">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（3）不符合上述要求的，得0分。</w:t>
            </w:r>
          </w:p>
          <w:p w14:paraId="484987E7">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注：</w:t>
            </w:r>
            <w:r>
              <w:rPr>
                <w:rFonts w:hint="eastAsia" w:ascii="宋体" w:hAnsi="宋体" w:cs="仿宋"/>
                <w:bCs/>
                <w:color w:val="auto"/>
                <w:kern w:val="2"/>
                <w:sz w:val="24"/>
                <w:szCs w:val="24"/>
                <w:highlight w:val="none"/>
                <w:lang w:val="en-US" w:eastAsia="zh-CN"/>
              </w:rPr>
              <w:t>①</w:t>
            </w:r>
            <w:r>
              <w:rPr>
                <w:rFonts w:hint="eastAsia" w:ascii="宋体" w:hAnsi="宋体" w:eastAsia="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lang w:val="zh-CN" w:eastAsia="zh-CN"/>
              </w:rPr>
              <w:t>须承诺</w:t>
            </w:r>
            <w:r>
              <w:rPr>
                <w:rFonts w:hint="eastAsia" w:ascii="宋体" w:hAnsi="宋体" w:eastAsia="宋体" w:cs="仿宋"/>
                <w:bCs/>
                <w:color w:val="auto"/>
                <w:kern w:val="2"/>
                <w:sz w:val="24"/>
                <w:szCs w:val="24"/>
                <w:highlight w:val="none"/>
                <w:lang w:val="en-US" w:eastAsia="zh-CN"/>
              </w:rPr>
              <w:t>微生物</w:t>
            </w:r>
            <w:r>
              <w:rPr>
                <w:rFonts w:hint="eastAsia" w:ascii="宋体" w:hAnsi="宋体" w:eastAsia="宋体" w:cs="仿宋"/>
                <w:bCs/>
                <w:color w:val="auto"/>
                <w:kern w:val="2"/>
                <w:sz w:val="24"/>
                <w:szCs w:val="24"/>
                <w:highlight w:val="none"/>
                <w:lang w:val="zh-CN" w:eastAsia="zh-CN"/>
              </w:rPr>
              <w:t>实验室为</w:t>
            </w:r>
            <w:r>
              <w:rPr>
                <w:rFonts w:hint="eastAsia" w:ascii="宋体" w:hAnsi="宋体" w:eastAsia="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lang w:val="zh-CN" w:eastAsia="zh-CN"/>
              </w:rPr>
              <w:t>自有实验室，并提供承诺书。招标人有权在合同签订前进行现场考察，一旦发现弄虚作假，将取消中标资格，并报有关部门严肃处理；</w:t>
            </w:r>
            <w:r>
              <w:rPr>
                <w:rFonts w:hint="eastAsia" w:ascii="宋体" w:hAnsi="宋体" w:cs="仿宋"/>
                <w:bCs/>
                <w:color w:val="auto"/>
                <w:kern w:val="2"/>
                <w:sz w:val="24"/>
                <w:szCs w:val="24"/>
                <w:highlight w:val="none"/>
                <w:lang w:val="en-US" w:eastAsia="zh-CN"/>
              </w:rPr>
              <w:t>②</w:t>
            </w:r>
            <w:r>
              <w:rPr>
                <w:rFonts w:hint="eastAsia" w:ascii="宋体" w:hAnsi="宋体" w:eastAsia="宋体" w:cs="仿宋"/>
                <w:bCs/>
                <w:color w:val="auto"/>
                <w:kern w:val="2"/>
                <w:sz w:val="24"/>
                <w:szCs w:val="24"/>
                <w:highlight w:val="none"/>
                <w:lang w:val="zh-CN" w:eastAsia="zh-CN"/>
              </w:rPr>
              <w:t>提供抽样检验场所的房产证或所有权证明文件或服务期内有效的房屋租赁合同加发票扫描件及相关证明材料</w:t>
            </w:r>
            <w:r>
              <w:rPr>
                <w:rFonts w:hint="eastAsia" w:ascii="宋体" w:hAnsi="宋体" w:eastAsia="宋体" w:cs="仿宋"/>
                <w:bCs/>
                <w:color w:val="auto"/>
                <w:kern w:val="2"/>
                <w:sz w:val="24"/>
                <w:szCs w:val="24"/>
                <w:highlight w:val="none"/>
                <w:lang w:val="en-US" w:eastAsia="zh-CN"/>
              </w:rPr>
              <w:t>（租房合同须为投标人签署或房屋产权证书产权人为投标人）</w:t>
            </w:r>
            <w:r>
              <w:rPr>
                <w:rFonts w:hint="eastAsia" w:ascii="宋体" w:hAnsi="宋体" w:eastAsia="宋体" w:cs="仿宋"/>
                <w:bCs/>
                <w:color w:val="auto"/>
                <w:kern w:val="2"/>
                <w:sz w:val="24"/>
                <w:szCs w:val="24"/>
                <w:highlight w:val="none"/>
                <w:lang w:val="zh-CN" w:eastAsia="zh-CN"/>
              </w:rPr>
              <w:t>；</w:t>
            </w:r>
            <w:r>
              <w:rPr>
                <w:rFonts w:hint="eastAsia" w:ascii="宋体" w:hAnsi="宋体" w:cs="仿宋"/>
                <w:bCs/>
                <w:color w:val="auto"/>
                <w:kern w:val="2"/>
                <w:sz w:val="24"/>
                <w:szCs w:val="24"/>
                <w:highlight w:val="none"/>
                <w:lang w:val="en-US" w:eastAsia="zh-CN"/>
              </w:rPr>
              <w:t>③</w:t>
            </w:r>
            <w:r>
              <w:rPr>
                <w:rFonts w:hint="eastAsia" w:ascii="宋体" w:hAnsi="宋体" w:eastAsia="宋体" w:cs="仿宋"/>
                <w:bCs/>
                <w:color w:val="auto"/>
                <w:kern w:val="2"/>
                <w:sz w:val="24"/>
                <w:szCs w:val="24"/>
                <w:highlight w:val="none"/>
                <w:lang w:val="zh-CN" w:eastAsia="zh-CN"/>
              </w:rPr>
              <w:t>提供</w:t>
            </w:r>
            <w:r>
              <w:rPr>
                <w:rFonts w:hint="eastAsia" w:ascii="宋体" w:hAnsi="宋体" w:eastAsia="宋体" w:cs="仿宋"/>
                <w:bCs/>
                <w:color w:val="auto"/>
                <w:kern w:val="2"/>
                <w:sz w:val="24"/>
                <w:szCs w:val="24"/>
                <w:highlight w:val="none"/>
                <w:lang w:val="en-US" w:eastAsia="zh-CN"/>
              </w:rPr>
              <w:t>微生物</w:t>
            </w:r>
            <w:r>
              <w:rPr>
                <w:rFonts w:hint="eastAsia" w:ascii="宋体" w:hAnsi="宋体" w:eastAsia="宋体" w:cs="仿宋"/>
                <w:bCs/>
                <w:color w:val="auto"/>
                <w:kern w:val="2"/>
                <w:sz w:val="24"/>
                <w:szCs w:val="24"/>
                <w:highlight w:val="none"/>
                <w:lang w:val="zh-CN" w:eastAsia="zh-CN"/>
              </w:rPr>
              <w:t>实验室</w:t>
            </w:r>
            <w:r>
              <w:rPr>
                <w:rFonts w:hint="eastAsia" w:ascii="宋体" w:hAnsi="宋体" w:eastAsia="宋体" w:cs="仿宋"/>
                <w:bCs/>
                <w:color w:val="auto"/>
                <w:kern w:val="2"/>
                <w:sz w:val="24"/>
                <w:szCs w:val="24"/>
                <w:highlight w:val="none"/>
                <w:lang w:val="en-US" w:eastAsia="zh-CN"/>
              </w:rPr>
              <w:t>及</w:t>
            </w:r>
            <w:r>
              <w:rPr>
                <w:rFonts w:hint="eastAsia" w:ascii="宋体" w:hAnsi="宋体" w:eastAsia="宋体" w:cs="仿宋"/>
                <w:bCs/>
                <w:color w:val="auto"/>
                <w:kern w:val="2"/>
                <w:sz w:val="24"/>
                <w:szCs w:val="24"/>
                <w:highlight w:val="none"/>
                <w:lang w:val="zh-CN" w:eastAsia="zh-CN"/>
              </w:rPr>
              <w:t>平面布局图，并提供各组成部分面积清单；</w:t>
            </w:r>
            <w:r>
              <w:rPr>
                <w:rFonts w:hint="eastAsia" w:ascii="宋体" w:hAnsi="宋体" w:cs="仿宋"/>
                <w:bCs/>
                <w:color w:val="auto"/>
                <w:kern w:val="2"/>
                <w:sz w:val="24"/>
                <w:szCs w:val="24"/>
                <w:highlight w:val="none"/>
                <w:lang w:val="en-US" w:eastAsia="zh-CN"/>
              </w:rPr>
              <w:t>④</w:t>
            </w:r>
            <w:r>
              <w:rPr>
                <w:rFonts w:hint="eastAsia" w:ascii="宋体" w:hAnsi="宋体" w:eastAsia="宋体" w:cs="仿宋"/>
                <w:bCs/>
                <w:color w:val="auto"/>
                <w:kern w:val="2"/>
                <w:sz w:val="24"/>
                <w:szCs w:val="24"/>
                <w:highlight w:val="none"/>
                <w:lang w:val="zh-CN" w:eastAsia="zh-CN"/>
              </w:rPr>
              <w:t>未达到上述要求或未提供有效证明文件的不得分。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D5BFB04">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3923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2C170C2">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08C8F9C">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检验设备设施</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6338743">
            <w:pPr>
              <w:keepNext w:val="0"/>
              <w:keepLines w:val="0"/>
              <w:widowControl w:val="0"/>
              <w:numPr>
                <w:ilvl w:val="0"/>
                <w:numId w:val="8"/>
              </w:numPr>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具备液质联用仪GC/MS/MS、气质联用仪LC/MS/MS、HPLC（高效液相色谱仪）、GC（气相色谱仪）、UV（紫外分光光度计）、AAS（原子吸收光谱仪）、微波消解仪等（或同功能设备）、ICP-MS（电感耦合等离子体质谱仪）、IC（离子色谱仪）、电感耦合等离子体发射光谱仪（ICP-OES）、液相-原子荧光联用仪（LC-AFS）等与本项目相关的设备，得6分，少一项扣1分，扣完为止。</w:t>
            </w:r>
          </w:p>
          <w:p w14:paraId="5A9C1F0E">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如果具备以上设备，20台以上（含）的，且GC/MS/MS、LC/MS/MS各2台以上（含）加2分；如果具备以上设备15台以上（含）的，且GC/MS/MS、LC/MS/MS各2台以上（含）加1.5分；如果具备以上设备10台以上（含）的，且GC/MS/MS或LC/MS/MS各2台以上（含）加1分；其他情况得0分。</w:t>
            </w:r>
          </w:p>
          <w:p w14:paraId="05006CB5">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（提供仪器设备清单、设备购置发票或仪器计量检定校准认证证书、相关实验室放置图片证明、购销合同或售后服务保障证明）</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9885B77">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8分</w:t>
            </w:r>
          </w:p>
        </w:tc>
      </w:tr>
      <w:tr w14:paraId="7F49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957E2C8">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97D82F8">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样品运输及冷藏设备</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0F841C9">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样品运输设备，如冷藏设备及车辆配置等情况进行比较（提供发票复印件）：自有或租赁车辆4辆以上（含4辆）、冷藏设备6台以上（含6台）得3分；自有或租赁车辆2-3辆（含2辆）、冷藏设备4-5台得2分；自有或租赁车辆2辆以下（含2辆）、冷藏设备4台以下得1分；其它情况0分。</w:t>
            </w:r>
          </w:p>
          <w:p w14:paraId="5995A2D4">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投标人自建或者租赁冷库面积50㎡以上（含50㎡）得1分，自建或者租赁冷库面积30㎡-50㎡得0.5分；其他情况0分。</w:t>
            </w:r>
          </w:p>
          <w:p w14:paraId="6FE5503C">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注：需提供项目本地采样车辆和冷藏设备的图片证明材料，冷库建设或者租赁合同。</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79B7490">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4分</w:t>
            </w:r>
          </w:p>
        </w:tc>
      </w:tr>
      <w:tr w14:paraId="08C7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880ABB4">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2C5606A">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科研及技术创新能力评价</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6473498">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1、近三年</w:t>
            </w:r>
            <w:r>
              <w:rPr>
                <w:rFonts w:hint="eastAsia" w:ascii="宋体" w:hAnsi="宋体" w:cs="宋体"/>
                <w:color w:val="auto"/>
                <w:kern w:val="2"/>
                <w:sz w:val="24"/>
                <w:szCs w:val="24"/>
                <w:highlight w:val="none"/>
                <w:lang w:val="en-US" w:eastAsia="zh-CN" w:bidi="ar"/>
              </w:rPr>
              <w:t>（2023年-至今）</w:t>
            </w:r>
            <w:r>
              <w:rPr>
                <w:rFonts w:hint="eastAsia" w:ascii="宋体" w:hAnsi="宋体" w:eastAsia="宋体" w:cs="宋体"/>
                <w:color w:val="auto"/>
                <w:kern w:val="2"/>
                <w:sz w:val="24"/>
                <w:szCs w:val="24"/>
                <w:highlight w:val="none"/>
                <w:lang w:val="en-US" w:eastAsia="zh-CN" w:bidi="ar"/>
              </w:rPr>
              <w:t>投标人</w:t>
            </w:r>
            <w:r>
              <w:rPr>
                <w:rFonts w:hint="eastAsia"/>
                <w:color w:val="auto"/>
                <w:sz w:val="24"/>
                <w:szCs w:val="24"/>
                <w:highlight w:val="none"/>
                <w:lang w:eastAsia="zh-CN"/>
              </w:rPr>
              <w:t>起草食品检测相关标准</w:t>
            </w:r>
            <w:r>
              <w:rPr>
                <w:rFonts w:hint="eastAsia"/>
                <w:color w:val="auto"/>
                <w:sz w:val="24"/>
                <w:szCs w:val="24"/>
                <w:highlight w:val="none"/>
                <w:lang w:val="en-US" w:eastAsia="zh-CN"/>
              </w:rPr>
              <w:t>一项得0.5分</w:t>
            </w:r>
            <w:r>
              <w:rPr>
                <w:rFonts w:hint="eastAsia" w:ascii="宋体" w:hAnsi="宋体" w:eastAsia="宋体" w:cs="宋体"/>
                <w:color w:val="auto"/>
                <w:kern w:val="2"/>
                <w:sz w:val="24"/>
                <w:szCs w:val="24"/>
                <w:highlight w:val="none"/>
                <w:lang w:val="en-US" w:eastAsia="zh-CN" w:bidi="ar"/>
              </w:rPr>
              <w:t>；本项满分</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w:t>
            </w:r>
          </w:p>
          <w:p w14:paraId="1D89DB3C">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（提供相关标准原文等相关证明材料备查，否则不得分）</w:t>
            </w:r>
          </w:p>
          <w:p w14:paraId="57646EB2">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2.投标人202</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年1月1日（含）以来获得的</w:t>
            </w:r>
            <w:r>
              <w:rPr>
                <w:rFonts w:hint="eastAsia"/>
                <w:color w:val="auto"/>
                <w:sz w:val="24"/>
                <w:szCs w:val="24"/>
                <w:highlight w:val="none"/>
                <w:lang w:eastAsia="zh-CN"/>
              </w:rPr>
              <w:t>食品检测相关专利证书</w:t>
            </w:r>
            <w:r>
              <w:rPr>
                <w:rFonts w:hint="eastAsia" w:ascii="宋体" w:hAnsi="宋体" w:eastAsia="宋体" w:cs="宋体"/>
                <w:color w:val="auto"/>
                <w:kern w:val="2"/>
                <w:sz w:val="24"/>
                <w:szCs w:val="24"/>
                <w:highlight w:val="none"/>
                <w:lang w:val="en-US" w:eastAsia="zh-CN" w:bidi="ar"/>
              </w:rPr>
              <w:t>，有1个得0.5分，最高得</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分。（需提供专利证书证明材料备查，软件著作权登记证书不得分）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A0985DE">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分</w:t>
            </w:r>
          </w:p>
        </w:tc>
      </w:tr>
      <w:tr w14:paraId="3F41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FF34530">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B5778BE">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项目负责人及证书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410E5508">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具备食品相关专业高级以上职称，有类似项目经历的得4分；具备相关食品专业中级职称，缺少类似项目经历的得2分。中途更换，视为违约。（需提供职称证书和</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项目负责人（</w:t>
            </w:r>
            <w:r>
              <w:rPr>
                <w:rFonts w:hint="eastAsia" w:ascii="宋体" w:hAnsi="宋体" w:cs="宋体"/>
                <w:color w:val="auto"/>
                <w:kern w:val="2"/>
                <w:sz w:val="24"/>
                <w:szCs w:val="24"/>
                <w:highlight w:val="none"/>
                <w:lang w:val="en-US" w:eastAsia="zh-CN" w:bidi="ar"/>
              </w:rPr>
              <w:t>含</w:t>
            </w:r>
            <w:r>
              <w:rPr>
                <w:rFonts w:hint="eastAsia" w:ascii="宋体" w:hAnsi="宋体" w:eastAsia="宋体" w:cs="宋体"/>
                <w:color w:val="auto"/>
                <w:kern w:val="2"/>
                <w:sz w:val="24"/>
                <w:szCs w:val="24"/>
                <w:highlight w:val="none"/>
                <w:lang w:val="en-US" w:eastAsia="zh-CN" w:bidi="ar"/>
              </w:rPr>
              <w:t>主要技术人员）应与投标书内人员一致）</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3D16DDB">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4分</w:t>
            </w:r>
          </w:p>
        </w:tc>
      </w:tr>
      <w:tr w14:paraId="3B30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vMerge w:val="restart"/>
            <w:tcBorders>
              <w:top w:val="nil"/>
              <w:left w:val="single" w:color="auto" w:sz="4" w:space="0"/>
              <w:bottom w:val="single" w:color="auto" w:sz="4" w:space="0"/>
              <w:right w:val="single" w:color="auto" w:sz="4" w:space="0"/>
            </w:tcBorders>
            <w:shd w:val="clear" w:color="auto" w:fill="auto"/>
            <w:vAlign w:val="center"/>
          </w:tcPr>
          <w:p w14:paraId="0B3E9430">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10</w:t>
            </w:r>
          </w:p>
        </w:tc>
        <w:tc>
          <w:tcPr>
            <w:tcW w:w="1030" w:type="dxa"/>
            <w:vMerge w:val="restart"/>
            <w:tcBorders>
              <w:top w:val="nil"/>
              <w:left w:val="single" w:color="auto" w:sz="4" w:space="0"/>
              <w:bottom w:val="single" w:color="auto" w:sz="4" w:space="0"/>
              <w:right w:val="single" w:color="auto" w:sz="4" w:space="0"/>
            </w:tcBorders>
            <w:shd w:val="clear" w:color="auto" w:fill="auto"/>
            <w:vAlign w:val="center"/>
          </w:tcPr>
          <w:p w14:paraId="50815F99">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项目实施团队能力</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70222936">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1.投标人所配服务人员中为本单位人员，且具有专职承担食品抽检工作的独立抽样人员：10人及以下：1分；11-19人：2分；20人及以上：3分。</w:t>
            </w:r>
          </w:p>
          <w:p w14:paraId="39D3A62D">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注：（1）须提供独立抽样工作人员名单及抽样员证（或其他证明性材料）复印件；（2）提供</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材料。</w:t>
            </w:r>
          </w:p>
        </w:tc>
        <w:tc>
          <w:tcPr>
            <w:tcW w:w="1231" w:type="dxa"/>
            <w:vMerge w:val="restart"/>
            <w:tcBorders>
              <w:top w:val="nil"/>
              <w:left w:val="single" w:color="auto" w:sz="4" w:space="0"/>
              <w:bottom w:val="single" w:color="auto" w:sz="4" w:space="0"/>
              <w:right w:val="single" w:color="auto" w:sz="4" w:space="0"/>
            </w:tcBorders>
            <w:shd w:val="clear" w:color="auto" w:fill="auto"/>
            <w:vAlign w:val="center"/>
          </w:tcPr>
          <w:p w14:paraId="3962FDD4">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9分</w:t>
            </w:r>
          </w:p>
        </w:tc>
      </w:tr>
      <w:tr w14:paraId="6A7F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724C81F0">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nil"/>
              <w:left w:val="single" w:color="auto" w:sz="4" w:space="0"/>
              <w:bottom w:val="single" w:color="auto" w:sz="4" w:space="0"/>
              <w:right w:val="single" w:color="auto" w:sz="4" w:space="0"/>
            </w:tcBorders>
            <w:shd w:val="clear" w:color="auto" w:fill="auto"/>
            <w:vAlign w:val="center"/>
          </w:tcPr>
          <w:p w14:paraId="0F513910">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1863E83">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2.投标人所配服务人员中为本单位人员，专职从事食品检验人员的数量：20人及以下：1分；21-30人：2分；30人及以上：3分。</w:t>
            </w:r>
          </w:p>
          <w:p w14:paraId="1CAC03D2">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注：（1）须提供专职从事食品检验人员名单及食品检验人员上岗证（或其他证明性材料）复印件；（2）提供</w:t>
            </w:r>
            <w:r>
              <w:rPr>
                <w:rFonts w:hint="eastAsia"/>
                <w:color w:val="auto"/>
                <w:sz w:val="24"/>
                <w:szCs w:val="24"/>
                <w:highlight w:val="none"/>
                <w:lang w:val="en-US" w:eastAsia="zh-CN"/>
              </w:rPr>
              <w:t>近六个月任意一个月缴纳社会保障证明</w:t>
            </w:r>
            <w:r>
              <w:rPr>
                <w:rFonts w:hint="eastAsia" w:ascii="宋体" w:hAnsi="宋体" w:eastAsia="宋体" w:cs="宋体"/>
                <w:color w:val="auto"/>
                <w:kern w:val="2"/>
                <w:sz w:val="24"/>
                <w:szCs w:val="24"/>
                <w:highlight w:val="none"/>
                <w:lang w:val="en-US" w:eastAsia="zh-CN" w:bidi="ar"/>
              </w:rPr>
              <w:t>材料。</w:t>
            </w:r>
          </w:p>
        </w:tc>
        <w:tc>
          <w:tcPr>
            <w:tcW w:w="1231" w:type="dxa"/>
            <w:vMerge w:val="continue"/>
            <w:tcBorders>
              <w:top w:val="nil"/>
              <w:left w:val="single" w:color="auto" w:sz="4" w:space="0"/>
              <w:bottom w:val="single" w:color="auto" w:sz="4" w:space="0"/>
              <w:right w:val="single" w:color="auto" w:sz="4" w:space="0"/>
            </w:tcBorders>
            <w:shd w:val="clear" w:color="auto" w:fill="auto"/>
            <w:vAlign w:val="center"/>
          </w:tcPr>
          <w:p w14:paraId="0E3DD7E1">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17EB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6EE95DC6">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nil"/>
              <w:left w:val="single" w:color="auto" w:sz="4" w:space="0"/>
              <w:bottom w:val="single" w:color="auto" w:sz="4" w:space="0"/>
              <w:right w:val="single" w:color="auto" w:sz="4" w:space="0"/>
            </w:tcBorders>
            <w:shd w:val="clear" w:color="auto" w:fill="auto"/>
            <w:vAlign w:val="center"/>
          </w:tcPr>
          <w:p w14:paraId="76C9EA7C">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7325844">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3.投标人所配服务人员中为本单位人员，具有高级技术职称，专职从事食品检验业务相关工作且在单位满2年及以上的人员数量：6人及以下：1.5分；7-9人：2分；10人及以上：3分。</w:t>
            </w:r>
          </w:p>
          <w:p w14:paraId="12D507DD">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注：（1）须提供人员名单（至少包含：姓名、年龄、文化程度、职务、职称、从事本技术领域年限、现在部门岗位）并加盖公章；（2）提供人员高级职称证书复印件；（3）提供</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w:t>
            </w:r>
          </w:p>
        </w:tc>
        <w:tc>
          <w:tcPr>
            <w:tcW w:w="1231" w:type="dxa"/>
            <w:vMerge w:val="continue"/>
            <w:tcBorders>
              <w:top w:val="nil"/>
              <w:left w:val="single" w:color="auto" w:sz="4" w:space="0"/>
              <w:bottom w:val="single" w:color="auto" w:sz="4" w:space="0"/>
              <w:right w:val="single" w:color="auto" w:sz="4" w:space="0"/>
            </w:tcBorders>
            <w:shd w:val="clear" w:color="auto" w:fill="auto"/>
            <w:vAlign w:val="center"/>
          </w:tcPr>
          <w:p w14:paraId="3F7C0D1D">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3ED5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72"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2A6BFE4">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7C51F5A">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服务</w:t>
            </w:r>
          </w:p>
          <w:p w14:paraId="13EC1F82">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承诺</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B9EABD0">
            <w:pPr>
              <w:keepNext w:val="0"/>
              <w:keepLines w:val="0"/>
              <w:widowControl w:val="0"/>
              <w:suppressLineNumbers w:val="0"/>
              <w:spacing w:before="0" w:beforeAutospacing="0" w:after="0" w:afterAutospacing="0" w:line="300" w:lineRule="exact"/>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根据投标人针对本项目提供的</w:t>
            </w:r>
            <w:r>
              <w:rPr>
                <w:rFonts w:hint="eastAsia" w:ascii="宋体" w:hAnsi="宋体" w:eastAsia="宋体" w:cs="宋体"/>
                <w:color w:val="auto"/>
                <w:kern w:val="2"/>
                <w:sz w:val="24"/>
                <w:szCs w:val="24"/>
                <w:highlight w:val="none"/>
                <w:lang w:val="en-US" w:eastAsia="zh-CN" w:bidi="ar"/>
              </w:rPr>
              <w:t>服务承诺</w:t>
            </w:r>
            <w:r>
              <w:rPr>
                <w:rFonts w:hint="eastAsia" w:ascii="宋体" w:hAnsi="宋体" w:eastAsia="宋体" w:cs="宋体"/>
                <w:bCs/>
                <w:color w:val="auto"/>
                <w:kern w:val="2"/>
                <w:sz w:val="24"/>
                <w:szCs w:val="24"/>
                <w:highlight w:val="none"/>
                <w:lang w:val="en-US" w:eastAsia="zh-CN" w:bidi="ar"/>
              </w:rPr>
              <w:t>进行综合评分，内容包含但不限于：①</w:t>
            </w:r>
            <w:r>
              <w:rPr>
                <w:rFonts w:hint="eastAsia" w:ascii="宋体" w:hAnsi="宋体" w:eastAsia="宋体" w:cs="宋体"/>
                <w:color w:val="auto"/>
                <w:kern w:val="2"/>
                <w:sz w:val="24"/>
                <w:szCs w:val="24"/>
                <w:highlight w:val="none"/>
                <w:lang w:val="en-US" w:eastAsia="zh-CN" w:bidi="ar"/>
              </w:rPr>
              <w:t>项目实施期间，定时在甲方指定地点参加任务部署会、推进会，缺席2次以上，视为违约</w:t>
            </w:r>
            <w:r>
              <w:rPr>
                <w:rFonts w:hint="eastAsia" w:ascii="宋体" w:hAnsi="宋体" w:eastAsia="宋体" w:cs="宋体"/>
                <w:bCs/>
                <w:color w:val="auto"/>
                <w:kern w:val="2"/>
                <w:sz w:val="24"/>
                <w:szCs w:val="24"/>
                <w:highlight w:val="none"/>
                <w:lang w:val="en-US" w:eastAsia="zh-CN" w:bidi="ar"/>
              </w:rPr>
              <w:t>；②</w:t>
            </w:r>
            <w:r>
              <w:rPr>
                <w:rFonts w:hint="eastAsia" w:ascii="宋体" w:hAnsi="宋体" w:eastAsia="宋体" w:cs="宋体"/>
                <w:color w:val="auto"/>
                <w:kern w:val="2"/>
                <w:sz w:val="24"/>
                <w:szCs w:val="24"/>
                <w:highlight w:val="none"/>
                <w:lang w:val="en-US" w:eastAsia="zh-CN" w:bidi="ar"/>
              </w:rPr>
              <w:t>合同期内及质保期内提供24小时应急响应到场服务，承诺响应服务处理结束后提交问题处理报告，不到场1次以上视为违约；</w:t>
            </w:r>
            <w:r>
              <w:rPr>
                <w:rFonts w:hint="eastAsia" w:ascii="宋体" w:hAnsi="宋体" w:eastAsia="宋体" w:cs="宋体"/>
                <w:bCs/>
                <w:color w:val="auto"/>
                <w:kern w:val="2"/>
                <w:sz w:val="24"/>
                <w:szCs w:val="24"/>
                <w:highlight w:val="none"/>
                <w:lang w:val="en-US" w:eastAsia="zh-CN" w:bidi="ar"/>
              </w:rPr>
              <w:t>③</w:t>
            </w:r>
            <w:r>
              <w:rPr>
                <w:rFonts w:hint="eastAsia" w:ascii="宋体" w:hAnsi="宋体" w:eastAsia="宋体" w:cs="宋体"/>
                <w:color w:val="auto"/>
                <w:kern w:val="2"/>
                <w:sz w:val="24"/>
                <w:szCs w:val="24"/>
                <w:highlight w:val="none"/>
                <w:lang w:val="en-US" w:eastAsia="zh-CN" w:bidi="ar"/>
              </w:rPr>
              <w:t>有保密责任承诺书；</w:t>
            </w:r>
            <w:r>
              <w:rPr>
                <w:rFonts w:hint="eastAsia" w:ascii="宋体" w:hAnsi="宋体" w:eastAsia="宋体" w:cs="宋体"/>
                <w:bCs/>
                <w:color w:val="auto"/>
                <w:kern w:val="2"/>
                <w:sz w:val="24"/>
                <w:szCs w:val="24"/>
                <w:highlight w:val="none"/>
                <w:lang w:val="en-US" w:eastAsia="zh-CN" w:bidi="ar"/>
              </w:rPr>
              <w:t>④</w:t>
            </w:r>
            <w:r>
              <w:rPr>
                <w:rFonts w:hint="eastAsia" w:ascii="宋体" w:hAnsi="宋体" w:eastAsia="宋体" w:cs="宋体"/>
                <w:color w:val="auto"/>
                <w:kern w:val="2"/>
                <w:sz w:val="24"/>
                <w:szCs w:val="24"/>
                <w:highlight w:val="none"/>
                <w:lang w:val="en-US" w:eastAsia="zh-CN" w:bidi="ar"/>
              </w:rPr>
              <w:t>协助做好重大活动等时间节点保障活动食品抽检工作；</w:t>
            </w:r>
            <w:r>
              <w:rPr>
                <w:rFonts w:hint="eastAsia" w:ascii="宋体" w:hAnsi="宋体" w:eastAsia="宋体" w:cs="宋体"/>
                <w:bCs/>
                <w:color w:val="auto"/>
                <w:kern w:val="2"/>
                <w:sz w:val="24"/>
                <w:szCs w:val="24"/>
                <w:highlight w:val="none"/>
                <w:lang w:val="en-US" w:eastAsia="zh-CN" w:bidi="ar"/>
              </w:rPr>
              <w:t>⑤</w:t>
            </w:r>
            <w:r>
              <w:rPr>
                <w:rFonts w:hint="eastAsia" w:ascii="宋体" w:hAnsi="宋体" w:eastAsia="宋体" w:cs="宋体"/>
                <w:color w:val="auto"/>
                <w:kern w:val="2"/>
                <w:sz w:val="24"/>
                <w:szCs w:val="24"/>
                <w:highlight w:val="none"/>
                <w:lang w:val="en-US" w:eastAsia="zh-CN" w:bidi="ar"/>
              </w:rPr>
              <w:t>协助做好食品安全突发事件应急演练保障工作；</w:t>
            </w:r>
            <w:r>
              <w:rPr>
                <w:rFonts w:hint="eastAsia" w:ascii="宋体" w:hAnsi="宋体" w:eastAsia="宋体" w:cs="宋体"/>
                <w:bCs/>
                <w:color w:val="auto"/>
                <w:kern w:val="2"/>
                <w:sz w:val="24"/>
                <w:szCs w:val="24"/>
                <w:highlight w:val="none"/>
                <w:lang w:val="en-US" w:eastAsia="zh-CN" w:bidi="ar"/>
              </w:rPr>
              <w:t>⑥</w:t>
            </w:r>
            <w:r>
              <w:rPr>
                <w:rFonts w:hint="eastAsia" w:ascii="宋体" w:hAnsi="宋体" w:eastAsia="宋体" w:cs="宋体"/>
                <w:color w:val="auto"/>
                <w:kern w:val="2"/>
                <w:sz w:val="24"/>
                <w:szCs w:val="24"/>
                <w:highlight w:val="none"/>
                <w:lang w:val="en-US" w:eastAsia="zh-CN" w:bidi="ar"/>
              </w:rPr>
              <w:t>各级股东中无外资成分及外籍员工的声明；</w:t>
            </w:r>
            <w:r>
              <w:rPr>
                <w:rFonts w:hint="eastAsia" w:ascii="宋体" w:hAnsi="宋体" w:eastAsia="宋体" w:cs="宋体"/>
                <w:bCs/>
                <w:color w:val="auto"/>
                <w:kern w:val="2"/>
                <w:sz w:val="24"/>
                <w:szCs w:val="24"/>
                <w:highlight w:val="none"/>
                <w:lang w:val="en-US" w:eastAsia="zh-CN" w:bidi="ar"/>
              </w:rPr>
              <w:t>以上六项内容均有体现且完全满足采购实际需求的得</w:t>
            </w:r>
            <w:r>
              <w:rPr>
                <w:rFonts w:hint="eastAsia" w:ascii="宋体" w:hAnsi="宋体" w:eastAsia="宋体" w:cs="仿宋"/>
                <w:bCs/>
                <w:color w:val="auto"/>
                <w:kern w:val="2"/>
                <w:sz w:val="24"/>
                <w:szCs w:val="24"/>
                <w:highlight w:val="none"/>
                <w:lang w:val="en-US" w:eastAsia="zh-CN" w:bidi="ar"/>
              </w:rPr>
              <w:t>6</w:t>
            </w:r>
            <w:r>
              <w:rPr>
                <w:rFonts w:hint="eastAsia" w:ascii="宋体" w:hAnsi="宋体" w:eastAsia="宋体" w:cs="宋体"/>
                <w:bCs/>
                <w:color w:val="auto"/>
                <w:kern w:val="2"/>
                <w:sz w:val="24"/>
                <w:szCs w:val="24"/>
                <w:highlight w:val="none"/>
                <w:lang w:val="en-US" w:eastAsia="zh-CN" w:bidi="ar"/>
              </w:rPr>
              <w:t>分；每有一项内容缺失的扣1分；每有一项内容存在缺陷或者不能满足采购实际需求的扣</w:t>
            </w:r>
            <w:r>
              <w:rPr>
                <w:rFonts w:hint="eastAsia" w:ascii="宋体" w:hAnsi="宋体" w:eastAsia="宋体" w:cs="仿宋"/>
                <w:bCs/>
                <w:color w:val="auto"/>
                <w:kern w:val="2"/>
                <w:sz w:val="24"/>
                <w:szCs w:val="24"/>
                <w:highlight w:val="none"/>
                <w:lang w:val="en-US" w:eastAsia="zh-CN" w:bidi="ar"/>
              </w:rPr>
              <w:t>0.5</w:t>
            </w:r>
            <w:r>
              <w:rPr>
                <w:rFonts w:hint="eastAsia" w:ascii="宋体" w:hAnsi="宋体" w:eastAsia="宋体" w:cs="宋体"/>
                <w:bCs/>
                <w:color w:val="auto"/>
                <w:kern w:val="2"/>
                <w:sz w:val="24"/>
                <w:szCs w:val="24"/>
                <w:highlight w:val="none"/>
                <w:lang w:val="en-US" w:eastAsia="zh-CN" w:bidi="ar"/>
              </w:rPr>
              <w:t>分，扣完为止；本项满分为6分，未提供</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DDEC1B8">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6分</w:t>
            </w:r>
          </w:p>
        </w:tc>
      </w:tr>
      <w:tr w14:paraId="7B16F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FF4A4A3">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4CF81121">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检验项目响应程度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2CD35EE">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根据投标人提供的检验项目商务、技术偏离表是否符合招标文件“第四部分，服务标准和要求”，完全响应得5分，偏离一项扣1分，扣完为止。</w:t>
            </w:r>
          </w:p>
          <w:p w14:paraId="657100E5">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注：投标人提供的所投包组项目须提交实验室资质认可复印件盖章。</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049D1DA">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7EF6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7"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4660D1D">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13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4BF07F3">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0"/>
                <w:sz w:val="24"/>
                <w:szCs w:val="24"/>
                <w:highlight w:val="none"/>
                <w:lang w:val="en-US" w:eastAsia="zh-CN" w:bidi="zh-CN"/>
              </w:rPr>
            </w:pPr>
            <w:r>
              <w:rPr>
                <w:rFonts w:hint="eastAsia" w:ascii="宋体" w:hAnsi="宋体" w:cs="宋体"/>
                <w:color w:val="auto"/>
                <w:kern w:val="2"/>
                <w:sz w:val="24"/>
                <w:szCs w:val="24"/>
                <w:highlight w:val="none"/>
                <w:lang w:val="en-US" w:eastAsia="zh-CN" w:bidi="ar"/>
              </w:rPr>
              <w:t>承检</w:t>
            </w:r>
            <w:r>
              <w:rPr>
                <w:rFonts w:hint="eastAsia" w:ascii="宋体" w:hAnsi="宋体" w:eastAsia="宋体" w:cs="宋体"/>
                <w:color w:val="auto"/>
                <w:kern w:val="2"/>
                <w:sz w:val="24"/>
                <w:szCs w:val="24"/>
                <w:highlight w:val="none"/>
                <w:lang w:val="en-US" w:eastAsia="zh-CN" w:bidi="ar"/>
              </w:rPr>
              <w:t>机构考核</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93AEB21">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1.202</w:t>
            </w: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年1月1日以来，在行业相关监管部门（食品、食用农产品监管部门）组织的承检机构考核中的综合评价满意度情况：</w:t>
            </w:r>
          </w:p>
          <w:p w14:paraId="0EECD104">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（1）获得相关监管部门满意的考核评价（优秀，或等同于相同等次），有一个得</w:t>
            </w:r>
            <w:r>
              <w:rPr>
                <w:rFonts w:hint="eastAsia" w:ascii="宋体" w:hAnsi="宋体" w:cs="宋体"/>
                <w:color w:val="auto"/>
                <w:kern w:val="2"/>
                <w:sz w:val="24"/>
                <w:szCs w:val="24"/>
                <w:highlight w:val="none"/>
                <w:lang w:val="en-US" w:eastAsia="zh-CN" w:bidi="ar"/>
              </w:rPr>
              <w:t>0.5</w:t>
            </w:r>
            <w:r>
              <w:rPr>
                <w:rFonts w:hint="eastAsia" w:ascii="宋体" w:hAnsi="宋体" w:eastAsia="宋体" w:cs="宋体"/>
                <w:color w:val="auto"/>
                <w:kern w:val="2"/>
                <w:sz w:val="24"/>
                <w:szCs w:val="24"/>
                <w:highlight w:val="none"/>
                <w:lang w:val="en-US" w:eastAsia="zh-CN" w:bidi="ar"/>
              </w:rPr>
              <w:t>分；本项最高得2分。</w:t>
            </w:r>
          </w:p>
          <w:p w14:paraId="3B72B052">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注：须提供监管部门出具的“承检机构考核结果证明材料”原件扫描件，未提供不得分。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40B3198">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color w:val="auto"/>
                <w:kern w:val="0"/>
                <w:sz w:val="24"/>
                <w:szCs w:val="24"/>
                <w:highlight w:val="none"/>
                <w:lang w:bidi="zh-CN"/>
              </w:rPr>
              <w:t>2</w:t>
            </w:r>
            <w:r>
              <w:rPr>
                <w:rFonts w:hint="eastAsia"/>
                <w:color w:val="auto"/>
                <w:kern w:val="0"/>
                <w:sz w:val="24"/>
                <w:szCs w:val="24"/>
                <w:highlight w:val="none"/>
                <w:lang w:val="zh-CN" w:bidi="zh-CN"/>
              </w:rPr>
              <w:t>分</w:t>
            </w:r>
          </w:p>
        </w:tc>
      </w:tr>
      <w:tr w14:paraId="573B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2C0190A4">
            <w:pPr>
              <w:keepNext w:val="0"/>
              <w:keepLines w:val="0"/>
              <w:widowControl w:val="0"/>
              <w:suppressLineNumbers w:val="0"/>
              <w:spacing w:before="0" w:beforeAutospacing="0" w:after="0" w:afterAutospacing="0"/>
              <w:ind w:left="0" w:leftChars="0" w:right="0" w:rightChars="0"/>
              <w:jc w:val="center"/>
              <w:rPr>
                <w:rFonts w:hint="eastAsia" w:ascii="宋体" w:hAnsi="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14</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2EBFC86">
            <w:pPr>
              <w:keepNext w:val="0"/>
              <w:keepLines w:val="0"/>
              <w:widowControl w:val="0"/>
              <w:suppressLineNumbers w:val="0"/>
              <w:spacing w:before="0" w:beforeAutospacing="0" w:after="0" w:afterAutospacing="0"/>
              <w:ind w:left="0" w:leftChars="0" w:right="0" w:rightChars="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围绕食品抽检工作开展的食品安全宣传和服务等情况</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4BB518BE">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近3年（自202</w:t>
            </w:r>
            <w:r>
              <w:rPr>
                <w:rFonts w:hint="eastAsia" w:ascii="宋体" w:hAnsi="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年1月1日以来）围绕食品抽检工作开展的食品安全宣传和服务等情况：</w:t>
            </w:r>
          </w:p>
          <w:p w14:paraId="51BCA854">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配合开展食品安全宣传和服务等相关工作3次及以上的，得2分；</w:t>
            </w:r>
          </w:p>
          <w:p w14:paraId="26FDE472">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配合开展食品安全宣传和服务等相关工作1-2次的，得1分</w:t>
            </w:r>
          </w:p>
          <w:p w14:paraId="28989FE8">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未开展的，得0分。</w:t>
            </w:r>
          </w:p>
          <w:p w14:paraId="4A6AE83D">
            <w:pPr>
              <w:keepNext w:val="0"/>
              <w:keepLines w:val="0"/>
              <w:widowControl w:val="0"/>
              <w:suppressLineNumbers w:val="0"/>
              <w:snapToGrid w:val="0"/>
              <w:spacing w:before="0" w:beforeAutospacing="0" w:after="0" w:afterAutospacing="0"/>
              <w:ind w:left="0" w:leftChars="0" w:right="0" w:rightChars="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注：须提供相关证明材料，证明材料为任务书、新闻稿等，不具备上述工作经验或未提供有效证明文件的不得分。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80CD318">
            <w:pPr>
              <w:keepNext w:val="0"/>
              <w:keepLines w:val="0"/>
              <w:widowControl w:val="0"/>
              <w:suppressLineNumbers w:val="0"/>
              <w:snapToGrid w:val="0"/>
              <w:spacing w:before="0" w:beforeAutospacing="0" w:after="0" w:afterAutospacing="0"/>
              <w:ind w:left="0" w:leftChars="0" w:right="0" w:rightChars="0"/>
              <w:jc w:val="center"/>
              <w:rPr>
                <w:rFonts w:hint="eastAsia"/>
                <w:color w:val="auto"/>
                <w:kern w:val="0"/>
                <w:sz w:val="24"/>
                <w:szCs w:val="24"/>
                <w:highlight w:val="none"/>
                <w:lang w:bidi="zh-CN"/>
              </w:rPr>
            </w:pPr>
            <w:r>
              <w:rPr>
                <w:rFonts w:hint="eastAsia"/>
                <w:color w:val="auto"/>
                <w:kern w:val="0"/>
                <w:sz w:val="24"/>
                <w:szCs w:val="24"/>
                <w:highlight w:val="none"/>
                <w:lang w:val="en-US" w:bidi="zh-CN"/>
              </w:rPr>
              <w:t>2分</w:t>
            </w:r>
          </w:p>
        </w:tc>
      </w:tr>
      <w:tr w14:paraId="414D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2E0B588">
            <w:pPr>
              <w:keepNext w:val="0"/>
              <w:keepLines w:val="0"/>
              <w:widowControl w:val="0"/>
              <w:suppressLineNumbers w:val="0"/>
              <w:snapToGrid w:val="0"/>
              <w:spacing w:before="0" w:beforeAutospacing="0" w:after="0" w:afterAutospacing="0"/>
              <w:ind w:left="0" w:right="0"/>
              <w:jc w:val="both"/>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商务部分评分2</w:t>
            </w:r>
            <w:r>
              <w:rPr>
                <w:rFonts w:hint="eastAsia" w:ascii="宋体" w:hAnsi="宋体" w:eastAsia="宋体" w:cs="Courier New"/>
                <w:b/>
                <w:bCs w:val="0"/>
                <w:color w:val="auto"/>
                <w:kern w:val="2"/>
                <w:sz w:val="24"/>
                <w:szCs w:val="24"/>
                <w:highlight w:val="none"/>
                <w:lang w:val="en-US" w:eastAsia="zh-CN" w:bidi="ar"/>
              </w:rPr>
              <w:t>0</w:t>
            </w:r>
            <w:r>
              <w:rPr>
                <w:rFonts w:hint="eastAsia" w:ascii="宋体" w:hAnsi="宋体" w:eastAsia="宋体" w:cs="宋体"/>
                <w:b/>
                <w:bCs w:val="0"/>
                <w:color w:val="auto"/>
                <w:kern w:val="2"/>
                <w:sz w:val="24"/>
                <w:szCs w:val="24"/>
                <w:highlight w:val="none"/>
                <w:lang w:val="en-US" w:eastAsia="zh-CN" w:bidi="ar"/>
              </w:rPr>
              <w:t>分</w:t>
            </w:r>
          </w:p>
        </w:tc>
      </w:tr>
      <w:tr w14:paraId="0AC4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restart"/>
            <w:tcBorders>
              <w:top w:val="nil"/>
              <w:left w:val="single" w:color="auto" w:sz="4" w:space="0"/>
              <w:bottom w:val="single" w:color="auto" w:sz="4" w:space="0"/>
              <w:right w:val="single" w:color="auto" w:sz="4" w:space="0"/>
            </w:tcBorders>
            <w:shd w:val="clear" w:color="auto" w:fill="auto"/>
            <w:vAlign w:val="center"/>
          </w:tcPr>
          <w:p w14:paraId="14910F02">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5E77ABC">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企业</w:t>
            </w:r>
            <w:r>
              <w:rPr>
                <w:rFonts w:hint="eastAsia" w:ascii="宋体" w:hAnsi="宋体" w:eastAsia="宋体" w:cs="宋体"/>
                <w:color w:val="auto"/>
                <w:kern w:val="2"/>
                <w:sz w:val="24"/>
                <w:szCs w:val="24"/>
                <w:highlight w:val="none"/>
                <w:lang w:val="en-US" w:eastAsia="zh-CN" w:bidi="ar"/>
              </w:rPr>
              <w:t>实力</w:t>
            </w:r>
          </w:p>
          <w:p w14:paraId="3CA6F240">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7191A14C">
            <w:pPr>
              <w:keepNext w:val="0"/>
              <w:keepLines w:val="0"/>
              <w:widowControl w:val="0"/>
              <w:suppressLineNumbers w:val="0"/>
              <w:snapToGrid w:val="0"/>
              <w:spacing w:before="0" w:beforeAutospacing="0" w:after="0" w:afterAutospacing="0"/>
              <w:ind w:left="0" w:right="0"/>
              <w:jc w:val="left"/>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rPr>
              <w:t>供应商</w:t>
            </w:r>
            <w:r>
              <w:rPr>
                <w:rFonts w:hint="eastAsia" w:ascii="宋体" w:hAnsi="宋体" w:eastAsia="宋体" w:cs="Times New Roman"/>
                <w:color w:val="auto"/>
                <w:kern w:val="2"/>
                <w:sz w:val="24"/>
                <w:szCs w:val="24"/>
                <w:highlight w:val="none"/>
                <w:lang w:eastAsia="zh-CN"/>
              </w:rPr>
              <w:t>告知承诺</w:t>
            </w:r>
            <w:r>
              <w:rPr>
                <w:rFonts w:hint="eastAsia" w:ascii="宋体" w:hAnsi="宋体" w:eastAsia="宋体" w:cs="Times New Roman"/>
                <w:color w:val="auto"/>
                <w:kern w:val="2"/>
                <w:sz w:val="24"/>
                <w:szCs w:val="24"/>
                <w:highlight w:val="none"/>
              </w:rPr>
              <w:t>系统有专职录入人员得2分；未提供证明材料</w:t>
            </w:r>
            <w:r>
              <w:rPr>
                <w:rFonts w:hint="eastAsia" w:ascii="宋体" w:hAnsi="宋体" w:eastAsia="宋体" w:cs="Times New Roman"/>
                <w:color w:val="auto"/>
                <w:kern w:val="2"/>
                <w:sz w:val="24"/>
                <w:szCs w:val="24"/>
                <w:highlight w:val="none"/>
                <w:lang w:eastAsia="zh-CN"/>
              </w:rPr>
              <w:t>（国抽平台显示人员姓名截图）</w:t>
            </w:r>
            <w:r>
              <w:rPr>
                <w:rFonts w:hint="eastAsia" w:ascii="宋体" w:hAnsi="宋体" w:eastAsia="宋体" w:cs="Times New Roman"/>
                <w:color w:val="auto"/>
                <w:kern w:val="2"/>
                <w:sz w:val="24"/>
                <w:szCs w:val="24"/>
                <w:highlight w:val="none"/>
              </w:rPr>
              <w:t>、未参加过培训</w:t>
            </w:r>
            <w:r>
              <w:rPr>
                <w:rFonts w:hint="eastAsia" w:ascii="宋体" w:hAnsi="宋体" w:eastAsia="宋体" w:cs="Times New Roman"/>
                <w:color w:val="auto"/>
                <w:kern w:val="2"/>
                <w:sz w:val="24"/>
                <w:szCs w:val="24"/>
                <w:highlight w:val="none"/>
                <w:lang w:eastAsia="zh-CN"/>
              </w:rPr>
              <w:t>（培训记录）</w:t>
            </w:r>
            <w:r>
              <w:rPr>
                <w:rFonts w:hint="eastAsia" w:ascii="宋体" w:hAnsi="宋体" w:eastAsia="宋体" w:cs="Times New Roman"/>
                <w:color w:val="auto"/>
                <w:kern w:val="2"/>
                <w:sz w:val="24"/>
                <w:szCs w:val="24"/>
                <w:highlight w:val="none"/>
              </w:rPr>
              <w:t>不得分。（2分）</w:t>
            </w:r>
          </w:p>
        </w:tc>
        <w:tc>
          <w:tcPr>
            <w:tcW w:w="12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6CDE8F9">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参考投标人的经营资质、行业口碑、资信情况进行打分（10分）</w:t>
            </w:r>
          </w:p>
          <w:p w14:paraId="3F6B7F8B">
            <w:pPr>
              <w:pStyle w:val="5"/>
              <w:suppressLineNumbers w:val="0"/>
              <w:spacing w:beforeAutospacing="0" w:afterAutospacing="0"/>
              <w:ind w:left="0" w:right="0"/>
              <w:rPr>
                <w:rFonts w:hint="eastAsia"/>
                <w:color w:val="auto"/>
                <w:sz w:val="24"/>
                <w:szCs w:val="24"/>
                <w:highlight w:val="none"/>
              </w:rPr>
            </w:pPr>
          </w:p>
        </w:tc>
      </w:tr>
      <w:tr w14:paraId="5FFB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2C653C95">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A41F7F">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BEE3571">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eastAsia="zh-CN"/>
              </w:rPr>
            </w:pPr>
            <w:r>
              <w:rPr>
                <w:rFonts w:hint="default"/>
                <w:color w:val="auto"/>
                <w:sz w:val="24"/>
                <w:szCs w:val="24"/>
                <w:highlight w:val="none"/>
                <w:lang w:val="en-US" w:eastAsia="zh-CN"/>
              </w:rPr>
              <w:t>供应商提供的中国合格评定国家认可委员会实验室认证认可证书（CMA证书）得1分。</w:t>
            </w:r>
          </w:p>
          <w:p w14:paraId="0A57F1D5">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rPr>
            </w:pPr>
            <w:r>
              <w:rPr>
                <w:rFonts w:hint="default"/>
                <w:color w:val="auto"/>
                <w:sz w:val="24"/>
                <w:szCs w:val="24"/>
                <w:highlight w:val="none"/>
                <w:lang w:val="en-US" w:eastAsia="zh-CN"/>
              </w:rPr>
              <w:t>供应商提供中国合格评定国家认可委员会颁发的认可证书（CNAS证书）得1</w:t>
            </w:r>
            <w:r>
              <w:rPr>
                <w:rFonts w:hint="default"/>
                <w:color w:val="auto"/>
                <w:sz w:val="24"/>
                <w:szCs w:val="24"/>
                <w:highlight w:val="none"/>
                <w:lang w:val="en-US"/>
              </w:rPr>
              <w:t>分</w:t>
            </w:r>
            <w:r>
              <w:rPr>
                <w:rFonts w:hint="default"/>
                <w:color w:val="auto"/>
                <w:sz w:val="24"/>
                <w:szCs w:val="24"/>
                <w:highlight w:val="none"/>
                <w:lang w:val="en-US" w:eastAsia="zh-CN"/>
              </w:rPr>
              <w:t>。</w:t>
            </w:r>
          </w:p>
          <w:p w14:paraId="0C2E1877">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rPr>
            </w:pPr>
            <w:r>
              <w:rPr>
                <w:rFonts w:hint="default"/>
                <w:color w:val="auto"/>
                <w:sz w:val="24"/>
                <w:szCs w:val="24"/>
                <w:highlight w:val="none"/>
                <w:lang w:val="en-US" w:eastAsia="zh-CN"/>
              </w:rPr>
              <w:t>未提供不得分。</w:t>
            </w:r>
          </w:p>
        </w:tc>
        <w:tc>
          <w:tcPr>
            <w:tcW w:w="12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192DB7">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68A0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3DD61896">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580742">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B226479">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获得国家级能力验证及实验室比对结果满意1项得1分</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获得省级以上能力验证及实验室比对结果满意5项得2分；10项得3分；10项以上得6分；</w:t>
            </w:r>
          </w:p>
          <w:p w14:paraId="3DCDFEEE">
            <w:pPr>
              <w:keepNext w:val="0"/>
              <w:keepLines w:val="0"/>
              <w:widowControl w:val="0"/>
              <w:suppressLineNumbers w:val="0"/>
              <w:snapToGrid w:val="0"/>
              <w:spacing w:before="0" w:beforeAutospacing="0" w:after="0" w:afterAutospacing="0"/>
              <w:ind w:left="0" w:right="0"/>
              <w:jc w:val="left"/>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注：须提供近三年</w:t>
            </w:r>
            <w:r>
              <w:rPr>
                <w:rFonts w:hint="eastAsia" w:ascii="宋体" w:hAnsi="宋体" w:cs="宋体"/>
                <w:color w:val="auto"/>
                <w:kern w:val="2"/>
                <w:sz w:val="24"/>
                <w:szCs w:val="24"/>
                <w:highlight w:val="none"/>
                <w:lang w:val="en-US" w:eastAsia="zh-CN" w:bidi="ar"/>
              </w:rPr>
              <w:t>（2023年-至今）</w:t>
            </w:r>
            <w:r>
              <w:rPr>
                <w:rFonts w:hint="eastAsia" w:ascii="宋体" w:hAnsi="宋体" w:eastAsia="宋体" w:cs="宋体"/>
                <w:color w:val="auto"/>
                <w:kern w:val="2"/>
                <w:sz w:val="24"/>
                <w:szCs w:val="24"/>
                <w:highlight w:val="none"/>
                <w:lang w:val="en-US" w:eastAsia="zh-CN" w:bidi="ar"/>
              </w:rPr>
              <w:t>国家级或省级能力验证或实验室比对满意结果证书复印件或公告证明资料。最多计6分，未提供得不得分。</w:t>
            </w:r>
          </w:p>
        </w:tc>
        <w:tc>
          <w:tcPr>
            <w:tcW w:w="12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440A3A">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69F3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7"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4EDE3930">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341736B">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类似项目经营业绩及其它有利资料</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4CEE97A2">
            <w:pPr>
              <w:keepNext w:val="0"/>
              <w:keepLines w:val="0"/>
              <w:widowControl w:val="0"/>
              <w:suppressLineNumbers w:val="0"/>
              <w:snapToGrid w:val="0"/>
              <w:spacing w:before="0" w:beforeAutospacing="0" w:after="0" w:afterAutospacing="0"/>
              <w:ind w:left="0" w:right="0"/>
              <w:jc w:val="left"/>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投标人近三年（202</w:t>
            </w:r>
            <w:r>
              <w:rPr>
                <w:rFonts w:hint="eastAsia" w:ascii="宋体" w:hAnsi="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年-至今，业绩认定时间以委托检验合同或委托书或中标通知书为准）承担过类似项目业绩，则一个得2分，总计8分，需要提供委托检验合同或委托书或中标通知书等。</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3CF9CA5A">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经营业绩（8分）</w:t>
            </w:r>
          </w:p>
        </w:tc>
      </w:tr>
      <w:tr w14:paraId="5DBA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57F4194">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E2F9F0A">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售后</w:t>
            </w:r>
          </w:p>
          <w:p w14:paraId="64C6F69A">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服务</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78E9B6F">
            <w:pPr>
              <w:keepNext w:val="0"/>
              <w:keepLines w:val="0"/>
              <w:widowControl w:val="0"/>
              <w:suppressLineNumbers w:val="0"/>
              <w:snapToGrid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能够提供食品安全监督抽检分析报告及派遣人员协助抽检监测数据汇总和信息公示进行打分，承诺两项均能做到得2分；仅提供食品安全监督抽检分析报告得1分，仅派遣人员协助抽检监测数据汇总和信息公示得1分；否则，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E90A7CA">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书面承诺书（2分）</w:t>
            </w:r>
          </w:p>
        </w:tc>
      </w:tr>
    </w:tbl>
    <w:p w14:paraId="378F819C">
      <w:pPr>
        <w:rPr>
          <w:color w:val="auto"/>
          <w:highlight w:val="none"/>
        </w:rPr>
      </w:pPr>
    </w:p>
    <w:p w14:paraId="2E06061B">
      <w:pPr>
        <w:rPr>
          <w:color w:val="auto"/>
          <w:highlight w:val="none"/>
        </w:rPr>
      </w:pPr>
    </w:p>
    <w:p w14:paraId="0E1178F4">
      <w:pPr>
        <w:rPr>
          <w:color w:val="auto"/>
          <w:highlight w:val="none"/>
        </w:rPr>
      </w:pPr>
    </w:p>
    <w:p w14:paraId="0BDAC2F5">
      <w:pPr>
        <w:rPr>
          <w:color w:val="auto"/>
          <w:highlight w:val="none"/>
        </w:rPr>
      </w:pPr>
    </w:p>
    <w:p w14:paraId="69A57B62">
      <w:pPr>
        <w:rPr>
          <w:color w:val="auto"/>
          <w:highlight w:val="none"/>
        </w:rPr>
      </w:pPr>
    </w:p>
    <w:p w14:paraId="2149EEE0">
      <w:pPr>
        <w:rPr>
          <w:color w:val="auto"/>
          <w:highlight w:val="none"/>
        </w:rPr>
      </w:pPr>
    </w:p>
    <w:p w14:paraId="50A30EA7">
      <w:pPr>
        <w:rPr>
          <w:color w:val="auto"/>
          <w:highlight w:val="none"/>
        </w:rPr>
      </w:pPr>
    </w:p>
    <w:p w14:paraId="10C5D8E6">
      <w:pPr>
        <w:rPr>
          <w:color w:val="auto"/>
          <w:highlight w:val="none"/>
        </w:rPr>
      </w:pPr>
    </w:p>
    <w:p w14:paraId="48302760">
      <w:pPr>
        <w:rPr>
          <w:color w:val="auto"/>
          <w:highlight w:val="none"/>
        </w:rPr>
      </w:pPr>
    </w:p>
    <w:p w14:paraId="5642CC07">
      <w:pPr>
        <w:rPr>
          <w:color w:val="auto"/>
          <w:highlight w:val="none"/>
        </w:rPr>
      </w:pPr>
    </w:p>
    <w:p w14:paraId="5F580973">
      <w:pPr>
        <w:rPr>
          <w:color w:val="auto"/>
          <w:highlight w:val="none"/>
        </w:rPr>
      </w:pPr>
    </w:p>
    <w:p w14:paraId="772C010A">
      <w:pPr>
        <w:rPr>
          <w:color w:val="auto"/>
          <w:highlight w:val="none"/>
        </w:rPr>
      </w:pPr>
    </w:p>
    <w:p w14:paraId="46100070">
      <w:pPr>
        <w:rPr>
          <w:color w:val="auto"/>
          <w:highlight w:val="none"/>
        </w:rPr>
      </w:pPr>
    </w:p>
    <w:p w14:paraId="02C81372">
      <w:pPr>
        <w:rPr>
          <w:color w:val="auto"/>
          <w:highlight w:val="none"/>
        </w:rPr>
      </w:pPr>
    </w:p>
    <w:p w14:paraId="62F6076B">
      <w:pPr>
        <w:rPr>
          <w:color w:val="auto"/>
          <w:highlight w:val="none"/>
        </w:rPr>
      </w:pPr>
    </w:p>
    <w:p w14:paraId="3726F470">
      <w:pPr>
        <w:rPr>
          <w:color w:val="auto"/>
          <w:highlight w:val="none"/>
        </w:rPr>
      </w:pPr>
    </w:p>
    <w:p w14:paraId="7E2213F8">
      <w:pPr>
        <w:rPr>
          <w:color w:val="auto"/>
          <w:highlight w:val="none"/>
        </w:rPr>
      </w:pPr>
    </w:p>
    <w:p w14:paraId="0547EB4F">
      <w:pPr>
        <w:rPr>
          <w:color w:val="auto"/>
          <w:highlight w:val="none"/>
        </w:rPr>
      </w:pPr>
    </w:p>
    <w:p w14:paraId="4006F600">
      <w:pPr>
        <w:rPr>
          <w:color w:val="auto"/>
          <w:highlight w:val="none"/>
        </w:rPr>
      </w:pPr>
    </w:p>
    <w:tbl>
      <w:tblPr>
        <w:tblStyle w:val="30"/>
        <w:tblpPr w:leftFromText="180" w:rightFromText="180" w:vertAnchor="text" w:horzAnchor="page" w:tblpX="1354" w:tblpY="988"/>
        <w:tblOverlap w:val="never"/>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8"/>
        <w:gridCol w:w="1030"/>
        <w:gridCol w:w="6370"/>
        <w:gridCol w:w="1231"/>
      </w:tblGrid>
      <w:tr w14:paraId="78D8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9"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C21F15D">
            <w:pPr>
              <w:jc w:val="center"/>
              <w:rPr>
                <w:rFonts w:hint="eastAsia" w:ascii="宋体" w:hAnsi="宋体" w:eastAsia="宋体" w:cs="宋体"/>
                <w:b/>
                <w:bCs w:val="0"/>
                <w:color w:val="auto"/>
                <w:kern w:val="2"/>
                <w:sz w:val="24"/>
                <w:szCs w:val="24"/>
                <w:highlight w:val="none"/>
                <w:lang w:val="en-US" w:eastAsia="zh-CN" w:bidi="ar"/>
              </w:rPr>
            </w:pPr>
            <w:r>
              <w:rPr>
                <w:rFonts w:hint="eastAsia" w:ascii="宋体" w:hAnsi="宋体" w:cs="宋体"/>
                <w:b/>
                <w:bCs/>
                <w:color w:val="auto"/>
                <w:sz w:val="24"/>
                <w:szCs w:val="24"/>
                <w:highlight w:val="none"/>
                <w:lang w:val="en-US" w:eastAsia="zh-CN"/>
              </w:rPr>
              <w:t xml:space="preserve">标项六          </w:t>
            </w:r>
            <w:r>
              <w:rPr>
                <w:rFonts w:hint="eastAsia" w:ascii="宋体" w:hAnsi="宋体" w:eastAsia="宋体" w:cs="宋体"/>
                <w:b w:val="0"/>
                <w:bCs w:val="0"/>
                <w:color w:val="auto"/>
                <w:sz w:val="24"/>
                <w:szCs w:val="24"/>
                <w:highlight w:val="none"/>
              </w:rPr>
              <w:t>技术、商务部分评审标准（</w:t>
            </w:r>
            <w:r>
              <w:rPr>
                <w:rFonts w:hint="eastAsia" w:ascii="宋体" w:hAnsi="宋体" w:cs="宋体"/>
                <w:b w:val="0"/>
                <w:bCs w:val="0"/>
                <w:color w:val="auto"/>
                <w:sz w:val="24"/>
                <w:szCs w:val="24"/>
                <w:highlight w:val="none"/>
                <w:lang w:val="en-US" w:eastAsia="zh-CN"/>
              </w:rPr>
              <w:t>90</w:t>
            </w:r>
            <w:r>
              <w:rPr>
                <w:rFonts w:hint="eastAsia" w:ascii="宋体" w:hAnsi="宋体" w:eastAsia="宋体" w:cs="宋体"/>
                <w:b w:val="0"/>
                <w:bCs w:val="0"/>
                <w:color w:val="auto"/>
                <w:sz w:val="24"/>
                <w:szCs w:val="24"/>
                <w:highlight w:val="none"/>
              </w:rPr>
              <w:t>分）</w:t>
            </w:r>
          </w:p>
        </w:tc>
      </w:tr>
      <w:tr w14:paraId="2C7C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6EAA6F5">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序号</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E31C665">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项目</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20EAD58">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评审内容</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2D91355">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分值</w:t>
            </w:r>
          </w:p>
        </w:tc>
      </w:tr>
      <w:tr w14:paraId="3EED7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5DE0417F">
            <w:pPr>
              <w:keepNext w:val="0"/>
              <w:keepLines w:val="0"/>
              <w:widowControl w:val="0"/>
              <w:suppressLineNumbers w:val="0"/>
              <w:snapToGrid w:val="0"/>
              <w:spacing w:before="0" w:beforeAutospacing="0" w:after="0" w:afterAutospacing="0"/>
              <w:ind w:left="0" w:right="0"/>
              <w:jc w:val="both"/>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技术部分评分</w:t>
            </w:r>
            <w:r>
              <w:rPr>
                <w:rFonts w:hint="eastAsia" w:ascii="宋体" w:hAnsi="宋体" w:eastAsia="宋体" w:cs="Courier New"/>
                <w:b/>
                <w:bCs w:val="0"/>
                <w:color w:val="auto"/>
                <w:kern w:val="2"/>
                <w:sz w:val="24"/>
                <w:szCs w:val="24"/>
                <w:highlight w:val="none"/>
                <w:lang w:val="en-US" w:eastAsia="zh-CN" w:bidi="ar"/>
              </w:rPr>
              <w:t>70</w:t>
            </w:r>
            <w:r>
              <w:rPr>
                <w:rFonts w:hint="eastAsia" w:ascii="宋体" w:hAnsi="宋体" w:eastAsia="宋体" w:cs="宋体"/>
                <w:b/>
                <w:bCs w:val="0"/>
                <w:color w:val="auto"/>
                <w:kern w:val="2"/>
                <w:sz w:val="24"/>
                <w:szCs w:val="24"/>
                <w:highlight w:val="none"/>
                <w:lang w:val="en-US" w:eastAsia="zh-CN" w:bidi="ar"/>
              </w:rPr>
              <w:t>分</w:t>
            </w:r>
          </w:p>
        </w:tc>
      </w:tr>
      <w:tr w14:paraId="32F7C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62D0E711">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36700FF">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管理</w:t>
            </w:r>
          </w:p>
          <w:p w14:paraId="2C480C7D">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制度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63E33A3">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针对本项目提供的管理制度进行综合评分，内容包含但不限于：①质量管理体系完善、健全；财务会计制度完善、健全；②管理制度完善、健全；③食品安全检验检测制度特别是抽样检验法规规范及知识培训制度完善（有相应的培训记录佐证材料）、健全；④责任追究制度完善、健全；⑤检验档案管理制度完善、健全。以上五项内容均有体现且完全满足采购实际需求的得5分；每有一项内容缺失的扣1分；每有一项内容存在缺陷或者不能满足采购实际需求的扣0.5分，扣完为止；本项满分为5分，未提供管理制度的则不得分。注：</w:t>
            </w:r>
            <w:r>
              <w:rPr>
                <w:rFonts w:hint="eastAsia" w:ascii="宋体" w:hAnsi="宋体" w:eastAsia="宋体" w:cs="宋体"/>
                <w:bCs/>
                <w:color w:val="auto"/>
                <w:kern w:val="2"/>
                <w:sz w:val="24"/>
                <w:szCs w:val="24"/>
                <w:highlight w:val="none"/>
                <w:lang w:val="en-US" w:eastAsia="zh-CN" w:bidi="ar"/>
              </w:rPr>
              <w:t>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50E85FD">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3B24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62179FA">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AAABBDC">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突发事件的应急响应方案</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6D0E559">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rPr>
              <w:t>根据承担抽检任务提供的事前、事中、事后应急预防处理措施包括但不限于：</w:t>
            </w:r>
          </w:p>
          <w:p w14:paraId="383AACF8">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（1）突发食品安全事件应对；</w:t>
            </w:r>
          </w:p>
          <w:p w14:paraId="5BE1D36B">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（2）</w:t>
            </w:r>
            <w:r>
              <w:rPr>
                <w:rFonts w:hint="eastAsia" w:ascii="宋体" w:hAnsi="宋体" w:eastAsia="宋体" w:cs="仿宋"/>
                <w:bCs/>
                <w:color w:val="auto"/>
                <w:kern w:val="2"/>
                <w:sz w:val="24"/>
                <w:szCs w:val="24"/>
                <w:highlight w:val="none"/>
                <w:lang w:eastAsia="zh-CN"/>
              </w:rPr>
              <w:t>现场抽样</w:t>
            </w:r>
            <w:r>
              <w:rPr>
                <w:rFonts w:hint="eastAsia" w:ascii="宋体" w:hAnsi="宋体" w:eastAsia="宋体" w:cs="仿宋"/>
                <w:bCs/>
                <w:color w:val="auto"/>
                <w:kern w:val="2"/>
                <w:sz w:val="24"/>
                <w:szCs w:val="24"/>
                <w:highlight w:val="none"/>
              </w:rPr>
              <w:t>应急预案；</w:t>
            </w:r>
          </w:p>
          <w:p w14:paraId="7D6540C0">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（3）实验室检验检测应急预案；</w:t>
            </w:r>
          </w:p>
          <w:p w14:paraId="6346400E">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（4）检验数据应急上报；</w:t>
            </w:r>
          </w:p>
          <w:p w14:paraId="71CB9323">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（5）实验室对发生食品检测安全事故的处置；</w:t>
            </w:r>
          </w:p>
          <w:p w14:paraId="64F3AD70">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（6）对相关责任部门及责任人重大失误的处理等。</w:t>
            </w:r>
          </w:p>
          <w:p w14:paraId="469A0775">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以上方案内容均符合实际情况、内容完善详细、健全、完全响应采购要求的的得6分，</w:t>
            </w:r>
            <w:r>
              <w:rPr>
                <w:rFonts w:hint="eastAsia" w:ascii="宋体" w:hAnsi="宋体" w:eastAsia="宋体" w:cs="宋体"/>
                <w:color w:val="auto"/>
                <w:kern w:val="2"/>
                <w:sz w:val="24"/>
                <w:szCs w:val="24"/>
                <w:highlight w:val="none"/>
                <w:lang w:val="en-US" w:eastAsia="zh-CN" w:bidi="ar"/>
              </w:rPr>
              <w:t>每有一项内容缺失的扣1分</w:t>
            </w:r>
            <w:r>
              <w:rPr>
                <w:rFonts w:hint="eastAsia" w:ascii="宋体" w:hAnsi="宋体" w:cs="宋体"/>
                <w:color w:val="auto"/>
                <w:kern w:val="2"/>
                <w:sz w:val="24"/>
                <w:szCs w:val="24"/>
                <w:highlight w:val="none"/>
                <w:lang w:val="en-US" w:eastAsia="zh-CN" w:bidi="ar"/>
              </w:rPr>
              <w:t>，</w:t>
            </w:r>
            <w:r>
              <w:rPr>
                <w:rFonts w:hint="eastAsia" w:ascii="宋体" w:hAnsi="宋体" w:eastAsia="宋体" w:cs="仿宋"/>
                <w:bCs/>
                <w:color w:val="auto"/>
                <w:kern w:val="2"/>
                <w:sz w:val="24"/>
                <w:szCs w:val="24"/>
                <w:highlight w:val="none"/>
              </w:rPr>
              <w:t>每有一项内容不完整或未能满足采购需求的或每有一处不具有针对性或逻辑性错误且不完整的扣0.5分，扣完为止。</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1F430FE">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6</w:t>
            </w:r>
            <w:r>
              <w:rPr>
                <w:rFonts w:hint="eastAsia" w:ascii="宋体" w:hAnsi="宋体" w:eastAsia="宋体" w:cs="宋体"/>
                <w:color w:val="auto"/>
                <w:kern w:val="2"/>
                <w:sz w:val="24"/>
                <w:szCs w:val="24"/>
                <w:highlight w:val="none"/>
                <w:lang w:val="en-US" w:eastAsia="zh-CN" w:bidi="ar"/>
              </w:rPr>
              <w:t>分</w:t>
            </w:r>
          </w:p>
        </w:tc>
      </w:tr>
      <w:tr w14:paraId="6BBC1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D26EF75">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E44A932">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项目服务方案</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58CD558">
            <w:pPr>
              <w:keepNext w:val="0"/>
              <w:keepLines w:val="0"/>
              <w:widowControl w:val="0"/>
              <w:suppressLineNumbers w:val="0"/>
              <w:spacing w:before="0" w:beforeAutospacing="0" w:after="0" w:afterAutospacing="0" w:line="300" w:lineRule="exact"/>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根据投标人针对本项目提供的</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进行综合评分，内容包含但不限于：①</w:t>
            </w:r>
            <w:r>
              <w:rPr>
                <w:rFonts w:hint="eastAsia" w:ascii="宋体" w:hAnsi="宋体" w:eastAsia="宋体" w:cs="宋体"/>
                <w:color w:val="auto"/>
                <w:kern w:val="2"/>
                <w:sz w:val="24"/>
                <w:szCs w:val="24"/>
                <w:highlight w:val="none"/>
                <w:lang w:val="en-US" w:eastAsia="zh-CN" w:bidi="ar"/>
              </w:rPr>
              <w:t>拥有独立稳定持久的实验室管理系统</w:t>
            </w:r>
            <w:r>
              <w:rPr>
                <w:rFonts w:hint="eastAsia" w:ascii="宋体" w:hAnsi="宋体" w:eastAsia="宋体" w:cs="宋体"/>
                <w:bCs/>
                <w:color w:val="auto"/>
                <w:kern w:val="2"/>
                <w:sz w:val="24"/>
                <w:szCs w:val="24"/>
                <w:highlight w:val="none"/>
                <w:lang w:val="en-US" w:eastAsia="zh-CN" w:bidi="ar"/>
              </w:rPr>
              <w:t>；②</w:t>
            </w:r>
            <w:r>
              <w:rPr>
                <w:rFonts w:hint="eastAsia" w:ascii="宋体" w:hAnsi="宋体" w:eastAsia="宋体" w:cs="宋体"/>
                <w:color w:val="auto"/>
                <w:kern w:val="2"/>
                <w:sz w:val="24"/>
                <w:szCs w:val="24"/>
                <w:highlight w:val="none"/>
                <w:lang w:val="en-US" w:eastAsia="zh-CN" w:bidi="ar"/>
              </w:rPr>
              <w:t>实现抽样、流转、检验、原始记录、出具报告全环节在线管理且可追溯</w:t>
            </w:r>
            <w:r>
              <w:rPr>
                <w:rFonts w:hint="eastAsia" w:ascii="宋体" w:hAnsi="宋体" w:eastAsia="宋体" w:cs="宋体"/>
                <w:bCs/>
                <w:color w:val="auto"/>
                <w:kern w:val="2"/>
                <w:sz w:val="24"/>
                <w:szCs w:val="24"/>
                <w:highlight w:val="none"/>
                <w:lang w:val="en-US" w:eastAsia="zh-CN" w:bidi="ar"/>
              </w:rPr>
              <w:t>；以上两项内容均有体现且完全满足采购实际需求的得</w:t>
            </w:r>
            <w:r>
              <w:rPr>
                <w:rFonts w:hint="eastAsia" w:ascii="宋体" w:hAnsi="宋体" w:cs="仿宋"/>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分；每有一项内容缺失的扣</w:t>
            </w:r>
            <w:r>
              <w:rPr>
                <w:rFonts w:hint="eastAsia" w:ascii="宋体" w:hAnsi="宋体" w:cs="宋体"/>
                <w:bCs/>
                <w:color w:val="auto"/>
                <w:kern w:val="2"/>
                <w:sz w:val="24"/>
                <w:szCs w:val="24"/>
                <w:highlight w:val="none"/>
                <w:lang w:val="en-US" w:eastAsia="zh-CN" w:bidi="ar"/>
              </w:rPr>
              <w:t>4.5</w:t>
            </w:r>
            <w:r>
              <w:rPr>
                <w:rFonts w:hint="eastAsia" w:ascii="宋体" w:hAnsi="宋体" w:eastAsia="宋体" w:cs="宋体"/>
                <w:bCs/>
                <w:color w:val="auto"/>
                <w:kern w:val="2"/>
                <w:sz w:val="24"/>
                <w:szCs w:val="24"/>
                <w:highlight w:val="none"/>
                <w:lang w:val="en-US" w:eastAsia="zh-CN" w:bidi="ar"/>
              </w:rPr>
              <w:t>分；每有一项内容存在缺陷或者不能满足采购实际需求的扣</w:t>
            </w:r>
            <w:r>
              <w:rPr>
                <w:rFonts w:hint="eastAsia" w:ascii="宋体" w:hAnsi="宋体" w:cs="宋体"/>
                <w:bCs/>
                <w:color w:val="auto"/>
                <w:kern w:val="2"/>
                <w:sz w:val="24"/>
                <w:szCs w:val="24"/>
                <w:highlight w:val="none"/>
                <w:lang w:val="en-US" w:eastAsia="zh-CN" w:bidi="ar"/>
              </w:rPr>
              <w:t>2</w:t>
            </w:r>
            <w:r>
              <w:rPr>
                <w:rFonts w:hint="eastAsia" w:ascii="宋体" w:hAnsi="宋体" w:eastAsia="宋体" w:cs="宋体"/>
                <w:bCs/>
                <w:color w:val="auto"/>
                <w:kern w:val="2"/>
                <w:sz w:val="24"/>
                <w:szCs w:val="24"/>
                <w:highlight w:val="none"/>
                <w:lang w:val="en-US" w:eastAsia="zh-CN" w:bidi="ar"/>
              </w:rPr>
              <w:t>分，扣完为止；本项满分为</w:t>
            </w:r>
            <w:r>
              <w:rPr>
                <w:rFonts w:hint="eastAsia" w:ascii="宋体" w:hAnsi="宋体" w:cs="宋体"/>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分，未提供</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06CEAE6">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9</w:t>
            </w:r>
            <w:r>
              <w:rPr>
                <w:rFonts w:hint="eastAsia" w:ascii="宋体" w:hAnsi="宋体" w:eastAsia="宋体" w:cs="宋体"/>
                <w:color w:val="auto"/>
                <w:kern w:val="2"/>
                <w:sz w:val="24"/>
                <w:szCs w:val="24"/>
                <w:highlight w:val="none"/>
                <w:lang w:val="en-US" w:eastAsia="zh-CN" w:bidi="ar"/>
              </w:rPr>
              <w:t>分</w:t>
            </w:r>
          </w:p>
        </w:tc>
      </w:tr>
      <w:tr w14:paraId="2DE5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34CDCE1">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B07D5F0">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项目实施时间进度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815C734">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针对本项目提供的项目实施时间进度进行综合评分，内容包含但不限于：①实施时间的进度；②实施时间的保障措施；以上两项内容均有体现且完全满足采购实际需求的得5分；每有一项内容缺失的扣2.5分；每有一项内容存在缺陷或者不能满足采购实际需求的扣1.5分，扣完为止；本项满分为5分，未提供项目服务方案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5C99762">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4A44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4DB8D658">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413C927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工作</w:t>
            </w:r>
          </w:p>
          <w:p w14:paraId="10C1553F">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场地</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A7CB7A9">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lang w:val="zh-CN"/>
              </w:rPr>
            </w:pPr>
            <w:r>
              <w:rPr>
                <w:rFonts w:hint="eastAsia" w:ascii="宋体" w:hAnsi="宋体" w:eastAsia="宋体" w:cs="仿宋"/>
                <w:bCs/>
                <w:color w:val="auto"/>
                <w:kern w:val="2"/>
                <w:sz w:val="24"/>
                <w:szCs w:val="24"/>
                <w:highlight w:val="none"/>
              </w:rPr>
              <w:t>1.投标人具备独立开展食品安全检验实验室，环境良好，布局合理，根据</w:t>
            </w:r>
            <w:r>
              <w:rPr>
                <w:rFonts w:hint="eastAsia" w:ascii="宋体" w:hAnsi="宋体" w:eastAsia="宋体" w:cs="仿宋"/>
                <w:bCs/>
                <w:color w:val="auto"/>
                <w:kern w:val="2"/>
                <w:sz w:val="24"/>
                <w:szCs w:val="24"/>
                <w:highlight w:val="none"/>
                <w:lang w:val="zh-CN"/>
              </w:rPr>
              <w:t>开展食品安全抽样检验工作实验场所面积</w:t>
            </w:r>
            <w:r>
              <w:rPr>
                <w:rFonts w:hint="eastAsia" w:ascii="宋体" w:hAnsi="宋体" w:eastAsia="宋体" w:cs="仿宋"/>
                <w:bCs/>
                <w:color w:val="auto"/>
                <w:kern w:val="2"/>
                <w:sz w:val="24"/>
                <w:szCs w:val="24"/>
                <w:highlight w:val="none"/>
              </w:rPr>
              <w:t>综合评定</w:t>
            </w:r>
            <w:r>
              <w:rPr>
                <w:rFonts w:hint="eastAsia" w:ascii="宋体" w:hAnsi="宋体" w:eastAsia="宋体" w:cs="仿宋"/>
                <w:bCs/>
                <w:color w:val="auto"/>
                <w:kern w:val="2"/>
                <w:sz w:val="24"/>
                <w:szCs w:val="24"/>
                <w:highlight w:val="none"/>
                <w:lang w:val="zh-CN"/>
              </w:rPr>
              <w:t>：</w:t>
            </w:r>
          </w:p>
          <w:p w14:paraId="0367792F">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（1）5000（含）平方米及以上，得3分；</w:t>
            </w:r>
          </w:p>
          <w:p w14:paraId="3FF464E0">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（2）4000（含）-5000（不含）平方米，得2分；</w:t>
            </w:r>
          </w:p>
          <w:p w14:paraId="552DBE7C">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（3）3000（含）-4000（不含）平方米，得1分；</w:t>
            </w:r>
          </w:p>
          <w:p w14:paraId="26BFF634">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（4）不符合上述要求的，得0分。</w:t>
            </w:r>
          </w:p>
          <w:p w14:paraId="4F1B38D1">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注：</w:t>
            </w:r>
            <w:r>
              <w:rPr>
                <w:rFonts w:hint="eastAsia" w:ascii="宋体" w:hAnsi="宋体" w:cs="仿宋"/>
                <w:bCs/>
                <w:color w:val="auto"/>
                <w:kern w:val="2"/>
                <w:sz w:val="24"/>
                <w:szCs w:val="24"/>
                <w:highlight w:val="none"/>
                <w:lang w:val="en-US" w:eastAsia="zh-CN"/>
              </w:rPr>
              <w:t>①</w:t>
            </w:r>
            <w:r>
              <w:rPr>
                <w:rFonts w:hint="eastAsia" w:ascii="宋体" w:hAnsi="宋体" w:eastAsia="宋体" w:cs="仿宋"/>
                <w:bCs/>
                <w:color w:val="auto"/>
                <w:kern w:val="2"/>
                <w:sz w:val="24"/>
                <w:szCs w:val="24"/>
                <w:highlight w:val="none"/>
              </w:rPr>
              <w:t>投标人</w:t>
            </w:r>
            <w:r>
              <w:rPr>
                <w:rFonts w:hint="eastAsia" w:ascii="宋体" w:hAnsi="宋体" w:eastAsia="宋体" w:cs="仿宋"/>
                <w:bCs/>
                <w:color w:val="auto"/>
                <w:kern w:val="2"/>
                <w:sz w:val="24"/>
                <w:szCs w:val="24"/>
                <w:highlight w:val="none"/>
                <w:lang w:val="zh-CN"/>
              </w:rPr>
              <w:t>须承诺抽样检验的实验室为</w:t>
            </w:r>
            <w:r>
              <w:rPr>
                <w:rFonts w:hint="eastAsia" w:ascii="宋体" w:hAnsi="宋体" w:eastAsia="宋体" w:cs="仿宋"/>
                <w:bCs/>
                <w:color w:val="auto"/>
                <w:kern w:val="2"/>
                <w:sz w:val="24"/>
                <w:szCs w:val="24"/>
                <w:highlight w:val="none"/>
              </w:rPr>
              <w:t>投标人</w:t>
            </w:r>
            <w:r>
              <w:rPr>
                <w:rFonts w:hint="eastAsia" w:ascii="宋体" w:hAnsi="宋体" w:eastAsia="宋体" w:cs="仿宋"/>
                <w:bCs/>
                <w:color w:val="auto"/>
                <w:kern w:val="2"/>
                <w:sz w:val="24"/>
                <w:szCs w:val="24"/>
                <w:highlight w:val="none"/>
                <w:lang w:val="zh-CN"/>
              </w:rPr>
              <w:t>自有实验室，并提供承诺书。招标人有权在合同签订前进行现场考察，一旦发现弄虚作假，将取消中标资格，并报有关部门严肃处理；</w:t>
            </w:r>
            <w:r>
              <w:rPr>
                <w:rFonts w:hint="eastAsia" w:ascii="宋体" w:hAnsi="宋体" w:cs="仿宋"/>
                <w:bCs/>
                <w:color w:val="auto"/>
                <w:kern w:val="2"/>
                <w:sz w:val="24"/>
                <w:szCs w:val="24"/>
                <w:highlight w:val="none"/>
                <w:lang w:val="en-US" w:eastAsia="zh-CN"/>
              </w:rPr>
              <w:t>②</w:t>
            </w:r>
            <w:r>
              <w:rPr>
                <w:rFonts w:hint="eastAsia" w:ascii="宋体" w:hAnsi="宋体" w:eastAsia="宋体" w:cs="仿宋"/>
                <w:bCs/>
                <w:color w:val="auto"/>
                <w:kern w:val="2"/>
                <w:sz w:val="24"/>
                <w:szCs w:val="24"/>
                <w:highlight w:val="none"/>
                <w:lang w:val="zh-CN"/>
              </w:rPr>
              <w:t>提供抽样检验场所的房产证或所有权证明文件或服务期内有效的房屋租赁合同加发票扫描件及相关证明材料</w:t>
            </w:r>
            <w:r>
              <w:rPr>
                <w:rFonts w:hint="eastAsia" w:ascii="宋体" w:hAnsi="宋体" w:eastAsia="宋体" w:cs="仿宋"/>
                <w:bCs/>
                <w:color w:val="auto"/>
                <w:kern w:val="2"/>
                <w:sz w:val="24"/>
                <w:szCs w:val="24"/>
                <w:highlight w:val="none"/>
              </w:rPr>
              <w:t>（租房合同须为投标人签署或房屋产权证书产权人为投标人）</w:t>
            </w:r>
            <w:r>
              <w:rPr>
                <w:rFonts w:hint="eastAsia" w:ascii="宋体" w:hAnsi="宋体" w:eastAsia="宋体" w:cs="仿宋"/>
                <w:bCs/>
                <w:color w:val="auto"/>
                <w:kern w:val="2"/>
                <w:sz w:val="24"/>
                <w:szCs w:val="24"/>
                <w:highlight w:val="none"/>
                <w:lang w:val="zh-CN"/>
              </w:rPr>
              <w:t>；</w:t>
            </w:r>
            <w:r>
              <w:rPr>
                <w:rFonts w:hint="eastAsia" w:ascii="宋体" w:hAnsi="宋体" w:cs="仿宋"/>
                <w:bCs/>
                <w:color w:val="auto"/>
                <w:kern w:val="2"/>
                <w:sz w:val="24"/>
                <w:szCs w:val="24"/>
                <w:highlight w:val="none"/>
                <w:lang w:val="en-US" w:eastAsia="zh-CN"/>
              </w:rPr>
              <w:t>③</w:t>
            </w:r>
            <w:r>
              <w:rPr>
                <w:rFonts w:hint="eastAsia" w:ascii="宋体" w:hAnsi="宋体" w:eastAsia="宋体" w:cs="仿宋"/>
                <w:bCs/>
                <w:color w:val="auto"/>
                <w:kern w:val="2"/>
                <w:sz w:val="24"/>
                <w:szCs w:val="24"/>
                <w:highlight w:val="none"/>
                <w:lang w:val="zh-CN"/>
              </w:rPr>
              <w:t>提供食品实验室平面布局图，并提供各组成部分面积清单；</w:t>
            </w:r>
            <w:r>
              <w:rPr>
                <w:rFonts w:hint="eastAsia" w:ascii="宋体" w:hAnsi="宋体" w:cs="仿宋"/>
                <w:bCs/>
                <w:color w:val="auto"/>
                <w:kern w:val="2"/>
                <w:sz w:val="24"/>
                <w:szCs w:val="24"/>
                <w:highlight w:val="none"/>
                <w:lang w:val="en-US" w:eastAsia="zh-CN"/>
              </w:rPr>
              <w:t>④</w:t>
            </w:r>
            <w:r>
              <w:rPr>
                <w:rFonts w:hint="eastAsia" w:ascii="宋体" w:hAnsi="宋体" w:eastAsia="宋体" w:cs="仿宋"/>
                <w:bCs/>
                <w:color w:val="auto"/>
                <w:kern w:val="2"/>
                <w:sz w:val="24"/>
                <w:szCs w:val="24"/>
                <w:highlight w:val="none"/>
                <w:lang w:val="zh-CN"/>
              </w:rPr>
              <w:t>未达到上述要求或未提供有效证明文件的不得分。</w:t>
            </w:r>
          </w:p>
          <w:p w14:paraId="590DF835">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2.投标人具备独立的微生物实验室，面积综合评定：</w:t>
            </w:r>
          </w:p>
          <w:p w14:paraId="34305A81">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（1）300（含）平方米及以上，得2分；</w:t>
            </w:r>
          </w:p>
          <w:p w14:paraId="06EF3EE7">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（2）100（含）-300（不含）平方米，得1分；</w:t>
            </w:r>
          </w:p>
          <w:p w14:paraId="6F1EF280">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（3）不符合上述要求的，得0分。</w:t>
            </w:r>
          </w:p>
          <w:p w14:paraId="64E3B89E">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注：</w:t>
            </w:r>
            <w:r>
              <w:rPr>
                <w:rFonts w:hint="eastAsia" w:ascii="宋体" w:hAnsi="宋体" w:cs="仿宋"/>
                <w:bCs/>
                <w:color w:val="auto"/>
                <w:kern w:val="2"/>
                <w:sz w:val="24"/>
                <w:szCs w:val="24"/>
                <w:highlight w:val="none"/>
                <w:lang w:val="en-US" w:eastAsia="zh-CN"/>
              </w:rPr>
              <w:t>①</w:t>
            </w:r>
            <w:r>
              <w:rPr>
                <w:rFonts w:hint="eastAsia" w:ascii="宋体" w:hAnsi="宋体" w:eastAsia="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lang w:val="zh-CN" w:eastAsia="zh-CN"/>
              </w:rPr>
              <w:t>须承诺</w:t>
            </w:r>
            <w:r>
              <w:rPr>
                <w:rFonts w:hint="eastAsia" w:ascii="宋体" w:hAnsi="宋体" w:eastAsia="宋体" w:cs="仿宋"/>
                <w:bCs/>
                <w:color w:val="auto"/>
                <w:kern w:val="2"/>
                <w:sz w:val="24"/>
                <w:szCs w:val="24"/>
                <w:highlight w:val="none"/>
                <w:lang w:val="en-US" w:eastAsia="zh-CN"/>
              </w:rPr>
              <w:t>微生物</w:t>
            </w:r>
            <w:r>
              <w:rPr>
                <w:rFonts w:hint="eastAsia" w:ascii="宋体" w:hAnsi="宋体" w:eastAsia="宋体" w:cs="仿宋"/>
                <w:bCs/>
                <w:color w:val="auto"/>
                <w:kern w:val="2"/>
                <w:sz w:val="24"/>
                <w:szCs w:val="24"/>
                <w:highlight w:val="none"/>
                <w:lang w:val="zh-CN" w:eastAsia="zh-CN"/>
              </w:rPr>
              <w:t>实验室为</w:t>
            </w:r>
            <w:r>
              <w:rPr>
                <w:rFonts w:hint="eastAsia" w:ascii="宋体" w:hAnsi="宋体" w:eastAsia="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lang w:val="zh-CN" w:eastAsia="zh-CN"/>
              </w:rPr>
              <w:t>自有实验室，并提供承诺书。招标人有权在合同签订前进行现场考察，一旦发现弄虚作假，将取消中标资格，并报有关部门严肃处理；</w:t>
            </w:r>
            <w:r>
              <w:rPr>
                <w:rFonts w:hint="eastAsia" w:ascii="宋体" w:hAnsi="宋体" w:cs="仿宋"/>
                <w:bCs/>
                <w:color w:val="auto"/>
                <w:kern w:val="2"/>
                <w:sz w:val="24"/>
                <w:szCs w:val="24"/>
                <w:highlight w:val="none"/>
                <w:lang w:val="en-US" w:eastAsia="zh-CN"/>
              </w:rPr>
              <w:t>②</w:t>
            </w:r>
            <w:r>
              <w:rPr>
                <w:rFonts w:hint="eastAsia" w:ascii="宋体" w:hAnsi="宋体" w:eastAsia="宋体" w:cs="仿宋"/>
                <w:bCs/>
                <w:color w:val="auto"/>
                <w:kern w:val="2"/>
                <w:sz w:val="24"/>
                <w:szCs w:val="24"/>
                <w:highlight w:val="none"/>
                <w:lang w:val="zh-CN" w:eastAsia="zh-CN"/>
              </w:rPr>
              <w:t>提供抽样检验场所的房产证或所有权证明文件或服务期内有效的房屋租赁合同加发票扫描件及相关证明材料</w:t>
            </w:r>
            <w:r>
              <w:rPr>
                <w:rFonts w:hint="eastAsia" w:ascii="宋体" w:hAnsi="宋体" w:eastAsia="宋体" w:cs="仿宋"/>
                <w:bCs/>
                <w:color w:val="auto"/>
                <w:kern w:val="2"/>
                <w:sz w:val="24"/>
                <w:szCs w:val="24"/>
                <w:highlight w:val="none"/>
                <w:lang w:val="en-US" w:eastAsia="zh-CN"/>
              </w:rPr>
              <w:t>（租房合同须为投标人签署或房屋产权证书产权人为投标人）</w:t>
            </w:r>
            <w:r>
              <w:rPr>
                <w:rFonts w:hint="eastAsia" w:ascii="宋体" w:hAnsi="宋体" w:eastAsia="宋体" w:cs="仿宋"/>
                <w:bCs/>
                <w:color w:val="auto"/>
                <w:kern w:val="2"/>
                <w:sz w:val="24"/>
                <w:szCs w:val="24"/>
                <w:highlight w:val="none"/>
                <w:lang w:val="zh-CN" w:eastAsia="zh-CN"/>
              </w:rPr>
              <w:t>；</w:t>
            </w:r>
            <w:r>
              <w:rPr>
                <w:rFonts w:hint="eastAsia" w:ascii="宋体" w:hAnsi="宋体" w:cs="仿宋"/>
                <w:bCs/>
                <w:color w:val="auto"/>
                <w:kern w:val="2"/>
                <w:sz w:val="24"/>
                <w:szCs w:val="24"/>
                <w:highlight w:val="none"/>
                <w:lang w:val="en-US" w:eastAsia="zh-CN"/>
              </w:rPr>
              <w:t>③</w:t>
            </w:r>
            <w:r>
              <w:rPr>
                <w:rFonts w:hint="eastAsia" w:ascii="宋体" w:hAnsi="宋体" w:eastAsia="宋体" w:cs="仿宋"/>
                <w:bCs/>
                <w:color w:val="auto"/>
                <w:kern w:val="2"/>
                <w:sz w:val="24"/>
                <w:szCs w:val="24"/>
                <w:highlight w:val="none"/>
                <w:lang w:val="zh-CN" w:eastAsia="zh-CN"/>
              </w:rPr>
              <w:t>提供</w:t>
            </w:r>
            <w:r>
              <w:rPr>
                <w:rFonts w:hint="eastAsia" w:ascii="宋体" w:hAnsi="宋体" w:eastAsia="宋体" w:cs="仿宋"/>
                <w:bCs/>
                <w:color w:val="auto"/>
                <w:kern w:val="2"/>
                <w:sz w:val="24"/>
                <w:szCs w:val="24"/>
                <w:highlight w:val="none"/>
                <w:lang w:val="en-US" w:eastAsia="zh-CN"/>
              </w:rPr>
              <w:t>微生物</w:t>
            </w:r>
            <w:r>
              <w:rPr>
                <w:rFonts w:hint="eastAsia" w:ascii="宋体" w:hAnsi="宋体" w:eastAsia="宋体" w:cs="仿宋"/>
                <w:bCs/>
                <w:color w:val="auto"/>
                <w:kern w:val="2"/>
                <w:sz w:val="24"/>
                <w:szCs w:val="24"/>
                <w:highlight w:val="none"/>
                <w:lang w:val="zh-CN" w:eastAsia="zh-CN"/>
              </w:rPr>
              <w:t>实验室</w:t>
            </w:r>
            <w:r>
              <w:rPr>
                <w:rFonts w:hint="eastAsia" w:ascii="宋体" w:hAnsi="宋体" w:eastAsia="宋体" w:cs="仿宋"/>
                <w:bCs/>
                <w:color w:val="auto"/>
                <w:kern w:val="2"/>
                <w:sz w:val="24"/>
                <w:szCs w:val="24"/>
                <w:highlight w:val="none"/>
                <w:lang w:val="en-US" w:eastAsia="zh-CN"/>
              </w:rPr>
              <w:t>及</w:t>
            </w:r>
            <w:r>
              <w:rPr>
                <w:rFonts w:hint="eastAsia" w:ascii="宋体" w:hAnsi="宋体" w:eastAsia="宋体" w:cs="仿宋"/>
                <w:bCs/>
                <w:color w:val="auto"/>
                <w:kern w:val="2"/>
                <w:sz w:val="24"/>
                <w:szCs w:val="24"/>
                <w:highlight w:val="none"/>
                <w:lang w:val="zh-CN" w:eastAsia="zh-CN"/>
              </w:rPr>
              <w:t>平面布局图，并提供各组成部分面积清单；</w:t>
            </w:r>
            <w:r>
              <w:rPr>
                <w:rFonts w:hint="eastAsia" w:ascii="宋体" w:hAnsi="宋体" w:cs="仿宋"/>
                <w:bCs/>
                <w:color w:val="auto"/>
                <w:kern w:val="2"/>
                <w:sz w:val="24"/>
                <w:szCs w:val="24"/>
                <w:highlight w:val="none"/>
                <w:lang w:val="en-US" w:eastAsia="zh-CN"/>
              </w:rPr>
              <w:t>④</w:t>
            </w:r>
            <w:r>
              <w:rPr>
                <w:rFonts w:hint="eastAsia" w:ascii="宋体" w:hAnsi="宋体" w:eastAsia="宋体" w:cs="仿宋"/>
                <w:bCs/>
                <w:color w:val="auto"/>
                <w:kern w:val="2"/>
                <w:sz w:val="24"/>
                <w:szCs w:val="24"/>
                <w:highlight w:val="none"/>
                <w:lang w:val="zh-CN" w:eastAsia="zh-CN"/>
              </w:rPr>
              <w:t>未达到上述要求或未提供有效证明文件的不得分。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56B41F0">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34B6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5DBE606">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4D02B3C5">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检验设备设施</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B61F75D">
            <w:pPr>
              <w:keepNext w:val="0"/>
              <w:keepLines w:val="0"/>
              <w:widowControl w:val="0"/>
              <w:numPr>
                <w:ilvl w:val="0"/>
                <w:numId w:val="8"/>
              </w:numPr>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具备液质联用仪GC/MS/MS、气质联用仪LC/MS/MS、HPLC（高效液相色谱仪）、GC（气相色谱仪）、UV（紫外分光光度计）、AAS（原子吸收光谱仪）、微波消解仪等（或同功能设备）、ICP-MS（电感耦合等离子体质谱仪）、IC（离子色谱仪）、电感耦合等离子体发射光谱仪（ICP-OES）、液相-原子荧光联用仪（LC-AFS）等与本项目相关的设备，得6分，少一项扣1分，扣完为止。</w:t>
            </w:r>
          </w:p>
          <w:p w14:paraId="3EB3A42B">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如果具备以上设备，20台以上（含）的，且GC/MS/MS、LC/MS/MS各2台以上（含）加2分；如果具备以上设备15台以上（含）的，且GC/MS/MS、LC/MS/MS各2台以上（含）加1.5分；如果具备以上设备10台以上（含）的，且GC/MS/MS或LC/MS/MS各2台以上（含）加1分；其他情况得0分。</w:t>
            </w:r>
          </w:p>
          <w:p w14:paraId="5D25B1EB">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（提供仪器设备清单、设备购置发票或仪器计量检定校准认证证书、相关实验室放置图片证明、购销合同或售后服务保障证明）</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3EFD7B1">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8分</w:t>
            </w:r>
          </w:p>
        </w:tc>
      </w:tr>
      <w:tr w14:paraId="28C2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5CA0B8D">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69742ED">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样品运输及冷藏设备</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D37CBF2">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样品运输设备，如冷藏设备及车辆配置等情况进行比较（提供发票复印件）：自有或租赁车辆4辆以上（含4辆）、冷藏设备6台以上（含6台）得3分；自有或租赁车辆2-3辆（含2辆）、冷藏设备4-5台得2分；自有或租赁车辆2辆以下（含2辆）、冷藏设备4台以下得1分；其它情况0分。</w:t>
            </w:r>
          </w:p>
          <w:p w14:paraId="751545AB">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投标人自建或者租赁冷库面积50㎡以上（含50㎡）得1分，自建或者租赁冷库面积30㎡-50㎡得0.5分；其他情况0分。</w:t>
            </w:r>
          </w:p>
          <w:p w14:paraId="312278A8">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注：需提供项目本地采样车辆和冷藏设备的图片证明材料，冷库建设或者租赁合同。</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26FD8F7">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4分</w:t>
            </w:r>
          </w:p>
        </w:tc>
      </w:tr>
      <w:tr w14:paraId="7788B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96A99CA">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D63AC50">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科研及技术创新能力评价</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47CAB85F">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1、近三年</w:t>
            </w:r>
            <w:r>
              <w:rPr>
                <w:rFonts w:hint="eastAsia" w:ascii="宋体" w:hAnsi="宋体" w:cs="宋体"/>
                <w:color w:val="auto"/>
                <w:kern w:val="2"/>
                <w:sz w:val="24"/>
                <w:szCs w:val="24"/>
                <w:highlight w:val="none"/>
                <w:lang w:val="en-US" w:eastAsia="zh-CN" w:bidi="ar"/>
              </w:rPr>
              <w:t>（2023年-至今）</w:t>
            </w:r>
            <w:r>
              <w:rPr>
                <w:rFonts w:hint="eastAsia" w:ascii="宋体" w:hAnsi="宋体" w:eastAsia="宋体" w:cs="宋体"/>
                <w:color w:val="auto"/>
                <w:kern w:val="2"/>
                <w:sz w:val="24"/>
                <w:szCs w:val="24"/>
                <w:highlight w:val="none"/>
                <w:lang w:val="en-US" w:eastAsia="zh-CN" w:bidi="ar"/>
              </w:rPr>
              <w:t>投标人</w:t>
            </w:r>
            <w:r>
              <w:rPr>
                <w:rFonts w:hint="eastAsia"/>
                <w:color w:val="auto"/>
                <w:sz w:val="24"/>
                <w:szCs w:val="24"/>
                <w:highlight w:val="none"/>
                <w:lang w:eastAsia="zh-CN"/>
              </w:rPr>
              <w:t>起草食品检测相关标准</w:t>
            </w:r>
            <w:r>
              <w:rPr>
                <w:rFonts w:hint="eastAsia"/>
                <w:color w:val="auto"/>
                <w:sz w:val="24"/>
                <w:szCs w:val="24"/>
                <w:highlight w:val="none"/>
                <w:lang w:val="en-US" w:eastAsia="zh-CN"/>
              </w:rPr>
              <w:t>一项得0.5分</w:t>
            </w:r>
            <w:r>
              <w:rPr>
                <w:rFonts w:hint="eastAsia" w:ascii="宋体" w:hAnsi="宋体" w:eastAsia="宋体" w:cs="宋体"/>
                <w:color w:val="auto"/>
                <w:kern w:val="2"/>
                <w:sz w:val="24"/>
                <w:szCs w:val="24"/>
                <w:highlight w:val="none"/>
                <w:lang w:val="en-US" w:eastAsia="zh-CN" w:bidi="ar"/>
              </w:rPr>
              <w:t>；本项满分</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w:t>
            </w:r>
          </w:p>
          <w:p w14:paraId="754452AB">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（提供相关标准原文等相关证明材料备查，否则不得分）</w:t>
            </w:r>
          </w:p>
          <w:p w14:paraId="71EA2303">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2.投标人202</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年1月1日（含）以来获得的</w:t>
            </w:r>
            <w:r>
              <w:rPr>
                <w:rFonts w:hint="eastAsia"/>
                <w:color w:val="auto"/>
                <w:sz w:val="24"/>
                <w:szCs w:val="24"/>
                <w:highlight w:val="none"/>
                <w:lang w:eastAsia="zh-CN"/>
              </w:rPr>
              <w:t>食品检测相关专利证书</w:t>
            </w:r>
            <w:r>
              <w:rPr>
                <w:rFonts w:hint="eastAsia" w:ascii="宋体" w:hAnsi="宋体" w:eastAsia="宋体" w:cs="宋体"/>
                <w:color w:val="auto"/>
                <w:kern w:val="2"/>
                <w:sz w:val="24"/>
                <w:szCs w:val="24"/>
                <w:highlight w:val="none"/>
                <w:lang w:val="en-US" w:eastAsia="zh-CN" w:bidi="ar"/>
              </w:rPr>
              <w:t>，有1个得0.5分，最高得</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分。（需提供专利证书证明材料备查，软件著作权登记证书不得分）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0321A46">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分</w:t>
            </w:r>
          </w:p>
        </w:tc>
      </w:tr>
      <w:tr w14:paraId="072A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2E07EEAC">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2EEA5D8">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项目负责人及证书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BF8BE8B">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具备食品相关专业高级以上职称，有类似项目经历的得4分；具备相关食品专业中级职称，缺少类似项目经历的得2分。中途更换，视为违约。（需提供职称证书和</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项目负责人（</w:t>
            </w:r>
            <w:r>
              <w:rPr>
                <w:rFonts w:hint="eastAsia" w:ascii="宋体" w:hAnsi="宋体" w:cs="宋体"/>
                <w:color w:val="auto"/>
                <w:kern w:val="2"/>
                <w:sz w:val="24"/>
                <w:szCs w:val="24"/>
                <w:highlight w:val="none"/>
                <w:lang w:val="en-US" w:eastAsia="zh-CN" w:bidi="ar"/>
              </w:rPr>
              <w:t>含</w:t>
            </w:r>
            <w:r>
              <w:rPr>
                <w:rFonts w:hint="eastAsia" w:ascii="宋体" w:hAnsi="宋体" w:eastAsia="宋体" w:cs="宋体"/>
                <w:color w:val="auto"/>
                <w:kern w:val="2"/>
                <w:sz w:val="24"/>
                <w:szCs w:val="24"/>
                <w:highlight w:val="none"/>
                <w:lang w:val="en-US" w:eastAsia="zh-CN" w:bidi="ar"/>
              </w:rPr>
              <w:t>主要技术人员）应与投标书内人员一致）</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9469714">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4分</w:t>
            </w:r>
          </w:p>
        </w:tc>
      </w:tr>
      <w:tr w14:paraId="5EA6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vMerge w:val="restart"/>
            <w:tcBorders>
              <w:top w:val="nil"/>
              <w:left w:val="single" w:color="auto" w:sz="4" w:space="0"/>
              <w:bottom w:val="single" w:color="auto" w:sz="4" w:space="0"/>
              <w:right w:val="single" w:color="auto" w:sz="4" w:space="0"/>
            </w:tcBorders>
            <w:shd w:val="clear" w:color="auto" w:fill="auto"/>
            <w:vAlign w:val="center"/>
          </w:tcPr>
          <w:p w14:paraId="23109F57">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10</w:t>
            </w:r>
          </w:p>
        </w:tc>
        <w:tc>
          <w:tcPr>
            <w:tcW w:w="1030" w:type="dxa"/>
            <w:vMerge w:val="restart"/>
            <w:tcBorders>
              <w:top w:val="nil"/>
              <w:left w:val="single" w:color="auto" w:sz="4" w:space="0"/>
              <w:bottom w:val="single" w:color="auto" w:sz="4" w:space="0"/>
              <w:right w:val="single" w:color="auto" w:sz="4" w:space="0"/>
            </w:tcBorders>
            <w:shd w:val="clear" w:color="auto" w:fill="auto"/>
            <w:vAlign w:val="center"/>
          </w:tcPr>
          <w:p w14:paraId="31931907">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项目实施团队能力</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8E04902">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1.投标人所配服务人员中为本单位人员，且具有专职承担食品抽检工作的独立抽样人员：10人及以下：1分；11-19人：2分；20人及以上：3分。</w:t>
            </w:r>
          </w:p>
          <w:p w14:paraId="38B1A48E">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注：（1）须提供独立抽样工作人员名单及抽样员证（或其他证明性材料）复印件；（2）提供</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材料。</w:t>
            </w:r>
          </w:p>
        </w:tc>
        <w:tc>
          <w:tcPr>
            <w:tcW w:w="1231" w:type="dxa"/>
            <w:vMerge w:val="restart"/>
            <w:tcBorders>
              <w:top w:val="nil"/>
              <w:left w:val="single" w:color="auto" w:sz="4" w:space="0"/>
              <w:bottom w:val="single" w:color="auto" w:sz="4" w:space="0"/>
              <w:right w:val="single" w:color="auto" w:sz="4" w:space="0"/>
            </w:tcBorders>
            <w:shd w:val="clear" w:color="auto" w:fill="auto"/>
            <w:vAlign w:val="center"/>
          </w:tcPr>
          <w:p w14:paraId="370B50E9">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9分</w:t>
            </w:r>
          </w:p>
        </w:tc>
      </w:tr>
      <w:tr w14:paraId="0D3C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5BC5D94D">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nil"/>
              <w:left w:val="single" w:color="auto" w:sz="4" w:space="0"/>
              <w:bottom w:val="single" w:color="auto" w:sz="4" w:space="0"/>
              <w:right w:val="single" w:color="auto" w:sz="4" w:space="0"/>
            </w:tcBorders>
            <w:shd w:val="clear" w:color="auto" w:fill="auto"/>
            <w:vAlign w:val="center"/>
          </w:tcPr>
          <w:p w14:paraId="35BFB046">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4A48371B">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2.投标人所配服务人员中为本单位人员，专职从事食品检验人员的数量：20人及以下：1分；21-30人：2分；30人及以上：3分。</w:t>
            </w:r>
          </w:p>
          <w:p w14:paraId="35F1DA31">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注：（1）须提供专职从事食品检验人员名单及食品检验人员上岗证（或其他证明性材料）复印件；（2）提供</w:t>
            </w:r>
            <w:r>
              <w:rPr>
                <w:rFonts w:hint="eastAsia"/>
                <w:color w:val="auto"/>
                <w:sz w:val="24"/>
                <w:szCs w:val="24"/>
                <w:highlight w:val="none"/>
                <w:lang w:val="en-US" w:eastAsia="zh-CN"/>
              </w:rPr>
              <w:t>近六个月任意一个月缴纳社会保障证明</w:t>
            </w:r>
            <w:r>
              <w:rPr>
                <w:rFonts w:hint="eastAsia" w:ascii="宋体" w:hAnsi="宋体" w:eastAsia="宋体" w:cs="宋体"/>
                <w:color w:val="auto"/>
                <w:kern w:val="2"/>
                <w:sz w:val="24"/>
                <w:szCs w:val="24"/>
                <w:highlight w:val="none"/>
                <w:lang w:val="en-US" w:eastAsia="zh-CN" w:bidi="ar"/>
              </w:rPr>
              <w:t>材料。</w:t>
            </w:r>
          </w:p>
        </w:tc>
        <w:tc>
          <w:tcPr>
            <w:tcW w:w="1231" w:type="dxa"/>
            <w:vMerge w:val="continue"/>
            <w:tcBorders>
              <w:top w:val="nil"/>
              <w:left w:val="single" w:color="auto" w:sz="4" w:space="0"/>
              <w:bottom w:val="single" w:color="auto" w:sz="4" w:space="0"/>
              <w:right w:val="single" w:color="auto" w:sz="4" w:space="0"/>
            </w:tcBorders>
            <w:shd w:val="clear" w:color="auto" w:fill="auto"/>
            <w:vAlign w:val="center"/>
          </w:tcPr>
          <w:p w14:paraId="655A100F">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43216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065A6D33">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nil"/>
              <w:left w:val="single" w:color="auto" w:sz="4" w:space="0"/>
              <w:bottom w:val="single" w:color="auto" w:sz="4" w:space="0"/>
              <w:right w:val="single" w:color="auto" w:sz="4" w:space="0"/>
            </w:tcBorders>
            <w:shd w:val="clear" w:color="auto" w:fill="auto"/>
            <w:vAlign w:val="center"/>
          </w:tcPr>
          <w:p w14:paraId="269E4751">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7AEC72D4">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3.投标人所配服务人员中为本单位人员，具有高级技术职称，专职从事食品检验业务相关工作且在单位满2年及以上的人员数量：6人及以下：1.5分；7-9人：2分；10人及以上：3分。</w:t>
            </w:r>
          </w:p>
          <w:p w14:paraId="0BEE1610">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注：（1）须提供人员名单（至少包含：姓名、年龄、文化程度、职务、职称、从事本技术领域年限、现在部门岗位）并加盖公章；（2）提供人员高级职称证书复印件；（3）提供</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w:t>
            </w:r>
          </w:p>
        </w:tc>
        <w:tc>
          <w:tcPr>
            <w:tcW w:w="1231" w:type="dxa"/>
            <w:vMerge w:val="continue"/>
            <w:tcBorders>
              <w:top w:val="nil"/>
              <w:left w:val="single" w:color="auto" w:sz="4" w:space="0"/>
              <w:bottom w:val="single" w:color="auto" w:sz="4" w:space="0"/>
              <w:right w:val="single" w:color="auto" w:sz="4" w:space="0"/>
            </w:tcBorders>
            <w:shd w:val="clear" w:color="auto" w:fill="auto"/>
            <w:vAlign w:val="center"/>
          </w:tcPr>
          <w:p w14:paraId="0CD29C6A">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568C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6DCE5238">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586516A">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服务</w:t>
            </w:r>
          </w:p>
          <w:p w14:paraId="7662EAAE">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承诺</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F5035F0">
            <w:pPr>
              <w:keepNext w:val="0"/>
              <w:keepLines w:val="0"/>
              <w:widowControl w:val="0"/>
              <w:suppressLineNumbers w:val="0"/>
              <w:spacing w:before="0" w:beforeAutospacing="0" w:after="0" w:afterAutospacing="0" w:line="300" w:lineRule="exact"/>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根据投标人针对本项目提供的</w:t>
            </w:r>
            <w:r>
              <w:rPr>
                <w:rFonts w:hint="eastAsia" w:ascii="宋体" w:hAnsi="宋体" w:eastAsia="宋体" w:cs="宋体"/>
                <w:color w:val="auto"/>
                <w:kern w:val="2"/>
                <w:sz w:val="24"/>
                <w:szCs w:val="24"/>
                <w:highlight w:val="none"/>
                <w:lang w:val="en-US" w:eastAsia="zh-CN" w:bidi="ar"/>
              </w:rPr>
              <w:t>服务承诺</w:t>
            </w:r>
            <w:r>
              <w:rPr>
                <w:rFonts w:hint="eastAsia" w:ascii="宋体" w:hAnsi="宋体" w:eastAsia="宋体" w:cs="宋体"/>
                <w:bCs/>
                <w:color w:val="auto"/>
                <w:kern w:val="2"/>
                <w:sz w:val="24"/>
                <w:szCs w:val="24"/>
                <w:highlight w:val="none"/>
                <w:lang w:val="en-US" w:eastAsia="zh-CN" w:bidi="ar"/>
              </w:rPr>
              <w:t>进行综合评分，内容包含但不限于：①</w:t>
            </w:r>
            <w:r>
              <w:rPr>
                <w:rFonts w:hint="eastAsia" w:ascii="宋体" w:hAnsi="宋体" w:eastAsia="宋体" w:cs="宋体"/>
                <w:color w:val="auto"/>
                <w:kern w:val="2"/>
                <w:sz w:val="24"/>
                <w:szCs w:val="24"/>
                <w:highlight w:val="none"/>
                <w:lang w:val="en-US" w:eastAsia="zh-CN" w:bidi="ar"/>
              </w:rPr>
              <w:t>项目实施期间，定时在甲方指定地点参加任务部署会、推进会，缺席2次以上，视为违约</w:t>
            </w:r>
            <w:r>
              <w:rPr>
                <w:rFonts w:hint="eastAsia" w:ascii="宋体" w:hAnsi="宋体" w:eastAsia="宋体" w:cs="宋体"/>
                <w:bCs/>
                <w:color w:val="auto"/>
                <w:kern w:val="2"/>
                <w:sz w:val="24"/>
                <w:szCs w:val="24"/>
                <w:highlight w:val="none"/>
                <w:lang w:val="en-US" w:eastAsia="zh-CN" w:bidi="ar"/>
              </w:rPr>
              <w:t>；②</w:t>
            </w:r>
            <w:r>
              <w:rPr>
                <w:rFonts w:hint="eastAsia" w:ascii="宋体" w:hAnsi="宋体" w:eastAsia="宋体" w:cs="宋体"/>
                <w:color w:val="auto"/>
                <w:kern w:val="2"/>
                <w:sz w:val="24"/>
                <w:szCs w:val="24"/>
                <w:highlight w:val="none"/>
                <w:lang w:val="en-US" w:eastAsia="zh-CN" w:bidi="ar"/>
              </w:rPr>
              <w:t>合同期内及质保期内提供24小时应急响应到场服务，承诺响应服务处理结束后提交问题处理报告，不到场1次以上视为违约；</w:t>
            </w:r>
            <w:r>
              <w:rPr>
                <w:rFonts w:hint="eastAsia" w:ascii="宋体" w:hAnsi="宋体" w:eastAsia="宋体" w:cs="宋体"/>
                <w:bCs/>
                <w:color w:val="auto"/>
                <w:kern w:val="2"/>
                <w:sz w:val="24"/>
                <w:szCs w:val="24"/>
                <w:highlight w:val="none"/>
                <w:lang w:val="en-US" w:eastAsia="zh-CN" w:bidi="ar"/>
              </w:rPr>
              <w:t>③</w:t>
            </w:r>
            <w:r>
              <w:rPr>
                <w:rFonts w:hint="eastAsia" w:ascii="宋体" w:hAnsi="宋体" w:eastAsia="宋体" w:cs="宋体"/>
                <w:color w:val="auto"/>
                <w:kern w:val="2"/>
                <w:sz w:val="24"/>
                <w:szCs w:val="24"/>
                <w:highlight w:val="none"/>
                <w:lang w:val="en-US" w:eastAsia="zh-CN" w:bidi="ar"/>
              </w:rPr>
              <w:t>有保密责任承诺书；</w:t>
            </w:r>
            <w:r>
              <w:rPr>
                <w:rFonts w:hint="eastAsia" w:ascii="宋体" w:hAnsi="宋体" w:eastAsia="宋体" w:cs="宋体"/>
                <w:bCs/>
                <w:color w:val="auto"/>
                <w:kern w:val="2"/>
                <w:sz w:val="24"/>
                <w:szCs w:val="24"/>
                <w:highlight w:val="none"/>
                <w:lang w:val="en-US" w:eastAsia="zh-CN" w:bidi="ar"/>
              </w:rPr>
              <w:t>④</w:t>
            </w:r>
            <w:r>
              <w:rPr>
                <w:rFonts w:hint="eastAsia" w:ascii="宋体" w:hAnsi="宋体" w:eastAsia="宋体" w:cs="宋体"/>
                <w:color w:val="auto"/>
                <w:kern w:val="2"/>
                <w:sz w:val="24"/>
                <w:szCs w:val="24"/>
                <w:highlight w:val="none"/>
                <w:lang w:val="en-US" w:eastAsia="zh-CN" w:bidi="ar"/>
              </w:rPr>
              <w:t>协助做好重大活动等时间节点保障活动食品抽检工作；</w:t>
            </w:r>
            <w:r>
              <w:rPr>
                <w:rFonts w:hint="eastAsia" w:ascii="宋体" w:hAnsi="宋体" w:eastAsia="宋体" w:cs="宋体"/>
                <w:bCs/>
                <w:color w:val="auto"/>
                <w:kern w:val="2"/>
                <w:sz w:val="24"/>
                <w:szCs w:val="24"/>
                <w:highlight w:val="none"/>
                <w:lang w:val="en-US" w:eastAsia="zh-CN" w:bidi="ar"/>
              </w:rPr>
              <w:t>⑤</w:t>
            </w:r>
            <w:r>
              <w:rPr>
                <w:rFonts w:hint="eastAsia" w:ascii="宋体" w:hAnsi="宋体" w:eastAsia="宋体" w:cs="宋体"/>
                <w:color w:val="auto"/>
                <w:kern w:val="2"/>
                <w:sz w:val="24"/>
                <w:szCs w:val="24"/>
                <w:highlight w:val="none"/>
                <w:lang w:val="en-US" w:eastAsia="zh-CN" w:bidi="ar"/>
              </w:rPr>
              <w:t>协助做好食品安全突发事件应急演练保障工作；</w:t>
            </w:r>
            <w:r>
              <w:rPr>
                <w:rFonts w:hint="eastAsia" w:ascii="宋体" w:hAnsi="宋体" w:eastAsia="宋体" w:cs="宋体"/>
                <w:bCs/>
                <w:color w:val="auto"/>
                <w:kern w:val="2"/>
                <w:sz w:val="24"/>
                <w:szCs w:val="24"/>
                <w:highlight w:val="none"/>
                <w:lang w:val="en-US" w:eastAsia="zh-CN" w:bidi="ar"/>
              </w:rPr>
              <w:t>⑥</w:t>
            </w:r>
            <w:r>
              <w:rPr>
                <w:rFonts w:hint="eastAsia" w:ascii="宋体" w:hAnsi="宋体" w:eastAsia="宋体" w:cs="宋体"/>
                <w:color w:val="auto"/>
                <w:kern w:val="2"/>
                <w:sz w:val="24"/>
                <w:szCs w:val="24"/>
                <w:highlight w:val="none"/>
                <w:lang w:val="en-US" w:eastAsia="zh-CN" w:bidi="ar"/>
              </w:rPr>
              <w:t>各级股东中无外资成分及外籍员工的声明；</w:t>
            </w:r>
            <w:r>
              <w:rPr>
                <w:rFonts w:hint="eastAsia" w:ascii="宋体" w:hAnsi="宋体" w:eastAsia="宋体" w:cs="宋体"/>
                <w:bCs/>
                <w:color w:val="auto"/>
                <w:kern w:val="2"/>
                <w:sz w:val="24"/>
                <w:szCs w:val="24"/>
                <w:highlight w:val="none"/>
                <w:lang w:val="en-US" w:eastAsia="zh-CN" w:bidi="ar"/>
              </w:rPr>
              <w:t>以上六项内容均有体现且完全满足采购实际需求的得</w:t>
            </w:r>
            <w:r>
              <w:rPr>
                <w:rFonts w:hint="eastAsia" w:ascii="宋体" w:hAnsi="宋体" w:eastAsia="宋体" w:cs="仿宋"/>
                <w:bCs/>
                <w:color w:val="auto"/>
                <w:kern w:val="2"/>
                <w:sz w:val="24"/>
                <w:szCs w:val="24"/>
                <w:highlight w:val="none"/>
                <w:lang w:val="en-US" w:eastAsia="zh-CN" w:bidi="ar"/>
              </w:rPr>
              <w:t>6</w:t>
            </w:r>
            <w:r>
              <w:rPr>
                <w:rFonts w:hint="eastAsia" w:ascii="宋体" w:hAnsi="宋体" w:eastAsia="宋体" w:cs="宋体"/>
                <w:bCs/>
                <w:color w:val="auto"/>
                <w:kern w:val="2"/>
                <w:sz w:val="24"/>
                <w:szCs w:val="24"/>
                <w:highlight w:val="none"/>
                <w:lang w:val="en-US" w:eastAsia="zh-CN" w:bidi="ar"/>
              </w:rPr>
              <w:t>分；每有一项内容缺失的扣1分；每有一项内容存在缺陷或者不能满足采购实际需求的扣</w:t>
            </w:r>
            <w:r>
              <w:rPr>
                <w:rFonts w:hint="eastAsia" w:ascii="宋体" w:hAnsi="宋体" w:eastAsia="宋体" w:cs="仿宋"/>
                <w:bCs/>
                <w:color w:val="auto"/>
                <w:kern w:val="2"/>
                <w:sz w:val="24"/>
                <w:szCs w:val="24"/>
                <w:highlight w:val="none"/>
                <w:lang w:val="en-US" w:eastAsia="zh-CN" w:bidi="ar"/>
              </w:rPr>
              <w:t>0.5</w:t>
            </w:r>
            <w:r>
              <w:rPr>
                <w:rFonts w:hint="eastAsia" w:ascii="宋体" w:hAnsi="宋体" w:eastAsia="宋体" w:cs="宋体"/>
                <w:bCs/>
                <w:color w:val="auto"/>
                <w:kern w:val="2"/>
                <w:sz w:val="24"/>
                <w:szCs w:val="24"/>
                <w:highlight w:val="none"/>
                <w:lang w:val="en-US" w:eastAsia="zh-CN" w:bidi="ar"/>
              </w:rPr>
              <w:t>分，扣完为止；本项满分为6分，未提供</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3B26DE3A">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6分</w:t>
            </w:r>
          </w:p>
        </w:tc>
      </w:tr>
      <w:tr w14:paraId="58B5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C1D0BC9">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6D9C17B">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检验项目响应程度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84B195D">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根据投标人提供的检验项目商务、技术偏离表是否符合招标文件“第四部分，服务标准和要求”，完全响应得5分，偏离一项扣1分，扣完为止。</w:t>
            </w:r>
          </w:p>
          <w:p w14:paraId="4015D25D">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注：投标人提供的所投包组项目须提交实验室资质认可复印件盖章。</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5F9C888">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12F3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AF058C5">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13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F4F246F">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0"/>
                <w:sz w:val="24"/>
                <w:szCs w:val="24"/>
                <w:highlight w:val="none"/>
                <w:lang w:val="en-US" w:eastAsia="zh-CN" w:bidi="zh-CN"/>
              </w:rPr>
            </w:pPr>
            <w:r>
              <w:rPr>
                <w:rFonts w:hint="eastAsia" w:ascii="宋体" w:hAnsi="宋体" w:cs="宋体"/>
                <w:color w:val="auto"/>
                <w:kern w:val="2"/>
                <w:sz w:val="24"/>
                <w:szCs w:val="24"/>
                <w:highlight w:val="none"/>
                <w:lang w:val="en-US" w:eastAsia="zh-CN" w:bidi="ar"/>
              </w:rPr>
              <w:t>承检</w:t>
            </w:r>
            <w:r>
              <w:rPr>
                <w:rFonts w:hint="eastAsia" w:ascii="宋体" w:hAnsi="宋体" w:eastAsia="宋体" w:cs="宋体"/>
                <w:color w:val="auto"/>
                <w:kern w:val="2"/>
                <w:sz w:val="24"/>
                <w:szCs w:val="24"/>
                <w:highlight w:val="none"/>
                <w:lang w:val="en-US" w:eastAsia="zh-CN" w:bidi="ar"/>
              </w:rPr>
              <w:t>机构考核</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B91F1B1">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1.202</w:t>
            </w: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年1月1日以来，在行业相关监管部门（食品、食用农产品监管部门）组织的承检机构考核中的综合评价满意度情况：</w:t>
            </w:r>
          </w:p>
          <w:p w14:paraId="2FB254DE">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（1）获得相关监管部门满意的考核评价（优秀，或等同于相同等次），有一个得</w:t>
            </w:r>
            <w:r>
              <w:rPr>
                <w:rFonts w:hint="eastAsia" w:ascii="宋体" w:hAnsi="宋体" w:cs="宋体"/>
                <w:color w:val="auto"/>
                <w:kern w:val="2"/>
                <w:sz w:val="24"/>
                <w:szCs w:val="24"/>
                <w:highlight w:val="none"/>
                <w:lang w:val="en-US" w:eastAsia="zh-CN" w:bidi="ar"/>
              </w:rPr>
              <w:t>0.5</w:t>
            </w:r>
            <w:r>
              <w:rPr>
                <w:rFonts w:hint="eastAsia" w:ascii="宋体" w:hAnsi="宋体" w:eastAsia="宋体" w:cs="宋体"/>
                <w:color w:val="auto"/>
                <w:kern w:val="2"/>
                <w:sz w:val="24"/>
                <w:szCs w:val="24"/>
                <w:highlight w:val="none"/>
                <w:lang w:val="en-US" w:eastAsia="zh-CN" w:bidi="ar"/>
              </w:rPr>
              <w:t>分；本项最高得2分。</w:t>
            </w:r>
          </w:p>
          <w:p w14:paraId="33A6CDA8">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注：须提供监管部门出具的“承检机构考核结果证明材料”原件扫描件，未提供不得分。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88971A9">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color w:val="auto"/>
                <w:kern w:val="0"/>
                <w:sz w:val="24"/>
                <w:szCs w:val="24"/>
                <w:highlight w:val="none"/>
                <w:lang w:bidi="zh-CN"/>
              </w:rPr>
              <w:t>2</w:t>
            </w:r>
            <w:r>
              <w:rPr>
                <w:rFonts w:hint="eastAsia"/>
                <w:color w:val="auto"/>
                <w:kern w:val="0"/>
                <w:sz w:val="24"/>
                <w:szCs w:val="24"/>
                <w:highlight w:val="none"/>
                <w:lang w:val="zh-CN" w:bidi="zh-CN"/>
              </w:rPr>
              <w:t>分</w:t>
            </w:r>
          </w:p>
        </w:tc>
      </w:tr>
      <w:tr w14:paraId="6115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843D0DA">
            <w:pPr>
              <w:keepNext w:val="0"/>
              <w:keepLines w:val="0"/>
              <w:widowControl w:val="0"/>
              <w:suppressLineNumbers w:val="0"/>
              <w:snapToGrid w:val="0"/>
              <w:spacing w:before="0" w:beforeAutospacing="0" w:after="0" w:afterAutospacing="0"/>
              <w:ind w:left="0" w:right="0"/>
              <w:jc w:val="both"/>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商务部分评分2</w:t>
            </w:r>
            <w:r>
              <w:rPr>
                <w:rFonts w:hint="eastAsia" w:ascii="宋体" w:hAnsi="宋体" w:eastAsia="宋体" w:cs="Courier New"/>
                <w:b/>
                <w:bCs w:val="0"/>
                <w:color w:val="auto"/>
                <w:kern w:val="2"/>
                <w:sz w:val="24"/>
                <w:szCs w:val="24"/>
                <w:highlight w:val="none"/>
                <w:lang w:val="en-US" w:eastAsia="zh-CN" w:bidi="ar"/>
              </w:rPr>
              <w:t>0</w:t>
            </w:r>
            <w:r>
              <w:rPr>
                <w:rFonts w:hint="eastAsia" w:ascii="宋体" w:hAnsi="宋体" w:eastAsia="宋体" w:cs="宋体"/>
                <w:b/>
                <w:bCs w:val="0"/>
                <w:color w:val="auto"/>
                <w:kern w:val="2"/>
                <w:sz w:val="24"/>
                <w:szCs w:val="24"/>
                <w:highlight w:val="none"/>
                <w:lang w:val="en-US" w:eastAsia="zh-CN" w:bidi="ar"/>
              </w:rPr>
              <w:t>分</w:t>
            </w:r>
          </w:p>
        </w:tc>
      </w:tr>
      <w:tr w14:paraId="56F7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restart"/>
            <w:tcBorders>
              <w:top w:val="nil"/>
              <w:left w:val="single" w:color="auto" w:sz="4" w:space="0"/>
              <w:bottom w:val="single" w:color="auto" w:sz="4" w:space="0"/>
              <w:right w:val="single" w:color="auto" w:sz="4" w:space="0"/>
            </w:tcBorders>
            <w:shd w:val="clear" w:color="auto" w:fill="auto"/>
            <w:vAlign w:val="center"/>
          </w:tcPr>
          <w:p w14:paraId="38DC297A">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ED8FDF">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企业</w:t>
            </w:r>
            <w:r>
              <w:rPr>
                <w:rFonts w:hint="eastAsia" w:ascii="宋体" w:hAnsi="宋体" w:eastAsia="宋体" w:cs="宋体"/>
                <w:color w:val="auto"/>
                <w:kern w:val="2"/>
                <w:sz w:val="24"/>
                <w:szCs w:val="24"/>
                <w:highlight w:val="none"/>
                <w:lang w:val="en-US" w:eastAsia="zh-CN" w:bidi="ar"/>
              </w:rPr>
              <w:t>实力</w:t>
            </w:r>
          </w:p>
          <w:p w14:paraId="0C9822C0">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1E844E9">
            <w:pPr>
              <w:keepNext w:val="0"/>
              <w:keepLines w:val="0"/>
              <w:widowControl w:val="0"/>
              <w:suppressLineNumbers w:val="0"/>
              <w:snapToGrid w:val="0"/>
              <w:spacing w:before="0" w:beforeAutospacing="0" w:after="0" w:afterAutospacing="0"/>
              <w:ind w:left="0" w:right="0"/>
              <w:jc w:val="left"/>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rPr>
              <w:t>供应商</w:t>
            </w:r>
            <w:r>
              <w:rPr>
                <w:rFonts w:hint="eastAsia" w:ascii="宋体" w:hAnsi="宋体" w:eastAsia="宋体" w:cs="Times New Roman"/>
                <w:color w:val="auto"/>
                <w:kern w:val="2"/>
                <w:sz w:val="24"/>
                <w:szCs w:val="24"/>
                <w:highlight w:val="none"/>
                <w:lang w:eastAsia="zh-CN"/>
              </w:rPr>
              <w:t>告知承诺</w:t>
            </w:r>
            <w:r>
              <w:rPr>
                <w:rFonts w:hint="eastAsia" w:ascii="宋体" w:hAnsi="宋体" w:eastAsia="宋体" w:cs="Times New Roman"/>
                <w:color w:val="auto"/>
                <w:kern w:val="2"/>
                <w:sz w:val="24"/>
                <w:szCs w:val="24"/>
                <w:highlight w:val="none"/>
              </w:rPr>
              <w:t>系统有专职录入人员得2分；未提供证明材料</w:t>
            </w:r>
            <w:r>
              <w:rPr>
                <w:rFonts w:hint="eastAsia" w:ascii="宋体" w:hAnsi="宋体" w:eastAsia="宋体" w:cs="Times New Roman"/>
                <w:color w:val="auto"/>
                <w:kern w:val="2"/>
                <w:sz w:val="24"/>
                <w:szCs w:val="24"/>
                <w:highlight w:val="none"/>
                <w:lang w:eastAsia="zh-CN"/>
              </w:rPr>
              <w:t>（国抽平台显示人员姓名截图）</w:t>
            </w:r>
            <w:r>
              <w:rPr>
                <w:rFonts w:hint="eastAsia" w:ascii="宋体" w:hAnsi="宋体" w:eastAsia="宋体" w:cs="Times New Roman"/>
                <w:color w:val="auto"/>
                <w:kern w:val="2"/>
                <w:sz w:val="24"/>
                <w:szCs w:val="24"/>
                <w:highlight w:val="none"/>
              </w:rPr>
              <w:t>、未参加过培训</w:t>
            </w:r>
            <w:r>
              <w:rPr>
                <w:rFonts w:hint="eastAsia" w:ascii="宋体" w:hAnsi="宋体" w:eastAsia="宋体" w:cs="Times New Roman"/>
                <w:color w:val="auto"/>
                <w:kern w:val="2"/>
                <w:sz w:val="24"/>
                <w:szCs w:val="24"/>
                <w:highlight w:val="none"/>
                <w:lang w:eastAsia="zh-CN"/>
              </w:rPr>
              <w:t>（培训记录）</w:t>
            </w:r>
            <w:r>
              <w:rPr>
                <w:rFonts w:hint="eastAsia" w:ascii="宋体" w:hAnsi="宋体" w:eastAsia="宋体" w:cs="Times New Roman"/>
                <w:color w:val="auto"/>
                <w:kern w:val="2"/>
                <w:sz w:val="24"/>
                <w:szCs w:val="24"/>
                <w:highlight w:val="none"/>
              </w:rPr>
              <w:t>不得分。（2分）</w:t>
            </w:r>
          </w:p>
        </w:tc>
        <w:tc>
          <w:tcPr>
            <w:tcW w:w="12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727A4F">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参考投标人的经营资质、行业口碑、资信情况进行打分（10分）</w:t>
            </w:r>
          </w:p>
          <w:p w14:paraId="617AE2A4">
            <w:pPr>
              <w:pStyle w:val="5"/>
              <w:suppressLineNumbers w:val="0"/>
              <w:spacing w:beforeAutospacing="0" w:afterAutospacing="0"/>
              <w:ind w:left="0" w:right="0"/>
              <w:rPr>
                <w:rFonts w:hint="eastAsia"/>
                <w:color w:val="auto"/>
                <w:sz w:val="24"/>
                <w:szCs w:val="24"/>
                <w:highlight w:val="none"/>
              </w:rPr>
            </w:pPr>
          </w:p>
        </w:tc>
      </w:tr>
      <w:tr w14:paraId="0905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05198439">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371C34">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74096049">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eastAsia="zh-CN"/>
              </w:rPr>
            </w:pPr>
            <w:r>
              <w:rPr>
                <w:rFonts w:hint="default"/>
                <w:color w:val="auto"/>
                <w:sz w:val="24"/>
                <w:szCs w:val="24"/>
                <w:highlight w:val="none"/>
                <w:lang w:val="en-US" w:eastAsia="zh-CN"/>
              </w:rPr>
              <w:t>供应商提供的中国合格评定国家认可委员会实验室认证认可证书（CMA证书）得1分。</w:t>
            </w:r>
          </w:p>
          <w:p w14:paraId="086AC538">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rPr>
            </w:pPr>
            <w:r>
              <w:rPr>
                <w:rFonts w:hint="default"/>
                <w:color w:val="auto"/>
                <w:sz w:val="24"/>
                <w:szCs w:val="24"/>
                <w:highlight w:val="none"/>
                <w:lang w:val="en-US" w:eastAsia="zh-CN"/>
              </w:rPr>
              <w:t>供应商提供中国合格评定国家认可委员会颁发的认可证书（CNAS证书）得1</w:t>
            </w:r>
            <w:r>
              <w:rPr>
                <w:rFonts w:hint="default"/>
                <w:color w:val="auto"/>
                <w:sz w:val="24"/>
                <w:szCs w:val="24"/>
                <w:highlight w:val="none"/>
                <w:lang w:val="en-US"/>
              </w:rPr>
              <w:t>分</w:t>
            </w:r>
            <w:r>
              <w:rPr>
                <w:rFonts w:hint="default"/>
                <w:color w:val="auto"/>
                <w:sz w:val="24"/>
                <w:szCs w:val="24"/>
                <w:highlight w:val="none"/>
                <w:lang w:val="en-US" w:eastAsia="zh-CN"/>
              </w:rPr>
              <w:t>。</w:t>
            </w:r>
          </w:p>
          <w:p w14:paraId="10E9EA8E">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rPr>
            </w:pPr>
            <w:r>
              <w:rPr>
                <w:rFonts w:hint="default"/>
                <w:color w:val="auto"/>
                <w:sz w:val="24"/>
                <w:szCs w:val="24"/>
                <w:highlight w:val="none"/>
                <w:lang w:val="en-US" w:eastAsia="zh-CN"/>
              </w:rPr>
              <w:t>未提供不得分。</w:t>
            </w:r>
          </w:p>
        </w:tc>
        <w:tc>
          <w:tcPr>
            <w:tcW w:w="12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212A6C">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78B3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679DCDFD">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C5D47E">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D0995D7">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获得国家级能力验证及实验室比对结果满意1项得1分</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获得省级以上能力验证及实验室比对结果满意5项得2分；10项得3分；10项以上得6分；</w:t>
            </w:r>
          </w:p>
          <w:p w14:paraId="7FA56568">
            <w:pPr>
              <w:keepNext w:val="0"/>
              <w:keepLines w:val="0"/>
              <w:widowControl w:val="0"/>
              <w:suppressLineNumbers w:val="0"/>
              <w:snapToGrid w:val="0"/>
              <w:spacing w:before="0" w:beforeAutospacing="0" w:after="0" w:afterAutospacing="0"/>
              <w:ind w:left="0" w:right="0"/>
              <w:jc w:val="left"/>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注：须提供近三年</w:t>
            </w:r>
            <w:r>
              <w:rPr>
                <w:rFonts w:hint="eastAsia" w:ascii="宋体" w:hAnsi="宋体" w:cs="宋体"/>
                <w:color w:val="auto"/>
                <w:kern w:val="2"/>
                <w:sz w:val="24"/>
                <w:szCs w:val="24"/>
                <w:highlight w:val="none"/>
                <w:lang w:val="en-US" w:eastAsia="zh-CN" w:bidi="ar"/>
              </w:rPr>
              <w:t>（2023年-至今）</w:t>
            </w:r>
            <w:r>
              <w:rPr>
                <w:rFonts w:hint="eastAsia" w:ascii="宋体" w:hAnsi="宋体" w:eastAsia="宋体" w:cs="宋体"/>
                <w:color w:val="auto"/>
                <w:kern w:val="2"/>
                <w:sz w:val="24"/>
                <w:szCs w:val="24"/>
                <w:highlight w:val="none"/>
                <w:lang w:val="en-US" w:eastAsia="zh-CN" w:bidi="ar"/>
              </w:rPr>
              <w:t>国家级或省级能力验证或实验室比对满意结果证书复印件或公告证明资料。最多计6分，未提供得不得分。</w:t>
            </w:r>
          </w:p>
        </w:tc>
        <w:tc>
          <w:tcPr>
            <w:tcW w:w="12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777A7A">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03C1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7526BB8E">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2EED8103">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类似项目经营业绩及其它有利资料</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0451B69">
            <w:pPr>
              <w:keepNext w:val="0"/>
              <w:keepLines w:val="0"/>
              <w:widowControl w:val="0"/>
              <w:suppressLineNumbers w:val="0"/>
              <w:snapToGrid w:val="0"/>
              <w:spacing w:before="0" w:beforeAutospacing="0" w:after="0" w:afterAutospacing="0"/>
              <w:ind w:left="0" w:right="0"/>
              <w:jc w:val="left"/>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投标人近三年（202</w:t>
            </w:r>
            <w:r>
              <w:rPr>
                <w:rFonts w:hint="eastAsia" w:ascii="宋体" w:hAnsi="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年-至今，业绩认定时间以委托检验合同或委托书或中标通知书为准）承担过类似项目业绩，则一个得2分，总计8分，需要提供委托检验合同或委托书或中标通知书等。</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B780493">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经营业绩（8分）</w:t>
            </w:r>
          </w:p>
        </w:tc>
      </w:tr>
      <w:tr w14:paraId="6EAE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D2F1D81">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4A9090F">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售后</w:t>
            </w:r>
          </w:p>
          <w:p w14:paraId="52B8BE65">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服务</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5116BA0">
            <w:pPr>
              <w:keepNext w:val="0"/>
              <w:keepLines w:val="0"/>
              <w:widowControl w:val="0"/>
              <w:suppressLineNumbers w:val="0"/>
              <w:snapToGrid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能够提供食品安全监督抽检分析报告及派遣人员协助抽检监测数据汇总和信息公示进行打分，承诺两项均能做到得2分；仅提供食品安全监督抽检分析报告得1分，仅派遣人员协助抽检监测数据汇总和信息公示得1分；否则，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05C4F3C">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书面承诺书（2分）</w:t>
            </w:r>
          </w:p>
        </w:tc>
      </w:tr>
    </w:tbl>
    <w:p w14:paraId="26E9D8B4">
      <w:pPr>
        <w:rPr>
          <w:color w:val="auto"/>
          <w:highlight w:val="none"/>
        </w:rPr>
      </w:pPr>
      <w:r>
        <w:rPr>
          <w:color w:val="auto"/>
          <w:highlight w:val="none"/>
        </w:rPr>
        <w:br w:type="page"/>
      </w:r>
    </w:p>
    <w:tbl>
      <w:tblPr>
        <w:tblStyle w:val="30"/>
        <w:tblpPr w:leftFromText="180" w:rightFromText="180" w:vertAnchor="text" w:horzAnchor="page" w:tblpX="1354" w:tblpY="988"/>
        <w:tblOverlap w:val="never"/>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8"/>
        <w:gridCol w:w="1030"/>
        <w:gridCol w:w="6370"/>
        <w:gridCol w:w="1231"/>
      </w:tblGrid>
      <w:tr w14:paraId="3D62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49"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FACCFC3">
            <w:pPr>
              <w:jc w:val="center"/>
              <w:rPr>
                <w:rFonts w:hint="eastAsia" w:ascii="宋体" w:hAnsi="宋体" w:eastAsia="宋体" w:cs="宋体"/>
                <w:b/>
                <w:bCs w:val="0"/>
                <w:color w:val="auto"/>
                <w:kern w:val="2"/>
                <w:sz w:val="24"/>
                <w:szCs w:val="24"/>
                <w:highlight w:val="none"/>
                <w:lang w:val="en-US" w:eastAsia="zh-CN" w:bidi="ar"/>
              </w:rPr>
            </w:pPr>
            <w:r>
              <w:rPr>
                <w:rFonts w:hint="eastAsia" w:ascii="宋体" w:hAnsi="宋体" w:cs="宋体"/>
                <w:b/>
                <w:bCs/>
                <w:color w:val="auto"/>
                <w:sz w:val="24"/>
                <w:szCs w:val="24"/>
                <w:highlight w:val="none"/>
                <w:lang w:val="en-US" w:eastAsia="zh-CN"/>
              </w:rPr>
              <w:t xml:space="preserve">标项七             </w:t>
            </w:r>
            <w:r>
              <w:rPr>
                <w:rFonts w:hint="eastAsia" w:ascii="宋体" w:hAnsi="宋体" w:eastAsia="宋体" w:cs="宋体"/>
                <w:b w:val="0"/>
                <w:bCs w:val="0"/>
                <w:color w:val="auto"/>
                <w:sz w:val="24"/>
                <w:szCs w:val="24"/>
                <w:highlight w:val="none"/>
              </w:rPr>
              <w:t>技术、商务部分评审标准（</w:t>
            </w:r>
            <w:r>
              <w:rPr>
                <w:rFonts w:hint="eastAsia" w:ascii="宋体" w:hAnsi="宋体" w:cs="宋体"/>
                <w:b w:val="0"/>
                <w:bCs w:val="0"/>
                <w:color w:val="auto"/>
                <w:sz w:val="24"/>
                <w:szCs w:val="24"/>
                <w:highlight w:val="none"/>
                <w:lang w:val="en-US" w:eastAsia="zh-CN"/>
              </w:rPr>
              <w:t>90</w:t>
            </w:r>
            <w:r>
              <w:rPr>
                <w:rFonts w:hint="eastAsia" w:ascii="宋体" w:hAnsi="宋体" w:eastAsia="宋体" w:cs="宋体"/>
                <w:b w:val="0"/>
                <w:bCs w:val="0"/>
                <w:color w:val="auto"/>
                <w:sz w:val="24"/>
                <w:szCs w:val="24"/>
                <w:highlight w:val="none"/>
              </w:rPr>
              <w:t>分）</w:t>
            </w:r>
          </w:p>
        </w:tc>
      </w:tr>
      <w:tr w14:paraId="0F99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9"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650F5AA4">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序号</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46464AB4">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项目</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025E47A">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评审内容</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B5C79C6">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分值</w:t>
            </w:r>
          </w:p>
        </w:tc>
      </w:tr>
      <w:tr w14:paraId="10AA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4E2EC61">
            <w:pPr>
              <w:keepNext w:val="0"/>
              <w:keepLines w:val="0"/>
              <w:widowControl w:val="0"/>
              <w:suppressLineNumbers w:val="0"/>
              <w:snapToGrid w:val="0"/>
              <w:spacing w:before="0" w:beforeAutospacing="0" w:after="0" w:afterAutospacing="0"/>
              <w:ind w:left="0" w:right="0"/>
              <w:jc w:val="both"/>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技术部分评分</w:t>
            </w:r>
            <w:r>
              <w:rPr>
                <w:rFonts w:hint="eastAsia" w:ascii="宋体" w:hAnsi="宋体" w:eastAsia="宋体" w:cs="Courier New"/>
                <w:b/>
                <w:bCs w:val="0"/>
                <w:color w:val="auto"/>
                <w:kern w:val="2"/>
                <w:sz w:val="24"/>
                <w:szCs w:val="24"/>
                <w:highlight w:val="none"/>
                <w:lang w:val="en-US" w:eastAsia="zh-CN" w:bidi="ar"/>
              </w:rPr>
              <w:t>70</w:t>
            </w:r>
            <w:r>
              <w:rPr>
                <w:rFonts w:hint="eastAsia" w:ascii="宋体" w:hAnsi="宋体" w:eastAsia="宋体" w:cs="宋体"/>
                <w:b/>
                <w:bCs w:val="0"/>
                <w:color w:val="auto"/>
                <w:kern w:val="2"/>
                <w:sz w:val="24"/>
                <w:szCs w:val="24"/>
                <w:highlight w:val="none"/>
                <w:lang w:val="en-US" w:eastAsia="zh-CN" w:bidi="ar"/>
              </w:rPr>
              <w:t>分</w:t>
            </w:r>
          </w:p>
        </w:tc>
      </w:tr>
      <w:tr w14:paraId="6836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C2F2224">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4F18A9A">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管理</w:t>
            </w:r>
          </w:p>
          <w:p w14:paraId="66956247">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制度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70090751">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针对本项目提供的管理制度进行综合评分，内容包含但不限于：①质量管理体系完善、健全；财务会计制度完善、健全；②管理制度完善、健全；③食品安全检验检测制度特别是抽样检验法规规范及知识培训制度完善（有相应的培训记录佐证材料）、健全；④责任追究制度完善、健全；⑤检验档案管理制度完善、健全。以上五项内容均有体现且完全满足采购实际需求的得5分；每有一项内容缺失的扣1分；每有一项内容存在缺陷或者不能满足采购实际需求的扣0.5分，扣完为止；本项满分为5分，未提供管理制度的则不得分。注：</w:t>
            </w:r>
            <w:r>
              <w:rPr>
                <w:rFonts w:hint="eastAsia" w:ascii="宋体" w:hAnsi="宋体" w:eastAsia="宋体" w:cs="宋体"/>
                <w:bCs/>
                <w:color w:val="auto"/>
                <w:kern w:val="2"/>
                <w:sz w:val="24"/>
                <w:szCs w:val="24"/>
                <w:highlight w:val="none"/>
                <w:lang w:val="en-US" w:eastAsia="zh-CN" w:bidi="ar"/>
              </w:rPr>
              <w:t>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0A45CEA">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54F0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4841CC42">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FC93220">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突发事件的应急响应方案</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281A4F2">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rPr>
              <w:t>根据承担抽检任务提供的事前、事中、事后应急预防处理措施包括但不限于：</w:t>
            </w:r>
          </w:p>
          <w:p w14:paraId="63EB673F">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（1）突发食品安全事件应对；</w:t>
            </w:r>
          </w:p>
          <w:p w14:paraId="7C3CCDE7">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（2）</w:t>
            </w:r>
            <w:r>
              <w:rPr>
                <w:rFonts w:hint="eastAsia" w:ascii="宋体" w:hAnsi="宋体" w:eastAsia="宋体" w:cs="仿宋"/>
                <w:bCs/>
                <w:color w:val="auto"/>
                <w:kern w:val="2"/>
                <w:sz w:val="24"/>
                <w:szCs w:val="24"/>
                <w:highlight w:val="none"/>
                <w:lang w:eastAsia="zh-CN"/>
              </w:rPr>
              <w:t>现场抽样</w:t>
            </w:r>
            <w:r>
              <w:rPr>
                <w:rFonts w:hint="eastAsia" w:ascii="宋体" w:hAnsi="宋体" w:eastAsia="宋体" w:cs="仿宋"/>
                <w:bCs/>
                <w:color w:val="auto"/>
                <w:kern w:val="2"/>
                <w:sz w:val="24"/>
                <w:szCs w:val="24"/>
                <w:highlight w:val="none"/>
              </w:rPr>
              <w:t>应急预案；</w:t>
            </w:r>
          </w:p>
          <w:p w14:paraId="47C14D52">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（3）实验室检验检测应急预案；</w:t>
            </w:r>
          </w:p>
          <w:p w14:paraId="0906FBE1">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（4）检验数据应急上报；</w:t>
            </w:r>
          </w:p>
          <w:p w14:paraId="51075B5E">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（5）实验室对发生食品检测安全事故的处置；</w:t>
            </w:r>
          </w:p>
          <w:p w14:paraId="448A02DA">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（6）对相关责任部门及责任人重大失误的处理等。</w:t>
            </w:r>
          </w:p>
          <w:p w14:paraId="4CDC9229">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以上方案内容均符合实际情况、内容完善详细、健全、完全响应采购要求的的得6分，</w:t>
            </w:r>
            <w:r>
              <w:rPr>
                <w:rFonts w:hint="eastAsia" w:ascii="宋体" w:hAnsi="宋体" w:eastAsia="宋体" w:cs="宋体"/>
                <w:color w:val="auto"/>
                <w:kern w:val="2"/>
                <w:sz w:val="24"/>
                <w:szCs w:val="24"/>
                <w:highlight w:val="none"/>
                <w:lang w:val="en-US" w:eastAsia="zh-CN" w:bidi="ar"/>
              </w:rPr>
              <w:t>每有一项内容缺失的扣1分</w:t>
            </w:r>
            <w:r>
              <w:rPr>
                <w:rFonts w:hint="eastAsia" w:ascii="宋体" w:hAnsi="宋体" w:cs="宋体"/>
                <w:color w:val="auto"/>
                <w:kern w:val="2"/>
                <w:sz w:val="24"/>
                <w:szCs w:val="24"/>
                <w:highlight w:val="none"/>
                <w:lang w:val="en-US" w:eastAsia="zh-CN" w:bidi="ar"/>
              </w:rPr>
              <w:t>，</w:t>
            </w:r>
            <w:r>
              <w:rPr>
                <w:rFonts w:hint="eastAsia" w:ascii="宋体" w:hAnsi="宋体" w:eastAsia="宋体" w:cs="仿宋"/>
                <w:bCs/>
                <w:color w:val="auto"/>
                <w:kern w:val="2"/>
                <w:sz w:val="24"/>
                <w:szCs w:val="24"/>
                <w:highlight w:val="none"/>
              </w:rPr>
              <w:t>每有一项内容不完整或未能满足采购需求的或每有一处不具有针对性或逻辑性错误且不完整的扣0.5分，扣完为止。</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E7AC872">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6</w:t>
            </w:r>
            <w:r>
              <w:rPr>
                <w:rFonts w:hint="eastAsia" w:ascii="宋体" w:hAnsi="宋体" w:eastAsia="宋体" w:cs="宋体"/>
                <w:color w:val="auto"/>
                <w:kern w:val="2"/>
                <w:sz w:val="24"/>
                <w:szCs w:val="24"/>
                <w:highlight w:val="none"/>
                <w:lang w:val="en-US" w:eastAsia="zh-CN" w:bidi="ar"/>
              </w:rPr>
              <w:t>分</w:t>
            </w:r>
          </w:p>
        </w:tc>
      </w:tr>
      <w:tr w14:paraId="0555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4C52E6E0">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1127F9C">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项目服务方案</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91BB4C8">
            <w:pPr>
              <w:keepNext w:val="0"/>
              <w:keepLines w:val="0"/>
              <w:widowControl w:val="0"/>
              <w:suppressLineNumbers w:val="0"/>
              <w:spacing w:before="0" w:beforeAutospacing="0" w:after="0" w:afterAutospacing="0" w:line="300" w:lineRule="exact"/>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根据投标人针对本项目提供的</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进行综合评分，内容包含但不限于：①</w:t>
            </w:r>
            <w:r>
              <w:rPr>
                <w:rFonts w:hint="eastAsia" w:ascii="宋体" w:hAnsi="宋体" w:eastAsia="宋体" w:cs="宋体"/>
                <w:color w:val="auto"/>
                <w:kern w:val="2"/>
                <w:sz w:val="24"/>
                <w:szCs w:val="24"/>
                <w:highlight w:val="none"/>
                <w:lang w:val="en-US" w:eastAsia="zh-CN" w:bidi="ar"/>
              </w:rPr>
              <w:t>拥有独立稳定持久的实验室管理系统</w:t>
            </w:r>
            <w:r>
              <w:rPr>
                <w:rFonts w:hint="eastAsia" w:ascii="宋体" w:hAnsi="宋体" w:eastAsia="宋体" w:cs="宋体"/>
                <w:bCs/>
                <w:color w:val="auto"/>
                <w:kern w:val="2"/>
                <w:sz w:val="24"/>
                <w:szCs w:val="24"/>
                <w:highlight w:val="none"/>
                <w:lang w:val="en-US" w:eastAsia="zh-CN" w:bidi="ar"/>
              </w:rPr>
              <w:t>；②</w:t>
            </w:r>
            <w:r>
              <w:rPr>
                <w:rFonts w:hint="eastAsia" w:ascii="宋体" w:hAnsi="宋体" w:eastAsia="宋体" w:cs="宋体"/>
                <w:color w:val="auto"/>
                <w:kern w:val="2"/>
                <w:sz w:val="24"/>
                <w:szCs w:val="24"/>
                <w:highlight w:val="none"/>
                <w:lang w:val="en-US" w:eastAsia="zh-CN" w:bidi="ar"/>
              </w:rPr>
              <w:t>实现抽样、流转、检验、原始记录、出具报告全环节在线管理且可追溯</w:t>
            </w:r>
            <w:r>
              <w:rPr>
                <w:rFonts w:hint="eastAsia" w:ascii="宋体" w:hAnsi="宋体" w:eastAsia="宋体" w:cs="宋体"/>
                <w:bCs/>
                <w:color w:val="auto"/>
                <w:kern w:val="2"/>
                <w:sz w:val="24"/>
                <w:szCs w:val="24"/>
                <w:highlight w:val="none"/>
                <w:lang w:val="en-US" w:eastAsia="zh-CN" w:bidi="ar"/>
              </w:rPr>
              <w:t>；以上两项内容均有体现且完全满足采购实际需求的得</w:t>
            </w:r>
            <w:r>
              <w:rPr>
                <w:rFonts w:hint="eastAsia" w:ascii="宋体" w:hAnsi="宋体" w:cs="仿宋"/>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分；每有一项内容缺失的扣</w:t>
            </w:r>
            <w:r>
              <w:rPr>
                <w:rFonts w:hint="eastAsia" w:ascii="宋体" w:hAnsi="宋体" w:cs="宋体"/>
                <w:bCs/>
                <w:color w:val="auto"/>
                <w:kern w:val="2"/>
                <w:sz w:val="24"/>
                <w:szCs w:val="24"/>
                <w:highlight w:val="none"/>
                <w:lang w:val="en-US" w:eastAsia="zh-CN" w:bidi="ar"/>
              </w:rPr>
              <w:t>4.5</w:t>
            </w:r>
            <w:r>
              <w:rPr>
                <w:rFonts w:hint="eastAsia" w:ascii="宋体" w:hAnsi="宋体" w:eastAsia="宋体" w:cs="宋体"/>
                <w:bCs/>
                <w:color w:val="auto"/>
                <w:kern w:val="2"/>
                <w:sz w:val="24"/>
                <w:szCs w:val="24"/>
                <w:highlight w:val="none"/>
                <w:lang w:val="en-US" w:eastAsia="zh-CN" w:bidi="ar"/>
              </w:rPr>
              <w:t>分；每有一项内容存在缺陷或者不能满足采购实际需求的扣</w:t>
            </w:r>
            <w:r>
              <w:rPr>
                <w:rFonts w:hint="eastAsia" w:ascii="宋体" w:hAnsi="宋体" w:cs="宋体"/>
                <w:bCs/>
                <w:color w:val="auto"/>
                <w:kern w:val="2"/>
                <w:sz w:val="24"/>
                <w:szCs w:val="24"/>
                <w:highlight w:val="none"/>
                <w:lang w:val="en-US" w:eastAsia="zh-CN" w:bidi="ar"/>
              </w:rPr>
              <w:t>2</w:t>
            </w:r>
            <w:r>
              <w:rPr>
                <w:rFonts w:hint="eastAsia" w:ascii="宋体" w:hAnsi="宋体" w:eastAsia="宋体" w:cs="宋体"/>
                <w:bCs/>
                <w:color w:val="auto"/>
                <w:kern w:val="2"/>
                <w:sz w:val="24"/>
                <w:szCs w:val="24"/>
                <w:highlight w:val="none"/>
                <w:lang w:val="en-US" w:eastAsia="zh-CN" w:bidi="ar"/>
              </w:rPr>
              <w:t>分，扣完为止；本项满分为</w:t>
            </w:r>
            <w:r>
              <w:rPr>
                <w:rFonts w:hint="eastAsia" w:ascii="宋体" w:hAnsi="宋体" w:cs="宋体"/>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分，未提供</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3F18F792">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9</w:t>
            </w:r>
            <w:r>
              <w:rPr>
                <w:rFonts w:hint="eastAsia" w:ascii="宋体" w:hAnsi="宋体" w:eastAsia="宋体" w:cs="宋体"/>
                <w:color w:val="auto"/>
                <w:kern w:val="2"/>
                <w:sz w:val="24"/>
                <w:szCs w:val="24"/>
                <w:highlight w:val="none"/>
                <w:lang w:val="en-US" w:eastAsia="zh-CN" w:bidi="ar"/>
              </w:rPr>
              <w:t>分</w:t>
            </w:r>
          </w:p>
        </w:tc>
      </w:tr>
      <w:tr w14:paraId="7786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90D3415">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D6FA7E8">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项目实施时间进度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AC74C8E">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针对本项目提供的项目实施时间进度进行综合评分，内容包含但不限于：①实施时间的进度；②实施时间的保障措施；以上两项内容均有体现且完全满足采购实际需求的得5分；每有一项内容缺失的扣2.5分；每有一项内容存在缺陷或者不能满足采购实际需求的扣1.5分，扣完为止；本项满分为5分，未提供项目服务方案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36150667">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1F80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D1EA59C">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66EE49E">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工作</w:t>
            </w:r>
          </w:p>
          <w:p w14:paraId="0E75F554">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场地</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A133B15">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lang w:val="zh-CN"/>
              </w:rPr>
            </w:pPr>
            <w:r>
              <w:rPr>
                <w:rFonts w:hint="eastAsia" w:ascii="宋体" w:hAnsi="宋体" w:eastAsia="宋体" w:cs="仿宋"/>
                <w:bCs/>
                <w:color w:val="auto"/>
                <w:kern w:val="2"/>
                <w:sz w:val="24"/>
                <w:szCs w:val="24"/>
                <w:highlight w:val="none"/>
              </w:rPr>
              <w:t>1.投标人具备独立开展食品安全检验实验室，环境良好，布局合理，根据</w:t>
            </w:r>
            <w:r>
              <w:rPr>
                <w:rFonts w:hint="eastAsia" w:ascii="宋体" w:hAnsi="宋体" w:eastAsia="宋体" w:cs="仿宋"/>
                <w:bCs/>
                <w:color w:val="auto"/>
                <w:kern w:val="2"/>
                <w:sz w:val="24"/>
                <w:szCs w:val="24"/>
                <w:highlight w:val="none"/>
                <w:lang w:val="zh-CN"/>
              </w:rPr>
              <w:t>开展食品安全抽样检验工作实验场所面积</w:t>
            </w:r>
            <w:r>
              <w:rPr>
                <w:rFonts w:hint="eastAsia" w:ascii="宋体" w:hAnsi="宋体" w:eastAsia="宋体" w:cs="仿宋"/>
                <w:bCs/>
                <w:color w:val="auto"/>
                <w:kern w:val="2"/>
                <w:sz w:val="24"/>
                <w:szCs w:val="24"/>
                <w:highlight w:val="none"/>
              </w:rPr>
              <w:t>综合评定</w:t>
            </w:r>
            <w:r>
              <w:rPr>
                <w:rFonts w:hint="eastAsia" w:ascii="宋体" w:hAnsi="宋体" w:eastAsia="宋体" w:cs="仿宋"/>
                <w:bCs/>
                <w:color w:val="auto"/>
                <w:kern w:val="2"/>
                <w:sz w:val="24"/>
                <w:szCs w:val="24"/>
                <w:highlight w:val="none"/>
                <w:lang w:val="zh-CN"/>
              </w:rPr>
              <w:t>：</w:t>
            </w:r>
          </w:p>
          <w:p w14:paraId="28471634">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（1）5000（含）平方米及以上，得3分；</w:t>
            </w:r>
          </w:p>
          <w:p w14:paraId="51916DE0">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（2）4000（含）-5000（不含）平方米，得2分；</w:t>
            </w:r>
          </w:p>
          <w:p w14:paraId="472D0367">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（3）3000（含）-4000（不含）平方米，得1分；</w:t>
            </w:r>
          </w:p>
          <w:p w14:paraId="05A59484">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（4）不符合上述要求的，得0分。</w:t>
            </w:r>
          </w:p>
          <w:p w14:paraId="6C490842">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注：</w:t>
            </w:r>
            <w:r>
              <w:rPr>
                <w:rFonts w:hint="eastAsia" w:ascii="宋体" w:hAnsi="宋体" w:cs="仿宋"/>
                <w:bCs/>
                <w:color w:val="auto"/>
                <w:kern w:val="2"/>
                <w:sz w:val="24"/>
                <w:szCs w:val="24"/>
                <w:highlight w:val="none"/>
                <w:lang w:val="en-US" w:eastAsia="zh-CN"/>
              </w:rPr>
              <w:t>①</w:t>
            </w:r>
            <w:r>
              <w:rPr>
                <w:rFonts w:hint="eastAsia" w:ascii="宋体" w:hAnsi="宋体" w:eastAsia="宋体" w:cs="仿宋"/>
                <w:bCs/>
                <w:color w:val="auto"/>
                <w:kern w:val="2"/>
                <w:sz w:val="24"/>
                <w:szCs w:val="24"/>
                <w:highlight w:val="none"/>
              </w:rPr>
              <w:t>投标人</w:t>
            </w:r>
            <w:r>
              <w:rPr>
                <w:rFonts w:hint="eastAsia" w:ascii="宋体" w:hAnsi="宋体" w:eastAsia="宋体" w:cs="仿宋"/>
                <w:bCs/>
                <w:color w:val="auto"/>
                <w:kern w:val="2"/>
                <w:sz w:val="24"/>
                <w:szCs w:val="24"/>
                <w:highlight w:val="none"/>
                <w:lang w:val="zh-CN"/>
              </w:rPr>
              <w:t>须承诺抽样检验的实验室为</w:t>
            </w:r>
            <w:r>
              <w:rPr>
                <w:rFonts w:hint="eastAsia" w:ascii="宋体" w:hAnsi="宋体" w:eastAsia="宋体" w:cs="仿宋"/>
                <w:bCs/>
                <w:color w:val="auto"/>
                <w:kern w:val="2"/>
                <w:sz w:val="24"/>
                <w:szCs w:val="24"/>
                <w:highlight w:val="none"/>
              </w:rPr>
              <w:t>投标人</w:t>
            </w:r>
            <w:r>
              <w:rPr>
                <w:rFonts w:hint="eastAsia" w:ascii="宋体" w:hAnsi="宋体" w:eastAsia="宋体" w:cs="仿宋"/>
                <w:bCs/>
                <w:color w:val="auto"/>
                <w:kern w:val="2"/>
                <w:sz w:val="24"/>
                <w:szCs w:val="24"/>
                <w:highlight w:val="none"/>
                <w:lang w:val="zh-CN"/>
              </w:rPr>
              <w:t>自有实验室，并提供承诺书。招标人有权在合同签订前进行现场考察，一旦发现弄虚作假，将取消中标资格，并报有关部门严肃处理；</w:t>
            </w:r>
            <w:r>
              <w:rPr>
                <w:rFonts w:hint="eastAsia" w:ascii="宋体" w:hAnsi="宋体" w:cs="仿宋"/>
                <w:bCs/>
                <w:color w:val="auto"/>
                <w:kern w:val="2"/>
                <w:sz w:val="24"/>
                <w:szCs w:val="24"/>
                <w:highlight w:val="none"/>
                <w:lang w:val="en-US" w:eastAsia="zh-CN"/>
              </w:rPr>
              <w:t>②</w:t>
            </w:r>
            <w:r>
              <w:rPr>
                <w:rFonts w:hint="eastAsia" w:ascii="宋体" w:hAnsi="宋体" w:eastAsia="宋体" w:cs="仿宋"/>
                <w:bCs/>
                <w:color w:val="auto"/>
                <w:kern w:val="2"/>
                <w:sz w:val="24"/>
                <w:szCs w:val="24"/>
                <w:highlight w:val="none"/>
                <w:lang w:val="zh-CN"/>
              </w:rPr>
              <w:t>提供抽样检验场所的房产证或所有权证明文件或服务期内有效的房屋租赁合同加发票扫描件及相关证明材料</w:t>
            </w:r>
            <w:r>
              <w:rPr>
                <w:rFonts w:hint="eastAsia" w:ascii="宋体" w:hAnsi="宋体" w:eastAsia="宋体" w:cs="仿宋"/>
                <w:bCs/>
                <w:color w:val="auto"/>
                <w:kern w:val="2"/>
                <w:sz w:val="24"/>
                <w:szCs w:val="24"/>
                <w:highlight w:val="none"/>
              </w:rPr>
              <w:t>（租房合同须为投标人签署或房屋产权证书产权人为投标人）</w:t>
            </w:r>
            <w:r>
              <w:rPr>
                <w:rFonts w:hint="eastAsia" w:ascii="宋体" w:hAnsi="宋体" w:eastAsia="宋体" w:cs="仿宋"/>
                <w:bCs/>
                <w:color w:val="auto"/>
                <w:kern w:val="2"/>
                <w:sz w:val="24"/>
                <w:szCs w:val="24"/>
                <w:highlight w:val="none"/>
                <w:lang w:val="zh-CN"/>
              </w:rPr>
              <w:t>；</w:t>
            </w:r>
            <w:r>
              <w:rPr>
                <w:rFonts w:hint="eastAsia" w:ascii="宋体" w:hAnsi="宋体" w:cs="仿宋"/>
                <w:bCs/>
                <w:color w:val="auto"/>
                <w:kern w:val="2"/>
                <w:sz w:val="24"/>
                <w:szCs w:val="24"/>
                <w:highlight w:val="none"/>
                <w:lang w:val="en-US" w:eastAsia="zh-CN"/>
              </w:rPr>
              <w:t>③</w:t>
            </w:r>
            <w:r>
              <w:rPr>
                <w:rFonts w:hint="eastAsia" w:ascii="宋体" w:hAnsi="宋体" w:eastAsia="宋体" w:cs="仿宋"/>
                <w:bCs/>
                <w:color w:val="auto"/>
                <w:kern w:val="2"/>
                <w:sz w:val="24"/>
                <w:szCs w:val="24"/>
                <w:highlight w:val="none"/>
                <w:lang w:val="zh-CN"/>
              </w:rPr>
              <w:t>提供食品实验室平面布局图，并提供各组成部分面积清单；</w:t>
            </w:r>
            <w:r>
              <w:rPr>
                <w:rFonts w:hint="eastAsia" w:ascii="宋体" w:hAnsi="宋体" w:cs="仿宋"/>
                <w:bCs/>
                <w:color w:val="auto"/>
                <w:kern w:val="2"/>
                <w:sz w:val="24"/>
                <w:szCs w:val="24"/>
                <w:highlight w:val="none"/>
                <w:lang w:val="en-US" w:eastAsia="zh-CN"/>
              </w:rPr>
              <w:t>④</w:t>
            </w:r>
            <w:r>
              <w:rPr>
                <w:rFonts w:hint="eastAsia" w:ascii="宋体" w:hAnsi="宋体" w:eastAsia="宋体" w:cs="仿宋"/>
                <w:bCs/>
                <w:color w:val="auto"/>
                <w:kern w:val="2"/>
                <w:sz w:val="24"/>
                <w:szCs w:val="24"/>
                <w:highlight w:val="none"/>
                <w:lang w:val="zh-CN"/>
              </w:rPr>
              <w:t>未达到上述要求或未提供有效证明文件的不得分。</w:t>
            </w:r>
          </w:p>
          <w:p w14:paraId="18E3FAD6">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2.投标人具备独立的微生物实验室，面积综合评定：</w:t>
            </w:r>
          </w:p>
          <w:p w14:paraId="593E45D5">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（1）300（含）平方米及以上，得2分；</w:t>
            </w:r>
          </w:p>
          <w:p w14:paraId="09AF00FA">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（2）100（含）-300（不含）平方米，得1分；</w:t>
            </w:r>
          </w:p>
          <w:p w14:paraId="2DB3AC38">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（3）不符合上述要求的，得0分。</w:t>
            </w:r>
          </w:p>
          <w:p w14:paraId="07F54BBF">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注：</w:t>
            </w:r>
            <w:r>
              <w:rPr>
                <w:rFonts w:hint="eastAsia" w:ascii="宋体" w:hAnsi="宋体" w:cs="仿宋"/>
                <w:bCs/>
                <w:color w:val="auto"/>
                <w:kern w:val="2"/>
                <w:sz w:val="24"/>
                <w:szCs w:val="24"/>
                <w:highlight w:val="none"/>
                <w:lang w:val="en-US" w:eastAsia="zh-CN"/>
              </w:rPr>
              <w:t>①</w:t>
            </w:r>
            <w:r>
              <w:rPr>
                <w:rFonts w:hint="eastAsia" w:ascii="宋体" w:hAnsi="宋体" w:eastAsia="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lang w:val="zh-CN" w:eastAsia="zh-CN"/>
              </w:rPr>
              <w:t>须承诺</w:t>
            </w:r>
            <w:r>
              <w:rPr>
                <w:rFonts w:hint="eastAsia" w:ascii="宋体" w:hAnsi="宋体" w:eastAsia="宋体" w:cs="仿宋"/>
                <w:bCs/>
                <w:color w:val="auto"/>
                <w:kern w:val="2"/>
                <w:sz w:val="24"/>
                <w:szCs w:val="24"/>
                <w:highlight w:val="none"/>
                <w:lang w:val="en-US" w:eastAsia="zh-CN"/>
              </w:rPr>
              <w:t>微生物</w:t>
            </w:r>
            <w:r>
              <w:rPr>
                <w:rFonts w:hint="eastAsia" w:ascii="宋体" w:hAnsi="宋体" w:eastAsia="宋体" w:cs="仿宋"/>
                <w:bCs/>
                <w:color w:val="auto"/>
                <w:kern w:val="2"/>
                <w:sz w:val="24"/>
                <w:szCs w:val="24"/>
                <w:highlight w:val="none"/>
                <w:lang w:val="zh-CN" w:eastAsia="zh-CN"/>
              </w:rPr>
              <w:t>实验室为</w:t>
            </w:r>
            <w:r>
              <w:rPr>
                <w:rFonts w:hint="eastAsia" w:ascii="宋体" w:hAnsi="宋体" w:eastAsia="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lang w:val="zh-CN" w:eastAsia="zh-CN"/>
              </w:rPr>
              <w:t>自有实验室，并提供承诺书。招标人有权在合同签订前进行现场考察，一旦发现弄虚作假，将取消中标资格，并报有关部门严肃处理；</w:t>
            </w:r>
            <w:r>
              <w:rPr>
                <w:rFonts w:hint="eastAsia" w:ascii="宋体" w:hAnsi="宋体" w:cs="仿宋"/>
                <w:bCs/>
                <w:color w:val="auto"/>
                <w:kern w:val="2"/>
                <w:sz w:val="24"/>
                <w:szCs w:val="24"/>
                <w:highlight w:val="none"/>
                <w:lang w:val="en-US" w:eastAsia="zh-CN"/>
              </w:rPr>
              <w:t>②</w:t>
            </w:r>
            <w:r>
              <w:rPr>
                <w:rFonts w:hint="eastAsia" w:ascii="宋体" w:hAnsi="宋体" w:eastAsia="宋体" w:cs="仿宋"/>
                <w:bCs/>
                <w:color w:val="auto"/>
                <w:kern w:val="2"/>
                <w:sz w:val="24"/>
                <w:szCs w:val="24"/>
                <w:highlight w:val="none"/>
                <w:lang w:val="zh-CN" w:eastAsia="zh-CN"/>
              </w:rPr>
              <w:t>提供抽样检验场所的房产证或所有权证明文件或服务期内有效的房屋租赁合同加发票扫描件及相关证明材料</w:t>
            </w:r>
            <w:r>
              <w:rPr>
                <w:rFonts w:hint="eastAsia" w:ascii="宋体" w:hAnsi="宋体" w:eastAsia="宋体" w:cs="仿宋"/>
                <w:bCs/>
                <w:color w:val="auto"/>
                <w:kern w:val="2"/>
                <w:sz w:val="24"/>
                <w:szCs w:val="24"/>
                <w:highlight w:val="none"/>
                <w:lang w:val="en-US" w:eastAsia="zh-CN"/>
              </w:rPr>
              <w:t>（租房合同须为投标人签署或房屋产权证书产权人为投标人）</w:t>
            </w:r>
            <w:r>
              <w:rPr>
                <w:rFonts w:hint="eastAsia" w:ascii="宋体" w:hAnsi="宋体" w:eastAsia="宋体" w:cs="仿宋"/>
                <w:bCs/>
                <w:color w:val="auto"/>
                <w:kern w:val="2"/>
                <w:sz w:val="24"/>
                <w:szCs w:val="24"/>
                <w:highlight w:val="none"/>
                <w:lang w:val="zh-CN" w:eastAsia="zh-CN"/>
              </w:rPr>
              <w:t>；</w:t>
            </w:r>
            <w:r>
              <w:rPr>
                <w:rFonts w:hint="eastAsia" w:ascii="宋体" w:hAnsi="宋体" w:cs="仿宋"/>
                <w:bCs/>
                <w:color w:val="auto"/>
                <w:kern w:val="2"/>
                <w:sz w:val="24"/>
                <w:szCs w:val="24"/>
                <w:highlight w:val="none"/>
                <w:lang w:val="en-US" w:eastAsia="zh-CN"/>
              </w:rPr>
              <w:t>③</w:t>
            </w:r>
            <w:r>
              <w:rPr>
                <w:rFonts w:hint="eastAsia" w:ascii="宋体" w:hAnsi="宋体" w:eastAsia="宋体" w:cs="仿宋"/>
                <w:bCs/>
                <w:color w:val="auto"/>
                <w:kern w:val="2"/>
                <w:sz w:val="24"/>
                <w:szCs w:val="24"/>
                <w:highlight w:val="none"/>
                <w:lang w:val="zh-CN" w:eastAsia="zh-CN"/>
              </w:rPr>
              <w:t>提供</w:t>
            </w:r>
            <w:r>
              <w:rPr>
                <w:rFonts w:hint="eastAsia" w:ascii="宋体" w:hAnsi="宋体" w:eastAsia="宋体" w:cs="仿宋"/>
                <w:bCs/>
                <w:color w:val="auto"/>
                <w:kern w:val="2"/>
                <w:sz w:val="24"/>
                <w:szCs w:val="24"/>
                <w:highlight w:val="none"/>
                <w:lang w:val="en-US" w:eastAsia="zh-CN"/>
              </w:rPr>
              <w:t>微生物</w:t>
            </w:r>
            <w:r>
              <w:rPr>
                <w:rFonts w:hint="eastAsia" w:ascii="宋体" w:hAnsi="宋体" w:eastAsia="宋体" w:cs="仿宋"/>
                <w:bCs/>
                <w:color w:val="auto"/>
                <w:kern w:val="2"/>
                <w:sz w:val="24"/>
                <w:szCs w:val="24"/>
                <w:highlight w:val="none"/>
                <w:lang w:val="zh-CN" w:eastAsia="zh-CN"/>
              </w:rPr>
              <w:t>实验室</w:t>
            </w:r>
            <w:r>
              <w:rPr>
                <w:rFonts w:hint="eastAsia" w:ascii="宋体" w:hAnsi="宋体" w:eastAsia="宋体" w:cs="仿宋"/>
                <w:bCs/>
                <w:color w:val="auto"/>
                <w:kern w:val="2"/>
                <w:sz w:val="24"/>
                <w:szCs w:val="24"/>
                <w:highlight w:val="none"/>
                <w:lang w:val="en-US" w:eastAsia="zh-CN"/>
              </w:rPr>
              <w:t>及</w:t>
            </w:r>
            <w:r>
              <w:rPr>
                <w:rFonts w:hint="eastAsia" w:ascii="宋体" w:hAnsi="宋体" w:eastAsia="宋体" w:cs="仿宋"/>
                <w:bCs/>
                <w:color w:val="auto"/>
                <w:kern w:val="2"/>
                <w:sz w:val="24"/>
                <w:szCs w:val="24"/>
                <w:highlight w:val="none"/>
                <w:lang w:val="zh-CN" w:eastAsia="zh-CN"/>
              </w:rPr>
              <w:t>平面布局图，并提供各组成部分面积清单；</w:t>
            </w:r>
            <w:r>
              <w:rPr>
                <w:rFonts w:hint="eastAsia" w:ascii="宋体" w:hAnsi="宋体" w:cs="仿宋"/>
                <w:bCs/>
                <w:color w:val="auto"/>
                <w:kern w:val="2"/>
                <w:sz w:val="24"/>
                <w:szCs w:val="24"/>
                <w:highlight w:val="none"/>
                <w:lang w:val="en-US" w:eastAsia="zh-CN"/>
              </w:rPr>
              <w:t>④</w:t>
            </w:r>
            <w:r>
              <w:rPr>
                <w:rFonts w:hint="eastAsia" w:ascii="宋体" w:hAnsi="宋体" w:eastAsia="宋体" w:cs="仿宋"/>
                <w:bCs/>
                <w:color w:val="auto"/>
                <w:kern w:val="2"/>
                <w:sz w:val="24"/>
                <w:szCs w:val="24"/>
                <w:highlight w:val="none"/>
                <w:lang w:val="zh-CN" w:eastAsia="zh-CN"/>
              </w:rPr>
              <w:t>未达到上述要求或未提供有效证明文件的不得分。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3ADA389F">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57B81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BC5CCBB">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1DA4F35">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检验设备设施</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59B2540">
            <w:pPr>
              <w:keepNext w:val="0"/>
              <w:keepLines w:val="0"/>
              <w:widowControl w:val="0"/>
              <w:numPr>
                <w:ilvl w:val="0"/>
                <w:numId w:val="8"/>
              </w:numPr>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具备液质联用仪GC/MS/MS、气质联用仪LC/MS/MS、HPLC（高效液相色谱仪）、GC（气相色谱仪）、UV（紫外分光光度计）、AAS（原子吸收光谱仪）、微波消解仪等（或同功能设备）、ICP-MS（电感耦合等离子体质谱仪）、IC（离子色谱仪）、电感耦合等离子体发射光谱仪（ICP-OES）、液相-原子荧光联用仪（LC-AFS）等与本项目相关的设备，得6分，少一项扣1分，扣完为止。</w:t>
            </w:r>
          </w:p>
          <w:p w14:paraId="63EE774E">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如果具备以上设备，20台以上（含）的，且GC/MS/MS、LC/MS/MS各2台以上（含）加2分；如果具备以上设备15台以上（含）的，且GC/MS/MS、LC/MS/MS各2台以上（含）加1.5分；如果具备以上设备10台以上（含）的，且GC/MS/MS或LC/MS/MS各2台以上（含）加1分；其他情况得0分。</w:t>
            </w:r>
          </w:p>
          <w:p w14:paraId="5EFEF886">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（提供仪器设备清单、设备购置发票或仪器计量检定校准认证证书、相关实验室放置图片证明、购销合同或售后服务保障证明）</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27AE52D">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8分</w:t>
            </w:r>
          </w:p>
        </w:tc>
      </w:tr>
      <w:tr w14:paraId="349D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B6FC027">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3DEDFF2">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样品运输及冷藏设备</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38FD0BF">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样品运输设备，如冷藏设备及车辆配置等情况进行比较（提供发票复印件）：自有或租赁车辆4辆以上（含4辆）、冷藏设备6台以上（含6台）得3分；自有或租赁车辆2-3辆（含2辆）、冷藏设备4-5台得2分；自有或租赁车辆2辆以下（含2辆）、冷藏设备4台以下得1分；其它情况0分。</w:t>
            </w:r>
          </w:p>
          <w:p w14:paraId="4335E9EE">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投标人自建或者租赁冷库面积50㎡以上（含50㎡）得1分，自建或者租赁冷库面积30㎡-50㎡得0.5分；其他情况0分。</w:t>
            </w:r>
          </w:p>
          <w:p w14:paraId="0B960D99">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注：需提供项目本地采样车辆和冷藏设备的图片证明材料，冷库建设或者租赁合同。</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FE64C37">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4分</w:t>
            </w:r>
          </w:p>
        </w:tc>
      </w:tr>
      <w:tr w14:paraId="4384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0DDE673">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2F52B71">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科研及技术创新能力评价</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B9F208D">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1、近三年</w:t>
            </w:r>
            <w:r>
              <w:rPr>
                <w:rFonts w:hint="eastAsia" w:ascii="宋体" w:hAnsi="宋体" w:cs="宋体"/>
                <w:color w:val="auto"/>
                <w:kern w:val="2"/>
                <w:sz w:val="24"/>
                <w:szCs w:val="24"/>
                <w:highlight w:val="none"/>
                <w:lang w:val="en-US" w:eastAsia="zh-CN" w:bidi="ar"/>
              </w:rPr>
              <w:t>（2023年-至今）</w:t>
            </w:r>
            <w:r>
              <w:rPr>
                <w:rFonts w:hint="eastAsia" w:ascii="宋体" w:hAnsi="宋体" w:eastAsia="宋体" w:cs="宋体"/>
                <w:color w:val="auto"/>
                <w:kern w:val="2"/>
                <w:sz w:val="24"/>
                <w:szCs w:val="24"/>
                <w:highlight w:val="none"/>
                <w:lang w:val="en-US" w:eastAsia="zh-CN" w:bidi="ar"/>
              </w:rPr>
              <w:t>投标人</w:t>
            </w:r>
            <w:r>
              <w:rPr>
                <w:rFonts w:hint="eastAsia"/>
                <w:color w:val="auto"/>
                <w:sz w:val="24"/>
                <w:szCs w:val="24"/>
                <w:highlight w:val="none"/>
                <w:lang w:eastAsia="zh-CN"/>
              </w:rPr>
              <w:t>起草食品检测相关标准</w:t>
            </w:r>
            <w:r>
              <w:rPr>
                <w:rFonts w:hint="eastAsia"/>
                <w:color w:val="auto"/>
                <w:sz w:val="24"/>
                <w:szCs w:val="24"/>
                <w:highlight w:val="none"/>
                <w:lang w:val="en-US" w:eastAsia="zh-CN"/>
              </w:rPr>
              <w:t>一项得0.5分</w:t>
            </w:r>
            <w:r>
              <w:rPr>
                <w:rFonts w:hint="eastAsia" w:ascii="宋体" w:hAnsi="宋体" w:eastAsia="宋体" w:cs="宋体"/>
                <w:color w:val="auto"/>
                <w:kern w:val="2"/>
                <w:sz w:val="24"/>
                <w:szCs w:val="24"/>
                <w:highlight w:val="none"/>
                <w:lang w:val="en-US" w:eastAsia="zh-CN" w:bidi="ar"/>
              </w:rPr>
              <w:t>；本项满分</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w:t>
            </w:r>
          </w:p>
          <w:p w14:paraId="353079F0">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（提供相关标准原文等相关证明材料备查，否则不得分）</w:t>
            </w:r>
          </w:p>
          <w:p w14:paraId="14EDC2B0">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2.投标人202</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年1月1日（含）以来获得的</w:t>
            </w:r>
            <w:r>
              <w:rPr>
                <w:rFonts w:hint="eastAsia"/>
                <w:color w:val="auto"/>
                <w:sz w:val="24"/>
                <w:szCs w:val="24"/>
                <w:highlight w:val="none"/>
                <w:lang w:eastAsia="zh-CN"/>
              </w:rPr>
              <w:t>食品检测相关专利证书</w:t>
            </w:r>
            <w:r>
              <w:rPr>
                <w:rFonts w:hint="eastAsia" w:ascii="宋体" w:hAnsi="宋体" w:eastAsia="宋体" w:cs="宋体"/>
                <w:color w:val="auto"/>
                <w:kern w:val="2"/>
                <w:sz w:val="24"/>
                <w:szCs w:val="24"/>
                <w:highlight w:val="none"/>
                <w:lang w:val="en-US" w:eastAsia="zh-CN" w:bidi="ar"/>
              </w:rPr>
              <w:t>，有1个得0.5分，最高得</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分。（需提供专利证书证明材料备查，软件著作权登记证书不得分）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8849A98">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分</w:t>
            </w:r>
          </w:p>
        </w:tc>
      </w:tr>
      <w:tr w14:paraId="6129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282C76F">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28B7378">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项目负责人及证书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7F3C488">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具备食品相关专业高级以上职称，有类似项目经历的得4分；具备相关食品专业中级职称，缺少类似项目经历的得2分。中途更换，视为违约。（需提供职称证书和</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项目负责人（</w:t>
            </w:r>
            <w:r>
              <w:rPr>
                <w:rFonts w:hint="eastAsia" w:ascii="宋体" w:hAnsi="宋体" w:cs="宋体"/>
                <w:color w:val="auto"/>
                <w:kern w:val="2"/>
                <w:sz w:val="24"/>
                <w:szCs w:val="24"/>
                <w:highlight w:val="none"/>
                <w:lang w:val="en-US" w:eastAsia="zh-CN" w:bidi="ar"/>
              </w:rPr>
              <w:t>含</w:t>
            </w:r>
            <w:r>
              <w:rPr>
                <w:rFonts w:hint="eastAsia" w:ascii="宋体" w:hAnsi="宋体" w:eastAsia="宋体" w:cs="宋体"/>
                <w:color w:val="auto"/>
                <w:kern w:val="2"/>
                <w:sz w:val="24"/>
                <w:szCs w:val="24"/>
                <w:highlight w:val="none"/>
                <w:lang w:val="en-US" w:eastAsia="zh-CN" w:bidi="ar"/>
              </w:rPr>
              <w:t>主要技术人员）应与投标书内人员一致）</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1CF0CA0">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4分</w:t>
            </w:r>
          </w:p>
        </w:tc>
      </w:tr>
      <w:tr w14:paraId="07E1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vMerge w:val="restart"/>
            <w:tcBorders>
              <w:top w:val="nil"/>
              <w:left w:val="single" w:color="auto" w:sz="4" w:space="0"/>
              <w:bottom w:val="single" w:color="auto" w:sz="4" w:space="0"/>
              <w:right w:val="single" w:color="auto" w:sz="4" w:space="0"/>
            </w:tcBorders>
            <w:shd w:val="clear" w:color="auto" w:fill="auto"/>
            <w:vAlign w:val="center"/>
          </w:tcPr>
          <w:p w14:paraId="1F282C0C">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10</w:t>
            </w:r>
          </w:p>
        </w:tc>
        <w:tc>
          <w:tcPr>
            <w:tcW w:w="1030" w:type="dxa"/>
            <w:vMerge w:val="restart"/>
            <w:tcBorders>
              <w:top w:val="nil"/>
              <w:left w:val="single" w:color="auto" w:sz="4" w:space="0"/>
              <w:bottom w:val="single" w:color="auto" w:sz="4" w:space="0"/>
              <w:right w:val="single" w:color="auto" w:sz="4" w:space="0"/>
            </w:tcBorders>
            <w:shd w:val="clear" w:color="auto" w:fill="auto"/>
            <w:vAlign w:val="center"/>
          </w:tcPr>
          <w:p w14:paraId="6C0FE13D">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项目实施团队能力</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7B30A7B">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1.投标人所配服务人员中为本单位人员，且具有专职承担食品抽检工作的独立抽样人员：10人及以下：1分；11-19人：2分；20人及以上：3分。</w:t>
            </w:r>
          </w:p>
          <w:p w14:paraId="7648EE36">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注：（1）须提供独立抽样工作人员名单及抽样员证（或其他证明性材料）复印件；（2）提供</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材料。</w:t>
            </w:r>
          </w:p>
        </w:tc>
        <w:tc>
          <w:tcPr>
            <w:tcW w:w="1231" w:type="dxa"/>
            <w:vMerge w:val="restart"/>
            <w:tcBorders>
              <w:top w:val="nil"/>
              <w:left w:val="single" w:color="auto" w:sz="4" w:space="0"/>
              <w:bottom w:val="single" w:color="auto" w:sz="4" w:space="0"/>
              <w:right w:val="single" w:color="auto" w:sz="4" w:space="0"/>
            </w:tcBorders>
            <w:shd w:val="clear" w:color="auto" w:fill="auto"/>
            <w:vAlign w:val="center"/>
          </w:tcPr>
          <w:p w14:paraId="026034DB">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9分</w:t>
            </w:r>
          </w:p>
        </w:tc>
      </w:tr>
      <w:tr w14:paraId="33363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597D9A8B">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nil"/>
              <w:left w:val="single" w:color="auto" w:sz="4" w:space="0"/>
              <w:bottom w:val="single" w:color="auto" w:sz="4" w:space="0"/>
              <w:right w:val="single" w:color="auto" w:sz="4" w:space="0"/>
            </w:tcBorders>
            <w:shd w:val="clear" w:color="auto" w:fill="auto"/>
            <w:vAlign w:val="center"/>
          </w:tcPr>
          <w:p w14:paraId="2F8C3F03">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377CD3B">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2.投标人所配服务人员中为本单位人员，专职从事食品检验人员的数量：20人及以下：1分；21-30人：2分；30人及以上：3分。</w:t>
            </w:r>
          </w:p>
          <w:p w14:paraId="274BF435">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注：（1）须提供专职从事食品检验人员名单及食品检验人员上岗证（或其他证明性材料）复印件；（2）提供</w:t>
            </w:r>
            <w:r>
              <w:rPr>
                <w:rFonts w:hint="eastAsia"/>
                <w:color w:val="auto"/>
                <w:sz w:val="24"/>
                <w:szCs w:val="24"/>
                <w:highlight w:val="none"/>
                <w:lang w:val="en-US" w:eastAsia="zh-CN"/>
              </w:rPr>
              <w:t>近六个月任意一个月缴纳社会保障证明</w:t>
            </w:r>
            <w:r>
              <w:rPr>
                <w:rFonts w:hint="eastAsia" w:ascii="宋体" w:hAnsi="宋体" w:eastAsia="宋体" w:cs="宋体"/>
                <w:color w:val="auto"/>
                <w:kern w:val="2"/>
                <w:sz w:val="24"/>
                <w:szCs w:val="24"/>
                <w:highlight w:val="none"/>
                <w:lang w:val="en-US" w:eastAsia="zh-CN" w:bidi="ar"/>
              </w:rPr>
              <w:t>材料。</w:t>
            </w:r>
          </w:p>
        </w:tc>
        <w:tc>
          <w:tcPr>
            <w:tcW w:w="1231" w:type="dxa"/>
            <w:vMerge w:val="continue"/>
            <w:tcBorders>
              <w:top w:val="nil"/>
              <w:left w:val="single" w:color="auto" w:sz="4" w:space="0"/>
              <w:bottom w:val="single" w:color="auto" w:sz="4" w:space="0"/>
              <w:right w:val="single" w:color="auto" w:sz="4" w:space="0"/>
            </w:tcBorders>
            <w:shd w:val="clear" w:color="auto" w:fill="auto"/>
            <w:vAlign w:val="center"/>
          </w:tcPr>
          <w:p w14:paraId="6DE2889E">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4A9F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16E02EB2">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nil"/>
              <w:left w:val="single" w:color="auto" w:sz="4" w:space="0"/>
              <w:bottom w:val="single" w:color="auto" w:sz="4" w:space="0"/>
              <w:right w:val="single" w:color="auto" w:sz="4" w:space="0"/>
            </w:tcBorders>
            <w:shd w:val="clear" w:color="auto" w:fill="auto"/>
            <w:vAlign w:val="center"/>
          </w:tcPr>
          <w:p w14:paraId="4B57E52A">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B8B75DC">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3.投标人所配服务人员中为本单位人员，具有高级技术职称，专职从事食品检验业务相关工作且在单位满2年及以上的人员数量：6人及以下：1.5分；7-9人：2分；10人及以上：3分。</w:t>
            </w:r>
          </w:p>
          <w:p w14:paraId="0C491D27">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注：（1）须提供人员名单（至少包含：姓名、年龄、文化程度、职务、职称、从事本技术领域年限、现在部门岗位）并加盖公章；（2）提供人员高级职称证书复印件；（3）提供</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w:t>
            </w:r>
          </w:p>
        </w:tc>
        <w:tc>
          <w:tcPr>
            <w:tcW w:w="1231" w:type="dxa"/>
            <w:vMerge w:val="continue"/>
            <w:tcBorders>
              <w:top w:val="nil"/>
              <w:left w:val="single" w:color="auto" w:sz="4" w:space="0"/>
              <w:bottom w:val="single" w:color="auto" w:sz="4" w:space="0"/>
              <w:right w:val="single" w:color="auto" w:sz="4" w:space="0"/>
            </w:tcBorders>
            <w:shd w:val="clear" w:color="auto" w:fill="auto"/>
            <w:vAlign w:val="center"/>
          </w:tcPr>
          <w:p w14:paraId="0D1EFBE5">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32742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501A3A0">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F093E74">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服务承诺</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49295688">
            <w:pPr>
              <w:keepNext w:val="0"/>
              <w:keepLines w:val="0"/>
              <w:widowControl w:val="0"/>
              <w:suppressLineNumbers w:val="0"/>
              <w:spacing w:before="0" w:beforeAutospacing="0" w:after="0" w:afterAutospacing="0" w:line="300" w:lineRule="exact"/>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根据投标人针对本项目提供的</w:t>
            </w:r>
            <w:r>
              <w:rPr>
                <w:rFonts w:hint="eastAsia" w:ascii="宋体" w:hAnsi="宋体" w:eastAsia="宋体" w:cs="宋体"/>
                <w:color w:val="auto"/>
                <w:kern w:val="2"/>
                <w:sz w:val="24"/>
                <w:szCs w:val="24"/>
                <w:highlight w:val="none"/>
                <w:lang w:val="en-US" w:eastAsia="zh-CN" w:bidi="ar"/>
              </w:rPr>
              <w:t>服务承诺</w:t>
            </w:r>
            <w:r>
              <w:rPr>
                <w:rFonts w:hint="eastAsia" w:ascii="宋体" w:hAnsi="宋体" w:eastAsia="宋体" w:cs="宋体"/>
                <w:bCs/>
                <w:color w:val="auto"/>
                <w:kern w:val="2"/>
                <w:sz w:val="24"/>
                <w:szCs w:val="24"/>
                <w:highlight w:val="none"/>
                <w:lang w:val="en-US" w:eastAsia="zh-CN" w:bidi="ar"/>
              </w:rPr>
              <w:t>进行综合评分，内容包含但不限于：①</w:t>
            </w:r>
            <w:r>
              <w:rPr>
                <w:rFonts w:hint="eastAsia" w:ascii="宋体" w:hAnsi="宋体" w:eastAsia="宋体" w:cs="宋体"/>
                <w:color w:val="auto"/>
                <w:kern w:val="2"/>
                <w:sz w:val="24"/>
                <w:szCs w:val="24"/>
                <w:highlight w:val="none"/>
                <w:lang w:val="en-US" w:eastAsia="zh-CN" w:bidi="ar"/>
              </w:rPr>
              <w:t>项目实施期间，定时在甲方指定地点参加任务部署会、推进会，缺席2次以上，视为违约</w:t>
            </w:r>
            <w:r>
              <w:rPr>
                <w:rFonts w:hint="eastAsia" w:ascii="宋体" w:hAnsi="宋体" w:eastAsia="宋体" w:cs="宋体"/>
                <w:bCs/>
                <w:color w:val="auto"/>
                <w:kern w:val="2"/>
                <w:sz w:val="24"/>
                <w:szCs w:val="24"/>
                <w:highlight w:val="none"/>
                <w:lang w:val="en-US" w:eastAsia="zh-CN" w:bidi="ar"/>
              </w:rPr>
              <w:t>；②</w:t>
            </w:r>
            <w:r>
              <w:rPr>
                <w:rFonts w:hint="eastAsia" w:ascii="宋体" w:hAnsi="宋体" w:eastAsia="宋体" w:cs="宋体"/>
                <w:color w:val="auto"/>
                <w:kern w:val="2"/>
                <w:sz w:val="24"/>
                <w:szCs w:val="24"/>
                <w:highlight w:val="none"/>
                <w:lang w:val="en-US" w:eastAsia="zh-CN" w:bidi="ar"/>
              </w:rPr>
              <w:t>合同期内及质保期内提供24小时应急响应到场服务，承诺响应服务处理结束后提交问题处理报告，不到场1次以上视为违约；</w:t>
            </w:r>
            <w:r>
              <w:rPr>
                <w:rFonts w:hint="eastAsia" w:ascii="宋体" w:hAnsi="宋体" w:eastAsia="宋体" w:cs="宋体"/>
                <w:bCs/>
                <w:color w:val="auto"/>
                <w:kern w:val="2"/>
                <w:sz w:val="24"/>
                <w:szCs w:val="24"/>
                <w:highlight w:val="none"/>
                <w:lang w:val="en-US" w:eastAsia="zh-CN" w:bidi="ar"/>
              </w:rPr>
              <w:t>③</w:t>
            </w:r>
            <w:r>
              <w:rPr>
                <w:rFonts w:hint="eastAsia" w:ascii="宋体" w:hAnsi="宋体" w:eastAsia="宋体" w:cs="宋体"/>
                <w:color w:val="auto"/>
                <w:kern w:val="2"/>
                <w:sz w:val="24"/>
                <w:szCs w:val="24"/>
                <w:highlight w:val="none"/>
                <w:lang w:val="en-US" w:eastAsia="zh-CN" w:bidi="ar"/>
              </w:rPr>
              <w:t>有保密责任承诺书；</w:t>
            </w:r>
            <w:r>
              <w:rPr>
                <w:rFonts w:hint="eastAsia" w:ascii="宋体" w:hAnsi="宋体" w:eastAsia="宋体" w:cs="宋体"/>
                <w:bCs/>
                <w:color w:val="auto"/>
                <w:kern w:val="2"/>
                <w:sz w:val="24"/>
                <w:szCs w:val="24"/>
                <w:highlight w:val="none"/>
                <w:lang w:val="en-US" w:eastAsia="zh-CN" w:bidi="ar"/>
              </w:rPr>
              <w:t>④</w:t>
            </w:r>
            <w:r>
              <w:rPr>
                <w:rFonts w:hint="eastAsia" w:ascii="宋体" w:hAnsi="宋体" w:eastAsia="宋体" w:cs="宋体"/>
                <w:color w:val="auto"/>
                <w:kern w:val="2"/>
                <w:sz w:val="24"/>
                <w:szCs w:val="24"/>
                <w:highlight w:val="none"/>
                <w:lang w:val="en-US" w:eastAsia="zh-CN" w:bidi="ar"/>
              </w:rPr>
              <w:t>协助做好重大活动等时间节点保障活动食品抽检工作；</w:t>
            </w:r>
            <w:r>
              <w:rPr>
                <w:rFonts w:hint="eastAsia" w:ascii="宋体" w:hAnsi="宋体" w:eastAsia="宋体" w:cs="宋体"/>
                <w:bCs/>
                <w:color w:val="auto"/>
                <w:kern w:val="2"/>
                <w:sz w:val="24"/>
                <w:szCs w:val="24"/>
                <w:highlight w:val="none"/>
                <w:lang w:val="en-US" w:eastAsia="zh-CN" w:bidi="ar"/>
              </w:rPr>
              <w:t>⑤</w:t>
            </w:r>
            <w:r>
              <w:rPr>
                <w:rFonts w:hint="eastAsia" w:ascii="宋体" w:hAnsi="宋体" w:eastAsia="宋体" w:cs="宋体"/>
                <w:color w:val="auto"/>
                <w:kern w:val="2"/>
                <w:sz w:val="24"/>
                <w:szCs w:val="24"/>
                <w:highlight w:val="none"/>
                <w:lang w:val="en-US" w:eastAsia="zh-CN" w:bidi="ar"/>
              </w:rPr>
              <w:t>协助做好食品安全突发事件应急演练保障工作；</w:t>
            </w:r>
            <w:r>
              <w:rPr>
                <w:rFonts w:hint="eastAsia" w:ascii="宋体" w:hAnsi="宋体" w:eastAsia="宋体" w:cs="宋体"/>
                <w:bCs/>
                <w:color w:val="auto"/>
                <w:kern w:val="2"/>
                <w:sz w:val="24"/>
                <w:szCs w:val="24"/>
                <w:highlight w:val="none"/>
                <w:lang w:val="en-US" w:eastAsia="zh-CN" w:bidi="ar"/>
              </w:rPr>
              <w:t>⑥</w:t>
            </w:r>
            <w:r>
              <w:rPr>
                <w:rFonts w:hint="eastAsia" w:ascii="宋体" w:hAnsi="宋体" w:eastAsia="宋体" w:cs="宋体"/>
                <w:color w:val="auto"/>
                <w:kern w:val="2"/>
                <w:sz w:val="24"/>
                <w:szCs w:val="24"/>
                <w:highlight w:val="none"/>
                <w:lang w:val="en-US" w:eastAsia="zh-CN" w:bidi="ar"/>
              </w:rPr>
              <w:t>各级股东中无外资成分及外籍员工的声明；</w:t>
            </w:r>
            <w:r>
              <w:rPr>
                <w:rFonts w:hint="eastAsia" w:ascii="宋体" w:hAnsi="宋体" w:eastAsia="宋体" w:cs="宋体"/>
                <w:bCs/>
                <w:color w:val="auto"/>
                <w:kern w:val="2"/>
                <w:sz w:val="24"/>
                <w:szCs w:val="24"/>
                <w:highlight w:val="none"/>
                <w:lang w:val="en-US" w:eastAsia="zh-CN" w:bidi="ar"/>
              </w:rPr>
              <w:t>以上六项内容均有体现且完全满足采购实际需求的得</w:t>
            </w:r>
            <w:r>
              <w:rPr>
                <w:rFonts w:hint="eastAsia" w:ascii="宋体" w:hAnsi="宋体" w:eastAsia="宋体" w:cs="仿宋"/>
                <w:bCs/>
                <w:color w:val="auto"/>
                <w:kern w:val="2"/>
                <w:sz w:val="24"/>
                <w:szCs w:val="24"/>
                <w:highlight w:val="none"/>
                <w:lang w:val="en-US" w:eastAsia="zh-CN" w:bidi="ar"/>
              </w:rPr>
              <w:t>6</w:t>
            </w:r>
            <w:r>
              <w:rPr>
                <w:rFonts w:hint="eastAsia" w:ascii="宋体" w:hAnsi="宋体" w:eastAsia="宋体" w:cs="宋体"/>
                <w:bCs/>
                <w:color w:val="auto"/>
                <w:kern w:val="2"/>
                <w:sz w:val="24"/>
                <w:szCs w:val="24"/>
                <w:highlight w:val="none"/>
                <w:lang w:val="en-US" w:eastAsia="zh-CN" w:bidi="ar"/>
              </w:rPr>
              <w:t>分；每有一项内容缺失的扣1分；每有一项内容存在缺陷或者不能满足采购实际需求的扣</w:t>
            </w:r>
            <w:r>
              <w:rPr>
                <w:rFonts w:hint="eastAsia" w:ascii="宋体" w:hAnsi="宋体" w:eastAsia="宋体" w:cs="仿宋"/>
                <w:bCs/>
                <w:color w:val="auto"/>
                <w:kern w:val="2"/>
                <w:sz w:val="24"/>
                <w:szCs w:val="24"/>
                <w:highlight w:val="none"/>
                <w:lang w:val="en-US" w:eastAsia="zh-CN" w:bidi="ar"/>
              </w:rPr>
              <w:t>0.5</w:t>
            </w:r>
            <w:r>
              <w:rPr>
                <w:rFonts w:hint="eastAsia" w:ascii="宋体" w:hAnsi="宋体" w:eastAsia="宋体" w:cs="宋体"/>
                <w:bCs/>
                <w:color w:val="auto"/>
                <w:kern w:val="2"/>
                <w:sz w:val="24"/>
                <w:szCs w:val="24"/>
                <w:highlight w:val="none"/>
                <w:lang w:val="en-US" w:eastAsia="zh-CN" w:bidi="ar"/>
              </w:rPr>
              <w:t>分，扣完为止；本项满分为6分，未提供</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780C42C">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6分</w:t>
            </w:r>
          </w:p>
        </w:tc>
      </w:tr>
      <w:tr w14:paraId="3168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F15A363">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635B3F0">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检验项目响应程度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AF90822">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根据投标人提供的检验项目商务、技术偏离表是否符合招标文件“第四部分，服务标准和要求”，完全响应得5分，偏离一项扣1分，扣完为止。</w:t>
            </w:r>
          </w:p>
          <w:p w14:paraId="3EBF591E">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注：投标人提供的所投包组项目须提交实验室资质认可复印件盖章。</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04EC160">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482A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9CA385C">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13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EDA4A40">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0"/>
                <w:sz w:val="24"/>
                <w:szCs w:val="24"/>
                <w:highlight w:val="none"/>
                <w:lang w:val="en-US" w:eastAsia="zh-CN" w:bidi="zh-CN"/>
              </w:rPr>
            </w:pPr>
            <w:r>
              <w:rPr>
                <w:rFonts w:hint="eastAsia" w:ascii="宋体" w:hAnsi="宋体" w:cs="宋体"/>
                <w:color w:val="auto"/>
                <w:kern w:val="2"/>
                <w:sz w:val="24"/>
                <w:szCs w:val="24"/>
                <w:highlight w:val="none"/>
                <w:lang w:val="en-US" w:eastAsia="zh-CN" w:bidi="ar"/>
              </w:rPr>
              <w:t>承检</w:t>
            </w:r>
            <w:r>
              <w:rPr>
                <w:rFonts w:hint="eastAsia" w:ascii="宋体" w:hAnsi="宋体" w:eastAsia="宋体" w:cs="宋体"/>
                <w:color w:val="auto"/>
                <w:kern w:val="2"/>
                <w:sz w:val="24"/>
                <w:szCs w:val="24"/>
                <w:highlight w:val="none"/>
                <w:lang w:val="en-US" w:eastAsia="zh-CN" w:bidi="ar"/>
              </w:rPr>
              <w:t>机构考核</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7536CF74">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1.202</w:t>
            </w: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年1月1日以来，在行业相关监管部门（食品、食用农产品监管部门）组织的承检机构考核中的综合评价满意度情况：</w:t>
            </w:r>
          </w:p>
          <w:p w14:paraId="0C28EC75">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（1）获得相关监管部门满意的考核评价（优秀，或等同于相同等次），有一个得</w:t>
            </w:r>
            <w:r>
              <w:rPr>
                <w:rFonts w:hint="eastAsia" w:ascii="宋体" w:hAnsi="宋体" w:cs="宋体"/>
                <w:color w:val="auto"/>
                <w:kern w:val="2"/>
                <w:sz w:val="24"/>
                <w:szCs w:val="24"/>
                <w:highlight w:val="none"/>
                <w:lang w:val="en-US" w:eastAsia="zh-CN" w:bidi="ar"/>
              </w:rPr>
              <w:t>0.5</w:t>
            </w:r>
            <w:r>
              <w:rPr>
                <w:rFonts w:hint="eastAsia" w:ascii="宋体" w:hAnsi="宋体" w:eastAsia="宋体" w:cs="宋体"/>
                <w:color w:val="auto"/>
                <w:kern w:val="2"/>
                <w:sz w:val="24"/>
                <w:szCs w:val="24"/>
                <w:highlight w:val="none"/>
                <w:lang w:val="en-US" w:eastAsia="zh-CN" w:bidi="ar"/>
              </w:rPr>
              <w:t>分；本项最高得2分。</w:t>
            </w:r>
          </w:p>
          <w:p w14:paraId="63DFA481">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注：须提供监管部门出具的“承检机构考核结果证明材料”原件扫描件，未提供不得分。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DBAAA90">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color w:val="auto"/>
                <w:kern w:val="0"/>
                <w:sz w:val="24"/>
                <w:szCs w:val="24"/>
                <w:highlight w:val="none"/>
                <w:lang w:bidi="zh-CN"/>
              </w:rPr>
              <w:t>2</w:t>
            </w:r>
            <w:r>
              <w:rPr>
                <w:rFonts w:hint="eastAsia"/>
                <w:color w:val="auto"/>
                <w:kern w:val="0"/>
                <w:sz w:val="24"/>
                <w:szCs w:val="24"/>
                <w:highlight w:val="none"/>
                <w:lang w:val="zh-CN" w:bidi="zh-CN"/>
              </w:rPr>
              <w:t>分</w:t>
            </w:r>
          </w:p>
        </w:tc>
      </w:tr>
      <w:tr w14:paraId="6715A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7"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56703AC2">
            <w:pPr>
              <w:keepNext w:val="0"/>
              <w:keepLines w:val="0"/>
              <w:widowControl w:val="0"/>
              <w:suppressLineNumbers w:val="0"/>
              <w:snapToGrid w:val="0"/>
              <w:spacing w:before="0" w:beforeAutospacing="0" w:after="0" w:afterAutospacing="0"/>
              <w:ind w:left="0" w:right="0"/>
              <w:jc w:val="both"/>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商务部分评分2</w:t>
            </w:r>
            <w:r>
              <w:rPr>
                <w:rFonts w:hint="eastAsia" w:ascii="宋体" w:hAnsi="宋体" w:eastAsia="宋体" w:cs="Courier New"/>
                <w:b/>
                <w:bCs w:val="0"/>
                <w:color w:val="auto"/>
                <w:kern w:val="2"/>
                <w:sz w:val="24"/>
                <w:szCs w:val="24"/>
                <w:highlight w:val="none"/>
                <w:lang w:val="en-US" w:eastAsia="zh-CN" w:bidi="ar"/>
              </w:rPr>
              <w:t>0</w:t>
            </w:r>
            <w:r>
              <w:rPr>
                <w:rFonts w:hint="eastAsia" w:ascii="宋体" w:hAnsi="宋体" w:eastAsia="宋体" w:cs="宋体"/>
                <w:b/>
                <w:bCs w:val="0"/>
                <w:color w:val="auto"/>
                <w:kern w:val="2"/>
                <w:sz w:val="24"/>
                <w:szCs w:val="24"/>
                <w:highlight w:val="none"/>
                <w:lang w:val="en-US" w:eastAsia="zh-CN" w:bidi="ar"/>
              </w:rPr>
              <w:t>分</w:t>
            </w:r>
          </w:p>
        </w:tc>
      </w:tr>
      <w:tr w14:paraId="243C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restart"/>
            <w:tcBorders>
              <w:top w:val="nil"/>
              <w:left w:val="single" w:color="auto" w:sz="4" w:space="0"/>
              <w:bottom w:val="single" w:color="auto" w:sz="4" w:space="0"/>
              <w:right w:val="single" w:color="auto" w:sz="4" w:space="0"/>
            </w:tcBorders>
            <w:shd w:val="clear" w:color="auto" w:fill="auto"/>
            <w:vAlign w:val="center"/>
          </w:tcPr>
          <w:p w14:paraId="757B932C">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D9DF47">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企业</w:t>
            </w:r>
            <w:r>
              <w:rPr>
                <w:rFonts w:hint="eastAsia" w:ascii="宋体" w:hAnsi="宋体" w:eastAsia="宋体" w:cs="宋体"/>
                <w:color w:val="auto"/>
                <w:kern w:val="2"/>
                <w:sz w:val="24"/>
                <w:szCs w:val="24"/>
                <w:highlight w:val="none"/>
                <w:lang w:val="en-US" w:eastAsia="zh-CN" w:bidi="ar"/>
              </w:rPr>
              <w:t>实力</w:t>
            </w:r>
          </w:p>
          <w:p w14:paraId="218934A6">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51EC9B8">
            <w:pPr>
              <w:keepNext w:val="0"/>
              <w:keepLines w:val="0"/>
              <w:widowControl w:val="0"/>
              <w:suppressLineNumbers w:val="0"/>
              <w:snapToGrid w:val="0"/>
              <w:spacing w:before="0" w:beforeAutospacing="0" w:after="0" w:afterAutospacing="0"/>
              <w:ind w:left="0" w:right="0"/>
              <w:jc w:val="left"/>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rPr>
              <w:t>供应商</w:t>
            </w:r>
            <w:r>
              <w:rPr>
                <w:rFonts w:hint="eastAsia" w:ascii="宋体" w:hAnsi="宋体" w:eastAsia="宋体" w:cs="Times New Roman"/>
                <w:color w:val="auto"/>
                <w:kern w:val="2"/>
                <w:sz w:val="24"/>
                <w:szCs w:val="24"/>
                <w:highlight w:val="none"/>
                <w:lang w:eastAsia="zh-CN"/>
              </w:rPr>
              <w:t>告知承诺</w:t>
            </w:r>
            <w:r>
              <w:rPr>
                <w:rFonts w:hint="eastAsia" w:ascii="宋体" w:hAnsi="宋体" w:eastAsia="宋体" w:cs="Times New Roman"/>
                <w:color w:val="auto"/>
                <w:kern w:val="2"/>
                <w:sz w:val="24"/>
                <w:szCs w:val="24"/>
                <w:highlight w:val="none"/>
              </w:rPr>
              <w:t>系统有专职录入人员得2分；未提供证明材料</w:t>
            </w:r>
            <w:r>
              <w:rPr>
                <w:rFonts w:hint="eastAsia" w:ascii="宋体" w:hAnsi="宋体" w:eastAsia="宋体" w:cs="Times New Roman"/>
                <w:color w:val="auto"/>
                <w:kern w:val="2"/>
                <w:sz w:val="24"/>
                <w:szCs w:val="24"/>
                <w:highlight w:val="none"/>
                <w:lang w:eastAsia="zh-CN"/>
              </w:rPr>
              <w:t>（国抽平台显示人员姓名截图）</w:t>
            </w:r>
            <w:r>
              <w:rPr>
                <w:rFonts w:hint="eastAsia" w:ascii="宋体" w:hAnsi="宋体" w:eastAsia="宋体" w:cs="Times New Roman"/>
                <w:color w:val="auto"/>
                <w:kern w:val="2"/>
                <w:sz w:val="24"/>
                <w:szCs w:val="24"/>
                <w:highlight w:val="none"/>
              </w:rPr>
              <w:t>、未参加过培训</w:t>
            </w:r>
            <w:r>
              <w:rPr>
                <w:rFonts w:hint="eastAsia" w:ascii="宋体" w:hAnsi="宋体" w:eastAsia="宋体" w:cs="Times New Roman"/>
                <w:color w:val="auto"/>
                <w:kern w:val="2"/>
                <w:sz w:val="24"/>
                <w:szCs w:val="24"/>
                <w:highlight w:val="none"/>
                <w:lang w:eastAsia="zh-CN"/>
              </w:rPr>
              <w:t>（培训记录）</w:t>
            </w:r>
            <w:r>
              <w:rPr>
                <w:rFonts w:hint="eastAsia" w:ascii="宋体" w:hAnsi="宋体" w:eastAsia="宋体" w:cs="Times New Roman"/>
                <w:color w:val="auto"/>
                <w:kern w:val="2"/>
                <w:sz w:val="24"/>
                <w:szCs w:val="24"/>
                <w:highlight w:val="none"/>
              </w:rPr>
              <w:t>不得分。（2分）</w:t>
            </w:r>
          </w:p>
        </w:tc>
        <w:tc>
          <w:tcPr>
            <w:tcW w:w="12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1FE180">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参考投标人的经营资质、行业口碑、资信情况进行打分（10分）</w:t>
            </w:r>
          </w:p>
          <w:p w14:paraId="5D31B5CD">
            <w:pPr>
              <w:pStyle w:val="5"/>
              <w:suppressLineNumbers w:val="0"/>
              <w:spacing w:beforeAutospacing="0" w:afterAutospacing="0"/>
              <w:ind w:left="0" w:right="0"/>
              <w:rPr>
                <w:rFonts w:hint="eastAsia"/>
                <w:color w:val="auto"/>
                <w:sz w:val="24"/>
                <w:szCs w:val="24"/>
                <w:highlight w:val="none"/>
              </w:rPr>
            </w:pPr>
          </w:p>
        </w:tc>
      </w:tr>
      <w:tr w14:paraId="49EF7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33A13EAC">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12996A">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5146E1A">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eastAsia="zh-CN"/>
              </w:rPr>
            </w:pPr>
            <w:r>
              <w:rPr>
                <w:rFonts w:hint="default"/>
                <w:color w:val="auto"/>
                <w:sz w:val="24"/>
                <w:szCs w:val="24"/>
                <w:highlight w:val="none"/>
                <w:lang w:val="en-US" w:eastAsia="zh-CN"/>
              </w:rPr>
              <w:t>供应商提供的中国合格评定国家认可委员会实验室认证认可证书（CMA证书）得1分。</w:t>
            </w:r>
          </w:p>
          <w:p w14:paraId="3F27E936">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rPr>
            </w:pPr>
            <w:r>
              <w:rPr>
                <w:rFonts w:hint="default"/>
                <w:color w:val="auto"/>
                <w:sz w:val="24"/>
                <w:szCs w:val="24"/>
                <w:highlight w:val="none"/>
                <w:lang w:val="en-US" w:eastAsia="zh-CN"/>
              </w:rPr>
              <w:t>供应商提供中国合格评定国家认可委员会颁发的认可证书（CNAS证书）得1</w:t>
            </w:r>
            <w:r>
              <w:rPr>
                <w:rFonts w:hint="default"/>
                <w:color w:val="auto"/>
                <w:sz w:val="24"/>
                <w:szCs w:val="24"/>
                <w:highlight w:val="none"/>
                <w:lang w:val="en-US"/>
              </w:rPr>
              <w:t>分</w:t>
            </w:r>
            <w:r>
              <w:rPr>
                <w:rFonts w:hint="default"/>
                <w:color w:val="auto"/>
                <w:sz w:val="24"/>
                <w:szCs w:val="24"/>
                <w:highlight w:val="none"/>
                <w:lang w:val="en-US" w:eastAsia="zh-CN"/>
              </w:rPr>
              <w:t>。</w:t>
            </w:r>
          </w:p>
          <w:p w14:paraId="5A7CA116">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rPr>
            </w:pPr>
            <w:r>
              <w:rPr>
                <w:rFonts w:hint="default"/>
                <w:color w:val="auto"/>
                <w:sz w:val="24"/>
                <w:szCs w:val="24"/>
                <w:highlight w:val="none"/>
                <w:lang w:val="en-US" w:eastAsia="zh-CN"/>
              </w:rPr>
              <w:t>未提供不得分。</w:t>
            </w:r>
          </w:p>
        </w:tc>
        <w:tc>
          <w:tcPr>
            <w:tcW w:w="12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BA7BEC">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33FC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5B003C31">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F29D7D">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BC0B335">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获得国家级能力验证及实验室比对结果满意1项得1分</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获得省级以上能力验证及实验室比对结果满意5项得2分；10项得3分；10项以上得6分；</w:t>
            </w:r>
          </w:p>
          <w:p w14:paraId="06E5CCA0">
            <w:pPr>
              <w:keepNext w:val="0"/>
              <w:keepLines w:val="0"/>
              <w:widowControl w:val="0"/>
              <w:suppressLineNumbers w:val="0"/>
              <w:snapToGrid w:val="0"/>
              <w:spacing w:before="0" w:beforeAutospacing="0" w:after="0" w:afterAutospacing="0"/>
              <w:ind w:left="0" w:right="0"/>
              <w:jc w:val="left"/>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注：须提供近三年</w:t>
            </w:r>
            <w:r>
              <w:rPr>
                <w:rFonts w:hint="eastAsia" w:ascii="宋体" w:hAnsi="宋体" w:cs="宋体"/>
                <w:color w:val="auto"/>
                <w:kern w:val="2"/>
                <w:sz w:val="24"/>
                <w:szCs w:val="24"/>
                <w:highlight w:val="none"/>
                <w:lang w:val="en-US" w:eastAsia="zh-CN" w:bidi="ar"/>
              </w:rPr>
              <w:t>（2023年-至今）</w:t>
            </w:r>
            <w:r>
              <w:rPr>
                <w:rFonts w:hint="eastAsia" w:ascii="宋体" w:hAnsi="宋体" w:eastAsia="宋体" w:cs="宋体"/>
                <w:color w:val="auto"/>
                <w:kern w:val="2"/>
                <w:sz w:val="24"/>
                <w:szCs w:val="24"/>
                <w:highlight w:val="none"/>
                <w:lang w:val="en-US" w:eastAsia="zh-CN" w:bidi="ar"/>
              </w:rPr>
              <w:t>国家级或省级能力验证或实验室比对满意结果证书复印件或公告证明资料。最多计6分，未提供得不得分。</w:t>
            </w:r>
          </w:p>
        </w:tc>
        <w:tc>
          <w:tcPr>
            <w:tcW w:w="12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18F12E">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6375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20CD115">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9A0F06C">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类似项目经营业绩及其它有利资料</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AEFAF89">
            <w:pPr>
              <w:keepNext w:val="0"/>
              <w:keepLines w:val="0"/>
              <w:widowControl w:val="0"/>
              <w:suppressLineNumbers w:val="0"/>
              <w:snapToGrid w:val="0"/>
              <w:spacing w:before="0" w:beforeAutospacing="0" w:after="0" w:afterAutospacing="0"/>
              <w:ind w:left="0" w:right="0"/>
              <w:jc w:val="left"/>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投标人近三年（202</w:t>
            </w:r>
            <w:r>
              <w:rPr>
                <w:rFonts w:hint="eastAsia" w:ascii="宋体" w:hAnsi="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年-至今，业绩认定时间以委托检验合同或委托书或中标通知书为准）承担过类似项目业绩，则一个得2分，总计8分，需要提供委托检验合同或委托书或中标通知书等。</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69702CF">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经营业绩（8分）</w:t>
            </w:r>
          </w:p>
        </w:tc>
      </w:tr>
      <w:tr w14:paraId="37FC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56A4D84D">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4E4BFFA">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售后</w:t>
            </w:r>
          </w:p>
          <w:p w14:paraId="594239B1">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服务</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3C013D1">
            <w:pPr>
              <w:keepNext w:val="0"/>
              <w:keepLines w:val="0"/>
              <w:widowControl w:val="0"/>
              <w:suppressLineNumbers w:val="0"/>
              <w:snapToGrid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能够提供食品安全监督抽检分析报告及派遣人员协助抽检监测数据汇总和信息公示进行打分，承诺两项均能做到得2分；仅提供食品安全监督抽检分析报告得1分，仅派遣人员协助抽检监测数据汇总和信息公示得1分；否则，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CE95CA3">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书面承诺书（2分）</w:t>
            </w:r>
          </w:p>
        </w:tc>
      </w:tr>
    </w:tbl>
    <w:p w14:paraId="18535540">
      <w:pPr>
        <w:pStyle w:val="2"/>
        <w:rPr>
          <w:color w:val="auto"/>
          <w:highlight w:val="none"/>
        </w:rPr>
      </w:pPr>
    </w:p>
    <w:p w14:paraId="04DD6BA6">
      <w:pPr>
        <w:rPr>
          <w:color w:val="auto"/>
          <w:highlight w:val="none"/>
        </w:rPr>
      </w:pPr>
    </w:p>
    <w:p w14:paraId="6B08B15F">
      <w:pPr>
        <w:rPr>
          <w:color w:val="auto"/>
          <w:highlight w:val="none"/>
        </w:rPr>
      </w:pPr>
    </w:p>
    <w:p w14:paraId="42B3BF59">
      <w:pPr>
        <w:rPr>
          <w:color w:val="auto"/>
          <w:highlight w:val="none"/>
        </w:rPr>
      </w:pPr>
    </w:p>
    <w:p w14:paraId="3F89F600">
      <w:pPr>
        <w:rPr>
          <w:color w:val="auto"/>
          <w:highlight w:val="none"/>
        </w:rPr>
      </w:pPr>
    </w:p>
    <w:p w14:paraId="73BFB8B1">
      <w:pPr>
        <w:rPr>
          <w:color w:val="auto"/>
          <w:highlight w:val="none"/>
        </w:rPr>
      </w:pPr>
    </w:p>
    <w:p w14:paraId="1230AF4E">
      <w:pPr>
        <w:rPr>
          <w:color w:val="auto"/>
          <w:highlight w:val="none"/>
        </w:rPr>
      </w:pPr>
    </w:p>
    <w:p w14:paraId="6A24166B">
      <w:pPr>
        <w:rPr>
          <w:color w:val="auto"/>
          <w:highlight w:val="none"/>
        </w:rPr>
      </w:pPr>
    </w:p>
    <w:p w14:paraId="0FFF8811">
      <w:pPr>
        <w:rPr>
          <w:color w:val="auto"/>
          <w:highlight w:val="none"/>
        </w:rPr>
      </w:pPr>
    </w:p>
    <w:p w14:paraId="7F811F70">
      <w:pPr>
        <w:rPr>
          <w:color w:val="auto"/>
          <w:highlight w:val="none"/>
        </w:rPr>
      </w:pPr>
    </w:p>
    <w:p w14:paraId="6D444CB8">
      <w:pPr>
        <w:rPr>
          <w:color w:val="auto"/>
          <w:highlight w:val="none"/>
        </w:rPr>
      </w:pPr>
    </w:p>
    <w:p w14:paraId="732ECA84">
      <w:pPr>
        <w:rPr>
          <w:color w:val="auto"/>
          <w:highlight w:val="none"/>
        </w:rPr>
      </w:pPr>
    </w:p>
    <w:p w14:paraId="6583A297">
      <w:pPr>
        <w:rPr>
          <w:color w:val="auto"/>
          <w:highlight w:val="none"/>
        </w:rPr>
      </w:pPr>
    </w:p>
    <w:p w14:paraId="11E19B05">
      <w:pPr>
        <w:rPr>
          <w:color w:val="auto"/>
          <w:highlight w:val="none"/>
        </w:rPr>
      </w:pPr>
    </w:p>
    <w:p w14:paraId="371AA061">
      <w:pPr>
        <w:rPr>
          <w:color w:val="auto"/>
          <w:highlight w:val="none"/>
        </w:rPr>
      </w:pPr>
    </w:p>
    <w:p w14:paraId="60A02F1D">
      <w:pPr>
        <w:rPr>
          <w:color w:val="auto"/>
          <w:highlight w:val="none"/>
        </w:rPr>
      </w:pPr>
    </w:p>
    <w:p w14:paraId="15B5C372">
      <w:pPr>
        <w:rPr>
          <w:color w:val="auto"/>
          <w:highlight w:val="none"/>
        </w:rPr>
      </w:pPr>
    </w:p>
    <w:p w14:paraId="3571198A">
      <w:pPr>
        <w:rPr>
          <w:color w:val="auto"/>
          <w:highlight w:val="none"/>
        </w:rPr>
      </w:pPr>
    </w:p>
    <w:p w14:paraId="3E61DBF8">
      <w:pPr>
        <w:rPr>
          <w:color w:val="auto"/>
          <w:highlight w:val="none"/>
        </w:rPr>
      </w:pPr>
    </w:p>
    <w:p w14:paraId="3A636DBC">
      <w:pPr>
        <w:rPr>
          <w:color w:val="auto"/>
          <w:highlight w:val="none"/>
        </w:rPr>
      </w:pPr>
    </w:p>
    <w:p w14:paraId="1300C830">
      <w:pPr>
        <w:rPr>
          <w:color w:val="auto"/>
          <w:highlight w:val="none"/>
        </w:rPr>
      </w:pPr>
    </w:p>
    <w:p w14:paraId="1BD45C90">
      <w:pPr>
        <w:rPr>
          <w:color w:val="auto"/>
          <w:highlight w:val="none"/>
        </w:rPr>
      </w:pPr>
    </w:p>
    <w:p w14:paraId="60AA9A12">
      <w:pPr>
        <w:rPr>
          <w:color w:val="auto"/>
          <w:highlight w:val="none"/>
        </w:rPr>
      </w:pPr>
    </w:p>
    <w:p w14:paraId="40C0E1B1">
      <w:pPr>
        <w:rPr>
          <w:color w:val="auto"/>
          <w:highlight w:val="none"/>
        </w:rPr>
      </w:pPr>
    </w:p>
    <w:p w14:paraId="21AF22CE">
      <w:pPr>
        <w:rPr>
          <w:color w:val="auto"/>
          <w:highlight w:val="none"/>
        </w:rPr>
      </w:pPr>
    </w:p>
    <w:p w14:paraId="6A0AE055">
      <w:pPr>
        <w:rPr>
          <w:color w:val="auto"/>
          <w:highlight w:val="none"/>
        </w:rPr>
      </w:pPr>
    </w:p>
    <w:p w14:paraId="4B1FCB99">
      <w:pPr>
        <w:rPr>
          <w:color w:val="auto"/>
          <w:highlight w:val="none"/>
        </w:rPr>
      </w:pPr>
    </w:p>
    <w:tbl>
      <w:tblPr>
        <w:tblStyle w:val="30"/>
        <w:tblpPr w:leftFromText="180" w:rightFromText="180" w:vertAnchor="text" w:horzAnchor="page" w:tblpX="1354" w:tblpY="1"/>
        <w:tblOverlap w:val="never"/>
        <w:tblW w:w="9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8"/>
        <w:gridCol w:w="1030"/>
        <w:gridCol w:w="6370"/>
        <w:gridCol w:w="1231"/>
      </w:tblGrid>
      <w:tr w14:paraId="7F60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9"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CF3D601">
            <w:pPr>
              <w:jc w:val="center"/>
              <w:rPr>
                <w:rFonts w:hint="eastAsia" w:ascii="宋体" w:hAnsi="宋体" w:eastAsia="宋体" w:cs="宋体"/>
                <w:b/>
                <w:bCs w:val="0"/>
                <w:color w:val="auto"/>
                <w:kern w:val="2"/>
                <w:sz w:val="24"/>
                <w:szCs w:val="24"/>
                <w:highlight w:val="none"/>
                <w:lang w:val="en-US" w:eastAsia="zh-CN" w:bidi="ar"/>
              </w:rPr>
            </w:pPr>
            <w:r>
              <w:rPr>
                <w:rFonts w:hint="eastAsia" w:ascii="宋体" w:hAnsi="宋体" w:cs="宋体"/>
                <w:b/>
                <w:bCs/>
                <w:color w:val="auto"/>
                <w:sz w:val="24"/>
                <w:szCs w:val="24"/>
                <w:highlight w:val="none"/>
                <w:lang w:val="en-US" w:eastAsia="zh-CN"/>
              </w:rPr>
              <w:t xml:space="preserve">标项八             </w:t>
            </w:r>
            <w:r>
              <w:rPr>
                <w:rFonts w:hint="eastAsia" w:ascii="宋体" w:hAnsi="宋体" w:eastAsia="宋体" w:cs="宋体"/>
                <w:b w:val="0"/>
                <w:bCs w:val="0"/>
                <w:color w:val="auto"/>
                <w:sz w:val="24"/>
                <w:szCs w:val="24"/>
                <w:highlight w:val="none"/>
              </w:rPr>
              <w:t>技术、商务部分评审标准（</w:t>
            </w:r>
            <w:r>
              <w:rPr>
                <w:rFonts w:hint="eastAsia" w:ascii="宋体" w:hAnsi="宋体" w:cs="宋体"/>
                <w:b w:val="0"/>
                <w:bCs w:val="0"/>
                <w:color w:val="auto"/>
                <w:sz w:val="24"/>
                <w:szCs w:val="24"/>
                <w:highlight w:val="none"/>
                <w:lang w:val="en-US" w:eastAsia="zh-CN"/>
              </w:rPr>
              <w:t>90</w:t>
            </w:r>
            <w:r>
              <w:rPr>
                <w:rFonts w:hint="eastAsia" w:ascii="宋体" w:hAnsi="宋体" w:eastAsia="宋体" w:cs="宋体"/>
                <w:b w:val="0"/>
                <w:bCs w:val="0"/>
                <w:color w:val="auto"/>
                <w:sz w:val="24"/>
                <w:szCs w:val="24"/>
                <w:highlight w:val="none"/>
              </w:rPr>
              <w:t>分）</w:t>
            </w:r>
          </w:p>
        </w:tc>
      </w:tr>
      <w:tr w14:paraId="6A5E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F13C2F4">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序号</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D6A8602">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项目</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44F6FAA2">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评审内容</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1C7289BD">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分值</w:t>
            </w:r>
          </w:p>
        </w:tc>
      </w:tr>
      <w:tr w14:paraId="4594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240A53C">
            <w:pPr>
              <w:keepNext w:val="0"/>
              <w:keepLines w:val="0"/>
              <w:widowControl w:val="0"/>
              <w:suppressLineNumbers w:val="0"/>
              <w:snapToGrid w:val="0"/>
              <w:spacing w:before="0" w:beforeAutospacing="0" w:after="0" w:afterAutospacing="0"/>
              <w:ind w:left="0" w:right="0"/>
              <w:jc w:val="both"/>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技术部分评分</w:t>
            </w:r>
            <w:r>
              <w:rPr>
                <w:rFonts w:hint="eastAsia" w:ascii="宋体" w:hAnsi="宋体" w:eastAsia="宋体" w:cs="Courier New"/>
                <w:b/>
                <w:bCs w:val="0"/>
                <w:color w:val="auto"/>
                <w:kern w:val="2"/>
                <w:sz w:val="24"/>
                <w:szCs w:val="24"/>
                <w:highlight w:val="none"/>
                <w:lang w:val="en-US" w:eastAsia="zh-CN" w:bidi="ar"/>
              </w:rPr>
              <w:t>70</w:t>
            </w:r>
            <w:r>
              <w:rPr>
                <w:rFonts w:hint="eastAsia" w:ascii="宋体" w:hAnsi="宋体" w:eastAsia="宋体" w:cs="宋体"/>
                <w:b/>
                <w:bCs w:val="0"/>
                <w:color w:val="auto"/>
                <w:kern w:val="2"/>
                <w:sz w:val="24"/>
                <w:szCs w:val="24"/>
                <w:highlight w:val="none"/>
                <w:lang w:val="en-US" w:eastAsia="zh-CN" w:bidi="ar"/>
              </w:rPr>
              <w:t>分</w:t>
            </w:r>
          </w:p>
        </w:tc>
      </w:tr>
      <w:tr w14:paraId="16B0D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04D5CBC">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1068CEC">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管理</w:t>
            </w:r>
          </w:p>
          <w:p w14:paraId="297385C2">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制度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D685552">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针对本项目提供的管理制度进行综合评分，内容包含但不限于：①质量管理体系完善、健全；财务会计制度完善、健全；②管理制度完善、健全；③食品安全检验检测制度特别是抽样检验法规规范及知识培训制度完善（有相应的培训记录佐证材料）、健全；④责任追究制度完善、健全；⑤检验档案管理制度完善、健全。以上五项内容均有体现且完全满足采购实际需求的得5分；每有一项内容缺失的扣1分；每有一项内容存在缺陷或者不能满足采购实际需求的扣0.5分，扣完为止；本项满分为5分，未提供管理制度的则不得分。注：</w:t>
            </w:r>
            <w:r>
              <w:rPr>
                <w:rFonts w:hint="eastAsia" w:ascii="宋体" w:hAnsi="宋体" w:eastAsia="宋体" w:cs="宋体"/>
                <w:bCs/>
                <w:color w:val="auto"/>
                <w:kern w:val="2"/>
                <w:sz w:val="24"/>
                <w:szCs w:val="24"/>
                <w:highlight w:val="none"/>
                <w:lang w:val="en-US" w:eastAsia="zh-CN" w:bidi="ar"/>
              </w:rPr>
              <w:t>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34D713B">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4CA5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62B9B086">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F1B6BAF">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突发事件的应急响应方案</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70F0AFAE">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rPr>
              <w:t>根据承担抽检任务提供的事前、事中、事后应急预防处理措施包括但不限于：</w:t>
            </w:r>
          </w:p>
          <w:p w14:paraId="385E3C44">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（1）突发食品安全事件应对；</w:t>
            </w:r>
          </w:p>
          <w:p w14:paraId="5F9D01F1">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（2）</w:t>
            </w:r>
            <w:r>
              <w:rPr>
                <w:rFonts w:hint="eastAsia" w:ascii="宋体" w:hAnsi="宋体" w:eastAsia="宋体" w:cs="仿宋"/>
                <w:bCs/>
                <w:color w:val="auto"/>
                <w:kern w:val="2"/>
                <w:sz w:val="24"/>
                <w:szCs w:val="24"/>
                <w:highlight w:val="none"/>
                <w:lang w:eastAsia="zh-CN"/>
              </w:rPr>
              <w:t>现场抽样</w:t>
            </w:r>
            <w:r>
              <w:rPr>
                <w:rFonts w:hint="eastAsia" w:ascii="宋体" w:hAnsi="宋体" w:eastAsia="宋体" w:cs="仿宋"/>
                <w:bCs/>
                <w:color w:val="auto"/>
                <w:kern w:val="2"/>
                <w:sz w:val="24"/>
                <w:szCs w:val="24"/>
                <w:highlight w:val="none"/>
              </w:rPr>
              <w:t>应急预案；</w:t>
            </w:r>
          </w:p>
          <w:p w14:paraId="42DEF821">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（3）实验室检验检测应急预案；</w:t>
            </w:r>
          </w:p>
          <w:p w14:paraId="21DDB285">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（4）检验数据应急上报；</w:t>
            </w:r>
          </w:p>
          <w:p w14:paraId="4BAE010C">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（5）实验室对发生食品检测安全事故的处置；</w:t>
            </w:r>
          </w:p>
          <w:p w14:paraId="65CCD46E">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（6）对相关责任部门及责任人重大失误的处理等。</w:t>
            </w:r>
          </w:p>
          <w:p w14:paraId="017497E7">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以上方案内容均符合实际情况、内容完善详细、健全、完全响应采购要求的的得6分，</w:t>
            </w:r>
            <w:r>
              <w:rPr>
                <w:rFonts w:hint="eastAsia" w:ascii="宋体" w:hAnsi="宋体" w:eastAsia="宋体" w:cs="宋体"/>
                <w:color w:val="auto"/>
                <w:kern w:val="2"/>
                <w:sz w:val="24"/>
                <w:szCs w:val="24"/>
                <w:highlight w:val="none"/>
                <w:lang w:val="en-US" w:eastAsia="zh-CN" w:bidi="ar"/>
              </w:rPr>
              <w:t>每有一项内容缺失的扣1分</w:t>
            </w:r>
            <w:r>
              <w:rPr>
                <w:rFonts w:hint="eastAsia" w:ascii="宋体" w:hAnsi="宋体" w:cs="宋体"/>
                <w:color w:val="auto"/>
                <w:kern w:val="2"/>
                <w:sz w:val="24"/>
                <w:szCs w:val="24"/>
                <w:highlight w:val="none"/>
                <w:lang w:val="en-US" w:eastAsia="zh-CN" w:bidi="ar"/>
              </w:rPr>
              <w:t>，</w:t>
            </w:r>
            <w:r>
              <w:rPr>
                <w:rFonts w:hint="eastAsia" w:ascii="宋体" w:hAnsi="宋体" w:eastAsia="宋体" w:cs="仿宋"/>
                <w:bCs/>
                <w:color w:val="auto"/>
                <w:kern w:val="2"/>
                <w:sz w:val="24"/>
                <w:szCs w:val="24"/>
                <w:highlight w:val="none"/>
              </w:rPr>
              <w:t>每有一项内容不完整或未能满足采购需求的或每有一处不具有针对性或逻辑性错误且不完整的扣0.5分，扣完为止。</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1F66FDC">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6</w:t>
            </w:r>
            <w:r>
              <w:rPr>
                <w:rFonts w:hint="eastAsia" w:ascii="宋体" w:hAnsi="宋体" w:eastAsia="宋体" w:cs="宋体"/>
                <w:color w:val="auto"/>
                <w:kern w:val="2"/>
                <w:sz w:val="24"/>
                <w:szCs w:val="24"/>
                <w:highlight w:val="none"/>
                <w:lang w:val="en-US" w:eastAsia="zh-CN" w:bidi="ar"/>
              </w:rPr>
              <w:t>分</w:t>
            </w:r>
          </w:p>
        </w:tc>
      </w:tr>
      <w:tr w14:paraId="6D12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63C9D00">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43A5B1C">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项目服务方案</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9A87AC2">
            <w:pPr>
              <w:keepNext w:val="0"/>
              <w:keepLines w:val="0"/>
              <w:widowControl w:val="0"/>
              <w:suppressLineNumbers w:val="0"/>
              <w:spacing w:before="0" w:beforeAutospacing="0" w:after="0" w:afterAutospacing="0" w:line="300" w:lineRule="exact"/>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根据投标人针对本项目提供的</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进行综合评分，内容包含但不限于：①</w:t>
            </w:r>
            <w:r>
              <w:rPr>
                <w:rFonts w:hint="eastAsia" w:ascii="宋体" w:hAnsi="宋体" w:eastAsia="宋体" w:cs="宋体"/>
                <w:color w:val="auto"/>
                <w:kern w:val="2"/>
                <w:sz w:val="24"/>
                <w:szCs w:val="24"/>
                <w:highlight w:val="none"/>
                <w:lang w:val="en-US" w:eastAsia="zh-CN" w:bidi="ar"/>
              </w:rPr>
              <w:t>拥有独立稳定持久的实验室管理系统</w:t>
            </w:r>
            <w:r>
              <w:rPr>
                <w:rFonts w:hint="eastAsia" w:ascii="宋体" w:hAnsi="宋体" w:eastAsia="宋体" w:cs="宋体"/>
                <w:bCs/>
                <w:color w:val="auto"/>
                <w:kern w:val="2"/>
                <w:sz w:val="24"/>
                <w:szCs w:val="24"/>
                <w:highlight w:val="none"/>
                <w:lang w:val="en-US" w:eastAsia="zh-CN" w:bidi="ar"/>
              </w:rPr>
              <w:t>；②</w:t>
            </w:r>
            <w:r>
              <w:rPr>
                <w:rFonts w:hint="eastAsia" w:ascii="宋体" w:hAnsi="宋体" w:eastAsia="宋体" w:cs="宋体"/>
                <w:color w:val="auto"/>
                <w:kern w:val="2"/>
                <w:sz w:val="24"/>
                <w:szCs w:val="24"/>
                <w:highlight w:val="none"/>
                <w:lang w:val="en-US" w:eastAsia="zh-CN" w:bidi="ar"/>
              </w:rPr>
              <w:t>实现抽样、流转、检验、原始记录、出具报告全环节在线管理且可追溯</w:t>
            </w:r>
            <w:r>
              <w:rPr>
                <w:rFonts w:hint="eastAsia" w:ascii="宋体" w:hAnsi="宋体" w:eastAsia="宋体" w:cs="宋体"/>
                <w:bCs/>
                <w:color w:val="auto"/>
                <w:kern w:val="2"/>
                <w:sz w:val="24"/>
                <w:szCs w:val="24"/>
                <w:highlight w:val="none"/>
                <w:lang w:val="en-US" w:eastAsia="zh-CN" w:bidi="ar"/>
              </w:rPr>
              <w:t>；以上两项内容均有体现且完全满足采购实际需求的得</w:t>
            </w:r>
            <w:r>
              <w:rPr>
                <w:rFonts w:hint="eastAsia" w:ascii="宋体" w:hAnsi="宋体" w:cs="仿宋"/>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分；每有一项内容缺失的扣</w:t>
            </w:r>
            <w:r>
              <w:rPr>
                <w:rFonts w:hint="eastAsia" w:ascii="宋体" w:hAnsi="宋体" w:cs="宋体"/>
                <w:bCs/>
                <w:color w:val="auto"/>
                <w:kern w:val="2"/>
                <w:sz w:val="24"/>
                <w:szCs w:val="24"/>
                <w:highlight w:val="none"/>
                <w:lang w:val="en-US" w:eastAsia="zh-CN" w:bidi="ar"/>
              </w:rPr>
              <w:t>4.5</w:t>
            </w:r>
            <w:r>
              <w:rPr>
                <w:rFonts w:hint="eastAsia" w:ascii="宋体" w:hAnsi="宋体" w:eastAsia="宋体" w:cs="宋体"/>
                <w:bCs/>
                <w:color w:val="auto"/>
                <w:kern w:val="2"/>
                <w:sz w:val="24"/>
                <w:szCs w:val="24"/>
                <w:highlight w:val="none"/>
                <w:lang w:val="en-US" w:eastAsia="zh-CN" w:bidi="ar"/>
              </w:rPr>
              <w:t>分；每有一项内容存在缺陷或者不能满足采购实际需求的扣</w:t>
            </w:r>
            <w:r>
              <w:rPr>
                <w:rFonts w:hint="eastAsia" w:ascii="宋体" w:hAnsi="宋体" w:cs="宋体"/>
                <w:bCs/>
                <w:color w:val="auto"/>
                <w:kern w:val="2"/>
                <w:sz w:val="24"/>
                <w:szCs w:val="24"/>
                <w:highlight w:val="none"/>
                <w:lang w:val="en-US" w:eastAsia="zh-CN" w:bidi="ar"/>
              </w:rPr>
              <w:t>2</w:t>
            </w:r>
            <w:r>
              <w:rPr>
                <w:rFonts w:hint="eastAsia" w:ascii="宋体" w:hAnsi="宋体" w:eastAsia="宋体" w:cs="宋体"/>
                <w:bCs/>
                <w:color w:val="auto"/>
                <w:kern w:val="2"/>
                <w:sz w:val="24"/>
                <w:szCs w:val="24"/>
                <w:highlight w:val="none"/>
                <w:lang w:val="en-US" w:eastAsia="zh-CN" w:bidi="ar"/>
              </w:rPr>
              <w:t>分，扣完为止；本项满分为</w:t>
            </w:r>
            <w:r>
              <w:rPr>
                <w:rFonts w:hint="eastAsia" w:ascii="宋体" w:hAnsi="宋体" w:cs="宋体"/>
                <w:bCs/>
                <w:color w:val="auto"/>
                <w:kern w:val="2"/>
                <w:sz w:val="24"/>
                <w:szCs w:val="24"/>
                <w:highlight w:val="none"/>
                <w:lang w:val="en-US" w:eastAsia="zh-CN" w:bidi="ar"/>
              </w:rPr>
              <w:t>9</w:t>
            </w:r>
            <w:r>
              <w:rPr>
                <w:rFonts w:hint="eastAsia" w:ascii="宋体" w:hAnsi="宋体" w:eastAsia="宋体" w:cs="宋体"/>
                <w:bCs/>
                <w:color w:val="auto"/>
                <w:kern w:val="2"/>
                <w:sz w:val="24"/>
                <w:szCs w:val="24"/>
                <w:highlight w:val="none"/>
                <w:lang w:val="en-US" w:eastAsia="zh-CN" w:bidi="ar"/>
              </w:rPr>
              <w:t>分，未提供</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93BDA83">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9</w:t>
            </w:r>
            <w:r>
              <w:rPr>
                <w:rFonts w:hint="eastAsia" w:ascii="宋体" w:hAnsi="宋体" w:eastAsia="宋体" w:cs="宋体"/>
                <w:color w:val="auto"/>
                <w:kern w:val="2"/>
                <w:sz w:val="24"/>
                <w:szCs w:val="24"/>
                <w:highlight w:val="none"/>
                <w:lang w:val="en-US" w:eastAsia="zh-CN" w:bidi="ar"/>
              </w:rPr>
              <w:t>分</w:t>
            </w:r>
          </w:p>
        </w:tc>
      </w:tr>
      <w:tr w14:paraId="34AE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6CD50D94">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FCC872B">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项目实施时间进度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4FA53B79">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针对本项目提供的项目实施时间进度进行综合评分，内容包含但不限于：①实施时间的进度；②实施时间的保障措施；以上两项内容均有体现且完全满足采购实际需求的得5分；每有一项内容缺失的扣2.5分；每有一项内容存在缺陷或者不能满足采购实际需求的扣1.5分，扣完为止；本项满分为5分，未提供项目服务方案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6858DB11">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211E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2878EEF1">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807E0AC">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工作</w:t>
            </w:r>
          </w:p>
          <w:p w14:paraId="5930B8E7">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场地</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852516F">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lang w:val="zh-CN"/>
              </w:rPr>
            </w:pPr>
            <w:r>
              <w:rPr>
                <w:rFonts w:hint="eastAsia" w:ascii="宋体" w:hAnsi="宋体" w:eastAsia="宋体" w:cs="仿宋"/>
                <w:bCs/>
                <w:color w:val="auto"/>
                <w:kern w:val="2"/>
                <w:sz w:val="24"/>
                <w:szCs w:val="24"/>
                <w:highlight w:val="none"/>
              </w:rPr>
              <w:t>1.投标人具备独立开展食品安全检验实验室，环境良好，布局合理，根据</w:t>
            </w:r>
            <w:r>
              <w:rPr>
                <w:rFonts w:hint="eastAsia" w:ascii="宋体" w:hAnsi="宋体" w:eastAsia="宋体" w:cs="仿宋"/>
                <w:bCs/>
                <w:color w:val="auto"/>
                <w:kern w:val="2"/>
                <w:sz w:val="24"/>
                <w:szCs w:val="24"/>
                <w:highlight w:val="none"/>
                <w:lang w:val="zh-CN"/>
              </w:rPr>
              <w:t>开展食品安全抽样检验工作实验场所面积</w:t>
            </w:r>
            <w:r>
              <w:rPr>
                <w:rFonts w:hint="eastAsia" w:ascii="宋体" w:hAnsi="宋体" w:eastAsia="宋体" w:cs="仿宋"/>
                <w:bCs/>
                <w:color w:val="auto"/>
                <w:kern w:val="2"/>
                <w:sz w:val="24"/>
                <w:szCs w:val="24"/>
                <w:highlight w:val="none"/>
              </w:rPr>
              <w:t>综合评定</w:t>
            </w:r>
            <w:r>
              <w:rPr>
                <w:rFonts w:hint="eastAsia" w:ascii="宋体" w:hAnsi="宋体" w:eastAsia="宋体" w:cs="仿宋"/>
                <w:bCs/>
                <w:color w:val="auto"/>
                <w:kern w:val="2"/>
                <w:sz w:val="24"/>
                <w:szCs w:val="24"/>
                <w:highlight w:val="none"/>
                <w:lang w:val="zh-CN"/>
              </w:rPr>
              <w:t>：</w:t>
            </w:r>
          </w:p>
          <w:p w14:paraId="7402B735">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（1）5000（含）平方米及以上，得3分；</w:t>
            </w:r>
          </w:p>
          <w:p w14:paraId="23CADEF6">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（2）4000（含）-5000（不含）平方米，得2分；</w:t>
            </w:r>
          </w:p>
          <w:p w14:paraId="7AB9C2F3">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（3）3000（含）-4000（不含）平方米，得1分；</w:t>
            </w:r>
          </w:p>
          <w:p w14:paraId="1AF2F2A7">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（4）不符合上述要求的，得0分。</w:t>
            </w:r>
          </w:p>
          <w:p w14:paraId="394CFB9D">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rPr>
              <w:t>注：</w:t>
            </w:r>
            <w:r>
              <w:rPr>
                <w:rFonts w:hint="eastAsia" w:ascii="宋体" w:hAnsi="宋体" w:cs="仿宋"/>
                <w:bCs/>
                <w:color w:val="auto"/>
                <w:kern w:val="2"/>
                <w:sz w:val="24"/>
                <w:szCs w:val="24"/>
                <w:highlight w:val="none"/>
                <w:lang w:val="en-US" w:eastAsia="zh-CN"/>
              </w:rPr>
              <w:t>①</w:t>
            </w:r>
            <w:r>
              <w:rPr>
                <w:rFonts w:hint="eastAsia" w:ascii="宋体" w:hAnsi="宋体" w:eastAsia="宋体" w:cs="仿宋"/>
                <w:bCs/>
                <w:color w:val="auto"/>
                <w:kern w:val="2"/>
                <w:sz w:val="24"/>
                <w:szCs w:val="24"/>
                <w:highlight w:val="none"/>
              </w:rPr>
              <w:t>投标人</w:t>
            </w:r>
            <w:r>
              <w:rPr>
                <w:rFonts w:hint="eastAsia" w:ascii="宋体" w:hAnsi="宋体" w:eastAsia="宋体" w:cs="仿宋"/>
                <w:bCs/>
                <w:color w:val="auto"/>
                <w:kern w:val="2"/>
                <w:sz w:val="24"/>
                <w:szCs w:val="24"/>
                <w:highlight w:val="none"/>
                <w:lang w:val="zh-CN"/>
              </w:rPr>
              <w:t>须承诺抽样检验的实验室为</w:t>
            </w:r>
            <w:r>
              <w:rPr>
                <w:rFonts w:hint="eastAsia" w:ascii="宋体" w:hAnsi="宋体" w:eastAsia="宋体" w:cs="仿宋"/>
                <w:bCs/>
                <w:color w:val="auto"/>
                <w:kern w:val="2"/>
                <w:sz w:val="24"/>
                <w:szCs w:val="24"/>
                <w:highlight w:val="none"/>
              </w:rPr>
              <w:t>投标人</w:t>
            </w:r>
            <w:r>
              <w:rPr>
                <w:rFonts w:hint="eastAsia" w:ascii="宋体" w:hAnsi="宋体" w:eastAsia="宋体" w:cs="仿宋"/>
                <w:bCs/>
                <w:color w:val="auto"/>
                <w:kern w:val="2"/>
                <w:sz w:val="24"/>
                <w:szCs w:val="24"/>
                <w:highlight w:val="none"/>
                <w:lang w:val="zh-CN"/>
              </w:rPr>
              <w:t>自有实验室，并提供承诺书。招标人有权在合同签订前进行现场考察，一旦发现弄虚作假，将取消中标资格，并报有关部门严肃处理；</w:t>
            </w:r>
            <w:r>
              <w:rPr>
                <w:rFonts w:hint="eastAsia" w:ascii="宋体" w:hAnsi="宋体" w:cs="仿宋"/>
                <w:bCs/>
                <w:color w:val="auto"/>
                <w:kern w:val="2"/>
                <w:sz w:val="24"/>
                <w:szCs w:val="24"/>
                <w:highlight w:val="none"/>
                <w:lang w:val="en-US" w:eastAsia="zh-CN"/>
              </w:rPr>
              <w:t>②</w:t>
            </w:r>
            <w:r>
              <w:rPr>
                <w:rFonts w:hint="eastAsia" w:ascii="宋体" w:hAnsi="宋体" w:eastAsia="宋体" w:cs="仿宋"/>
                <w:bCs/>
                <w:color w:val="auto"/>
                <w:kern w:val="2"/>
                <w:sz w:val="24"/>
                <w:szCs w:val="24"/>
                <w:highlight w:val="none"/>
                <w:lang w:val="zh-CN"/>
              </w:rPr>
              <w:t>提供抽样检验场所的房产证或所有权证明文件或服务期内有效的房屋租赁合同加发票扫描件及相关证明材料</w:t>
            </w:r>
            <w:r>
              <w:rPr>
                <w:rFonts w:hint="eastAsia" w:ascii="宋体" w:hAnsi="宋体" w:eastAsia="宋体" w:cs="仿宋"/>
                <w:bCs/>
                <w:color w:val="auto"/>
                <w:kern w:val="2"/>
                <w:sz w:val="24"/>
                <w:szCs w:val="24"/>
                <w:highlight w:val="none"/>
              </w:rPr>
              <w:t>（租房合同须为投标人签署或房屋产权证书产权人为投标人）</w:t>
            </w:r>
            <w:r>
              <w:rPr>
                <w:rFonts w:hint="eastAsia" w:ascii="宋体" w:hAnsi="宋体" w:eastAsia="宋体" w:cs="仿宋"/>
                <w:bCs/>
                <w:color w:val="auto"/>
                <w:kern w:val="2"/>
                <w:sz w:val="24"/>
                <w:szCs w:val="24"/>
                <w:highlight w:val="none"/>
                <w:lang w:val="zh-CN"/>
              </w:rPr>
              <w:t>；</w:t>
            </w:r>
            <w:r>
              <w:rPr>
                <w:rFonts w:hint="eastAsia" w:ascii="宋体" w:hAnsi="宋体" w:cs="仿宋"/>
                <w:bCs/>
                <w:color w:val="auto"/>
                <w:kern w:val="2"/>
                <w:sz w:val="24"/>
                <w:szCs w:val="24"/>
                <w:highlight w:val="none"/>
                <w:lang w:val="en-US" w:eastAsia="zh-CN"/>
              </w:rPr>
              <w:t>③</w:t>
            </w:r>
            <w:r>
              <w:rPr>
                <w:rFonts w:hint="eastAsia" w:ascii="宋体" w:hAnsi="宋体" w:eastAsia="宋体" w:cs="仿宋"/>
                <w:bCs/>
                <w:color w:val="auto"/>
                <w:kern w:val="2"/>
                <w:sz w:val="24"/>
                <w:szCs w:val="24"/>
                <w:highlight w:val="none"/>
                <w:lang w:val="zh-CN"/>
              </w:rPr>
              <w:t>提供食品实验室平面布局图，并提供各组成部分面积清单；</w:t>
            </w:r>
            <w:r>
              <w:rPr>
                <w:rFonts w:hint="eastAsia" w:ascii="宋体" w:hAnsi="宋体" w:cs="仿宋"/>
                <w:bCs/>
                <w:color w:val="auto"/>
                <w:kern w:val="2"/>
                <w:sz w:val="24"/>
                <w:szCs w:val="24"/>
                <w:highlight w:val="none"/>
                <w:lang w:val="en-US" w:eastAsia="zh-CN"/>
              </w:rPr>
              <w:t>④</w:t>
            </w:r>
            <w:r>
              <w:rPr>
                <w:rFonts w:hint="eastAsia" w:ascii="宋体" w:hAnsi="宋体" w:eastAsia="宋体" w:cs="仿宋"/>
                <w:bCs/>
                <w:color w:val="auto"/>
                <w:kern w:val="2"/>
                <w:sz w:val="24"/>
                <w:szCs w:val="24"/>
                <w:highlight w:val="none"/>
                <w:lang w:val="zh-CN"/>
              </w:rPr>
              <w:t>未达到上述要求或未提供有效证明文件的不得分。</w:t>
            </w:r>
          </w:p>
          <w:p w14:paraId="082FDA97">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2.投标人具备独立的微生物实验室，面积综合评定：</w:t>
            </w:r>
          </w:p>
          <w:p w14:paraId="0533302E">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（1）300（含）平方米及以上，得2分；</w:t>
            </w:r>
          </w:p>
          <w:p w14:paraId="2556B2F5">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（2）100（含）-300（不含）平方米，得1分；</w:t>
            </w:r>
          </w:p>
          <w:p w14:paraId="4B407A56">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（3）不符合上述要求的，得0分。</w:t>
            </w:r>
          </w:p>
          <w:p w14:paraId="18633D65">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仿宋"/>
                <w:bCs/>
                <w:color w:val="auto"/>
                <w:kern w:val="2"/>
                <w:sz w:val="24"/>
                <w:szCs w:val="24"/>
                <w:highlight w:val="none"/>
                <w:lang w:val="en-US" w:eastAsia="zh-CN"/>
              </w:rPr>
              <w:t>注：</w:t>
            </w:r>
            <w:r>
              <w:rPr>
                <w:rFonts w:hint="eastAsia" w:ascii="宋体" w:hAnsi="宋体" w:cs="仿宋"/>
                <w:bCs/>
                <w:color w:val="auto"/>
                <w:kern w:val="2"/>
                <w:sz w:val="24"/>
                <w:szCs w:val="24"/>
                <w:highlight w:val="none"/>
                <w:lang w:val="en-US" w:eastAsia="zh-CN"/>
              </w:rPr>
              <w:t>①</w:t>
            </w:r>
            <w:r>
              <w:rPr>
                <w:rFonts w:hint="eastAsia" w:ascii="宋体" w:hAnsi="宋体" w:eastAsia="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lang w:val="zh-CN" w:eastAsia="zh-CN"/>
              </w:rPr>
              <w:t>须承诺</w:t>
            </w:r>
            <w:r>
              <w:rPr>
                <w:rFonts w:hint="eastAsia" w:ascii="宋体" w:hAnsi="宋体" w:eastAsia="宋体" w:cs="仿宋"/>
                <w:bCs/>
                <w:color w:val="auto"/>
                <w:kern w:val="2"/>
                <w:sz w:val="24"/>
                <w:szCs w:val="24"/>
                <w:highlight w:val="none"/>
                <w:lang w:val="en-US" w:eastAsia="zh-CN"/>
              </w:rPr>
              <w:t>微生物</w:t>
            </w:r>
            <w:r>
              <w:rPr>
                <w:rFonts w:hint="eastAsia" w:ascii="宋体" w:hAnsi="宋体" w:eastAsia="宋体" w:cs="仿宋"/>
                <w:bCs/>
                <w:color w:val="auto"/>
                <w:kern w:val="2"/>
                <w:sz w:val="24"/>
                <w:szCs w:val="24"/>
                <w:highlight w:val="none"/>
                <w:lang w:val="zh-CN" w:eastAsia="zh-CN"/>
              </w:rPr>
              <w:t>实验室为</w:t>
            </w:r>
            <w:r>
              <w:rPr>
                <w:rFonts w:hint="eastAsia" w:ascii="宋体" w:hAnsi="宋体" w:eastAsia="宋体" w:cs="仿宋"/>
                <w:bCs/>
                <w:color w:val="auto"/>
                <w:kern w:val="2"/>
                <w:sz w:val="24"/>
                <w:szCs w:val="24"/>
                <w:highlight w:val="none"/>
                <w:lang w:val="en-US" w:eastAsia="zh-CN"/>
              </w:rPr>
              <w:t>投标人</w:t>
            </w:r>
            <w:r>
              <w:rPr>
                <w:rFonts w:hint="eastAsia" w:ascii="宋体" w:hAnsi="宋体" w:eastAsia="宋体" w:cs="仿宋"/>
                <w:bCs/>
                <w:color w:val="auto"/>
                <w:kern w:val="2"/>
                <w:sz w:val="24"/>
                <w:szCs w:val="24"/>
                <w:highlight w:val="none"/>
                <w:lang w:val="zh-CN" w:eastAsia="zh-CN"/>
              </w:rPr>
              <w:t>自有实验室，并提供承诺书。招标人有权在合同签订前进行现场考察，一旦发现弄虚作假，将取消中标资格，并报有关部门严肃处理；</w:t>
            </w:r>
            <w:r>
              <w:rPr>
                <w:rFonts w:hint="eastAsia" w:ascii="宋体" w:hAnsi="宋体" w:cs="仿宋"/>
                <w:bCs/>
                <w:color w:val="auto"/>
                <w:kern w:val="2"/>
                <w:sz w:val="24"/>
                <w:szCs w:val="24"/>
                <w:highlight w:val="none"/>
                <w:lang w:val="en-US" w:eastAsia="zh-CN"/>
              </w:rPr>
              <w:t>②</w:t>
            </w:r>
            <w:r>
              <w:rPr>
                <w:rFonts w:hint="eastAsia" w:ascii="宋体" w:hAnsi="宋体" w:eastAsia="宋体" w:cs="仿宋"/>
                <w:bCs/>
                <w:color w:val="auto"/>
                <w:kern w:val="2"/>
                <w:sz w:val="24"/>
                <w:szCs w:val="24"/>
                <w:highlight w:val="none"/>
                <w:lang w:val="zh-CN" w:eastAsia="zh-CN"/>
              </w:rPr>
              <w:t>提供抽样检验场所的房产证或所有权证明文件或服务期内有效的房屋租赁合同加发票扫描件及相关证明材料</w:t>
            </w:r>
            <w:r>
              <w:rPr>
                <w:rFonts w:hint="eastAsia" w:ascii="宋体" w:hAnsi="宋体" w:eastAsia="宋体" w:cs="仿宋"/>
                <w:bCs/>
                <w:color w:val="auto"/>
                <w:kern w:val="2"/>
                <w:sz w:val="24"/>
                <w:szCs w:val="24"/>
                <w:highlight w:val="none"/>
                <w:lang w:val="en-US" w:eastAsia="zh-CN"/>
              </w:rPr>
              <w:t>（租房合同须为投标人签署或房屋产权证书产权人为投标人）</w:t>
            </w:r>
            <w:r>
              <w:rPr>
                <w:rFonts w:hint="eastAsia" w:ascii="宋体" w:hAnsi="宋体" w:eastAsia="宋体" w:cs="仿宋"/>
                <w:bCs/>
                <w:color w:val="auto"/>
                <w:kern w:val="2"/>
                <w:sz w:val="24"/>
                <w:szCs w:val="24"/>
                <w:highlight w:val="none"/>
                <w:lang w:val="zh-CN" w:eastAsia="zh-CN"/>
              </w:rPr>
              <w:t>；</w:t>
            </w:r>
            <w:r>
              <w:rPr>
                <w:rFonts w:hint="eastAsia" w:ascii="宋体" w:hAnsi="宋体" w:cs="仿宋"/>
                <w:bCs/>
                <w:color w:val="auto"/>
                <w:kern w:val="2"/>
                <w:sz w:val="24"/>
                <w:szCs w:val="24"/>
                <w:highlight w:val="none"/>
                <w:lang w:val="en-US" w:eastAsia="zh-CN"/>
              </w:rPr>
              <w:t>③</w:t>
            </w:r>
            <w:r>
              <w:rPr>
                <w:rFonts w:hint="eastAsia" w:ascii="宋体" w:hAnsi="宋体" w:eastAsia="宋体" w:cs="仿宋"/>
                <w:bCs/>
                <w:color w:val="auto"/>
                <w:kern w:val="2"/>
                <w:sz w:val="24"/>
                <w:szCs w:val="24"/>
                <w:highlight w:val="none"/>
                <w:lang w:val="zh-CN" w:eastAsia="zh-CN"/>
              </w:rPr>
              <w:t>提供</w:t>
            </w:r>
            <w:r>
              <w:rPr>
                <w:rFonts w:hint="eastAsia" w:ascii="宋体" w:hAnsi="宋体" w:eastAsia="宋体" w:cs="仿宋"/>
                <w:bCs/>
                <w:color w:val="auto"/>
                <w:kern w:val="2"/>
                <w:sz w:val="24"/>
                <w:szCs w:val="24"/>
                <w:highlight w:val="none"/>
                <w:lang w:val="en-US" w:eastAsia="zh-CN"/>
              </w:rPr>
              <w:t>微生物</w:t>
            </w:r>
            <w:r>
              <w:rPr>
                <w:rFonts w:hint="eastAsia" w:ascii="宋体" w:hAnsi="宋体" w:eastAsia="宋体" w:cs="仿宋"/>
                <w:bCs/>
                <w:color w:val="auto"/>
                <w:kern w:val="2"/>
                <w:sz w:val="24"/>
                <w:szCs w:val="24"/>
                <w:highlight w:val="none"/>
                <w:lang w:val="zh-CN" w:eastAsia="zh-CN"/>
              </w:rPr>
              <w:t>实验室</w:t>
            </w:r>
            <w:r>
              <w:rPr>
                <w:rFonts w:hint="eastAsia" w:ascii="宋体" w:hAnsi="宋体" w:eastAsia="宋体" w:cs="仿宋"/>
                <w:bCs/>
                <w:color w:val="auto"/>
                <w:kern w:val="2"/>
                <w:sz w:val="24"/>
                <w:szCs w:val="24"/>
                <w:highlight w:val="none"/>
                <w:lang w:val="en-US" w:eastAsia="zh-CN"/>
              </w:rPr>
              <w:t>及</w:t>
            </w:r>
            <w:r>
              <w:rPr>
                <w:rFonts w:hint="eastAsia" w:ascii="宋体" w:hAnsi="宋体" w:eastAsia="宋体" w:cs="仿宋"/>
                <w:bCs/>
                <w:color w:val="auto"/>
                <w:kern w:val="2"/>
                <w:sz w:val="24"/>
                <w:szCs w:val="24"/>
                <w:highlight w:val="none"/>
                <w:lang w:val="zh-CN" w:eastAsia="zh-CN"/>
              </w:rPr>
              <w:t>平面布局图，并提供各组成部分面积清单；</w:t>
            </w:r>
            <w:r>
              <w:rPr>
                <w:rFonts w:hint="eastAsia" w:ascii="宋体" w:hAnsi="宋体" w:cs="仿宋"/>
                <w:bCs/>
                <w:color w:val="auto"/>
                <w:kern w:val="2"/>
                <w:sz w:val="24"/>
                <w:szCs w:val="24"/>
                <w:highlight w:val="none"/>
                <w:lang w:val="en-US" w:eastAsia="zh-CN"/>
              </w:rPr>
              <w:t>④</w:t>
            </w:r>
            <w:r>
              <w:rPr>
                <w:rFonts w:hint="eastAsia" w:ascii="宋体" w:hAnsi="宋体" w:eastAsia="宋体" w:cs="仿宋"/>
                <w:bCs/>
                <w:color w:val="auto"/>
                <w:kern w:val="2"/>
                <w:sz w:val="24"/>
                <w:szCs w:val="24"/>
                <w:highlight w:val="none"/>
                <w:lang w:val="zh-CN" w:eastAsia="zh-CN"/>
              </w:rPr>
              <w:t>未达到上述要求或未提供有效证明文件的不得分。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5EFDD5FB">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4739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8E23A5F">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7866825">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检验设备设施</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DA67DC7">
            <w:pPr>
              <w:keepNext w:val="0"/>
              <w:keepLines w:val="0"/>
              <w:widowControl w:val="0"/>
              <w:numPr>
                <w:ilvl w:val="0"/>
                <w:numId w:val="8"/>
              </w:numPr>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具备液质联用仪GC/MS/MS、气质联用仪LC/MS/MS、HPLC（高效液相色谱仪）、GC（气相色谱仪）、UV（紫外分光光度计）、AAS（原子吸收光谱仪）、微波消解仪等（或同功能设备）、ICP-MS（电感耦合等离子体质谱仪）、IC（离子色谱仪）、电感耦合等离子体发射光谱仪（ICP-OES）、液相-原子荧光联用仪（LC-AFS）等与本项目相关的设备，得6分，少一项扣1分，扣完为止。</w:t>
            </w:r>
          </w:p>
          <w:p w14:paraId="196725B1">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如果具备以上设备，20台以上（含）的，且GC/MS/MS、LC/MS/MS各2台以上（含）加2分；如果具备以上设备15台以上（含）的，且GC/MS/MS、LC/MS/MS各2台以上（含）加1.5分；如果具备以上设备10台以上（含）的，且GC/MS/MS或LC/MS/MS各2台以上（含）加1分；其他情况得0分。</w:t>
            </w:r>
          </w:p>
          <w:p w14:paraId="36F05E76">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（提供仪器设备清单、设备购置发票或仪器计量检定校准认证证书、相关实验室放置图片证明、购销合同或售后服务保障证明）</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5256BAD">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8分</w:t>
            </w:r>
          </w:p>
        </w:tc>
      </w:tr>
      <w:tr w14:paraId="35FD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3A87FDF">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F8ACA4C">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样品运输及冷藏设备</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EBE0D68">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样品运输设备，如冷藏设备及车辆配置等情况进行比较（提供发票复印件）：自有或租赁车辆4辆以上（含4辆）、冷藏设备6台以上（含6台）得3分；自有或租赁车辆2-3辆（含2辆）、冷藏设备4-5台得2分；自有或租赁车辆2辆以下（含2辆）、冷藏设备4台以下得1分；其它情况0分。</w:t>
            </w:r>
          </w:p>
          <w:p w14:paraId="22C36387">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投标人自建或者租赁冷库面积50㎡以上（含50㎡）得1分，自建或者租赁冷库面积30㎡-50㎡得0.5分；其他情况0分。</w:t>
            </w:r>
          </w:p>
          <w:p w14:paraId="61B13B98">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注：需提供项目本地采样车辆和冷藏设备的图片证明材料，冷库建设或者租赁合同。</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06B4DC1B">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4分</w:t>
            </w:r>
          </w:p>
        </w:tc>
      </w:tr>
      <w:tr w14:paraId="7AFE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D2E7836">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7DA974C">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科研及技术创新能力评价</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296CF766">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1、近三年</w:t>
            </w:r>
            <w:r>
              <w:rPr>
                <w:rFonts w:hint="eastAsia" w:ascii="宋体" w:hAnsi="宋体" w:cs="宋体"/>
                <w:color w:val="auto"/>
                <w:kern w:val="2"/>
                <w:sz w:val="24"/>
                <w:szCs w:val="24"/>
                <w:highlight w:val="none"/>
                <w:lang w:val="en-US" w:eastAsia="zh-CN" w:bidi="ar"/>
              </w:rPr>
              <w:t>（2023年-至今）</w:t>
            </w:r>
            <w:r>
              <w:rPr>
                <w:rFonts w:hint="eastAsia" w:ascii="宋体" w:hAnsi="宋体" w:eastAsia="宋体" w:cs="宋体"/>
                <w:color w:val="auto"/>
                <w:kern w:val="2"/>
                <w:sz w:val="24"/>
                <w:szCs w:val="24"/>
                <w:highlight w:val="none"/>
                <w:lang w:val="en-US" w:eastAsia="zh-CN" w:bidi="ar"/>
              </w:rPr>
              <w:t>投标人</w:t>
            </w:r>
            <w:r>
              <w:rPr>
                <w:rFonts w:hint="eastAsia"/>
                <w:color w:val="auto"/>
                <w:sz w:val="24"/>
                <w:szCs w:val="24"/>
                <w:highlight w:val="none"/>
                <w:lang w:eastAsia="zh-CN"/>
              </w:rPr>
              <w:t>起草食品检测相关标准</w:t>
            </w:r>
            <w:r>
              <w:rPr>
                <w:rFonts w:hint="eastAsia"/>
                <w:color w:val="auto"/>
                <w:sz w:val="24"/>
                <w:szCs w:val="24"/>
                <w:highlight w:val="none"/>
                <w:lang w:val="en-US" w:eastAsia="zh-CN"/>
              </w:rPr>
              <w:t>一项得0.5分</w:t>
            </w:r>
            <w:r>
              <w:rPr>
                <w:rFonts w:hint="eastAsia" w:ascii="宋体" w:hAnsi="宋体" w:eastAsia="宋体" w:cs="宋体"/>
                <w:color w:val="auto"/>
                <w:kern w:val="2"/>
                <w:sz w:val="24"/>
                <w:szCs w:val="24"/>
                <w:highlight w:val="none"/>
                <w:lang w:val="en-US" w:eastAsia="zh-CN" w:bidi="ar"/>
              </w:rPr>
              <w:t>；本项满分</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w:t>
            </w:r>
          </w:p>
          <w:p w14:paraId="41D7D637">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（提供相关标准原文等相关证明材料备查，否则不得分）</w:t>
            </w:r>
          </w:p>
          <w:p w14:paraId="322B94C2">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2.投标人202</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年1月1日（含）以来获得的</w:t>
            </w:r>
            <w:r>
              <w:rPr>
                <w:rFonts w:hint="eastAsia"/>
                <w:color w:val="auto"/>
                <w:sz w:val="24"/>
                <w:szCs w:val="24"/>
                <w:highlight w:val="none"/>
                <w:lang w:eastAsia="zh-CN"/>
              </w:rPr>
              <w:t>食品检测相关专利证书</w:t>
            </w:r>
            <w:r>
              <w:rPr>
                <w:rFonts w:hint="eastAsia" w:ascii="宋体" w:hAnsi="宋体" w:eastAsia="宋体" w:cs="宋体"/>
                <w:color w:val="auto"/>
                <w:kern w:val="2"/>
                <w:sz w:val="24"/>
                <w:szCs w:val="24"/>
                <w:highlight w:val="none"/>
                <w:lang w:val="en-US" w:eastAsia="zh-CN" w:bidi="ar"/>
              </w:rPr>
              <w:t>，有1个得0.5分，最高得</w:t>
            </w:r>
            <w:r>
              <w:rPr>
                <w:rFonts w:hint="eastAsia" w:ascii="宋体" w:hAnsi="宋体" w:cs="宋体"/>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分。（需提供专利证书证明材料备查，软件著作权登记证书不得分）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58F6048">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分</w:t>
            </w:r>
          </w:p>
        </w:tc>
      </w:tr>
      <w:tr w14:paraId="189D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4838DFF9">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21A50325">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项目负责人及证书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030B38B">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具备食品相关专业高级以上职称，有类似项目经历的得4分；具备相关食品专业中级职称，缺少类似项目经历的得2分。中途更换，视为违约。（需提供职称证书和</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项目负责人（</w:t>
            </w:r>
            <w:r>
              <w:rPr>
                <w:rFonts w:hint="eastAsia" w:ascii="宋体" w:hAnsi="宋体" w:cs="宋体"/>
                <w:color w:val="auto"/>
                <w:kern w:val="2"/>
                <w:sz w:val="24"/>
                <w:szCs w:val="24"/>
                <w:highlight w:val="none"/>
                <w:lang w:val="en-US" w:eastAsia="zh-CN" w:bidi="ar"/>
              </w:rPr>
              <w:t>含</w:t>
            </w:r>
            <w:r>
              <w:rPr>
                <w:rFonts w:hint="eastAsia" w:ascii="宋体" w:hAnsi="宋体" w:eastAsia="宋体" w:cs="宋体"/>
                <w:color w:val="auto"/>
                <w:kern w:val="2"/>
                <w:sz w:val="24"/>
                <w:szCs w:val="24"/>
                <w:highlight w:val="none"/>
                <w:lang w:val="en-US" w:eastAsia="zh-CN" w:bidi="ar"/>
              </w:rPr>
              <w:t>主要技术人员）应与投标书内人员一致）</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289D4F4">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4分</w:t>
            </w:r>
          </w:p>
        </w:tc>
      </w:tr>
      <w:tr w14:paraId="152F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vMerge w:val="restart"/>
            <w:tcBorders>
              <w:top w:val="nil"/>
              <w:left w:val="single" w:color="auto" w:sz="4" w:space="0"/>
              <w:bottom w:val="single" w:color="auto" w:sz="4" w:space="0"/>
              <w:right w:val="single" w:color="auto" w:sz="4" w:space="0"/>
            </w:tcBorders>
            <w:shd w:val="clear" w:color="auto" w:fill="auto"/>
            <w:vAlign w:val="center"/>
          </w:tcPr>
          <w:p w14:paraId="1F37B024">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10</w:t>
            </w:r>
          </w:p>
        </w:tc>
        <w:tc>
          <w:tcPr>
            <w:tcW w:w="1030" w:type="dxa"/>
            <w:vMerge w:val="restart"/>
            <w:tcBorders>
              <w:top w:val="nil"/>
              <w:left w:val="single" w:color="auto" w:sz="4" w:space="0"/>
              <w:bottom w:val="single" w:color="auto" w:sz="4" w:space="0"/>
              <w:right w:val="single" w:color="auto" w:sz="4" w:space="0"/>
            </w:tcBorders>
            <w:shd w:val="clear" w:color="auto" w:fill="auto"/>
            <w:vAlign w:val="center"/>
          </w:tcPr>
          <w:p w14:paraId="53218EC3">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项目实施团队能力</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35A5CAC6">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1.投标人所配服务人员中为本单位人员，且具有专职承担食品抽检工作的独立抽样人员：10人及以下：1分；11-19人：2分；20人及以上：3分。</w:t>
            </w:r>
          </w:p>
          <w:p w14:paraId="54C326E3">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注：（1）须提供独立抽样工作人员名单及抽样员证（或其他证明性材料）复印件；（2）提供</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材料。</w:t>
            </w:r>
          </w:p>
        </w:tc>
        <w:tc>
          <w:tcPr>
            <w:tcW w:w="1231" w:type="dxa"/>
            <w:vMerge w:val="restart"/>
            <w:tcBorders>
              <w:top w:val="nil"/>
              <w:left w:val="single" w:color="auto" w:sz="4" w:space="0"/>
              <w:bottom w:val="single" w:color="auto" w:sz="4" w:space="0"/>
              <w:right w:val="single" w:color="auto" w:sz="4" w:space="0"/>
            </w:tcBorders>
            <w:shd w:val="clear" w:color="auto" w:fill="auto"/>
            <w:vAlign w:val="center"/>
          </w:tcPr>
          <w:p w14:paraId="078B5896">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9分</w:t>
            </w:r>
          </w:p>
        </w:tc>
      </w:tr>
      <w:tr w14:paraId="016B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46"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2B8BB9C8">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nil"/>
              <w:left w:val="single" w:color="auto" w:sz="4" w:space="0"/>
              <w:bottom w:val="single" w:color="auto" w:sz="4" w:space="0"/>
              <w:right w:val="single" w:color="auto" w:sz="4" w:space="0"/>
            </w:tcBorders>
            <w:shd w:val="clear" w:color="auto" w:fill="auto"/>
            <w:vAlign w:val="center"/>
          </w:tcPr>
          <w:p w14:paraId="34729C2C">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79832D21">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2.投标人所配服务人员中为本单位人员，专职从事食品检验人员的数量：20人及以下：1分；21-30人：2分；30人及以上：3分。</w:t>
            </w:r>
          </w:p>
          <w:p w14:paraId="6D9B8239">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注：（1）须提供专职从事食品检验人员名单及食品检验人员上岗证（或其他证明性材料）复印件；（2）提供</w:t>
            </w:r>
            <w:r>
              <w:rPr>
                <w:rFonts w:hint="eastAsia"/>
                <w:color w:val="auto"/>
                <w:sz w:val="24"/>
                <w:szCs w:val="24"/>
                <w:highlight w:val="none"/>
                <w:lang w:val="en-US" w:eastAsia="zh-CN"/>
              </w:rPr>
              <w:t>近六个月任意一个月缴纳社会保障证明</w:t>
            </w:r>
            <w:r>
              <w:rPr>
                <w:rFonts w:hint="eastAsia" w:ascii="宋体" w:hAnsi="宋体" w:eastAsia="宋体" w:cs="宋体"/>
                <w:color w:val="auto"/>
                <w:kern w:val="2"/>
                <w:sz w:val="24"/>
                <w:szCs w:val="24"/>
                <w:highlight w:val="none"/>
                <w:lang w:val="en-US" w:eastAsia="zh-CN" w:bidi="ar"/>
              </w:rPr>
              <w:t>材料。</w:t>
            </w:r>
          </w:p>
        </w:tc>
        <w:tc>
          <w:tcPr>
            <w:tcW w:w="1231" w:type="dxa"/>
            <w:vMerge w:val="continue"/>
            <w:tcBorders>
              <w:top w:val="nil"/>
              <w:left w:val="single" w:color="auto" w:sz="4" w:space="0"/>
              <w:bottom w:val="single" w:color="auto" w:sz="4" w:space="0"/>
              <w:right w:val="single" w:color="auto" w:sz="4" w:space="0"/>
            </w:tcBorders>
            <w:shd w:val="clear" w:color="auto" w:fill="auto"/>
            <w:vAlign w:val="center"/>
          </w:tcPr>
          <w:p w14:paraId="61AF2FB6">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4C22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1F3573C8">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nil"/>
              <w:left w:val="single" w:color="auto" w:sz="4" w:space="0"/>
              <w:bottom w:val="single" w:color="auto" w:sz="4" w:space="0"/>
              <w:right w:val="single" w:color="auto" w:sz="4" w:space="0"/>
            </w:tcBorders>
            <w:shd w:val="clear" w:color="auto" w:fill="auto"/>
            <w:vAlign w:val="center"/>
          </w:tcPr>
          <w:p w14:paraId="11EF5B0A">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A88EB45">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3.投标人所配服务人员中为本单位人员，具有高级技术职称，专职从事食品检验业务相关工作且在单位满2年及以上的人员数量：6人及以下：1.5分；7-9人：2分；10人及以上：3分。</w:t>
            </w:r>
          </w:p>
          <w:p w14:paraId="7E1408EB">
            <w:pPr>
              <w:keepNext w:val="0"/>
              <w:keepLines w:val="0"/>
              <w:widowControl w:val="0"/>
              <w:suppressLineNumbers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注：（1）须提供人员名单（至少包含：姓名、年龄、文化程度、职务、职称、从事本技术领域年限、现在部门岗位）并加盖公章；（2）提供人员高级职称证书复印件；（3）提供</w:t>
            </w:r>
            <w:r>
              <w:rPr>
                <w:rFonts w:hint="eastAsia"/>
                <w:color w:val="auto"/>
                <w:sz w:val="24"/>
                <w:szCs w:val="24"/>
                <w:highlight w:val="none"/>
                <w:lang w:val="en-US" w:eastAsia="zh-CN"/>
              </w:rPr>
              <w:t>近六个月任意一个月缴纳社会保障证明材料</w:t>
            </w:r>
            <w:r>
              <w:rPr>
                <w:rFonts w:hint="eastAsia" w:ascii="宋体" w:hAnsi="宋体" w:eastAsia="宋体" w:cs="宋体"/>
                <w:color w:val="auto"/>
                <w:kern w:val="2"/>
                <w:sz w:val="24"/>
                <w:szCs w:val="24"/>
                <w:highlight w:val="none"/>
                <w:lang w:val="en-US" w:eastAsia="zh-CN" w:bidi="ar"/>
              </w:rPr>
              <w:t>。</w:t>
            </w:r>
          </w:p>
        </w:tc>
        <w:tc>
          <w:tcPr>
            <w:tcW w:w="1231" w:type="dxa"/>
            <w:vMerge w:val="continue"/>
            <w:tcBorders>
              <w:top w:val="nil"/>
              <w:left w:val="single" w:color="auto" w:sz="4" w:space="0"/>
              <w:bottom w:val="single" w:color="auto" w:sz="4" w:space="0"/>
              <w:right w:val="single" w:color="auto" w:sz="4" w:space="0"/>
            </w:tcBorders>
            <w:shd w:val="clear" w:color="auto" w:fill="auto"/>
            <w:vAlign w:val="center"/>
          </w:tcPr>
          <w:p w14:paraId="2F7D7D6B">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0BA6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B173D16">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78E32CB">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服务</w:t>
            </w:r>
          </w:p>
          <w:p w14:paraId="111DC7F2">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承诺</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6730BA17">
            <w:pPr>
              <w:keepNext w:val="0"/>
              <w:keepLines w:val="0"/>
              <w:widowControl w:val="0"/>
              <w:suppressLineNumbers w:val="0"/>
              <w:spacing w:before="0" w:beforeAutospacing="0" w:after="0" w:afterAutospacing="0" w:line="300" w:lineRule="exact"/>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根据投标人针对本项目提供的</w:t>
            </w:r>
            <w:r>
              <w:rPr>
                <w:rFonts w:hint="eastAsia" w:ascii="宋体" w:hAnsi="宋体" w:eastAsia="宋体" w:cs="宋体"/>
                <w:color w:val="auto"/>
                <w:kern w:val="2"/>
                <w:sz w:val="24"/>
                <w:szCs w:val="24"/>
                <w:highlight w:val="none"/>
                <w:lang w:val="en-US" w:eastAsia="zh-CN" w:bidi="ar"/>
              </w:rPr>
              <w:t>服务承诺</w:t>
            </w:r>
            <w:r>
              <w:rPr>
                <w:rFonts w:hint="eastAsia" w:ascii="宋体" w:hAnsi="宋体" w:eastAsia="宋体" w:cs="宋体"/>
                <w:bCs/>
                <w:color w:val="auto"/>
                <w:kern w:val="2"/>
                <w:sz w:val="24"/>
                <w:szCs w:val="24"/>
                <w:highlight w:val="none"/>
                <w:lang w:val="en-US" w:eastAsia="zh-CN" w:bidi="ar"/>
              </w:rPr>
              <w:t>进行综合评分，内容包含但不限于：①</w:t>
            </w:r>
            <w:r>
              <w:rPr>
                <w:rFonts w:hint="eastAsia" w:ascii="宋体" w:hAnsi="宋体" w:eastAsia="宋体" w:cs="宋体"/>
                <w:color w:val="auto"/>
                <w:kern w:val="2"/>
                <w:sz w:val="24"/>
                <w:szCs w:val="24"/>
                <w:highlight w:val="none"/>
                <w:lang w:val="en-US" w:eastAsia="zh-CN" w:bidi="ar"/>
              </w:rPr>
              <w:t>项目实施期间，定时在甲方指定地点参加任务部署会、推进会，缺席2次以上，视为违约</w:t>
            </w:r>
            <w:r>
              <w:rPr>
                <w:rFonts w:hint="eastAsia" w:ascii="宋体" w:hAnsi="宋体" w:eastAsia="宋体" w:cs="宋体"/>
                <w:bCs/>
                <w:color w:val="auto"/>
                <w:kern w:val="2"/>
                <w:sz w:val="24"/>
                <w:szCs w:val="24"/>
                <w:highlight w:val="none"/>
                <w:lang w:val="en-US" w:eastAsia="zh-CN" w:bidi="ar"/>
              </w:rPr>
              <w:t>；②</w:t>
            </w:r>
            <w:r>
              <w:rPr>
                <w:rFonts w:hint="eastAsia" w:ascii="宋体" w:hAnsi="宋体" w:eastAsia="宋体" w:cs="宋体"/>
                <w:color w:val="auto"/>
                <w:kern w:val="2"/>
                <w:sz w:val="24"/>
                <w:szCs w:val="24"/>
                <w:highlight w:val="none"/>
                <w:lang w:val="en-US" w:eastAsia="zh-CN" w:bidi="ar"/>
              </w:rPr>
              <w:t>合同期内及质保期内提供24小时应急响应到场服务，承诺响应服务处理结束后提交问题处理报告，不到场1次以上视为违约；</w:t>
            </w:r>
            <w:r>
              <w:rPr>
                <w:rFonts w:hint="eastAsia" w:ascii="宋体" w:hAnsi="宋体" w:eastAsia="宋体" w:cs="宋体"/>
                <w:bCs/>
                <w:color w:val="auto"/>
                <w:kern w:val="2"/>
                <w:sz w:val="24"/>
                <w:szCs w:val="24"/>
                <w:highlight w:val="none"/>
                <w:lang w:val="en-US" w:eastAsia="zh-CN" w:bidi="ar"/>
              </w:rPr>
              <w:t>③</w:t>
            </w:r>
            <w:r>
              <w:rPr>
                <w:rFonts w:hint="eastAsia" w:ascii="宋体" w:hAnsi="宋体" w:eastAsia="宋体" w:cs="宋体"/>
                <w:color w:val="auto"/>
                <w:kern w:val="2"/>
                <w:sz w:val="24"/>
                <w:szCs w:val="24"/>
                <w:highlight w:val="none"/>
                <w:lang w:val="en-US" w:eastAsia="zh-CN" w:bidi="ar"/>
              </w:rPr>
              <w:t>有保密责任承诺书；</w:t>
            </w:r>
            <w:r>
              <w:rPr>
                <w:rFonts w:hint="eastAsia" w:ascii="宋体" w:hAnsi="宋体" w:eastAsia="宋体" w:cs="宋体"/>
                <w:bCs/>
                <w:color w:val="auto"/>
                <w:kern w:val="2"/>
                <w:sz w:val="24"/>
                <w:szCs w:val="24"/>
                <w:highlight w:val="none"/>
                <w:lang w:val="en-US" w:eastAsia="zh-CN" w:bidi="ar"/>
              </w:rPr>
              <w:t>④</w:t>
            </w:r>
            <w:r>
              <w:rPr>
                <w:rFonts w:hint="eastAsia" w:ascii="宋体" w:hAnsi="宋体" w:eastAsia="宋体" w:cs="宋体"/>
                <w:color w:val="auto"/>
                <w:kern w:val="2"/>
                <w:sz w:val="24"/>
                <w:szCs w:val="24"/>
                <w:highlight w:val="none"/>
                <w:lang w:val="en-US" w:eastAsia="zh-CN" w:bidi="ar"/>
              </w:rPr>
              <w:t>协助做好重大活动等时间节点保障活动食品抽检工作；</w:t>
            </w:r>
            <w:r>
              <w:rPr>
                <w:rFonts w:hint="eastAsia" w:ascii="宋体" w:hAnsi="宋体" w:eastAsia="宋体" w:cs="宋体"/>
                <w:bCs/>
                <w:color w:val="auto"/>
                <w:kern w:val="2"/>
                <w:sz w:val="24"/>
                <w:szCs w:val="24"/>
                <w:highlight w:val="none"/>
                <w:lang w:val="en-US" w:eastAsia="zh-CN" w:bidi="ar"/>
              </w:rPr>
              <w:t>⑤</w:t>
            </w:r>
            <w:r>
              <w:rPr>
                <w:rFonts w:hint="eastAsia" w:ascii="宋体" w:hAnsi="宋体" w:eastAsia="宋体" w:cs="宋体"/>
                <w:color w:val="auto"/>
                <w:kern w:val="2"/>
                <w:sz w:val="24"/>
                <w:szCs w:val="24"/>
                <w:highlight w:val="none"/>
                <w:lang w:val="en-US" w:eastAsia="zh-CN" w:bidi="ar"/>
              </w:rPr>
              <w:t>协助做好食品安全突发事件应急演练保障工作；</w:t>
            </w:r>
            <w:r>
              <w:rPr>
                <w:rFonts w:hint="eastAsia" w:ascii="宋体" w:hAnsi="宋体" w:eastAsia="宋体" w:cs="宋体"/>
                <w:bCs/>
                <w:color w:val="auto"/>
                <w:kern w:val="2"/>
                <w:sz w:val="24"/>
                <w:szCs w:val="24"/>
                <w:highlight w:val="none"/>
                <w:lang w:val="en-US" w:eastAsia="zh-CN" w:bidi="ar"/>
              </w:rPr>
              <w:t>⑥</w:t>
            </w:r>
            <w:r>
              <w:rPr>
                <w:rFonts w:hint="eastAsia" w:ascii="宋体" w:hAnsi="宋体" w:eastAsia="宋体" w:cs="宋体"/>
                <w:color w:val="auto"/>
                <w:kern w:val="2"/>
                <w:sz w:val="24"/>
                <w:szCs w:val="24"/>
                <w:highlight w:val="none"/>
                <w:lang w:val="en-US" w:eastAsia="zh-CN" w:bidi="ar"/>
              </w:rPr>
              <w:t>各级股东中无外资成分及外籍员工的声明；</w:t>
            </w:r>
            <w:r>
              <w:rPr>
                <w:rFonts w:hint="eastAsia" w:ascii="宋体" w:hAnsi="宋体" w:eastAsia="宋体" w:cs="宋体"/>
                <w:bCs/>
                <w:color w:val="auto"/>
                <w:kern w:val="2"/>
                <w:sz w:val="24"/>
                <w:szCs w:val="24"/>
                <w:highlight w:val="none"/>
                <w:lang w:val="en-US" w:eastAsia="zh-CN" w:bidi="ar"/>
              </w:rPr>
              <w:t>以上六项内容均有体现且完全满足采购实际需求的得</w:t>
            </w:r>
            <w:r>
              <w:rPr>
                <w:rFonts w:hint="eastAsia" w:ascii="宋体" w:hAnsi="宋体" w:eastAsia="宋体" w:cs="仿宋"/>
                <w:bCs/>
                <w:color w:val="auto"/>
                <w:kern w:val="2"/>
                <w:sz w:val="24"/>
                <w:szCs w:val="24"/>
                <w:highlight w:val="none"/>
                <w:lang w:val="en-US" w:eastAsia="zh-CN" w:bidi="ar"/>
              </w:rPr>
              <w:t>6</w:t>
            </w:r>
            <w:r>
              <w:rPr>
                <w:rFonts w:hint="eastAsia" w:ascii="宋体" w:hAnsi="宋体" w:eastAsia="宋体" w:cs="宋体"/>
                <w:bCs/>
                <w:color w:val="auto"/>
                <w:kern w:val="2"/>
                <w:sz w:val="24"/>
                <w:szCs w:val="24"/>
                <w:highlight w:val="none"/>
                <w:lang w:val="en-US" w:eastAsia="zh-CN" w:bidi="ar"/>
              </w:rPr>
              <w:t>分；每有一项内容缺失的扣1分；每有一项内容存在缺陷或者不能满足采购实际需求的扣</w:t>
            </w:r>
            <w:r>
              <w:rPr>
                <w:rFonts w:hint="eastAsia" w:ascii="宋体" w:hAnsi="宋体" w:eastAsia="宋体" w:cs="仿宋"/>
                <w:bCs/>
                <w:color w:val="auto"/>
                <w:kern w:val="2"/>
                <w:sz w:val="24"/>
                <w:szCs w:val="24"/>
                <w:highlight w:val="none"/>
                <w:lang w:val="en-US" w:eastAsia="zh-CN" w:bidi="ar"/>
              </w:rPr>
              <w:t>0.5</w:t>
            </w:r>
            <w:r>
              <w:rPr>
                <w:rFonts w:hint="eastAsia" w:ascii="宋体" w:hAnsi="宋体" w:eastAsia="宋体" w:cs="宋体"/>
                <w:bCs/>
                <w:color w:val="auto"/>
                <w:kern w:val="2"/>
                <w:sz w:val="24"/>
                <w:szCs w:val="24"/>
                <w:highlight w:val="none"/>
                <w:lang w:val="en-US" w:eastAsia="zh-CN" w:bidi="ar"/>
              </w:rPr>
              <w:t>分，扣完为止；本项满分为6分，未提供</w:t>
            </w:r>
            <w:r>
              <w:rPr>
                <w:rFonts w:hint="eastAsia" w:ascii="宋体" w:hAnsi="宋体" w:eastAsia="宋体" w:cs="宋体"/>
                <w:color w:val="auto"/>
                <w:kern w:val="2"/>
                <w:sz w:val="24"/>
                <w:szCs w:val="24"/>
                <w:highlight w:val="none"/>
                <w:lang w:val="en-US" w:eastAsia="zh-CN" w:bidi="ar"/>
              </w:rPr>
              <w:t>项目服务方案</w:t>
            </w:r>
            <w:r>
              <w:rPr>
                <w:rFonts w:hint="eastAsia" w:ascii="宋体" w:hAnsi="宋体" w:eastAsia="宋体" w:cs="宋体"/>
                <w:bCs/>
                <w:color w:val="auto"/>
                <w:kern w:val="2"/>
                <w:sz w:val="24"/>
                <w:szCs w:val="24"/>
                <w:highlight w:val="none"/>
                <w:lang w:val="en-US" w:eastAsia="zh-CN" w:bidi="ar"/>
              </w:rPr>
              <w:t>则不得分。注：存在缺陷是指该项内容描述前后不一致或该项内容所阐述的项目信息与项目实际信息不一致或该项内容引用的规定、规范错误或该项内容描述不符合国家相关法律法规、规范要求或该项内容阐述不符合本项目实际情况。</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49CBE026">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6分</w:t>
            </w:r>
          </w:p>
        </w:tc>
      </w:tr>
      <w:tr w14:paraId="07B4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463A4C81">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5239592C">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检验项目响应程度</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705F6C28">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根据投标人提供的检验项目商务、技术偏离表是否符合招标文件“第四部分，服务标准和要求”，完全响应得5分，偏离一项扣1分，扣完为止。</w:t>
            </w:r>
          </w:p>
          <w:p w14:paraId="2689B993">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注：投标人提供的所投包组项目须提交实验室资质认可复印件盖章。</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5503371">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5分</w:t>
            </w:r>
          </w:p>
        </w:tc>
      </w:tr>
      <w:tr w14:paraId="515A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464BD19">
            <w:pPr>
              <w:keepNext w:val="0"/>
              <w:keepLines w:val="0"/>
              <w:widowControl w:val="0"/>
              <w:suppressLineNumbers w:val="0"/>
              <w:spacing w:before="0" w:beforeAutospacing="0" w:after="0" w:afterAutospacing="0"/>
              <w:ind w:left="0" w:right="0"/>
              <w:jc w:val="center"/>
              <w:rPr>
                <w:rFonts w:hint="default"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13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6391172F">
            <w:pPr>
              <w:keepNext w:val="0"/>
              <w:keepLines w:val="0"/>
              <w:widowControl w:val="0"/>
              <w:suppressLineNumbers w:val="0"/>
              <w:spacing w:before="0" w:beforeAutospacing="0" w:after="0" w:afterAutospacing="0"/>
              <w:ind w:left="0" w:right="0"/>
              <w:jc w:val="center"/>
              <w:rPr>
                <w:rFonts w:hint="default" w:ascii="Calibri" w:hAnsi="Calibri" w:eastAsia="宋体" w:cs="Times New Roman"/>
                <w:color w:val="auto"/>
                <w:kern w:val="0"/>
                <w:sz w:val="24"/>
                <w:szCs w:val="24"/>
                <w:highlight w:val="none"/>
                <w:lang w:val="en-US" w:eastAsia="zh-CN" w:bidi="zh-CN"/>
              </w:rPr>
            </w:pPr>
            <w:r>
              <w:rPr>
                <w:rFonts w:hint="eastAsia" w:ascii="宋体" w:hAnsi="宋体" w:cs="宋体"/>
                <w:color w:val="auto"/>
                <w:kern w:val="2"/>
                <w:sz w:val="24"/>
                <w:szCs w:val="24"/>
                <w:highlight w:val="none"/>
                <w:lang w:val="en-US" w:eastAsia="zh-CN" w:bidi="ar"/>
              </w:rPr>
              <w:t>承检</w:t>
            </w:r>
            <w:r>
              <w:rPr>
                <w:rFonts w:hint="eastAsia" w:ascii="宋体" w:hAnsi="宋体" w:eastAsia="宋体" w:cs="宋体"/>
                <w:color w:val="auto"/>
                <w:kern w:val="2"/>
                <w:sz w:val="24"/>
                <w:szCs w:val="24"/>
                <w:highlight w:val="none"/>
                <w:lang w:val="en-US" w:eastAsia="zh-CN" w:bidi="ar"/>
              </w:rPr>
              <w:t>机构考核</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79C46483">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1.202</w:t>
            </w:r>
            <w:r>
              <w:rPr>
                <w:rFonts w:hint="eastAsia" w:ascii="宋体" w:hAnsi="宋体" w:cs="宋体"/>
                <w:color w:val="auto"/>
                <w:kern w:val="2"/>
                <w:sz w:val="24"/>
                <w:szCs w:val="24"/>
                <w:highlight w:val="none"/>
                <w:lang w:val="en-US" w:eastAsia="zh-CN" w:bidi="ar"/>
              </w:rPr>
              <w:t>2</w:t>
            </w:r>
            <w:r>
              <w:rPr>
                <w:rFonts w:hint="eastAsia" w:ascii="宋体" w:hAnsi="宋体" w:eastAsia="宋体" w:cs="宋体"/>
                <w:color w:val="auto"/>
                <w:kern w:val="2"/>
                <w:sz w:val="24"/>
                <w:szCs w:val="24"/>
                <w:highlight w:val="none"/>
                <w:lang w:val="en-US" w:eastAsia="zh-CN" w:bidi="ar"/>
              </w:rPr>
              <w:t>年1月1日以来，在行业相关监管部门（食品、食用农产品监管部门）组织的承检机构考核中的综合评价满意度情况：</w:t>
            </w:r>
          </w:p>
          <w:p w14:paraId="355B099F">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（1）获得相关监管部门满意的考核评价（优秀，或等同于相同等次），有一个得</w:t>
            </w:r>
            <w:r>
              <w:rPr>
                <w:rFonts w:hint="eastAsia" w:ascii="宋体" w:hAnsi="宋体" w:cs="宋体"/>
                <w:color w:val="auto"/>
                <w:kern w:val="2"/>
                <w:sz w:val="24"/>
                <w:szCs w:val="24"/>
                <w:highlight w:val="none"/>
                <w:lang w:val="en-US" w:eastAsia="zh-CN" w:bidi="ar"/>
              </w:rPr>
              <w:t>0.5</w:t>
            </w:r>
            <w:r>
              <w:rPr>
                <w:rFonts w:hint="eastAsia" w:ascii="宋体" w:hAnsi="宋体" w:eastAsia="宋体" w:cs="宋体"/>
                <w:color w:val="auto"/>
                <w:kern w:val="2"/>
                <w:sz w:val="24"/>
                <w:szCs w:val="24"/>
                <w:highlight w:val="none"/>
                <w:lang w:val="en-US" w:eastAsia="zh-CN" w:bidi="ar"/>
              </w:rPr>
              <w:t>分；本项最高得2分。</w:t>
            </w:r>
          </w:p>
          <w:p w14:paraId="38A8A59C">
            <w:pPr>
              <w:keepNext w:val="0"/>
              <w:keepLines w:val="0"/>
              <w:widowControl w:val="0"/>
              <w:suppressLineNumbers w:val="0"/>
              <w:snapToGrid w:val="0"/>
              <w:spacing w:before="0" w:beforeAutospacing="0" w:after="0" w:afterAutospacing="0"/>
              <w:ind w:left="0" w:right="0"/>
              <w:jc w:val="left"/>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注：须提供监管部门出具的“承检机构考核结果证明材料”原件扫描件，未提供不得分。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40075A0">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color w:val="auto"/>
                <w:kern w:val="0"/>
                <w:sz w:val="24"/>
                <w:szCs w:val="24"/>
                <w:highlight w:val="none"/>
                <w:lang w:bidi="zh-CN"/>
              </w:rPr>
              <w:t>2</w:t>
            </w:r>
            <w:r>
              <w:rPr>
                <w:rFonts w:hint="eastAsia"/>
                <w:color w:val="auto"/>
                <w:kern w:val="0"/>
                <w:sz w:val="24"/>
                <w:szCs w:val="24"/>
                <w:highlight w:val="none"/>
                <w:lang w:val="zh-CN" w:bidi="zh-CN"/>
              </w:rPr>
              <w:t>分</w:t>
            </w:r>
          </w:p>
        </w:tc>
      </w:tr>
      <w:tr w14:paraId="4E2C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6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6DD4AA8C">
            <w:pPr>
              <w:keepNext w:val="0"/>
              <w:keepLines w:val="0"/>
              <w:widowControl w:val="0"/>
              <w:suppressLineNumbers w:val="0"/>
              <w:snapToGrid w:val="0"/>
              <w:spacing w:before="0" w:beforeAutospacing="0" w:after="0" w:afterAutospacing="0"/>
              <w:ind w:left="0" w:right="0"/>
              <w:jc w:val="both"/>
              <w:rPr>
                <w:rFonts w:hint="eastAsia" w:ascii="宋体" w:hAnsi="宋体" w:eastAsia="宋体" w:cs="Courier New"/>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商务部分评分2</w:t>
            </w:r>
            <w:r>
              <w:rPr>
                <w:rFonts w:hint="eastAsia" w:ascii="宋体" w:hAnsi="宋体" w:eastAsia="宋体" w:cs="Courier New"/>
                <w:b/>
                <w:bCs w:val="0"/>
                <w:color w:val="auto"/>
                <w:kern w:val="2"/>
                <w:sz w:val="24"/>
                <w:szCs w:val="24"/>
                <w:highlight w:val="none"/>
                <w:lang w:val="en-US" w:eastAsia="zh-CN" w:bidi="ar"/>
              </w:rPr>
              <w:t>0</w:t>
            </w:r>
            <w:r>
              <w:rPr>
                <w:rFonts w:hint="eastAsia" w:ascii="宋体" w:hAnsi="宋体" w:eastAsia="宋体" w:cs="宋体"/>
                <w:b/>
                <w:bCs w:val="0"/>
                <w:color w:val="auto"/>
                <w:kern w:val="2"/>
                <w:sz w:val="24"/>
                <w:szCs w:val="24"/>
                <w:highlight w:val="none"/>
                <w:lang w:val="en-US" w:eastAsia="zh-CN" w:bidi="ar"/>
              </w:rPr>
              <w:t>分</w:t>
            </w:r>
          </w:p>
        </w:tc>
      </w:tr>
      <w:tr w14:paraId="7FCC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restart"/>
            <w:tcBorders>
              <w:top w:val="nil"/>
              <w:left w:val="single" w:color="auto" w:sz="4" w:space="0"/>
              <w:bottom w:val="single" w:color="auto" w:sz="4" w:space="0"/>
              <w:right w:val="single" w:color="auto" w:sz="4" w:space="0"/>
            </w:tcBorders>
            <w:shd w:val="clear" w:color="auto" w:fill="auto"/>
            <w:vAlign w:val="center"/>
          </w:tcPr>
          <w:p w14:paraId="06B5F59B">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0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0130E44">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企业</w:t>
            </w:r>
            <w:r>
              <w:rPr>
                <w:rFonts w:hint="eastAsia" w:ascii="宋体" w:hAnsi="宋体" w:eastAsia="宋体" w:cs="宋体"/>
                <w:color w:val="auto"/>
                <w:kern w:val="2"/>
                <w:sz w:val="24"/>
                <w:szCs w:val="24"/>
                <w:highlight w:val="none"/>
                <w:lang w:val="en-US" w:eastAsia="zh-CN" w:bidi="ar"/>
              </w:rPr>
              <w:t>实力</w:t>
            </w:r>
          </w:p>
          <w:p w14:paraId="1F63BAAC">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4CC0A16">
            <w:pPr>
              <w:keepNext w:val="0"/>
              <w:keepLines w:val="0"/>
              <w:widowControl w:val="0"/>
              <w:suppressLineNumbers w:val="0"/>
              <w:snapToGrid w:val="0"/>
              <w:spacing w:before="0" w:beforeAutospacing="0" w:after="0" w:afterAutospacing="0"/>
              <w:ind w:left="0" w:right="0"/>
              <w:jc w:val="left"/>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rPr>
              <w:t>供应商</w:t>
            </w:r>
            <w:r>
              <w:rPr>
                <w:rFonts w:hint="eastAsia" w:ascii="宋体" w:hAnsi="宋体" w:eastAsia="宋体" w:cs="Times New Roman"/>
                <w:color w:val="auto"/>
                <w:kern w:val="2"/>
                <w:sz w:val="24"/>
                <w:szCs w:val="24"/>
                <w:highlight w:val="none"/>
                <w:lang w:eastAsia="zh-CN"/>
              </w:rPr>
              <w:t>告知承诺</w:t>
            </w:r>
            <w:r>
              <w:rPr>
                <w:rFonts w:hint="eastAsia" w:ascii="宋体" w:hAnsi="宋体" w:eastAsia="宋体" w:cs="Times New Roman"/>
                <w:color w:val="auto"/>
                <w:kern w:val="2"/>
                <w:sz w:val="24"/>
                <w:szCs w:val="24"/>
                <w:highlight w:val="none"/>
              </w:rPr>
              <w:t>系统有专职录入人员得2分；未提供证明材料</w:t>
            </w:r>
            <w:r>
              <w:rPr>
                <w:rFonts w:hint="eastAsia" w:ascii="宋体" w:hAnsi="宋体" w:eastAsia="宋体" w:cs="Times New Roman"/>
                <w:color w:val="auto"/>
                <w:kern w:val="2"/>
                <w:sz w:val="24"/>
                <w:szCs w:val="24"/>
                <w:highlight w:val="none"/>
                <w:lang w:eastAsia="zh-CN"/>
              </w:rPr>
              <w:t>（国抽平台显示人员姓名截图）</w:t>
            </w:r>
            <w:r>
              <w:rPr>
                <w:rFonts w:hint="eastAsia" w:ascii="宋体" w:hAnsi="宋体" w:eastAsia="宋体" w:cs="Times New Roman"/>
                <w:color w:val="auto"/>
                <w:kern w:val="2"/>
                <w:sz w:val="24"/>
                <w:szCs w:val="24"/>
                <w:highlight w:val="none"/>
              </w:rPr>
              <w:t>、未参加过培训</w:t>
            </w:r>
            <w:r>
              <w:rPr>
                <w:rFonts w:hint="eastAsia" w:ascii="宋体" w:hAnsi="宋体" w:eastAsia="宋体" w:cs="Times New Roman"/>
                <w:color w:val="auto"/>
                <w:kern w:val="2"/>
                <w:sz w:val="24"/>
                <w:szCs w:val="24"/>
                <w:highlight w:val="none"/>
                <w:lang w:eastAsia="zh-CN"/>
              </w:rPr>
              <w:t>（培训记录）</w:t>
            </w:r>
            <w:r>
              <w:rPr>
                <w:rFonts w:hint="eastAsia" w:ascii="宋体" w:hAnsi="宋体" w:eastAsia="宋体" w:cs="Times New Roman"/>
                <w:color w:val="auto"/>
                <w:kern w:val="2"/>
                <w:sz w:val="24"/>
                <w:szCs w:val="24"/>
                <w:highlight w:val="none"/>
              </w:rPr>
              <w:t>不得分。（2分）</w:t>
            </w:r>
          </w:p>
        </w:tc>
        <w:tc>
          <w:tcPr>
            <w:tcW w:w="12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4779614">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参考投标人的经营资质、行业口碑、资信情况进行打分（10分）</w:t>
            </w:r>
          </w:p>
          <w:p w14:paraId="1F7FF6DE">
            <w:pPr>
              <w:pStyle w:val="5"/>
              <w:suppressLineNumbers w:val="0"/>
              <w:spacing w:beforeAutospacing="0" w:afterAutospacing="0"/>
              <w:ind w:left="0" w:right="0"/>
              <w:rPr>
                <w:rFonts w:hint="eastAsia"/>
                <w:color w:val="auto"/>
                <w:sz w:val="24"/>
                <w:szCs w:val="24"/>
                <w:highlight w:val="none"/>
              </w:rPr>
            </w:pPr>
          </w:p>
        </w:tc>
      </w:tr>
      <w:tr w14:paraId="250E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4EC76339">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6F5561">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E657429">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eastAsia="zh-CN"/>
              </w:rPr>
            </w:pPr>
            <w:r>
              <w:rPr>
                <w:rFonts w:hint="default"/>
                <w:color w:val="auto"/>
                <w:sz w:val="24"/>
                <w:szCs w:val="24"/>
                <w:highlight w:val="none"/>
                <w:lang w:val="en-US" w:eastAsia="zh-CN"/>
              </w:rPr>
              <w:t>供应商提供的中国合格评定国家认可委员会实验室认证认可证书（CMA证书）得1分。</w:t>
            </w:r>
          </w:p>
          <w:p w14:paraId="233D33E6">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rPr>
            </w:pPr>
            <w:r>
              <w:rPr>
                <w:rFonts w:hint="default"/>
                <w:color w:val="auto"/>
                <w:sz w:val="24"/>
                <w:szCs w:val="24"/>
                <w:highlight w:val="none"/>
                <w:lang w:val="en-US" w:eastAsia="zh-CN"/>
              </w:rPr>
              <w:t>供应商提供中国合格评定国家认可委员会颁发的认可证书（CNAS证书）得1</w:t>
            </w:r>
            <w:r>
              <w:rPr>
                <w:rFonts w:hint="default"/>
                <w:color w:val="auto"/>
                <w:sz w:val="24"/>
                <w:szCs w:val="24"/>
                <w:highlight w:val="none"/>
                <w:lang w:val="en-US"/>
              </w:rPr>
              <w:t>分</w:t>
            </w:r>
            <w:r>
              <w:rPr>
                <w:rFonts w:hint="default"/>
                <w:color w:val="auto"/>
                <w:sz w:val="24"/>
                <w:szCs w:val="24"/>
                <w:highlight w:val="none"/>
                <w:lang w:val="en-US" w:eastAsia="zh-CN"/>
              </w:rPr>
              <w:t>。</w:t>
            </w:r>
          </w:p>
          <w:p w14:paraId="38B6135C">
            <w:pPr>
              <w:keepNext w:val="0"/>
              <w:keepLines w:val="0"/>
              <w:widowControl w:val="0"/>
              <w:suppressLineNumbers w:val="0"/>
              <w:snapToGrid w:val="0"/>
              <w:spacing w:before="0" w:beforeAutospacing="0" w:after="0" w:afterAutospacing="0"/>
              <w:ind w:left="0" w:right="0"/>
              <w:jc w:val="left"/>
              <w:rPr>
                <w:rFonts w:hint="default"/>
                <w:color w:val="auto"/>
                <w:sz w:val="24"/>
                <w:szCs w:val="24"/>
                <w:highlight w:val="none"/>
                <w:lang w:val="en-US"/>
              </w:rPr>
            </w:pPr>
            <w:r>
              <w:rPr>
                <w:rFonts w:hint="default"/>
                <w:color w:val="auto"/>
                <w:sz w:val="24"/>
                <w:szCs w:val="24"/>
                <w:highlight w:val="none"/>
                <w:lang w:val="en-US" w:eastAsia="zh-CN"/>
              </w:rPr>
              <w:t>未提供不得分。</w:t>
            </w:r>
          </w:p>
        </w:tc>
        <w:tc>
          <w:tcPr>
            <w:tcW w:w="12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BECB6E">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019B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638" w:type="dxa"/>
            <w:vMerge w:val="continue"/>
            <w:tcBorders>
              <w:top w:val="nil"/>
              <w:left w:val="single" w:color="auto" w:sz="4" w:space="0"/>
              <w:bottom w:val="single" w:color="auto" w:sz="4" w:space="0"/>
              <w:right w:val="single" w:color="auto" w:sz="4" w:space="0"/>
            </w:tcBorders>
            <w:shd w:val="clear" w:color="auto" w:fill="auto"/>
            <w:vAlign w:val="center"/>
          </w:tcPr>
          <w:p w14:paraId="75CAA6DD">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10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B8D2F1">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0D997CA5">
            <w:pPr>
              <w:keepNext w:val="0"/>
              <w:keepLines w:val="0"/>
              <w:widowControl w:val="0"/>
              <w:suppressLineNumbers w:val="0"/>
              <w:spacing w:before="0" w:beforeAutospacing="0" w:after="0" w:afterAutospacing="0"/>
              <w:ind w:left="0" w:right="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获得国家级能力验证及实验室比对结果满意1项得1分</w:t>
            </w:r>
            <w:r>
              <w:rPr>
                <w:rFonts w:hint="eastAsia" w:ascii="宋体" w:hAnsi="宋体" w:cs="宋体"/>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获得省级以上能力验证及实验室比对结果满意5项得2分；10项得3分；10项以上得6分；</w:t>
            </w:r>
          </w:p>
          <w:p w14:paraId="07041574">
            <w:pPr>
              <w:keepNext w:val="0"/>
              <w:keepLines w:val="0"/>
              <w:widowControl w:val="0"/>
              <w:suppressLineNumbers w:val="0"/>
              <w:snapToGrid w:val="0"/>
              <w:spacing w:before="0" w:beforeAutospacing="0" w:after="0" w:afterAutospacing="0"/>
              <w:ind w:left="0" w:right="0"/>
              <w:jc w:val="left"/>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注：须提供近三年</w:t>
            </w:r>
            <w:r>
              <w:rPr>
                <w:rFonts w:hint="eastAsia" w:ascii="宋体" w:hAnsi="宋体" w:cs="宋体"/>
                <w:color w:val="auto"/>
                <w:kern w:val="2"/>
                <w:sz w:val="24"/>
                <w:szCs w:val="24"/>
                <w:highlight w:val="none"/>
                <w:lang w:val="en-US" w:eastAsia="zh-CN" w:bidi="ar"/>
              </w:rPr>
              <w:t>（2023年-至今）</w:t>
            </w:r>
            <w:r>
              <w:rPr>
                <w:rFonts w:hint="eastAsia" w:ascii="宋体" w:hAnsi="宋体" w:eastAsia="宋体" w:cs="宋体"/>
                <w:color w:val="auto"/>
                <w:kern w:val="2"/>
                <w:sz w:val="24"/>
                <w:szCs w:val="24"/>
                <w:highlight w:val="none"/>
                <w:lang w:val="en-US" w:eastAsia="zh-CN" w:bidi="ar"/>
              </w:rPr>
              <w:t>国家级或省级能力验证或实验室比对满意结果证书复印件或公告证明资料。最多计6分，未提供得不得分。</w:t>
            </w:r>
          </w:p>
        </w:tc>
        <w:tc>
          <w:tcPr>
            <w:tcW w:w="12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6944BE">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tc>
      </w:tr>
      <w:tr w14:paraId="387A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079B2FBA">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3ABA65AB">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类似项目经营业绩及其它有利资料</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1A2CEF73">
            <w:pPr>
              <w:keepNext w:val="0"/>
              <w:keepLines w:val="0"/>
              <w:widowControl w:val="0"/>
              <w:suppressLineNumbers w:val="0"/>
              <w:snapToGrid w:val="0"/>
              <w:spacing w:before="0" w:beforeAutospacing="0" w:after="0" w:afterAutospacing="0"/>
              <w:ind w:left="0" w:right="0"/>
              <w:jc w:val="left"/>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投标人近三年（202</w:t>
            </w:r>
            <w:r>
              <w:rPr>
                <w:rFonts w:hint="eastAsia" w:ascii="宋体" w:hAnsi="宋体" w:cs="宋体"/>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年-至今，业绩认定时间以委托检验合同或委托书或中标通知书为准）承担过类似项目业绩，则一个得2分，总计8分，需要提供委托检验合同或委托书或中标通知书等。</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73E1066E">
            <w:pPr>
              <w:keepNext w:val="0"/>
              <w:keepLines w:val="0"/>
              <w:widowControl w:val="0"/>
              <w:suppressLineNumbers w:val="0"/>
              <w:spacing w:before="0" w:beforeAutospacing="0" w:after="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经营业绩（8分）</w:t>
            </w:r>
          </w:p>
        </w:tc>
      </w:tr>
      <w:tr w14:paraId="50C0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4DCA233B">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07AA3DF4">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售后</w:t>
            </w:r>
          </w:p>
          <w:p w14:paraId="1037A2A4">
            <w:pPr>
              <w:keepNext w:val="0"/>
              <w:keepLines w:val="0"/>
              <w:widowControl w:val="0"/>
              <w:suppressLineNumbers w:val="0"/>
              <w:spacing w:before="0" w:beforeAutospacing="0" w:after="0" w:afterAutospacing="0"/>
              <w:ind w:left="0" w:right="0"/>
              <w:jc w:val="center"/>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服务</w:t>
            </w:r>
          </w:p>
        </w:tc>
        <w:tc>
          <w:tcPr>
            <w:tcW w:w="6370" w:type="dxa"/>
            <w:tcBorders>
              <w:top w:val="single" w:color="auto" w:sz="4" w:space="0"/>
              <w:left w:val="single" w:color="auto" w:sz="4" w:space="0"/>
              <w:bottom w:val="single" w:color="auto" w:sz="4" w:space="0"/>
              <w:right w:val="single" w:color="auto" w:sz="4" w:space="0"/>
            </w:tcBorders>
            <w:shd w:val="clear" w:color="auto" w:fill="auto"/>
            <w:vAlign w:val="center"/>
          </w:tcPr>
          <w:p w14:paraId="572CED9A">
            <w:pPr>
              <w:keepNext w:val="0"/>
              <w:keepLines w:val="0"/>
              <w:widowControl w:val="0"/>
              <w:suppressLineNumbers w:val="0"/>
              <w:snapToGrid w:val="0"/>
              <w:spacing w:before="0" w:beforeAutospacing="0" w:after="0" w:afterAutospacing="0"/>
              <w:ind w:left="0" w:right="0"/>
              <w:jc w:val="left"/>
              <w:rPr>
                <w:rFonts w:hint="eastAsia" w:ascii="宋体" w:hAnsi="宋体" w:eastAsia="宋体" w:cs="仿宋"/>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投标人能够提供食品安全监督抽检分析报告及派遣人员协助抽检监测数据汇总和信息公示进行打分，承诺两项均能做到得2分；仅提供食品安全监督抽检分析报告得1分，仅派遣人员协助抽检监测数据汇总和信息公示得1分；否则，不得分。</w:t>
            </w:r>
          </w:p>
        </w:tc>
        <w:tc>
          <w:tcPr>
            <w:tcW w:w="1231" w:type="dxa"/>
            <w:tcBorders>
              <w:top w:val="single" w:color="auto" w:sz="4" w:space="0"/>
              <w:left w:val="single" w:color="auto" w:sz="4" w:space="0"/>
              <w:bottom w:val="single" w:color="auto" w:sz="4" w:space="0"/>
              <w:right w:val="single" w:color="auto" w:sz="4" w:space="0"/>
            </w:tcBorders>
            <w:shd w:val="clear" w:color="auto" w:fill="auto"/>
            <w:vAlign w:val="center"/>
          </w:tcPr>
          <w:p w14:paraId="27C8663F">
            <w:pPr>
              <w:keepNext w:val="0"/>
              <w:keepLines w:val="0"/>
              <w:widowControl w:val="0"/>
              <w:suppressLineNumbers w:val="0"/>
              <w:snapToGrid w:val="0"/>
              <w:spacing w:before="0" w:beforeAutospacing="0" w:after="0" w:afterAutospacing="0"/>
              <w:ind w:left="0" w:right="0"/>
              <w:jc w:val="center"/>
              <w:rPr>
                <w:rFonts w:hint="eastAsia" w:ascii="宋体" w:hAnsi="宋体" w:eastAsia="宋体" w:cs="Courier New"/>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书面承诺书（2分）</w:t>
            </w:r>
          </w:p>
        </w:tc>
      </w:tr>
    </w:tbl>
    <w:p w14:paraId="6636389D">
      <w:pPr>
        <w:rPr>
          <w:rFonts w:hint="eastAsia" w:ascii="宋体" w:hAnsi="宋体" w:eastAsia="宋体" w:cs="宋体"/>
          <w:b w:val="0"/>
          <w:bCs w:val="0"/>
          <w:color w:val="auto"/>
          <w:sz w:val="24"/>
          <w:szCs w:val="24"/>
          <w:highlight w:val="none"/>
        </w:rPr>
      </w:pPr>
    </w:p>
    <w:p w14:paraId="59CE4D3B">
      <w:pPr>
        <w:pStyle w:val="13"/>
        <w:tabs>
          <w:tab w:val="left" w:pos="600"/>
        </w:tabs>
        <w:spacing w:line="360" w:lineRule="auto"/>
        <w:ind w:firstLine="480" w:firstLineChars="20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报价部分评</w:t>
      </w:r>
      <w:r>
        <w:rPr>
          <w:rFonts w:hint="eastAsia" w:ascii="宋体" w:hAnsi="宋体" w:eastAsia="宋体" w:cs="宋体"/>
          <w:b w:val="0"/>
          <w:bCs w:val="0"/>
          <w:color w:val="auto"/>
          <w:sz w:val="24"/>
          <w:szCs w:val="24"/>
          <w:highlight w:val="none"/>
          <w:lang w:val="zh-CN"/>
        </w:rPr>
        <w:t>审</w:t>
      </w:r>
      <w:r>
        <w:rPr>
          <w:rFonts w:hint="eastAsia" w:ascii="宋体" w:hAnsi="宋体" w:eastAsia="宋体" w:cs="宋体"/>
          <w:b w:val="0"/>
          <w:bCs w:val="0"/>
          <w:color w:val="auto"/>
          <w:sz w:val="24"/>
          <w:szCs w:val="24"/>
          <w:highlight w:val="none"/>
        </w:rPr>
        <w:t>标准（</w:t>
      </w:r>
      <w:r>
        <w:rPr>
          <w:rFonts w:hint="eastAsia" w:ascii="宋体" w:hAnsi="宋体" w:cs="宋体"/>
          <w:b w:val="0"/>
          <w:bCs w:val="0"/>
          <w:color w:val="auto"/>
          <w:sz w:val="24"/>
          <w:szCs w:val="24"/>
          <w:highlight w:val="none"/>
          <w:lang w:val="en-US" w:eastAsia="zh-CN"/>
        </w:rPr>
        <w:t>10</w:t>
      </w:r>
      <w:r>
        <w:rPr>
          <w:rFonts w:hint="eastAsia" w:ascii="宋体" w:hAnsi="宋体" w:eastAsia="宋体" w:cs="宋体"/>
          <w:b w:val="0"/>
          <w:bCs w:val="0"/>
          <w:color w:val="auto"/>
          <w:sz w:val="24"/>
          <w:szCs w:val="24"/>
          <w:highlight w:val="none"/>
        </w:rPr>
        <w:t>分）</w:t>
      </w:r>
    </w:p>
    <w:tbl>
      <w:tblPr>
        <w:tblStyle w:val="30"/>
        <w:tblW w:w="52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1660"/>
        <w:gridCol w:w="6303"/>
      </w:tblGrid>
      <w:tr w14:paraId="0791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537" w:type="pct"/>
            <w:vAlign w:val="center"/>
          </w:tcPr>
          <w:p w14:paraId="22CCF84D">
            <w:pPr>
              <w:autoSpaceDE w:val="0"/>
              <w:autoSpaceDN w:val="0"/>
              <w:adjustRightInd w:val="0"/>
              <w:jc w:val="center"/>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zh-CN"/>
              </w:rPr>
              <w:t>序号</w:t>
            </w:r>
          </w:p>
        </w:tc>
        <w:tc>
          <w:tcPr>
            <w:tcW w:w="930" w:type="pct"/>
            <w:vAlign w:val="center"/>
          </w:tcPr>
          <w:p w14:paraId="5A615B07">
            <w:pPr>
              <w:autoSpaceDE w:val="0"/>
              <w:autoSpaceDN w:val="0"/>
              <w:adjustRightInd w:val="0"/>
              <w:jc w:val="center"/>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zh-CN"/>
              </w:rPr>
              <w:t>评审因素</w:t>
            </w:r>
          </w:p>
        </w:tc>
        <w:tc>
          <w:tcPr>
            <w:tcW w:w="3531" w:type="pct"/>
            <w:vAlign w:val="center"/>
          </w:tcPr>
          <w:p w14:paraId="09A16C8C">
            <w:pPr>
              <w:autoSpaceDE w:val="0"/>
              <w:autoSpaceDN w:val="0"/>
              <w:adjustRightInd w:val="0"/>
              <w:jc w:val="center"/>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zh-CN"/>
              </w:rPr>
              <w:t>评审标准</w:t>
            </w:r>
          </w:p>
        </w:tc>
      </w:tr>
      <w:tr w14:paraId="1CA3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537" w:type="pct"/>
            <w:vMerge w:val="restart"/>
            <w:vAlign w:val="center"/>
          </w:tcPr>
          <w:p w14:paraId="28581820">
            <w:pPr>
              <w:autoSpaceDE w:val="0"/>
              <w:autoSpaceDN w:val="0"/>
              <w:adjustRightInd w:val="0"/>
              <w:jc w:val="center"/>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zh-CN"/>
              </w:rPr>
              <w:t>1</w:t>
            </w:r>
          </w:p>
        </w:tc>
        <w:tc>
          <w:tcPr>
            <w:tcW w:w="930" w:type="pct"/>
            <w:vMerge w:val="restart"/>
            <w:vAlign w:val="center"/>
          </w:tcPr>
          <w:p w14:paraId="4E7ACD81">
            <w:pPr>
              <w:autoSpaceDE w:val="0"/>
              <w:autoSpaceDN w:val="0"/>
              <w:adjustRightInd w:val="0"/>
              <w:jc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zh-CN"/>
              </w:rPr>
              <w:t>投标报价</w:t>
            </w:r>
          </w:p>
        </w:tc>
        <w:tc>
          <w:tcPr>
            <w:tcW w:w="3531" w:type="pct"/>
            <w:vAlign w:val="center"/>
          </w:tcPr>
          <w:p w14:paraId="2C9EEF6F">
            <w:pPr>
              <w:autoSpaceDE w:val="0"/>
              <w:autoSpaceDN w:val="0"/>
              <w:adjustRightInd w:val="0"/>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zh-CN"/>
              </w:rPr>
              <w:t>评标基准价即满足招标文件要求且投标价格最低的投标报价。</w:t>
            </w:r>
          </w:p>
          <w:p w14:paraId="64E58818">
            <w:pPr>
              <w:autoSpaceDE w:val="0"/>
              <w:autoSpaceDN w:val="0"/>
              <w:adjustRightInd w:val="0"/>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zh-CN"/>
              </w:rPr>
              <w:t>投标报价得分=（评标基准价/投标报价）×</w:t>
            </w:r>
            <w:r>
              <w:rPr>
                <w:rFonts w:hint="eastAsia" w:ascii="宋体" w:hAnsi="宋体" w:cs="宋体"/>
                <w:b w:val="0"/>
                <w:bCs w:val="0"/>
                <w:color w:val="auto"/>
                <w:sz w:val="24"/>
                <w:szCs w:val="24"/>
                <w:highlight w:val="none"/>
                <w:lang w:val="en-US" w:eastAsia="zh-CN"/>
              </w:rPr>
              <w:t>10</w:t>
            </w:r>
          </w:p>
        </w:tc>
      </w:tr>
      <w:tr w14:paraId="4FF0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537" w:type="pct"/>
            <w:vMerge w:val="continue"/>
            <w:vAlign w:val="center"/>
          </w:tcPr>
          <w:p w14:paraId="226DD0CD">
            <w:pPr>
              <w:autoSpaceDE w:val="0"/>
              <w:autoSpaceDN w:val="0"/>
              <w:adjustRightInd w:val="0"/>
              <w:jc w:val="center"/>
              <w:rPr>
                <w:rFonts w:hint="eastAsia" w:ascii="宋体" w:hAnsi="宋体" w:eastAsia="宋体" w:cs="宋体"/>
                <w:b w:val="0"/>
                <w:bCs w:val="0"/>
                <w:color w:val="auto"/>
                <w:sz w:val="24"/>
                <w:szCs w:val="24"/>
                <w:highlight w:val="none"/>
                <w:lang w:val="zh-CN"/>
              </w:rPr>
            </w:pPr>
          </w:p>
        </w:tc>
        <w:tc>
          <w:tcPr>
            <w:tcW w:w="930" w:type="pct"/>
            <w:vMerge w:val="continue"/>
            <w:vAlign w:val="center"/>
          </w:tcPr>
          <w:p w14:paraId="0E893BE7">
            <w:pPr>
              <w:autoSpaceDE w:val="0"/>
              <w:autoSpaceDN w:val="0"/>
              <w:adjustRightInd w:val="0"/>
              <w:jc w:val="center"/>
              <w:rPr>
                <w:rFonts w:hint="eastAsia" w:ascii="宋体" w:hAnsi="宋体" w:eastAsia="宋体" w:cs="宋体"/>
                <w:b w:val="0"/>
                <w:bCs w:val="0"/>
                <w:color w:val="auto"/>
                <w:sz w:val="24"/>
                <w:szCs w:val="24"/>
                <w:highlight w:val="none"/>
                <w:lang w:val="zh-CN"/>
              </w:rPr>
            </w:pPr>
          </w:p>
        </w:tc>
        <w:tc>
          <w:tcPr>
            <w:tcW w:w="3531" w:type="pct"/>
            <w:vAlign w:val="center"/>
          </w:tcPr>
          <w:p w14:paraId="136E4ED0">
            <w:pPr>
              <w:autoSpaceDE w:val="0"/>
              <w:autoSpaceDN w:val="0"/>
              <w:adjustRightInd w:val="0"/>
              <w:rPr>
                <w:rFonts w:hint="eastAsia" w:ascii="宋体" w:hAnsi="宋体" w:eastAsia="宋体" w:cs="宋体"/>
                <w:b w:val="0"/>
                <w:bCs w:val="0"/>
                <w:color w:val="auto"/>
                <w:sz w:val="24"/>
                <w:szCs w:val="24"/>
                <w:highlight w:val="none"/>
                <w:lang w:val="zh-CN"/>
              </w:rPr>
            </w:pPr>
            <w:r>
              <w:rPr>
                <w:rFonts w:hint="eastAsia" w:ascii="宋体" w:hAnsi="宋体" w:eastAsia="宋体" w:cs="宋体"/>
                <w:b w:val="0"/>
                <w:bCs w:val="0"/>
                <w:color w:val="auto"/>
                <w:sz w:val="24"/>
                <w:szCs w:val="24"/>
                <w:highlight w:val="none"/>
                <w:lang w:val="zh-CN"/>
              </w:rPr>
              <w:t>因落实政府采购政策进行价格调整的，以调整后的价格计算评标基准价和投标报价。</w:t>
            </w:r>
          </w:p>
        </w:tc>
      </w:tr>
    </w:tbl>
    <w:p w14:paraId="4D27B1CA">
      <w:pPr>
        <w:pStyle w:val="13"/>
        <w:tabs>
          <w:tab w:val="left" w:pos="600"/>
        </w:tabs>
        <w:spacing w:line="46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4.5.1投标人总分=报价部分得分+技术、商务部分得分，结果保留两位小数。</w:t>
      </w:r>
    </w:p>
    <w:p w14:paraId="554F6349">
      <w:pPr>
        <w:spacing w:line="460" w:lineRule="exact"/>
        <w:ind w:firstLine="480" w:firstLineChars="200"/>
        <w:rPr>
          <w:rFonts w:hint="eastAsia" w:ascii="宋体" w:hAnsi="宋体" w:eastAsia="宋体" w:cs="宋体"/>
          <w:b w:val="0"/>
          <w:bCs w:val="0"/>
          <w:color w:val="auto"/>
          <w:sz w:val="24"/>
          <w:szCs w:val="24"/>
          <w:highlight w:val="none"/>
        </w:rPr>
      </w:pPr>
      <w:bookmarkStart w:id="163" w:name="_Toc217446060"/>
      <w:r>
        <w:rPr>
          <w:rFonts w:hint="eastAsia" w:ascii="宋体" w:hAnsi="宋体" w:eastAsia="宋体" w:cs="宋体"/>
          <w:b w:val="0"/>
          <w:bCs w:val="0"/>
          <w:color w:val="auto"/>
          <w:sz w:val="24"/>
          <w:szCs w:val="24"/>
          <w:highlight w:val="none"/>
        </w:rPr>
        <w:t>5. 终止招标</w:t>
      </w:r>
    </w:p>
    <w:p w14:paraId="68FE70CA">
      <w:pPr>
        <w:spacing w:line="46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采购人、采购代理机构在发布招标公告、资格预审公告或者发出投标邀请书后，除因重大变故采购任务取消情况外，不得擅自终止招标活动。</w:t>
      </w:r>
    </w:p>
    <w:p w14:paraId="4C4A1BB1">
      <w:pPr>
        <w:spacing w:line="46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终止招标的，采购人或者采购代理机构应当及时在原公告发布媒体上发布终止公告，以书面形式通知已经获取招标文件、资格预审文件或者被邀请的潜在投标人，并将项目实施情况和采购任务取消原因报告本级财政部门。已经收取招标文件费用或者投标保证金的，采购人或者采购代理机构应当在终止采购活动后5个工作日内，退还所收取的招标文件费用和所收取的投标保证金及其在银行产生的孳息。</w:t>
      </w:r>
    </w:p>
    <w:p w14:paraId="1E7F236D">
      <w:pPr>
        <w:spacing w:line="46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 定标</w:t>
      </w:r>
      <w:bookmarkEnd w:id="163"/>
      <w:bookmarkStart w:id="164" w:name="_Toc217446061"/>
    </w:p>
    <w:p w14:paraId="3DFCCA82">
      <w:pPr>
        <w:spacing w:line="46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6.1. 定标原则</w:t>
      </w:r>
      <w:bookmarkEnd w:id="164"/>
      <w:r>
        <w:rPr>
          <w:rFonts w:hint="eastAsia" w:ascii="宋体" w:hAnsi="宋体" w:eastAsia="宋体" w:cs="宋体"/>
          <w:b w:val="0"/>
          <w:bCs w:val="0"/>
          <w:color w:val="auto"/>
          <w:sz w:val="24"/>
          <w:szCs w:val="24"/>
          <w:highlight w:val="none"/>
        </w:rPr>
        <w:t>：本项目根据评标委员会推荐的中标候选人名单，按顺序确定中标人。</w:t>
      </w:r>
    </w:p>
    <w:p w14:paraId="3AB90C31">
      <w:pPr>
        <w:spacing w:line="460" w:lineRule="exact"/>
        <w:ind w:firstLine="480" w:firstLineChars="200"/>
        <w:rPr>
          <w:rFonts w:hint="eastAsia" w:ascii="宋体" w:hAnsi="宋体" w:eastAsia="宋体" w:cs="宋体"/>
          <w:b w:val="0"/>
          <w:bCs w:val="0"/>
          <w:color w:val="auto"/>
          <w:sz w:val="24"/>
          <w:szCs w:val="24"/>
          <w:highlight w:val="none"/>
        </w:rPr>
      </w:pPr>
      <w:bookmarkStart w:id="165" w:name="_Toc217446062"/>
      <w:r>
        <w:rPr>
          <w:rFonts w:hint="eastAsia" w:ascii="宋体" w:hAnsi="宋体" w:eastAsia="宋体" w:cs="宋体"/>
          <w:b w:val="0"/>
          <w:bCs w:val="0"/>
          <w:color w:val="auto"/>
          <w:sz w:val="24"/>
          <w:szCs w:val="24"/>
          <w:highlight w:val="none"/>
        </w:rPr>
        <w:t>6.2. 定标程序</w:t>
      </w:r>
      <w:bookmarkEnd w:id="165"/>
    </w:p>
    <w:p w14:paraId="0E38393C">
      <w:pPr>
        <w:spacing w:line="46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6.2.1 评标委员会将评标情况写出书面报告，推荐中标候选人，并按照综合得分高低标明排列顺序。本项目采用综合评分法，评标结果按评标后得分由高到低顺序排列。得分相同的，按投标报价由低到高顺序排列。得分且投标报价相同的按照技术指标优劣顺序推荐。</w:t>
      </w:r>
    </w:p>
    <w:p w14:paraId="67BD9862">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6.2.2 采购代理机构在评标结束后两个工作日内将评标报告送至采购人。</w:t>
      </w:r>
    </w:p>
    <w:p w14:paraId="3BBEA752">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6.2.3 采购人应当自收到评标报告之日起5个工作日内在评标报告推荐的中标候选人中按顺序确定中标人。</w:t>
      </w:r>
    </w:p>
    <w:p w14:paraId="2A21CF66">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6.2.4 根据采购人确定的中标人，采购人在招标公告发布的媒体上发布中标公告，同时向中标人发出中标通知书。</w:t>
      </w:r>
    </w:p>
    <w:p w14:paraId="05F77287">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6.2.5 采购人不退回投标文件和其他投标资料。</w:t>
      </w:r>
    </w:p>
    <w:bookmarkEnd w:id="158"/>
    <w:p w14:paraId="69418695">
      <w:pPr>
        <w:spacing w:line="460" w:lineRule="exact"/>
        <w:ind w:firstLine="480" w:firstLineChars="200"/>
        <w:rPr>
          <w:rFonts w:hint="eastAsia" w:ascii="宋体" w:hAnsi="宋体" w:eastAsia="宋体" w:cs="宋体"/>
          <w:color w:val="auto"/>
          <w:sz w:val="24"/>
          <w:szCs w:val="24"/>
          <w:highlight w:val="none"/>
        </w:rPr>
      </w:pPr>
      <w:bookmarkStart w:id="166" w:name="_Toc208849022"/>
      <w:bookmarkStart w:id="167" w:name="_Toc183682432"/>
      <w:bookmarkStart w:id="168" w:name="_Toc217446105"/>
      <w:bookmarkStart w:id="169" w:name="_Toc183582297"/>
      <w:r>
        <w:rPr>
          <w:rFonts w:hint="eastAsia" w:ascii="宋体" w:hAnsi="宋体" w:eastAsia="宋体" w:cs="宋体"/>
          <w:color w:val="auto"/>
          <w:sz w:val="24"/>
          <w:szCs w:val="24"/>
          <w:highlight w:val="none"/>
        </w:rPr>
        <w:t xml:space="preserve">7. </w:t>
      </w:r>
      <w:bookmarkEnd w:id="166"/>
      <w:bookmarkEnd w:id="167"/>
      <w:bookmarkEnd w:id="168"/>
      <w:bookmarkEnd w:id="169"/>
      <w:r>
        <w:rPr>
          <w:rFonts w:hint="eastAsia" w:ascii="宋体" w:hAnsi="宋体" w:eastAsia="宋体" w:cs="宋体"/>
          <w:color w:val="auto"/>
          <w:sz w:val="24"/>
          <w:szCs w:val="24"/>
          <w:highlight w:val="none"/>
        </w:rPr>
        <w:t>评标专家在政府采购活动中承担以下义务：</w:t>
      </w:r>
    </w:p>
    <w:p w14:paraId="31B0536E">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 遵纪守法，客观、公正、廉洁地履行职责。</w:t>
      </w:r>
    </w:p>
    <w:p w14:paraId="5F8AFAD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 按照政府采购相关法律法规和招标文件的规定对投标人的资格条件和投标人提供的商务、价格、技术服务、业绩、对招标文件的响应程度以及投标文件规范性等方面进行评价，提供科学合理、公平公正的评标意见，参与起草评标报告，并予签字确认。</w:t>
      </w:r>
    </w:p>
    <w:p w14:paraId="5E979E62">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 保守秘密。不得透露招标项目情况，不得泄漏投标人的投标文件及知悉的商业秘密，不得向投标人透露评标情况。</w:t>
      </w:r>
    </w:p>
    <w:p w14:paraId="138BBA43">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7.4 发现投标人在政府采购活动中有不正当竞争或恶意串通等违规行为，及时向政府采购评标工作的组织者或财政部门报告并加以制止。</w:t>
      </w:r>
    </w:p>
    <w:p w14:paraId="17A73D1F">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发现采购人、采购代理机构及其工作人员在招标活动中有干预评标、发表倾向性和歧视性言论、受贿或者接受投标人的其他好处及其他违法违规行为，及时向财政部门报告。</w:t>
      </w:r>
    </w:p>
    <w:p w14:paraId="7B199C45">
      <w:pPr>
        <w:widowControl/>
        <w:autoSpaceDE w:val="0"/>
        <w:autoSpaceDN w:val="0"/>
        <w:spacing w:line="360" w:lineRule="auto"/>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7.5 配合采购人或者采购代理机构答复投标人质疑，配合投诉处理工作等事宜。</w:t>
      </w:r>
    </w:p>
    <w:p w14:paraId="3CE2BA39">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7.6 法律、法规和规章规定的其他义务。</w:t>
      </w:r>
    </w:p>
    <w:p w14:paraId="316DE951">
      <w:pPr>
        <w:widowControl/>
        <w:autoSpaceDE w:val="0"/>
        <w:autoSpaceDN w:val="0"/>
        <w:spacing w:line="460" w:lineRule="exact"/>
        <w:ind w:firstLine="482" w:firstLineChars="200"/>
        <w:textAlignment w:val="bottom"/>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评标专家在招标活动中应当遵守以下工作纪律：</w:t>
      </w:r>
    </w:p>
    <w:p w14:paraId="51ED79B6">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 应邀按时参加评标活动。遇特殊情况不能出席或途中遇阻不能按时参加评标的，应及时告知财政部门或者采购人或者采购代理机构，不得私自转托他人。</w:t>
      </w:r>
    </w:p>
    <w:p w14:paraId="17A381CF">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 不得参加与自己有利害关系的招标项目的评标活动。对与自己有利害关系的评标项目，如受到邀请，应主动提出回避。财政部门、采购人或采购代理机构也可要求该评标专家回避。</w:t>
      </w:r>
    </w:p>
    <w:p w14:paraId="1A779B4C">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利害关系主要是指三年内曾在参加该招标项目投标人中任职(包括一般工作)或担任顾问，配偶或直系亲属在参加该招标项目的投标人中任职或担任顾问，与参加该招标项目投标人发生过法律纠纷，以及其他可能影响公正评标的情况。</w:t>
      </w:r>
    </w:p>
    <w:p w14:paraId="4187CACB">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 评标过程中关闭通讯设备，不得与外界联系。</w:t>
      </w:r>
    </w:p>
    <w:p w14:paraId="7318CFFC">
      <w:pPr>
        <w:widowControl/>
        <w:autoSpaceDE w:val="0"/>
        <w:autoSpaceDN w:val="0"/>
        <w:spacing w:line="460" w:lineRule="exact"/>
        <w:ind w:firstLine="480" w:firstLineChars="200"/>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8.4 评标过程中，不得发表影响评标公正的倾向性、歧视性言论；不得以任何明示或暗示的方式要求参加该招标项目的投标人以澄清、说明或补正为借口，表达与其原投标文件原意不同的新意见；不得以招标文件没有规定的方法和标准作为评标的依据；不得违反规定的评标格式评分和撰写评标意见；不得拒绝对自己的评标意见签字确认。</w:t>
      </w:r>
    </w:p>
    <w:p w14:paraId="49C6B751">
      <w:pPr>
        <w:pStyle w:val="3"/>
        <w:spacing w:before="0" w:after="340" w:line="460" w:lineRule="exact"/>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br w:type="page"/>
      </w:r>
      <w:bookmarkStart w:id="170" w:name="_Toc22113"/>
      <w:r>
        <w:rPr>
          <w:rFonts w:hint="eastAsia" w:ascii="宋体" w:hAnsi="宋体" w:eastAsia="宋体" w:cs="宋体"/>
          <w:b/>
          <w:bCs/>
          <w:color w:val="auto"/>
          <w:sz w:val="24"/>
          <w:szCs w:val="24"/>
          <w:highlight w:val="none"/>
        </w:rPr>
        <w:t>第六章  拟签订的合同文本</w:t>
      </w:r>
      <w:bookmarkEnd w:id="170"/>
    </w:p>
    <w:p w14:paraId="78F01CAF">
      <w:pPr>
        <w:pStyle w:val="51"/>
        <w:widowControl/>
        <w:spacing w:line="480" w:lineRule="atLeast"/>
        <w:ind w:firstLine="480" w:firstLineChars="200"/>
        <w:jc w:val="center"/>
        <w:rPr>
          <w:rStyle w:val="32"/>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（本合同仅供参考，具体以实际签订的为准）</w:t>
      </w:r>
    </w:p>
    <w:p w14:paraId="031B8881">
      <w:pPr>
        <w:spacing w:line="640" w:lineRule="exact"/>
        <w:jc w:val="center"/>
        <w:rPr>
          <w:rFonts w:hint="eastAsia" w:ascii="方正小标宋_GBK" w:hAnsi="方正小标宋_GBK" w:eastAsia="方正小标宋_GBK" w:cs="方正小标宋_GBK"/>
          <w:color w:val="auto"/>
          <w:sz w:val="44"/>
          <w:szCs w:val="44"/>
          <w:highlight w:val="none"/>
          <w:lang w:eastAsia="zh-CN"/>
        </w:rPr>
      </w:pPr>
      <w:r>
        <w:rPr>
          <w:rFonts w:hint="eastAsia" w:ascii="方正小标宋_GBK" w:hAnsi="方正小标宋_GBK" w:eastAsia="方正小标宋_GBK" w:cs="方正小标宋_GBK"/>
          <w:color w:val="auto"/>
          <w:sz w:val="44"/>
          <w:szCs w:val="44"/>
          <w:highlight w:val="none"/>
        </w:rPr>
        <w:t>202</w:t>
      </w:r>
      <w:r>
        <w:rPr>
          <w:rFonts w:hint="eastAsia" w:ascii="方正小标宋_GBK" w:hAnsi="方正小标宋_GBK" w:eastAsia="方正小标宋_GBK" w:cs="方正小标宋_GBK"/>
          <w:color w:val="auto"/>
          <w:sz w:val="44"/>
          <w:szCs w:val="44"/>
          <w:highlight w:val="none"/>
          <w:lang w:val="en-US" w:eastAsia="zh-CN"/>
        </w:rPr>
        <w:t>6</w:t>
      </w:r>
      <w:r>
        <w:rPr>
          <w:rFonts w:hint="eastAsia" w:ascii="方正小标宋_GBK" w:hAnsi="方正小标宋_GBK" w:eastAsia="方正小标宋_GBK" w:cs="方正小标宋_GBK"/>
          <w:color w:val="auto"/>
          <w:sz w:val="44"/>
          <w:szCs w:val="44"/>
          <w:highlight w:val="none"/>
        </w:rPr>
        <w:t>年</w:t>
      </w:r>
      <w:r>
        <w:rPr>
          <w:rFonts w:hint="eastAsia" w:ascii="方正小标宋_GBK" w:hAnsi="方正小标宋_GBK" w:eastAsia="方正小标宋_GBK" w:cs="方正小标宋_GBK"/>
          <w:color w:val="auto"/>
          <w:sz w:val="44"/>
          <w:szCs w:val="44"/>
          <w:highlight w:val="none"/>
          <w:lang w:eastAsia="zh-CN"/>
        </w:rPr>
        <w:t>乌鲁木齐市市场监督管理局</w:t>
      </w:r>
    </w:p>
    <w:p w14:paraId="5D99B60F">
      <w:pPr>
        <w:spacing w:line="640" w:lineRule="exact"/>
        <w:jc w:val="center"/>
        <w:rPr>
          <w:rFonts w:hint="eastAsia" w:ascii="方正小标宋_GBK" w:hAnsi="方正小标宋_GBK" w:eastAsia="方正小标宋_GBK" w:cs="方正小标宋_GBK"/>
          <w:color w:val="auto"/>
          <w:sz w:val="44"/>
          <w:szCs w:val="44"/>
          <w:highlight w:val="none"/>
          <w:lang w:eastAsia="zh-CN"/>
        </w:rPr>
      </w:pPr>
      <w:r>
        <w:rPr>
          <w:rFonts w:hint="eastAsia" w:ascii="方正小标宋_GBK" w:hAnsi="方正小标宋_GBK" w:eastAsia="方正小标宋_GBK" w:cs="方正小标宋_GBK"/>
          <w:color w:val="auto"/>
          <w:sz w:val="44"/>
          <w:szCs w:val="44"/>
          <w:highlight w:val="none"/>
          <w:lang w:eastAsia="zh-CN"/>
        </w:rPr>
        <w:t>（乌鲁木齐市知识产权局）</w:t>
      </w:r>
    </w:p>
    <w:p w14:paraId="51F31CF9">
      <w:pPr>
        <w:spacing w:line="640" w:lineRule="exact"/>
        <w:jc w:val="center"/>
        <w:rPr>
          <w:rFonts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委托抽样检验项目</w:t>
      </w:r>
    </w:p>
    <w:p w14:paraId="4D26632A">
      <w:pPr>
        <w:jc w:val="center"/>
        <w:rPr>
          <w:rFonts w:ascii="方正小标宋_GBK" w:hAnsi="方正小标宋_GBK" w:eastAsia="方正小标宋_GBK" w:cs="方正小标宋_GBK"/>
          <w:color w:val="auto"/>
          <w:sz w:val="44"/>
          <w:szCs w:val="44"/>
          <w:highlight w:val="none"/>
        </w:rPr>
      </w:pPr>
    </w:p>
    <w:p w14:paraId="2070C5A5">
      <w:pPr>
        <w:jc w:val="center"/>
        <w:rPr>
          <w:rFonts w:ascii="方正小标宋_GBK" w:hAnsi="方正小标宋_GBK" w:eastAsia="方正小标宋_GBK" w:cs="方正小标宋_GBK"/>
          <w:b/>
          <w:color w:val="auto"/>
          <w:sz w:val="44"/>
          <w:szCs w:val="44"/>
          <w:highlight w:val="none"/>
        </w:rPr>
      </w:pPr>
    </w:p>
    <w:p w14:paraId="3BA3F384">
      <w:pPr>
        <w:jc w:val="center"/>
        <w:rPr>
          <w:rFonts w:ascii="方正小标宋_GBK" w:hAnsi="方正小标宋_GBK" w:eastAsia="方正小标宋_GBK" w:cs="方正小标宋_GBK"/>
          <w:b/>
          <w:color w:val="auto"/>
          <w:sz w:val="44"/>
          <w:szCs w:val="44"/>
          <w:highlight w:val="none"/>
        </w:rPr>
      </w:pPr>
    </w:p>
    <w:p w14:paraId="6982F56C">
      <w:pPr>
        <w:jc w:val="center"/>
        <w:rPr>
          <w:rFonts w:ascii="方正小标宋_GBK" w:hAnsi="方正小标宋_GBK" w:eastAsia="方正小标宋_GBK" w:cs="方正小标宋_GBK"/>
          <w:b/>
          <w:color w:val="auto"/>
          <w:sz w:val="44"/>
          <w:szCs w:val="44"/>
          <w:highlight w:val="none"/>
        </w:rPr>
      </w:pPr>
    </w:p>
    <w:p w14:paraId="087A0BED">
      <w:pPr>
        <w:jc w:val="center"/>
        <w:rPr>
          <w:rFonts w:ascii="方正小标宋_GBK" w:hAnsi="方正小标宋_GBK" w:eastAsia="方正小标宋_GBK" w:cs="方正小标宋_GBK"/>
          <w:bCs/>
          <w:color w:val="auto"/>
          <w:sz w:val="44"/>
          <w:szCs w:val="44"/>
          <w:highlight w:val="none"/>
        </w:rPr>
      </w:pPr>
      <w:r>
        <w:rPr>
          <w:rFonts w:hint="eastAsia" w:ascii="方正小标宋_GBK" w:hAnsi="方正小标宋_GBK" w:eastAsia="方正小标宋_GBK" w:cs="方正小标宋_GBK"/>
          <w:bCs/>
          <w:color w:val="auto"/>
          <w:sz w:val="44"/>
          <w:szCs w:val="44"/>
          <w:highlight w:val="none"/>
        </w:rPr>
        <w:t>合  同  书</w:t>
      </w:r>
    </w:p>
    <w:p w14:paraId="72271769">
      <w:pPr>
        <w:rPr>
          <w:rFonts w:ascii="宋体" w:hAnsi="宋体" w:eastAsia="宋体" w:cs="宋体"/>
          <w:color w:val="auto"/>
          <w:sz w:val="32"/>
          <w:szCs w:val="32"/>
          <w:highlight w:val="none"/>
        </w:rPr>
      </w:pPr>
    </w:p>
    <w:p w14:paraId="69F36DD2">
      <w:pPr>
        <w:rPr>
          <w:rFonts w:ascii="宋体" w:hAnsi="宋体" w:eastAsia="宋体" w:cs="宋体"/>
          <w:color w:val="auto"/>
          <w:sz w:val="32"/>
          <w:szCs w:val="32"/>
          <w:highlight w:val="none"/>
        </w:rPr>
      </w:pPr>
    </w:p>
    <w:p w14:paraId="1AB3555F">
      <w:pPr>
        <w:rPr>
          <w:rFonts w:ascii="宋体" w:hAnsi="宋体" w:eastAsia="宋体" w:cs="宋体"/>
          <w:color w:val="auto"/>
          <w:sz w:val="32"/>
          <w:szCs w:val="32"/>
          <w:highlight w:val="none"/>
        </w:rPr>
      </w:pPr>
    </w:p>
    <w:p w14:paraId="4D4AC1B0">
      <w:pPr>
        <w:ind w:left="1600" w:hanging="1600" w:hangingChars="500"/>
        <w:rPr>
          <w:rFonts w:ascii="方正楷体_GBK" w:hAnsi="方正楷体_GBK" w:eastAsia="方正楷体_GBK" w:cs="方正楷体_GBK"/>
          <w:color w:val="auto"/>
          <w:sz w:val="32"/>
          <w:szCs w:val="32"/>
          <w:highlight w:val="none"/>
        </w:rPr>
      </w:pPr>
    </w:p>
    <w:p w14:paraId="0970BB5B">
      <w:pPr>
        <w:rPr>
          <w:rFonts w:ascii="方正仿宋_GBK" w:hAnsi="方正仿宋_GBK" w:eastAsia="方正仿宋_GBK" w:cs="方正仿宋_GBK"/>
          <w:color w:val="auto"/>
          <w:sz w:val="32"/>
          <w:szCs w:val="32"/>
          <w:highlight w:val="none"/>
          <w:u w:val="single"/>
        </w:rPr>
      </w:pPr>
      <w:r>
        <w:rPr>
          <w:rFonts w:hint="eastAsia" w:ascii="方正仿宋_GBK" w:hAnsi="方正仿宋_GBK" w:eastAsia="方正仿宋_GBK" w:cs="方正仿宋_GBK"/>
          <w:color w:val="auto"/>
          <w:sz w:val="32"/>
          <w:szCs w:val="32"/>
          <w:highlight w:val="none"/>
        </w:rPr>
        <w:t xml:space="preserve">项目名称：  </w:t>
      </w:r>
      <w:r>
        <w:rPr>
          <w:rFonts w:hint="eastAsia" w:ascii="方正仿宋_GBK" w:hAnsi="方正仿宋_GBK" w:eastAsia="方正仿宋_GBK" w:cs="方正仿宋_GBK"/>
          <w:color w:val="auto"/>
          <w:sz w:val="32"/>
          <w:szCs w:val="32"/>
          <w:highlight w:val="none"/>
          <w:u w:val="single"/>
        </w:rPr>
        <w:t xml:space="preserve">                             </w:t>
      </w:r>
    </w:p>
    <w:p w14:paraId="224353CE">
      <w:pPr>
        <w:rPr>
          <w:rFonts w:ascii="方正仿宋_GBK" w:hAnsi="方正仿宋_GBK" w:eastAsia="方正仿宋_GBK" w:cs="方正仿宋_GBK"/>
          <w:color w:val="auto"/>
          <w:sz w:val="32"/>
          <w:szCs w:val="32"/>
          <w:highlight w:val="none"/>
          <w:u w:val="single"/>
        </w:rPr>
      </w:pPr>
      <w:r>
        <w:rPr>
          <w:rFonts w:hint="eastAsia" w:ascii="方正仿宋_GBK" w:hAnsi="方正仿宋_GBK" w:eastAsia="方正仿宋_GBK" w:cs="方正仿宋_GBK"/>
          <w:color w:val="auto"/>
          <w:sz w:val="32"/>
          <w:szCs w:val="32"/>
          <w:highlight w:val="none"/>
        </w:rPr>
        <w:t>项目受托方：</w:t>
      </w:r>
      <w:r>
        <w:rPr>
          <w:rFonts w:hint="eastAsia" w:ascii="方正仿宋_GBK" w:hAnsi="方正仿宋_GBK" w:eastAsia="方正仿宋_GBK" w:cs="方正仿宋_GBK"/>
          <w:color w:val="auto"/>
          <w:sz w:val="32"/>
          <w:szCs w:val="32"/>
          <w:highlight w:val="none"/>
          <w:u w:val="single"/>
        </w:rPr>
        <w:t xml:space="preserve">                           </w:t>
      </w:r>
    </w:p>
    <w:p w14:paraId="0398621C">
      <w:pPr>
        <w:rPr>
          <w:rFonts w:ascii="方正仿宋_GBK" w:hAnsi="方正仿宋_GBK" w:eastAsia="方正仿宋_GBK" w:cs="方正仿宋_GBK"/>
          <w:color w:val="auto"/>
          <w:sz w:val="32"/>
          <w:szCs w:val="32"/>
          <w:highlight w:val="none"/>
        </w:rPr>
      </w:pPr>
      <w:r>
        <w:rPr>
          <w:rFonts w:hint="eastAsia" w:ascii="方正仿宋_GBK" w:hAnsi="方正仿宋_GBK" w:eastAsia="方正仿宋_GBK" w:cs="方正仿宋_GBK"/>
          <w:color w:val="auto"/>
          <w:sz w:val="32"/>
          <w:szCs w:val="32"/>
          <w:highlight w:val="none"/>
        </w:rPr>
        <w:t>项目负责人：</w:t>
      </w:r>
      <w:r>
        <w:rPr>
          <w:rFonts w:hint="eastAsia" w:ascii="方正仿宋_GBK" w:hAnsi="方正仿宋_GBK" w:eastAsia="方正仿宋_GBK" w:cs="方正仿宋_GBK"/>
          <w:color w:val="auto"/>
          <w:sz w:val="32"/>
          <w:szCs w:val="32"/>
          <w:highlight w:val="none"/>
          <w:u w:val="single"/>
        </w:rPr>
        <w:t xml:space="preserve">                              </w:t>
      </w:r>
    </w:p>
    <w:p w14:paraId="65A9F32E">
      <w:pPr>
        <w:tabs>
          <w:tab w:val="right" w:leader="dot" w:pos="9628"/>
        </w:tabs>
        <w:spacing w:line="440" w:lineRule="exact"/>
        <w:jc w:val="center"/>
        <w:rPr>
          <w:rFonts w:hint="eastAsia" w:ascii="宋体" w:hAnsi="宋体" w:eastAsia="宋体" w:cs="宋体"/>
          <w:b/>
          <w:color w:val="auto"/>
          <w:sz w:val="21"/>
          <w:szCs w:val="21"/>
          <w:highlight w:val="none"/>
        </w:rPr>
      </w:pPr>
    </w:p>
    <w:p w14:paraId="7EDAC5EF">
      <w:pPr>
        <w:widowControl/>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14:paraId="0BB98B25">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 同 说 明</w:t>
      </w:r>
    </w:p>
    <w:p w14:paraId="0DC147C3">
      <w:pPr>
        <w:spacing w:line="400" w:lineRule="exact"/>
        <w:ind w:firstLine="425"/>
        <w:jc w:val="center"/>
        <w:rPr>
          <w:rFonts w:hint="eastAsia" w:ascii="宋体" w:hAnsi="宋体" w:eastAsia="宋体" w:cs="宋体"/>
          <w:color w:val="auto"/>
          <w:sz w:val="24"/>
          <w:szCs w:val="24"/>
          <w:highlight w:val="none"/>
        </w:rPr>
      </w:pPr>
    </w:p>
    <w:p w14:paraId="31F004F1">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1．本合同书是根据《中华人民共和国民法典》和</w:t>
      </w:r>
      <w:r>
        <w:rPr>
          <w:rFonts w:hint="eastAsia" w:ascii="宋体" w:hAnsi="宋体" w:eastAsia="宋体" w:cs="宋体"/>
          <w:color w:val="auto"/>
          <w:sz w:val="24"/>
          <w:szCs w:val="24"/>
          <w:highlight w:val="none"/>
          <w:lang w:eastAsia="zh-CN"/>
        </w:rPr>
        <w:t>乌鲁木齐市市场监督管理局（乌鲁木齐市知识产权局）</w:t>
      </w:r>
      <w:r>
        <w:rPr>
          <w:rFonts w:hint="eastAsia" w:ascii="宋体" w:hAnsi="宋体" w:eastAsia="宋体" w:cs="宋体"/>
          <w:color w:val="auto"/>
          <w:sz w:val="24"/>
          <w:szCs w:val="24"/>
          <w:highlight w:val="none"/>
        </w:rPr>
        <w:t>的有关规定制定，旨在加强对项目的管理，保证项目的顺利进行。</w:t>
      </w:r>
    </w:p>
    <w:p w14:paraId="10BA5168">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2．本合同书由项目委托方</w:t>
      </w:r>
      <w:r>
        <w:rPr>
          <w:rFonts w:hint="eastAsia" w:ascii="宋体" w:hAnsi="宋体" w:eastAsia="宋体" w:cs="宋体"/>
          <w:color w:val="auto"/>
          <w:sz w:val="24"/>
          <w:szCs w:val="24"/>
          <w:highlight w:val="none"/>
          <w:lang w:eastAsia="zh-CN"/>
        </w:rPr>
        <w:t>乌鲁木齐市市场监督管理局（乌鲁木齐市知识产权局）</w:t>
      </w:r>
      <w:r>
        <w:rPr>
          <w:rFonts w:hint="eastAsia" w:ascii="宋体" w:hAnsi="宋体" w:eastAsia="宋体" w:cs="宋体"/>
          <w:color w:val="auto"/>
          <w:sz w:val="24"/>
          <w:szCs w:val="24"/>
          <w:highlight w:val="none"/>
        </w:rPr>
        <w:t xml:space="preserve">（简称甲方）和项目受托方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（简称乙方）共同签订。</w:t>
      </w:r>
    </w:p>
    <w:p w14:paraId="6AA5D183">
      <w:pPr>
        <w:numPr>
          <w:ilvl w:val="255"/>
          <w:numId w:val="0"/>
        </w:num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3．本合同文本不得涂改。合同内容如需修改，应经甲、乙双方协商签订补充合同。补充协议与本合同具有同等的法律效力。补充协议中的条款若与本合同中的相应条款发生冲突，则以补充协议中的该条款为准。</w:t>
      </w:r>
    </w:p>
    <w:p w14:paraId="2B5D08AB">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4．当事人使用本合同书时约定无需填写的条款，应在该条款处注明“无”等字样。</w:t>
      </w:r>
    </w:p>
    <w:p w14:paraId="08E7DB0B">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5．本合同书一式</w:t>
      </w:r>
      <w:r>
        <w:rPr>
          <w:rFonts w:hint="eastAsia" w:ascii="宋体" w:hAnsi="宋体" w:eastAsia="宋体" w:cs="宋体"/>
          <w:color w:val="auto"/>
          <w:sz w:val="24"/>
          <w:szCs w:val="24"/>
          <w:highlight w:val="none"/>
          <w:u w:val="single"/>
        </w:rPr>
        <w:t>陆</w:t>
      </w:r>
      <w:r>
        <w:rPr>
          <w:rFonts w:hint="eastAsia" w:ascii="宋体" w:hAnsi="宋体" w:eastAsia="宋体" w:cs="宋体"/>
          <w:color w:val="auto"/>
          <w:sz w:val="24"/>
          <w:szCs w:val="24"/>
          <w:highlight w:val="none"/>
        </w:rPr>
        <w:t>份，甲方</w:t>
      </w:r>
      <w:r>
        <w:rPr>
          <w:rFonts w:hint="eastAsia" w:ascii="宋体" w:hAnsi="宋体" w:eastAsia="宋体" w:cs="宋体"/>
          <w:color w:val="auto"/>
          <w:sz w:val="24"/>
          <w:szCs w:val="24"/>
          <w:highlight w:val="none"/>
          <w:u w:val="single"/>
        </w:rPr>
        <w:t>叁</w:t>
      </w:r>
      <w:r>
        <w:rPr>
          <w:rFonts w:hint="eastAsia" w:ascii="宋体" w:hAnsi="宋体" w:eastAsia="宋体" w:cs="宋体"/>
          <w:color w:val="auto"/>
          <w:sz w:val="24"/>
          <w:szCs w:val="24"/>
          <w:highlight w:val="none"/>
        </w:rPr>
        <w:t>份，乙方</w:t>
      </w:r>
      <w:r>
        <w:rPr>
          <w:rFonts w:hint="eastAsia" w:ascii="宋体" w:hAnsi="宋体" w:eastAsia="宋体" w:cs="宋体"/>
          <w:color w:val="auto"/>
          <w:sz w:val="24"/>
          <w:szCs w:val="24"/>
          <w:highlight w:val="none"/>
          <w:u w:val="single"/>
        </w:rPr>
        <w:t>叁</w:t>
      </w:r>
      <w:r>
        <w:rPr>
          <w:rFonts w:hint="eastAsia" w:ascii="宋体" w:hAnsi="宋体" w:eastAsia="宋体" w:cs="宋体"/>
          <w:color w:val="auto"/>
          <w:sz w:val="24"/>
          <w:szCs w:val="24"/>
          <w:highlight w:val="none"/>
        </w:rPr>
        <w:t>份，各份合同文本具有同等法律效力。</w:t>
      </w:r>
    </w:p>
    <w:p w14:paraId="354BF37B">
      <w:pPr>
        <w:spacing w:line="520" w:lineRule="exact"/>
        <w:jc w:val="left"/>
        <w:rPr>
          <w:rFonts w:hint="eastAsia" w:ascii="宋体" w:hAnsi="宋体" w:eastAsia="宋体" w:cs="宋体"/>
          <w:color w:val="auto"/>
          <w:sz w:val="24"/>
          <w:szCs w:val="24"/>
          <w:highlight w:val="none"/>
        </w:rPr>
      </w:pPr>
    </w:p>
    <w:p w14:paraId="0A468A0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652B2305">
      <w:pPr>
        <w:spacing w:line="52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项目委托方(甲方)： </w:t>
      </w:r>
      <w:r>
        <w:rPr>
          <w:rFonts w:hint="eastAsia" w:ascii="宋体" w:hAnsi="宋体" w:eastAsia="宋体" w:cs="宋体"/>
          <w:color w:val="auto"/>
          <w:sz w:val="24"/>
          <w:szCs w:val="24"/>
          <w:highlight w:val="none"/>
          <w:lang w:eastAsia="zh-CN"/>
        </w:rPr>
        <w:t>乌鲁木齐市市场监督管理局（乌鲁木齐市知识产权局）</w:t>
      </w:r>
    </w:p>
    <w:p w14:paraId="6A1611E0">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乌鲁木齐市天山区中山路33号              </w:t>
      </w:r>
    </w:p>
    <w:p w14:paraId="69F4E29C">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邮编：   830000                          </w:t>
      </w:r>
    </w:p>
    <w:p w14:paraId="570EDA04">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甲方负责人：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联系电话： </w:t>
      </w:r>
    </w:p>
    <w:p w14:paraId="5C98C752">
      <w:pPr>
        <w:spacing w:line="520" w:lineRule="exact"/>
        <w:jc w:val="left"/>
        <w:rPr>
          <w:rFonts w:hint="eastAsia" w:ascii="宋体" w:hAnsi="宋体" w:eastAsia="宋体" w:cs="宋体"/>
          <w:color w:val="auto"/>
          <w:sz w:val="24"/>
          <w:szCs w:val="24"/>
          <w:highlight w:val="none"/>
        </w:rPr>
      </w:pPr>
    </w:p>
    <w:p w14:paraId="5130823B">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项目受托方（乙方）：                                        </w:t>
      </w:r>
    </w:p>
    <w:p w14:paraId="7CC03A81">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单位名称：                                            </w:t>
      </w:r>
    </w:p>
    <w:p w14:paraId="405A415B">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w:t>
      </w:r>
    </w:p>
    <w:p w14:paraId="4867467E">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邮编：            </w:t>
      </w:r>
    </w:p>
    <w:p w14:paraId="165BC377">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单位开户名：                                            </w:t>
      </w:r>
    </w:p>
    <w:p w14:paraId="1F272D8F">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开户银行（全称）：                                        </w:t>
      </w:r>
    </w:p>
    <w:p w14:paraId="14559C08">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银行账号：                                             </w:t>
      </w:r>
    </w:p>
    <w:p w14:paraId="674D1938">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乙方负责人姓名：                         </w:t>
      </w:r>
    </w:p>
    <w:p w14:paraId="1B753D95">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身份证号：                                            </w:t>
      </w:r>
    </w:p>
    <w:p w14:paraId="0C2CA1B7">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工作单位：                                              </w:t>
      </w:r>
    </w:p>
    <w:p w14:paraId="2F6A681C">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职    务：         </w:t>
      </w:r>
    </w:p>
    <w:p w14:paraId="24841EC7">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职    称：           </w:t>
      </w:r>
    </w:p>
    <w:p w14:paraId="268D524F">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固定电话：   </w:t>
      </w:r>
    </w:p>
    <w:p w14:paraId="147B7D40">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移动电话：</w:t>
      </w:r>
    </w:p>
    <w:p w14:paraId="0074F371">
      <w:pPr>
        <w:spacing w:line="52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527CA087">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54BAB371">
      <w:pPr>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根据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）的采购结果，按照《中华人民共和国政府采购法》、《中华人民共和国民法典》等相关法律法规的规定，经双方协商，本着平等互利和诚实信用的原则，一致同意签订合同如下：</w:t>
      </w:r>
    </w:p>
    <w:p w14:paraId="39506834">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一、乙方承担的任务及工作要求</w:t>
      </w:r>
    </w:p>
    <w:p w14:paraId="316257D6">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（一）工作任务</w:t>
      </w:r>
    </w:p>
    <w:p w14:paraId="386270FA">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eastAsia="zh-CN"/>
        </w:rPr>
        <w:t>乌鲁木齐市市场监督管理局（乌鲁木齐市知识产权局）</w:t>
      </w:r>
      <w:r>
        <w:rPr>
          <w:rFonts w:hint="eastAsia" w:ascii="宋体" w:hAnsi="宋体" w:eastAsia="宋体" w:cs="宋体"/>
          <w:color w:val="auto"/>
          <w:sz w:val="24"/>
          <w:szCs w:val="24"/>
          <w:highlight w:val="none"/>
        </w:rPr>
        <w:t>食品安全抽检监测计划任务的要求，乙方负责</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任务</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批次食品的抽样检验工作。本次监督抽检坚持科学合理的原则，抽检的样品主要在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环节购买。具体工作内容及要求如下：</w:t>
      </w:r>
    </w:p>
    <w:p w14:paraId="5C42E97B">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年食品安全抽检对象、品种、项目。</w:t>
      </w:r>
    </w:p>
    <w:p w14:paraId="1DA50A5A">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2.抽样任务、地域、时间安排（具体实施方案由乙方提供）。</w:t>
      </w:r>
    </w:p>
    <w:p w14:paraId="34A30C97">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3.负责从</w:t>
      </w:r>
      <w:r>
        <w:rPr>
          <w:rFonts w:hint="eastAsia" w:ascii="宋体" w:hAnsi="宋体" w:eastAsia="宋体" w:cs="宋体"/>
          <w:color w:val="auto"/>
          <w:sz w:val="24"/>
          <w:szCs w:val="24"/>
          <w:highlight w:val="none"/>
          <w:u w:val="single"/>
        </w:rPr>
        <w:t xml:space="preserve">      场所</w:t>
      </w:r>
      <w:r>
        <w:rPr>
          <w:rFonts w:hint="eastAsia" w:ascii="宋体" w:hAnsi="宋体" w:eastAsia="宋体" w:cs="宋体"/>
          <w:color w:val="auto"/>
          <w:sz w:val="24"/>
          <w:szCs w:val="24"/>
          <w:highlight w:val="none"/>
        </w:rPr>
        <w:t>抽取样品并按要求进行确认。</w:t>
      </w:r>
    </w:p>
    <w:p w14:paraId="15971F3E">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4.负责对所有抽取的样品按规定开展检验，并按要求将检验任务的完成情况及相关资料报甲方。</w:t>
      </w:r>
    </w:p>
    <w:p w14:paraId="3CC9D3D6">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5.负责对有掺杂、掺假嫌疑的产品应依据国家市场监督管理总局批准发布的补充检验方法和检验项目进行检验，并及时出具检验报告，也可向甲方报批补充检验方法和检验项目。</w:t>
      </w:r>
    </w:p>
    <w:p w14:paraId="3BE67684">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负责有针对性地开展对抽验品种的探索性研究和质量分析工作，注重收集、分析、研判各种食品风险信息，根据探索性研究检验的需要，对所有不同生产企业抽取的有代表性的样品进行检验，并形成报告报送甲方。</w:t>
      </w:r>
    </w:p>
    <w:p w14:paraId="618CC15A">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7.负责及时按规定将检验任务的完成情况及相关资料报甲方。</w:t>
      </w:r>
    </w:p>
    <w:p w14:paraId="53560D7B">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8.按甲方通知要求按时出席与食品安全抽检监测工作开展相关的各类会议，积极参与食品安全风险预警交流（含食品安全消费提示的撰写）工作 。</w:t>
      </w:r>
    </w:p>
    <w:p w14:paraId="240B295B">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9.应按甲方通知要求安排人员参与乌鲁木齐市食品安全抽检监测工作秘书处的工作，加强数据审核</w:t>
      </w:r>
      <w:r>
        <w:rPr>
          <w:rFonts w:hint="eastAsia" w:ascii="宋体" w:hAnsi="宋体" w:eastAsia="宋体" w:cs="宋体"/>
          <w:color w:val="auto"/>
          <w:sz w:val="24"/>
          <w:szCs w:val="24"/>
          <w:highlight w:val="none"/>
          <w:lang w:eastAsia="zh-CN"/>
        </w:rPr>
        <w:t>、抽检公示、消费提示等工作</w:t>
      </w:r>
      <w:r>
        <w:rPr>
          <w:rFonts w:hint="eastAsia" w:ascii="宋体" w:hAnsi="宋体" w:eastAsia="宋体" w:cs="宋体"/>
          <w:color w:val="auto"/>
          <w:sz w:val="24"/>
          <w:szCs w:val="24"/>
          <w:highlight w:val="none"/>
        </w:rPr>
        <w:t>，提高抽检工作质量。</w:t>
      </w:r>
    </w:p>
    <w:p w14:paraId="424491A1">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（其他任务）。</w:t>
      </w:r>
    </w:p>
    <w:p w14:paraId="70C0739D">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（二）工作要求</w:t>
      </w:r>
    </w:p>
    <w:p w14:paraId="22970DDC">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1.乙方应按照《食品安全法》及其实施条例、《食品安全抽样检验管理办法》《食用农产品抽样检验和核查处置规定》《食品安全监督抽检实施细则（202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版）》《自治区食品安全监督抽检实施细则（202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版）》开展抽检工作。工作前应制定科学详尽的抽检方案报甲方，由其审定后方可开展工作，甲方并以此作为考核依据进行承检机构考核。</w:t>
      </w:r>
    </w:p>
    <w:p w14:paraId="4265B686">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抽样检验工作开展前，乙方应对具体承担抽样检验任务的工作人员开展食品安全抽样检验相关法律法规和技术等业务培训，合同期内培训时长不少于40学时，培训、考核工作应做好记录；培训合格后方可从事抽样工作。抽样前须及时填写上报《食品安全抽检监测抽样人员名单上报表》、《食品安全抽检监测承检机构上报表》、《国家食品安全抽样检验信息系统用户申请表》。</w:t>
      </w:r>
    </w:p>
    <w:p w14:paraId="00C1E8A2">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抽样时应出示《食品安全抽样检验告知书》，配备并使用执法记录仪等设备，全程记录抽样过程，使用抽样终端填写、打印《食品安全抽样检验抽样单》，填写《食品安全抽样检验样品购置费用告知书》《食品安全抽样检验工作质量及纪律反馈单》，并按要求封样、储运。对拒绝抽样的应填写《食品安全抽样检验拒绝抽样认定书》并告知当地市场监管部门和甲方。</w:t>
      </w:r>
    </w:p>
    <w:p w14:paraId="5E38E55B">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为保证样品的代表性、分散性和广泛性，在同一被抽样单位，生产环节的食品一个季度内不得抽取超过3批次，经营环节的食品一个月内不得抽取超过5批次（不同食品品种），一个季度不超过10批次，避免在同一经营单位集中抽样。抽样地点应覆盖全市所有区、县、乡镇。重点抽检</w:t>
      </w:r>
      <w:r>
        <w:rPr>
          <w:rFonts w:hint="eastAsia" w:ascii="宋体" w:hAnsi="宋体" w:eastAsia="宋体" w:cs="宋体"/>
          <w:color w:val="auto"/>
          <w:sz w:val="24"/>
          <w:szCs w:val="24"/>
          <w:highlight w:val="none"/>
          <w:u w:val="thick"/>
        </w:rPr>
        <w:t xml:space="preserve">     </w:t>
      </w:r>
      <w:r>
        <w:rPr>
          <w:rFonts w:hint="eastAsia" w:ascii="宋体" w:hAnsi="宋体" w:eastAsia="宋体" w:cs="宋体"/>
          <w:color w:val="auto"/>
          <w:sz w:val="24"/>
          <w:szCs w:val="24"/>
          <w:highlight w:val="none"/>
        </w:rPr>
        <w:t>等。重点跟踪抽检不合格企业、品种和项目。</w:t>
      </w:r>
    </w:p>
    <w:p w14:paraId="12680BA3">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5.必须严格按照约定任务的要求完成抽检任务，如抽样难以完成任务量，应书面报请甲方调整。未经甲方允许，不得分包或转包食品安全抽样检验任务。</w:t>
      </w:r>
    </w:p>
    <w:p w14:paraId="51254031">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6.承检机构执行抽检工作过程中，抽样编号组成格式为：</w:t>
      </w:r>
    </w:p>
    <w:p w14:paraId="7F858FE4">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任务类型（市抽DBJ）+年份（两位：2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）+新疆行政区划代码（六位，监督抽检为650000）+承检机构编号（四位数）+流水号（五位数）。</w:t>
      </w:r>
    </w:p>
    <w:p w14:paraId="74ABD575">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7.对所有抽取的样品按照《食品安全监督抽检实施细则（202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年版）》《</w:t>
      </w:r>
      <w:r>
        <w:rPr>
          <w:rFonts w:hint="eastAsia" w:ascii="宋体" w:hAnsi="宋体" w:eastAsia="宋体" w:cs="宋体"/>
          <w:color w:val="auto"/>
          <w:sz w:val="24"/>
          <w:szCs w:val="24"/>
          <w:highlight w:val="none"/>
          <w:lang w:eastAsia="zh-CN"/>
        </w:rPr>
        <w:t>乌鲁木齐市市场监督管理局（乌鲁木齐市知识产权局）</w:t>
      </w: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年度食品安全监督抽检计划）》、国家市场监督管理总局批准发布的补充检验方法和检验项目等规定开展检验。要强化对样品采集、实验室检测、数据报送等关键环节的质量控制，建立保障数据准确性、规范性和安全性的责任制，确保抽检工作质量。应按照“三个一律”的要求管理（凡不合格样品一律确保检验结果准确可靠；复检结论与初检结论不一致的，一律分析原因，绝不模糊处理；存在违法违规行为的，甲方具有单方解除权，追究乙方违约责任并进行依法处理）。</w:t>
      </w:r>
    </w:p>
    <w:p w14:paraId="3471BD05">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严格遵守保密工作纪律，履行保密主体责任。本项目涉及的所有抽检监测数据、原始记录、检验报告、分析报告等，应作为内部资料妥善保管。未经甲方书面批准，乙方不得擅自泄露、使用和对外发布有关抽检监测的信息及结果，不得在开展抽样工作前事先通知被抽检单位，不得接受被抽检单位的馈赠，不得利用抽检结果开展有偿活动、牟取不正当利益。对发现的抽检违法违规行为一律依法依规追究相关单位及人员责任。</w:t>
      </w:r>
    </w:p>
    <w:p w14:paraId="28504FA6">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9.抽样任务于</w:t>
      </w:r>
      <w:r>
        <w:rPr>
          <w:rFonts w:hint="eastAsia" w:ascii="宋体" w:hAnsi="宋体" w:eastAsia="宋体" w:cs="宋体"/>
          <w:color w:val="auto"/>
          <w:sz w:val="24"/>
          <w:szCs w:val="24"/>
          <w:highlight w:val="none"/>
          <w:u w:val="thick"/>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thick"/>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thick"/>
        </w:rPr>
        <w:t xml:space="preserve">    </w:t>
      </w:r>
      <w:r>
        <w:rPr>
          <w:rFonts w:hint="eastAsia" w:ascii="宋体" w:hAnsi="宋体" w:eastAsia="宋体" w:cs="宋体"/>
          <w:color w:val="auto"/>
          <w:sz w:val="24"/>
          <w:szCs w:val="24"/>
          <w:highlight w:val="none"/>
        </w:rPr>
        <w:t>日前完成，并将所有抽检数据实时上传至“国家食品安全抽样检验信息系统”</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"http://gc.nifdc.org.cn/login）报送抽样信息（抽样完成后5"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（网址：http://spcj.gsxt.gov.cn/login）。乙方应在抽样完成后5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个工作日内报送抽样信息，收到样品之日起20个工作日内出具检验报告。自执行任务开始起，检出不合格样品应当日上报甲方，经审批后提交系统。</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月30日前将所有检验数据上报甲方。自</w:t>
      </w:r>
      <w:r>
        <w:rPr>
          <w:rFonts w:hint="eastAsia" w:ascii="宋体" w:hAnsi="宋体" w:eastAsia="宋体" w:cs="宋体"/>
          <w:color w:val="auto"/>
          <w:sz w:val="24"/>
          <w:szCs w:val="24"/>
          <w:highlight w:val="none"/>
          <w:u w:val="thick"/>
        </w:rPr>
        <w:t xml:space="preserve">   </w:t>
      </w:r>
      <w:r>
        <w:rPr>
          <w:rFonts w:hint="eastAsia" w:ascii="宋体" w:hAnsi="宋体" w:eastAsia="宋体" w:cs="宋体"/>
          <w:color w:val="auto"/>
          <w:sz w:val="24"/>
          <w:szCs w:val="24"/>
          <w:highlight w:val="none"/>
        </w:rPr>
        <w:t>月起，每月</w:t>
      </w:r>
      <w:r>
        <w:rPr>
          <w:rFonts w:hint="eastAsia" w:ascii="宋体" w:hAnsi="宋体" w:eastAsia="宋体" w:cs="宋体"/>
          <w:color w:val="auto"/>
          <w:sz w:val="24"/>
          <w:szCs w:val="24"/>
          <w:highlight w:val="none"/>
          <w:lang w:val="en-US" w:eastAsia="zh-CN"/>
        </w:rPr>
        <w:t>20日</w:t>
      </w:r>
      <w:r>
        <w:rPr>
          <w:rFonts w:hint="eastAsia" w:ascii="宋体" w:hAnsi="宋体" w:eastAsia="宋体" w:cs="宋体"/>
          <w:color w:val="auto"/>
          <w:sz w:val="24"/>
          <w:szCs w:val="24"/>
          <w:highlight w:val="none"/>
        </w:rPr>
        <w:t>前各报送一次拟公示抽检结果信息（拟公示信息报送模版另行发布）。按照《新疆维吾尔自治区市场监督管理局监督抽检数据分析报告撰写提纲》的要求，完成所检品种的数据半年、全年分析报告并报甲方。数据报送人员应经过统一培训，确保数据报送的准确性、规范性和安全性。</w:t>
      </w:r>
    </w:p>
    <w:p w14:paraId="7DB6B202">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10.对发现的不合格样品可能存在重大风险隐患或身体健康和生命安全造成严重危害的，应当在确认检验结果后24小时之内填写《食品安全抽样检验显示报告情况表》，报告</w:t>
      </w:r>
      <w:r>
        <w:rPr>
          <w:rFonts w:hint="eastAsia" w:ascii="宋体" w:hAnsi="宋体" w:eastAsia="宋体" w:cs="宋体"/>
          <w:color w:val="auto"/>
          <w:sz w:val="24"/>
          <w:szCs w:val="24"/>
          <w:highlight w:val="none"/>
          <w:lang w:eastAsia="zh-CN"/>
        </w:rPr>
        <w:t>乌鲁木齐市市场监督管理局（乌鲁木齐市知识产权局）</w:t>
      </w:r>
      <w:r>
        <w:rPr>
          <w:rFonts w:hint="eastAsia" w:ascii="宋体" w:hAnsi="宋体" w:eastAsia="宋体" w:cs="宋体"/>
          <w:color w:val="auto"/>
          <w:sz w:val="24"/>
          <w:szCs w:val="24"/>
          <w:highlight w:val="none"/>
        </w:rPr>
        <w:t>，并抄送自治区市场监管局。</w:t>
      </w:r>
    </w:p>
    <w:p w14:paraId="2E28F0F9">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11.对集中出现的不合格样品，在向甲方报告检验结果的同时还应进行原因分析，提出降低风险和日常监管意见及建议，并报送书面报告。</w:t>
      </w:r>
    </w:p>
    <w:p w14:paraId="4081600D">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12.不合格样品经复检后合格的，复检费用由乙方承担。</w:t>
      </w:r>
    </w:p>
    <w:p w14:paraId="42436958">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13.应严格按照要求进行抽样、检验和结果上报，不得随意更改抽样地点和样品信息，不得瞒报、谎报、漏报检测数据，确保结果的真实、客观和准确。</w:t>
      </w:r>
    </w:p>
    <w:p w14:paraId="60FE06FD">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二、甲方承担的任务</w:t>
      </w:r>
    </w:p>
    <w:p w14:paraId="27B3ACD6">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（一）应及时填写《食品安全抽样检验任务委托书》。</w:t>
      </w:r>
    </w:p>
    <w:p w14:paraId="478B0944">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（二）按合同约定及时拨付项目资金。</w:t>
      </w:r>
    </w:p>
    <w:p w14:paraId="67C3C661">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对乙方完成任务（抽检工作的组织实施、样品采集、实验室检测、数据报送等）情况进行督导检查和考核评价，并依据乙方在国抽信息系统数据报送及抽检结果分析报告撰写情况进行抽样检验工作的全面验收。</w:t>
      </w:r>
    </w:p>
    <w:p w14:paraId="547D7EEB">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（四）根据乙方当前阶段抽检任务完成质量，甲方有权力对乙方下阶段抽检任务量作出调整。</w:t>
      </w:r>
    </w:p>
    <w:p w14:paraId="5C0674F1">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（五）如果乙方出现违法违规问题，视情节轻重，甲方要求乙方限期整改或单方解除合同。</w:t>
      </w:r>
    </w:p>
    <w:p w14:paraId="26EBD89B">
      <w:pPr>
        <w:wordWrap w:val="0"/>
        <w:topLinePunct/>
        <w:spacing w:line="56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三、抽检服务费用及支付方式</w:t>
      </w:r>
    </w:p>
    <w:p w14:paraId="0317C765">
      <w:pPr>
        <w:wordWrap w:val="0"/>
        <w:topLinePunct/>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（一）针对乙方承担的上述各项工作，甲方应向乙方支付合计（大写）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万元）。此费用总额包含此次食品安全抽检监测工作的全部费用（含全部抽检经费），除此之外就本项目甲方不再对乙方承担任何支付义务。</w:t>
      </w:r>
    </w:p>
    <w:p w14:paraId="2A4F382F">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付款方式：为完成上述各项工作，甲方于合同签订之日起，按照工作进度给予拨付款项。项目完成并通过验收后，甲方支付合同全款（具体付款时间及金额以市财政专项经费到位时间为准）；检验工作全面结束且甲方对乙方完成承检机构考核形成书面结论后，双方商定按乙方任务实际工作量及完成质量支付具体金额。乙方需向甲方提供甲方认可的发票。</w:t>
      </w:r>
    </w:p>
    <w:p w14:paraId="5D4C82E3">
      <w:pPr>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（三）乙方在本合同首部填写指定收款账户信息，乙方账户信息发生改变时，应于变更前3日通知甲方。否则，导致的一切损失由乙方承担。乙方按照甲方填写于合同首部的开票信息开具发票。</w:t>
      </w:r>
    </w:p>
    <w:p w14:paraId="31E2ECCF">
      <w:pPr>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（四）甲方付款前乙方必须提供合规发票、收据、付款申请及甲方出具的验收合格证明，否则甲方有权暂停付款且不承担违约责任。乙方按照被合同首部甲方账户信息出具上述材料。</w:t>
      </w:r>
    </w:p>
    <w:p w14:paraId="056DF2D9">
      <w:pPr>
        <w:wordWrap w:val="0"/>
        <w:topLinePunct/>
        <w:spacing w:line="56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四、违约责任</w:t>
      </w:r>
    </w:p>
    <w:p w14:paraId="79F8105D">
      <w:pPr>
        <w:wordWrap w:val="0"/>
        <w:topLinePunct/>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乙方应严格遵守《新疆维吾尔自治区市场监督管理局食品安全承检机构考核管理办法（试行）》有关规定和要求。甲乙双方一致确定，出现下列情形之一的，为乙方违约，乙方应承担违约责任，甲方有权从应付款项中直接扣除乙方应承担的违约金、损失、各项费用等，剩余应付未付合同价款不足以扣除的，甲方有权要求乙方支付不足部分违约金：</w:t>
      </w:r>
    </w:p>
    <w:p w14:paraId="3E0A5BDA">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1.经过检查，发现抽样检验工作弄虚作假的，每发现一次，将视情节严重程度，扣除合同总金额的5%—10%不等；</w:t>
      </w:r>
    </w:p>
    <w:p w14:paraId="39AFAE52">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2.样品采集、检验、数据报送等工作不符合相关规定及抽检计划要求的，每发现一次，经警告未在三日内更正的，扣除该批次产品50%的抽检经费（抽检经费标准按照乙方投标资料计算）；</w:t>
      </w:r>
    </w:p>
    <w:p w14:paraId="6F7BB360">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3.坚持问题导向，监督抽检不合格率和风险监测风险发现率未达到自治区市场监管系统平均水平，每下降0.01%，扣除合同总金额的0.5%；</w:t>
      </w:r>
    </w:p>
    <w:p w14:paraId="08C6B605">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4.因乙方原因致使同一大类产品检验全部合格、且未发现食品安全问题隐患的，视情扣除该类产品抽检经费总额的5%（抽检经费标准按照乙方投标资料计算）；</w:t>
      </w:r>
    </w:p>
    <w:p w14:paraId="055DEA31">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5.对检验结论判定错误的，扣除该批次产品3倍的抽检经费（抽检经费标准按照乙方投标资料计算）；</w:t>
      </w:r>
    </w:p>
    <w:p w14:paraId="15C7FE23">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6.检验结论被推翻的，扣除该批次产品5倍的抽检经费（抽检经费标准按照乙方投标资料计算）；</w:t>
      </w:r>
    </w:p>
    <w:p w14:paraId="29124328">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7.对因乙方原因造成被抽样单位或生产企业索赔或投诉理由合理的，所有费用全部由乙方承担，同时扣除该批次产品10倍的抽检经费（抽检经费标准按照乙方投标资料计算）；</w:t>
      </w:r>
    </w:p>
    <w:p w14:paraId="60B7911C">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8.无正当理由，未按要求报送抽样检验信息、不合格样品及问题样品检验报告、结果分析报告及相关材料的，乙方应承担合同总金额10%的违约金；</w:t>
      </w:r>
    </w:p>
    <w:p w14:paraId="7A0280FA">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漏报、错报食品安全抽样检验数据，包括信息系统数据，每月上报信息，月、季度、年终结果分析总结报告等；每漏报、错报1批次样品的抽样或检验信息，扣除该批次产品抽检经费的1%；每漏报、错报每个月应上报的信息，月、季度、年终结果分析总结报告等，按次数计算，每次扣除合同总金额的0.2%；</w:t>
      </w:r>
    </w:p>
    <w:p w14:paraId="11EB1949">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10.能力验证、盲样考核、留样复测等不符合要求或结果为不满意的，按次数计算，每次扣除合同总金额的0.5%；</w:t>
      </w:r>
    </w:p>
    <w:p w14:paraId="3F287294">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11.复检备份样品存在丢失、损坏或调换等情形，造成无法正常进行复检程序的，扣除该批次产品2倍的抽检经费（抽检经费标准按照乙方投标资料计算）；</w:t>
      </w:r>
    </w:p>
    <w:p w14:paraId="4BFFD29C">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12.因抽样不规范引起企业提出异议，即使超出异议时限，仍旧对市场监管部门公信力造成不良影响，一经发现并核实后，扣除该批次产品的抽检经费（抽检经费标准按照乙方投标资料计算）；</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 xml:space="preserve">    13.需调取抽样现场视频、照片等影像资料，承检机构无法提供完整的，扣除该批次产品的抽检经费；抽样视频、照片等影像资料丢失的，扣除该批次产品2倍的抽检经费（抽检经费标准按照乙方投标资料计算）；</w:t>
      </w:r>
    </w:p>
    <w:p w14:paraId="0505C844">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14.其他违反食品安全抽检监测工作有关要求的，视情节严重程度而定。</w:t>
      </w:r>
    </w:p>
    <w:p w14:paraId="50A84D4D">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二</w:t>
      </w:r>
      <w:r>
        <w:rPr>
          <w:rFonts w:hint="eastAsia" w:ascii="宋体" w:hAnsi="宋体" w:eastAsia="宋体" w:cs="宋体"/>
          <w:color w:val="auto"/>
          <w:sz w:val="24"/>
          <w:szCs w:val="24"/>
          <w:highlight w:val="none"/>
        </w:rPr>
        <w:t>）项目负责人（含主要技术人员）无合理原因外，未经甲方书面同意，不得中途更换，否则应承担合同约定金额10%的违约金。</w:t>
      </w:r>
    </w:p>
    <w:p w14:paraId="0975B03A">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）乙方应在任务实施期间，准时在甲方指定地点参加任务部署会、推进会等会议，缺席2次以上，应承担本合同总金额5%的违约金。</w:t>
      </w:r>
    </w:p>
    <w:p w14:paraId="7E8C6F64">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合同服务期内提供24小时应急响应到场服务，响应服务处理结束后提交问题处理报告，不到场1次以上视为违约；协助做好重大活动等时间节点保障活动食品抽检工作，否则视为违约。违约金为本合同总金额的5%。</w:t>
      </w:r>
    </w:p>
    <w:p w14:paraId="257F42B2">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五</w:t>
      </w:r>
      <w:r>
        <w:rPr>
          <w:rFonts w:hint="eastAsia" w:ascii="宋体" w:hAnsi="宋体" w:eastAsia="宋体" w:cs="宋体"/>
          <w:color w:val="auto"/>
          <w:sz w:val="24"/>
          <w:szCs w:val="24"/>
          <w:highlight w:val="none"/>
        </w:rPr>
        <w:t>）乙方履行检测工作中违反本合同以上工作任务及工作要求中的情况的超过5次的，甲方具有单方解除权，乙方须退还甲方已支付合同价款的80%，并承担本合同总金额20%的违约金，同时承担相应的法律责任。</w:t>
      </w:r>
    </w:p>
    <w:p w14:paraId="6986F5C1">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六</w:t>
      </w:r>
      <w:r>
        <w:rPr>
          <w:rFonts w:hint="eastAsia" w:ascii="宋体" w:hAnsi="宋体" w:eastAsia="宋体" w:cs="宋体"/>
          <w:color w:val="auto"/>
          <w:sz w:val="24"/>
          <w:szCs w:val="24"/>
          <w:highlight w:val="none"/>
        </w:rPr>
        <w:t>）甲乙双方确定，如乙方未按国家标准规定进行检验，出具不实检验报告或虚假检验报告，为根本违约，甲方具有单方解除权，乙方应退还甲方已支付全部价款，并承担本合同总金额30%的违约金，还应承担相应的法律责任。合同解除后，未履行义务终止履行。</w:t>
      </w:r>
    </w:p>
    <w:p w14:paraId="7521AFFD">
      <w:pPr>
        <w:widowControl/>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七</w:t>
      </w:r>
      <w:r>
        <w:rPr>
          <w:rFonts w:hint="eastAsia" w:ascii="宋体" w:hAnsi="宋体" w:eastAsia="宋体" w:cs="宋体"/>
          <w:color w:val="auto"/>
          <w:sz w:val="24"/>
          <w:szCs w:val="24"/>
          <w:highlight w:val="none"/>
        </w:rPr>
        <w:t>）本合同约定的违约金，均是合同双方在签订本合同时已预见的因违约行为而造成的对方合理损失，甲乙双方均无权以违约金过高为由，要求降低违约金。</w:t>
      </w:r>
    </w:p>
    <w:p w14:paraId="6240254F">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八</w:t>
      </w:r>
      <w:r>
        <w:rPr>
          <w:rFonts w:hint="eastAsia" w:ascii="宋体" w:hAnsi="宋体" w:eastAsia="宋体" w:cs="宋体"/>
          <w:color w:val="auto"/>
          <w:sz w:val="24"/>
          <w:szCs w:val="24"/>
          <w:highlight w:val="none"/>
        </w:rPr>
        <w:t>）甲方单方解除权成就时，甲方有权以通知方式行使单方解除权，自乙方收到甲方单方解除合同书面通知之日起本合同解除。</w:t>
      </w:r>
      <w:r>
        <w:rPr>
          <w:rFonts w:hint="eastAsia" w:ascii="宋体" w:hAnsi="宋体" w:eastAsia="宋体" w:cs="宋体"/>
          <w:color w:val="auto"/>
          <w:sz w:val="24"/>
          <w:szCs w:val="24"/>
          <w:highlight w:val="none"/>
          <w:lang w:bidi="ar"/>
        </w:rPr>
        <w:t>乙方对解除合同有异议的，</w:t>
      </w:r>
      <w:r>
        <w:rPr>
          <w:rFonts w:hint="eastAsia" w:ascii="宋体" w:hAnsi="宋体" w:eastAsia="宋体" w:cs="宋体"/>
          <w:color w:val="auto"/>
          <w:sz w:val="24"/>
          <w:szCs w:val="24"/>
          <w:highlight w:val="none"/>
        </w:rPr>
        <w:t xml:space="preserve">应当在收到解除通知后15日内提出异议并向甲方所在地有权管辖的人民法院起诉。   </w:t>
      </w:r>
    </w:p>
    <w:p w14:paraId="0969AC27">
      <w:pPr>
        <w:numPr>
          <w:ilvl w:val="255"/>
          <w:numId w:val="0"/>
        </w:numPr>
        <w:wordWrap w:val="0"/>
        <w:topLinePunct/>
        <w:spacing w:line="56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五、不可抗力</w:t>
      </w:r>
    </w:p>
    <w:p w14:paraId="09977B71">
      <w:pPr>
        <w:numPr>
          <w:ilvl w:val="255"/>
          <w:numId w:val="0"/>
        </w:numPr>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乙双方确定本合同中不可抗力定义适用于《中华人民共和国民法典》规定，包括但不限于：战争、火灾、洪水、台风、地震、疫病、政策变化、遭受网络攻击或其它人力不可抗拒之事件。出现上述不可抗力后，受不可抗力影响的一方应立即通知另一方，并应在上述事件消除后15日前提供有关主管部门的证明。在取得有关机构的不可抗力证明或双方谅解确认后，允许延期履行或修订合同，并根据情况可部分或全部免于承担违约责任。</w:t>
      </w:r>
    </w:p>
    <w:p w14:paraId="63D8AC54">
      <w:pPr>
        <w:numPr>
          <w:ilvl w:val="255"/>
          <w:numId w:val="0"/>
        </w:numPr>
        <w:wordWrap w:val="0"/>
        <w:topLinePunct/>
        <w:spacing w:line="56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六、税费</w:t>
      </w:r>
    </w:p>
    <w:p w14:paraId="21C8BF7D">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在中国境内、外发生的与本合同执行有关的一切税费均由乙方负担。</w:t>
      </w:r>
    </w:p>
    <w:p w14:paraId="68D2CA2F">
      <w:pPr>
        <w:numPr>
          <w:ilvl w:val="255"/>
          <w:numId w:val="0"/>
        </w:numPr>
        <w:wordWrap w:val="0"/>
        <w:topLinePunct/>
        <w:spacing w:line="56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七、争议的解决</w:t>
      </w:r>
    </w:p>
    <w:p w14:paraId="3EF6CC1A">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本合同依照《中华人民共和国民法典》及相关法律法规制定，未尽事项皆受上述法律法规约束。甲、乙双方发生争议时，应先协商解决，经协商不成时双方均可向甲方所在地人民法院提起诉讼。</w:t>
      </w:r>
    </w:p>
    <w:p w14:paraId="6E5DA3A8">
      <w:pPr>
        <w:numPr>
          <w:ilvl w:val="255"/>
          <w:numId w:val="0"/>
        </w:numPr>
        <w:wordWrap w:val="0"/>
        <w:topLinePunct/>
        <w:spacing w:line="560" w:lineRule="exact"/>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八、其它事项</w:t>
      </w:r>
    </w:p>
    <w:p w14:paraId="28A5AC5B">
      <w:pPr>
        <w:widowControl/>
        <w:numPr>
          <w:ilvl w:val="255"/>
          <w:numId w:val="0"/>
        </w:numPr>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（一）本合同所有附件、招标文件、投标文件、中标通知书、成交通知书、乙方所提供的承诺、服务方案，均为合同的有效组成部分，与本合同具有同等法律效力。</w:t>
      </w:r>
    </w:p>
    <w:p w14:paraId="34D79809">
      <w:pPr>
        <w:numPr>
          <w:ilvl w:val="255"/>
          <w:numId w:val="0"/>
        </w:numPr>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（二）在执行本合同的过程中，所有经双方签署确认的文件（包括会议纪要、补充协议、往来信函）即成为本合同的有效组成部分。</w:t>
      </w:r>
    </w:p>
    <w:p w14:paraId="2071F50E">
      <w:pPr>
        <w:numPr>
          <w:ilvl w:val="255"/>
          <w:numId w:val="0"/>
        </w:numPr>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（三）本合同自双方授权代表签字并加盖公章之日起生效。</w:t>
      </w:r>
    </w:p>
    <w:p w14:paraId="58D720DF">
      <w:pPr>
        <w:snapToGrid w:val="0"/>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以下地址为双方确认的有效送达地址，任何一方变更应在变更后3日内通知另一方，否则原通讯地址的送达仍视为有效送达。与本合同签订、履行、变更、解除、诉讼有关的通知、信息、文件到达上述地址（变更时，以一方事先书面通知变更的新址为准）即视为送达。</w:t>
      </w:r>
    </w:p>
    <w:p w14:paraId="287B89B6">
      <w:pPr>
        <w:snapToGrid w:val="0"/>
        <w:spacing w:line="560" w:lineRule="exact"/>
        <w:rPr>
          <w:rFonts w:hint="eastAsia" w:ascii="宋体" w:hAnsi="宋体" w:eastAsia="宋体" w:cs="宋体"/>
          <w:color w:val="auto"/>
          <w:sz w:val="24"/>
          <w:szCs w:val="24"/>
          <w:highlight w:val="none"/>
        </w:rPr>
      </w:pPr>
    </w:p>
    <w:p w14:paraId="7C6179F8">
      <w:pPr>
        <w:snapToGrid w:val="0"/>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甲方确认送达地址：乌鲁木齐市天山区中山路33号</w:t>
      </w:r>
    </w:p>
    <w:p w14:paraId="67CEA1CD">
      <w:pPr>
        <w:snapToGrid w:val="0"/>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      联系电话：</w:t>
      </w:r>
    </w:p>
    <w:p w14:paraId="2C890352">
      <w:pPr>
        <w:snapToGrid w:val="0"/>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乙方确认送达地址：</w:t>
      </w:r>
    </w:p>
    <w:p w14:paraId="1C38EBE7">
      <w:pPr>
        <w:numPr>
          <w:ilvl w:val="255"/>
          <w:numId w:val="0"/>
        </w:numPr>
        <w:snapToGrid w:val="0"/>
        <w:spacing w:line="5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联系人：        联系电话： </w:t>
      </w:r>
    </w:p>
    <w:p w14:paraId="79B39A27">
      <w:pPr>
        <w:spacing w:line="360" w:lineRule="auto"/>
        <w:rPr>
          <w:rFonts w:hint="eastAsia" w:ascii="宋体" w:hAnsi="宋体" w:eastAsia="宋体" w:cs="宋体"/>
          <w:color w:val="auto"/>
          <w:sz w:val="24"/>
          <w:szCs w:val="24"/>
          <w:highlight w:val="none"/>
        </w:rPr>
      </w:pPr>
    </w:p>
    <w:p w14:paraId="69272864">
      <w:pPr>
        <w:spacing w:line="360" w:lineRule="auto"/>
        <w:rPr>
          <w:rFonts w:hint="eastAsia" w:ascii="宋体" w:hAnsi="宋体" w:eastAsia="宋体" w:cs="宋体"/>
          <w:color w:val="auto"/>
          <w:sz w:val="24"/>
          <w:szCs w:val="24"/>
          <w:highlight w:val="none"/>
        </w:rPr>
      </w:pPr>
    </w:p>
    <w:p w14:paraId="691091EC">
      <w:pPr>
        <w:spacing w:line="360" w:lineRule="auto"/>
        <w:rPr>
          <w:rFonts w:hint="eastAsia" w:ascii="宋体" w:hAnsi="宋体" w:eastAsia="宋体" w:cs="宋体"/>
          <w:color w:val="auto"/>
          <w:sz w:val="24"/>
          <w:szCs w:val="24"/>
          <w:highlight w:val="none"/>
        </w:rPr>
      </w:pPr>
    </w:p>
    <w:p w14:paraId="4B7F4CC0">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（下页为签章页）</w:t>
      </w:r>
    </w:p>
    <w:p w14:paraId="7E6ACD76">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7D1370C7">
      <w:pPr>
        <w:spacing w:line="400" w:lineRule="exact"/>
        <w:ind w:firstLine="480" w:firstLineChars="200"/>
        <w:rPr>
          <w:rFonts w:hint="eastAsia" w:ascii="宋体" w:hAnsi="宋体" w:eastAsia="宋体" w:cs="宋体"/>
          <w:color w:val="auto"/>
          <w:sz w:val="24"/>
          <w:szCs w:val="24"/>
          <w:highlight w:val="none"/>
        </w:rPr>
      </w:pPr>
    </w:p>
    <w:p w14:paraId="18FD395C">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eastAsia="zh-CN"/>
        </w:rPr>
        <w:t>乌鲁木齐市市场监督管理局（乌鲁木齐市知识产权局）</w:t>
      </w:r>
    </w:p>
    <w:p w14:paraId="175D5716">
      <w:pPr>
        <w:spacing w:line="360" w:lineRule="auto"/>
        <w:ind w:left="3520" w:hanging="2640" w:hangingChars="1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376DCDC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负责人：                               </w:t>
      </w:r>
    </w:p>
    <w:p w14:paraId="6AE63E6C">
      <w:pPr>
        <w:spacing w:line="360" w:lineRule="auto"/>
        <w:ind w:firstLine="3840" w:firstLineChars="16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年    月    日</w:t>
      </w:r>
    </w:p>
    <w:p w14:paraId="1FEC8E3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468E89D1">
      <w:pPr>
        <w:spacing w:line="360" w:lineRule="auto"/>
        <w:ind w:left="3520" w:hanging="2640" w:hangingChars="1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w:t>
      </w:r>
    </w:p>
    <w:p w14:paraId="6D98CF5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1C3B827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负责人：</w:t>
      </w:r>
    </w:p>
    <w:p w14:paraId="7485BA6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委托代理人：     </w:t>
      </w:r>
    </w:p>
    <w:p w14:paraId="2D9AE5C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（单位盖章）            </w:t>
      </w:r>
    </w:p>
    <w:p w14:paraId="54CA398C">
      <w:pPr>
        <w:spacing w:line="360" w:lineRule="auto"/>
        <w:ind w:firstLine="3960" w:firstLineChars="16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年   月    日 </w:t>
      </w:r>
    </w:p>
    <w:p w14:paraId="3A1FA865">
      <w:pPr>
        <w:widowControl/>
        <w:jc w:val="left"/>
        <w:rPr>
          <w:rFonts w:hint="eastAsia" w:ascii="宋体" w:hAnsi="宋体" w:eastAsia="宋体" w:cs="宋体"/>
          <w:color w:val="auto"/>
          <w:sz w:val="24"/>
          <w:szCs w:val="24"/>
          <w:highlight w:val="none"/>
        </w:rPr>
      </w:pPr>
    </w:p>
    <w:p w14:paraId="42873897">
      <w:pPr>
        <w:pStyle w:val="29"/>
        <w:rPr>
          <w:rFonts w:hint="eastAsia" w:ascii="宋体" w:hAnsi="宋体" w:eastAsia="宋体" w:cs="宋体"/>
          <w:color w:val="auto"/>
          <w:sz w:val="24"/>
          <w:szCs w:val="24"/>
          <w:highlight w:val="none"/>
        </w:rPr>
      </w:pPr>
    </w:p>
    <w:sectPr>
      <w:footerReference r:id="rId5"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A5B6FA1-3981-4478-8786-75633ED674E4}"/>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817A61E6-855B-4F01-8A91-D49A3C7824D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DC6A6E0E-EC4A-403E-BF5D-C6951D99A5BD}"/>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4" w:fontKey="{5E8EC019-151A-41B3-96B6-994292DF8EC4}"/>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MingLiU">
    <w:altName w:val="Microsoft YaHei UI Light"/>
    <w:panose1 w:val="02020500000000000000"/>
    <w:charset w:val="00"/>
    <w:family w:val="auto"/>
    <w:pitch w:val="default"/>
    <w:sig w:usb0="00000000" w:usb1="00000000" w:usb2="00000000" w:usb3="00000000" w:csb0="00040001" w:csb1="00000000"/>
  </w:font>
  <w:font w:name="Microsoft YaHei UI Light">
    <w:panose1 w:val="020B0502040204020203"/>
    <w:charset w:val="86"/>
    <w:family w:val="auto"/>
    <w:pitch w:val="default"/>
    <w:sig w:usb0="80000287" w:usb1="2ACF001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仿宋_GBK">
    <w:panose1 w:val="02000000000000000000"/>
    <w:charset w:val="86"/>
    <w:family w:val="auto"/>
    <w:pitch w:val="default"/>
    <w:sig w:usb0="A00002BF" w:usb1="38CF7CFA" w:usb2="00082016" w:usb3="00000000" w:csb0="00040001" w:csb1="00000000"/>
    <w:embedRegular r:id="rId5" w:fontKey="{01570ADC-611F-4685-A77C-1514AA6DAFF8}"/>
  </w:font>
  <w:font w:name="方正书宋_GBK">
    <w:altName w:val="微软雅黑"/>
    <w:panose1 w:val="00000000000000000000"/>
    <w:charset w:val="00"/>
    <w:family w:val="auto"/>
    <w:pitch w:val="default"/>
    <w:sig w:usb0="00000000" w:usb1="00000000" w:usb2="00000000" w:usb3="00000000" w:csb0="00000000" w:csb1="00000000"/>
  </w:font>
  <w:font w:name="方正小标宋_GBK">
    <w:panose1 w:val="03000509000000000000"/>
    <w:charset w:val="86"/>
    <w:family w:val="auto"/>
    <w:pitch w:val="default"/>
    <w:sig w:usb0="00000001" w:usb1="080E0000" w:usb2="00000000" w:usb3="00000000" w:csb0="00040000" w:csb1="00000000"/>
    <w:embedRegular r:id="rId6" w:fontKey="{A3B680FE-0BBB-47F5-BEF3-85D1A15EE1E6}"/>
  </w:font>
  <w:font w:name="方正楷体_GBK">
    <w:panose1 w:val="03000509000000000000"/>
    <w:charset w:val="86"/>
    <w:family w:val="auto"/>
    <w:pitch w:val="default"/>
    <w:sig w:usb0="00000001" w:usb1="080E0000" w:usb2="00000000" w:usb3="00000000" w:csb0="00040000" w:csb1="00000000"/>
    <w:embedRegular r:id="rId7" w:fontKey="{4DF0497F-0F71-4E55-9AA1-ADBEB72932EE}"/>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4D864">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27FC3">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2527FC3">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880ED">
    <w:pPr>
      <w:autoSpaceDE w:val="0"/>
      <w:autoSpaceDN w:val="0"/>
      <w:adjustRightInd w:val="0"/>
      <w:spacing w:line="200" w:lineRule="exact"/>
      <w:jc w:val="left"/>
      <w:rPr>
        <w:rFonts w:hint="default" w:ascii="Times New Roman" w:eastAsia="Times New Roman"/>
        <w:kern w:val="0"/>
        <w:sz w:val="20"/>
      </w:rPr>
    </w:pPr>
    <w:r>
      <w:rPr>
        <w:rFonts w:hint="default"/>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589E1C">
                          <w:pPr>
                            <w:pStyle w:val="18"/>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33</w:t>
                          </w:r>
                          <w:r>
                            <w:rPr>
                              <w:rFonts w:hint="eastAsia"/>
                              <w:sz w:val="1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vrIMkBAACZ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i+sgyQEAAJkDAAAOAAAAAAAAAAEAIAAAAB4BAABkcnMvZTJvRG9j&#10;LnhtbFBLBQYAAAAABgAGAFkBAABZBQAAAAA=&#10;">
              <v:fill on="f" focussize="0,0"/>
              <v:stroke on="f"/>
              <v:imagedata o:title=""/>
              <o:lock v:ext="edit" aspectratio="f"/>
              <v:textbox inset="0mm,0mm,0mm,0mm" style="mso-fit-shape-to-text:t;">
                <w:txbxContent>
                  <w:p w14:paraId="5D589E1C">
                    <w:pPr>
                      <w:pStyle w:val="18"/>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33</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6C6BA">
    <w:pPr>
      <w:pStyle w:val="20"/>
    </w:pPr>
    <w:r>
      <w:rPr>
        <w:rStyle w:val="40"/>
        <w:rFonts w:hint="eastAsia"/>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B97A35"/>
    <w:multiLevelType w:val="singleLevel"/>
    <w:tmpl w:val="83B97A35"/>
    <w:lvl w:ilvl="0" w:tentative="0">
      <w:start w:val="2"/>
      <w:numFmt w:val="chineseCounting"/>
      <w:suff w:val="nothing"/>
      <w:lvlText w:val="%1、"/>
      <w:lvlJc w:val="left"/>
      <w:rPr>
        <w:rFonts w:hint="eastAsia"/>
      </w:rPr>
    </w:lvl>
  </w:abstractNum>
  <w:abstractNum w:abstractNumId="1">
    <w:nsid w:val="A145CCAE"/>
    <w:multiLevelType w:val="singleLevel"/>
    <w:tmpl w:val="A145CCAE"/>
    <w:lvl w:ilvl="0" w:tentative="0">
      <w:start w:val="1"/>
      <w:numFmt w:val="decimal"/>
      <w:suff w:val="nothing"/>
      <w:lvlText w:val="%1、"/>
      <w:lvlJc w:val="left"/>
    </w:lvl>
  </w:abstractNum>
  <w:abstractNum w:abstractNumId="2">
    <w:nsid w:val="A7D08F78"/>
    <w:multiLevelType w:val="multilevel"/>
    <w:tmpl w:val="A7D08F78"/>
    <w:lvl w:ilvl="0" w:tentative="0">
      <w:start w:val="1"/>
      <w:numFmt w:val="chineseCounting"/>
      <w:suff w:val="nothing"/>
      <w:lvlText w:val="第%1章 "/>
      <w:lvlJc w:val="left"/>
      <w:pPr>
        <w:ind w:left="4685" w:hanging="432"/>
      </w:pPr>
      <w:rPr>
        <w:rFonts w:hint="eastAsia"/>
      </w:rPr>
    </w:lvl>
    <w:lvl w:ilvl="1" w:tentative="0">
      <w:start w:val="1"/>
      <w:numFmt w:val="decimal"/>
      <w:isLgl/>
      <w:lvlText w:val="%1.%2."/>
      <w:lvlJc w:val="left"/>
      <w:pPr>
        <w:ind w:left="1285" w:hanging="575"/>
      </w:pPr>
      <w:rPr>
        <w:rFonts w:hint="eastAsia"/>
      </w:rPr>
    </w:lvl>
    <w:lvl w:ilvl="2" w:tentative="0">
      <w:start w:val="1"/>
      <w:numFmt w:val="decimal"/>
      <w:pStyle w:val="5"/>
      <w:isLgl/>
      <w:lvlText w:val="%1.%2.%3."/>
      <w:lvlJc w:val="left"/>
      <w:pPr>
        <w:ind w:left="2422"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3">
    <w:nsid w:val="DF7ECC31"/>
    <w:multiLevelType w:val="multilevel"/>
    <w:tmpl w:val="DF7ECC31"/>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0000000A"/>
    <w:multiLevelType w:val="multilevel"/>
    <w:tmpl w:val="0000000A"/>
    <w:lvl w:ilvl="0" w:tentative="0">
      <w:start w:val="1"/>
      <w:numFmt w:val="decimal"/>
      <w:lvlText w:val="第%1章"/>
      <w:lvlJc w:val="left"/>
      <w:pPr>
        <w:ind w:left="432" w:hanging="432"/>
      </w:pPr>
      <w:rPr>
        <w:rFonts w:hint="eastAsia" w:ascii="宋体" w:hAnsi="宋体" w:eastAsia="宋体" w:cs="宋体"/>
      </w:rPr>
    </w:lvl>
    <w:lvl w:ilvl="1" w:tentative="0">
      <w:start w:val="1"/>
      <w:numFmt w:val="decimalFullWidth"/>
      <w:lvlText w:val="%1.%2"/>
      <w:lvlJc w:val="left"/>
      <w:pPr>
        <w:ind w:left="575" w:hanging="575"/>
      </w:pPr>
      <w:rPr>
        <w:rFonts w:hint="eastAsia" w:ascii="宋体" w:hAnsi="宋体" w:eastAsia="宋体" w:cs="宋体"/>
      </w:rPr>
    </w:lvl>
    <w:lvl w:ilvl="2" w:tentative="0">
      <w:start w:val="1"/>
      <w:numFmt w:val="decimal"/>
      <w:lvlText w:val="%1.%2.%3 "/>
      <w:lvlJc w:val="left"/>
      <w:pPr>
        <w:ind w:left="720" w:hanging="720"/>
      </w:pPr>
      <w:rPr>
        <w:rFonts w:hint="eastAsia" w:ascii="宋体" w:hAnsi="宋体" w:eastAsia="宋体" w:cs="宋体"/>
      </w:rPr>
    </w:lvl>
    <w:lvl w:ilvl="3" w:tentative="0">
      <w:start w:val="1"/>
      <w:numFmt w:val="decimal"/>
      <w:pStyle w:val="8"/>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5">
    <w:nsid w:val="38DCEC26"/>
    <w:multiLevelType w:val="singleLevel"/>
    <w:tmpl w:val="38DCEC26"/>
    <w:lvl w:ilvl="0" w:tentative="0">
      <w:start w:val="3"/>
      <w:numFmt w:val="decimal"/>
      <w:lvlText w:val="%1."/>
      <w:lvlJc w:val="left"/>
      <w:pPr>
        <w:tabs>
          <w:tab w:val="left" w:pos="312"/>
        </w:tabs>
      </w:pPr>
    </w:lvl>
  </w:abstractNum>
  <w:abstractNum w:abstractNumId="6">
    <w:nsid w:val="40046F7C"/>
    <w:multiLevelType w:val="singleLevel"/>
    <w:tmpl w:val="40046F7C"/>
    <w:lvl w:ilvl="0" w:tentative="0">
      <w:start w:val="3"/>
      <w:numFmt w:val="chineseCounting"/>
      <w:suff w:val="nothing"/>
      <w:lvlText w:val="%1、"/>
      <w:lvlJc w:val="left"/>
      <w:rPr>
        <w:rFonts w:hint="eastAsia"/>
      </w:rPr>
    </w:lvl>
  </w:abstractNum>
  <w:abstractNum w:abstractNumId="7">
    <w:nsid w:val="47B24A7F"/>
    <w:multiLevelType w:val="multilevel"/>
    <w:tmpl w:val="47B24A7F"/>
    <w:lvl w:ilvl="0" w:tentative="0">
      <w:start w:val="1"/>
      <w:numFmt w:val="decimal"/>
      <w:lvlText w:val="%1、"/>
      <w:lvlJc w:val="left"/>
      <w:pPr>
        <w:tabs>
          <w:tab w:val="left" w:pos="740"/>
        </w:tabs>
        <w:ind w:left="1081" w:hanging="1081"/>
      </w:pPr>
      <w:rPr>
        <w:rFonts w:hint="default"/>
      </w:rPr>
    </w:lvl>
    <w:lvl w:ilvl="1" w:tentative="0">
      <w:start w:val="1"/>
      <w:numFmt w:val="decimal"/>
      <w:pStyle w:val="61"/>
      <w:lvlText w:val="%2、"/>
      <w:lvlJc w:val="left"/>
      <w:pPr>
        <w:tabs>
          <w:tab w:val="left" w:pos="1160"/>
        </w:tabs>
        <w:ind w:left="1501" w:hanging="1081"/>
      </w:pPr>
      <w:rPr>
        <w:rFonts w:hint="default" w:ascii="Arial" w:hAnsi="Arial" w:cs="Arial"/>
        <w:b/>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4"/>
  </w:num>
  <w:num w:numId="3">
    <w:abstractNumId w:val="7"/>
  </w:num>
  <w:num w:numId="4">
    <w:abstractNumId w:val="5"/>
  </w:num>
  <w:num w:numId="5">
    <w:abstractNumId w:val="1"/>
  </w:num>
  <w:num w:numId="6">
    <w:abstractNumId w:val="0"/>
  </w:num>
  <w:num w:numId="7">
    <w:abstractNumId w:val="6"/>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刘恒运">
    <w15:presenceInfo w15:providerId="WPS Office" w15:userId="3834257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2YmU5N2NiNzlmNmMxYzlmYTViY2E4OTg2ZTNhMDMifQ=="/>
    <w:docVar w:name="KSO_WPS_MARK_KEY" w:val="2542d0e4-db01-47bc-9e30-3b31ec68f3a9"/>
  </w:docVars>
  <w:rsids>
    <w:rsidRoot w:val="006D6F44"/>
    <w:rsid w:val="00083A7D"/>
    <w:rsid w:val="00085DA1"/>
    <w:rsid w:val="001119CD"/>
    <w:rsid w:val="001343B1"/>
    <w:rsid w:val="00177ECA"/>
    <w:rsid w:val="002021CC"/>
    <w:rsid w:val="0022674C"/>
    <w:rsid w:val="00252FC0"/>
    <w:rsid w:val="003C111D"/>
    <w:rsid w:val="00436CBC"/>
    <w:rsid w:val="0049263D"/>
    <w:rsid w:val="004D5BB6"/>
    <w:rsid w:val="005F58DE"/>
    <w:rsid w:val="006351B6"/>
    <w:rsid w:val="006D6F44"/>
    <w:rsid w:val="00754BD2"/>
    <w:rsid w:val="00A21929"/>
    <w:rsid w:val="00AD511E"/>
    <w:rsid w:val="00BD6145"/>
    <w:rsid w:val="00CC135F"/>
    <w:rsid w:val="00D651EE"/>
    <w:rsid w:val="00DF7C4C"/>
    <w:rsid w:val="00F846DC"/>
    <w:rsid w:val="011A058D"/>
    <w:rsid w:val="02563B57"/>
    <w:rsid w:val="027569F7"/>
    <w:rsid w:val="04D4267D"/>
    <w:rsid w:val="057C2119"/>
    <w:rsid w:val="06451DC1"/>
    <w:rsid w:val="06815A00"/>
    <w:rsid w:val="07235BE6"/>
    <w:rsid w:val="0734173C"/>
    <w:rsid w:val="07A817AD"/>
    <w:rsid w:val="082F62F4"/>
    <w:rsid w:val="08C6116B"/>
    <w:rsid w:val="097B3DA2"/>
    <w:rsid w:val="0A4725AB"/>
    <w:rsid w:val="0A9141B9"/>
    <w:rsid w:val="0AFC1B70"/>
    <w:rsid w:val="0B0D4C33"/>
    <w:rsid w:val="0B1229A8"/>
    <w:rsid w:val="0B765A72"/>
    <w:rsid w:val="0B9E1E32"/>
    <w:rsid w:val="0D850FBB"/>
    <w:rsid w:val="0DD87DE8"/>
    <w:rsid w:val="0E5F3020"/>
    <w:rsid w:val="0F20414D"/>
    <w:rsid w:val="0F2310FF"/>
    <w:rsid w:val="0F887012"/>
    <w:rsid w:val="110D5059"/>
    <w:rsid w:val="116A4DD1"/>
    <w:rsid w:val="12BE7F9E"/>
    <w:rsid w:val="12C33AC5"/>
    <w:rsid w:val="13BB7B66"/>
    <w:rsid w:val="1415056B"/>
    <w:rsid w:val="14F00AA2"/>
    <w:rsid w:val="15802E15"/>
    <w:rsid w:val="16161E94"/>
    <w:rsid w:val="16B65467"/>
    <w:rsid w:val="16F42B35"/>
    <w:rsid w:val="170E618E"/>
    <w:rsid w:val="18A04871"/>
    <w:rsid w:val="18E831AB"/>
    <w:rsid w:val="1934019F"/>
    <w:rsid w:val="199265F0"/>
    <w:rsid w:val="1A044015"/>
    <w:rsid w:val="1AE34AB0"/>
    <w:rsid w:val="1B6D7998"/>
    <w:rsid w:val="1BB750B7"/>
    <w:rsid w:val="1BD46B05"/>
    <w:rsid w:val="1C111736"/>
    <w:rsid w:val="1C37598E"/>
    <w:rsid w:val="1C5E7C8C"/>
    <w:rsid w:val="1C8E3164"/>
    <w:rsid w:val="1CC950A2"/>
    <w:rsid w:val="1D5252D9"/>
    <w:rsid w:val="1DC57731"/>
    <w:rsid w:val="1DD957B9"/>
    <w:rsid w:val="1DE226F6"/>
    <w:rsid w:val="1DFD4EFE"/>
    <w:rsid w:val="1E395337"/>
    <w:rsid w:val="1EEE29A8"/>
    <w:rsid w:val="1FEF3071"/>
    <w:rsid w:val="20001D6A"/>
    <w:rsid w:val="206A5E42"/>
    <w:rsid w:val="2139587A"/>
    <w:rsid w:val="21847A00"/>
    <w:rsid w:val="22E67C91"/>
    <w:rsid w:val="23132D77"/>
    <w:rsid w:val="240C0B7E"/>
    <w:rsid w:val="246C62EA"/>
    <w:rsid w:val="24AE1898"/>
    <w:rsid w:val="24BB79C6"/>
    <w:rsid w:val="251C65BB"/>
    <w:rsid w:val="253B2395"/>
    <w:rsid w:val="256F4866"/>
    <w:rsid w:val="26592325"/>
    <w:rsid w:val="267C3185"/>
    <w:rsid w:val="27BC2A5B"/>
    <w:rsid w:val="2863070C"/>
    <w:rsid w:val="28D601EB"/>
    <w:rsid w:val="293E33FE"/>
    <w:rsid w:val="2964062C"/>
    <w:rsid w:val="29DE5D3A"/>
    <w:rsid w:val="2A104310"/>
    <w:rsid w:val="2A80338B"/>
    <w:rsid w:val="2AEC5A97"/>
    <w:rsid w:val="2B764647"/>
    <w:rsid w:val="2BB1742D"/>
    <w:rsid w:val="2C1874AC"/>
    <w:rsid w:val="2D87596E"/>
    <w:rsid w:val="2E4E3CC6"/>
    <w:rsid w:val="2ED718A0"/>
    <w:rsid w:val="2EF42085"/>
    <w:rsid w:val="2FB971F8"/>
    <w:rsid w:val="301A2DFD"/>
    <w:rsid w:val="30B06469"/>
    <w:rsid w:val="310F3486"/>
    <w:rsid w:val="314302EA"/>
    <w:rsid w:val="31AB69D8"/>
    <w:rsid w:val="31D609DB"/>
    <w:rsid w:val="31E01A47"/>
    <w:rsid w:val="32382833"/>
    <w:rsid w:val="329E236C"/>
    <w:rsid w:val="330E1609"/>
    <w:rsid w:val="33C42EA4"/>
    <w:rsid w:val="33FF6CC7"/>
    <w:rsid w:val="3492329A"/>
    <w:rsid w:val="351A6043"/>
    <w:rsid w:val="352F2BEC"/>
    <w:rsid w:val="363F1A60"/>
    <w:rsid w:val="36995D3F"/>
    <w:rsid w:val="374271D8"/>
    <w:rsid w:val="37D739CE"/>
    <w:rsid w:val="38207E14"/>
    <w:rsid w:val="38962CE6"/>
    <w:rsid w:val="38E01351"/>
    <w:rsid w:val="3ADE2D8C"/>
    <w:rsid w:val="3B472DD6"/>
    <w:rsid w:val="3B756F45"/>
    <w:rsid w:val="3C926E07"/>
    <w:rsid w:val="3EA76402"/>
    <w:rsid w:val="3EBC7034"/>
    <w:rsid w:val="3F143436"/>
    <w:rsid w:val="3F8D40B6"/>
    <w:rsid w:val="3FF35E0E"/>
    <w:rsid w:val="40A50767"/>
    <w:rsid w:val="40DE1288"/>
    <w:rsid w:val="41087697"/>
    <w:rsid w:val="41703955"/>
    <w:rsid w:val="428C078D"/>
    <w:rsid w:val="44BB02A4"/>
    <w:rsid w:val="44F71EFD"/>
    <w:rsid w:val="456621E5"/>
    <w:rsid w:val="45DC4237"/>
    <w:rsid w:val="45E54DBC"/>
    <w:rsid w:val="480908C5"/>
    <w:rsid w:val="4825684B"/>
    <w:rsid w:val="48B00A3D"/>
    <w:rsid w:val="49153B3D"/>
    <w:rsid w:val="497D499A"/>
    <w:rsid w:val="49AB391A"/>
    <w:rsid w:val="4B913633"/>
    <w:rsid w:val="4C0B634F"/>
    <w:rsid w:val="4C993E74"/>
    <w:rsid w:val="4CC27294"/>
    <w:rsid w:val="4CC63226"/>
    <w:rsid w:val="4D6F560D"/>
    <w:rsid w:val="4DDD1F01"/>
    <w:rsid w:val="4DDD5AF8"/>
    <w:rsid w:val="4E2C0B7D"/>
    <w:rsid w:val="4F166C4D"/>
    <w:rsid w:val="50141CC1"/>
    <w:rsid w:val="5042188F"/>
    <w:rsid w:val="515B2E61"/>
    <w:rsid w:val="5223325C"/>
    <w:rsid w:val="52310016"/>
    <w:rsid w:val="540519ED"/>
    <w:rsid w:val="55435F41"/>
    <w:rsid w:val="558624E1"/>
    <w:rsid w:val="55A7171D"/>
    <w:rsid w:val="56015FA8"/>
    <w:rsid w:val="567E11E9"/>
    <w:rsid w:val="56933C1B"/>
    <w:rsid w:val="56A63FEE"/>
    <w:rsid w:val="56EA3D5C"/>
    <w:rsid w:val="57883566"/>
    <w:rsid w:val="5886386C"/>
    <w:rsid w:val="58D00F8B"/>
    <w:rsid w:val="5A517EA9"/>
    <w:rsid w:val="5AEB1782"/>
    <w:rsid w:val="5AFA22EF"/>
    <w:rsid w:val="5B266F2F"/>
    <w:rsid w:val="5BD72DBD"/>
    <w:rsid w:val="5CC42604"/>
    <w:rsid w:val="5CFE4C15"/>
    <w:rsid w:val="5D170F36"/>
    <w:rsid w:val="5DBD1BFF"/>
    <w:rsid w:val="5DBF3AD3"/>
    <w:rsid w:val="5EF4244F"/>
    <w:rsid w:val="60077FCA"/>
    <w:rsid w:val="611D1FCC"/>
    <w:rsid w:val="616427FD"/>
    <w:rsid w:val="62031A89"/>
    <w:rsid w:val="62CE7DFC"/>
    <w:rsid w:val="641451FA"/>
    <w:rsid w:val="643C6AED"/>
    <w:rsid w:val="645A5BAC"/>
    <w:rsid w:val="64E8140A"/>
    <w:rsid w:val="659737D4"/>
    <w:rsid w:val="69C2047C"/>
    <w:rsid w:val="69EE7F76"/>
    <w:rsid w:val="6C183D6E"/>
    <w:rsid w:val="6C5A7C87"/>
    <w:rsid w:val="6D4603F7"/>
    <w:rsid w:val="6FC50D67"/>
    <w:rsid w:val="6FDF6FF4"/>
    <w:rsid w:val="7065389B"/>
    <w:rsid w:val="70D95DDC"/>
    <w:rsid w:val="711B2EEF"/>
    <w:rsid w:val="71D20F02"/>
    <w:rsid w:val="724D0AFE"/>
    <w:rsid w:val="724E21E5"/>
    <w:rsid w:val="737F73DD"/>
    <w:rsid w:val="74F86F5C"/>
    <w:rsid w:val="75176402"/>
    <w:rsid w:val="757B4FC6"/>
    <w:rsid w:val="757B6040"/>
    <w:rsid w:val="75954781"/>
    <w:rsid w:val="75D7370F"/>
    <w:rsid w:val="7654306E"/>
    <w:rsid w:val="76DA5057"/>
    <w:rsid w:val="76E97048"/>
    <w:rsid w:val="76F31C74"/>
    <w:rsid w:val="779B7F76"/>
    <w:rsid w:val="792425B9"/>
    <w:rsid w:val="795641A9"/>
    <w:rsid w:val="79BFB7A8"/>
    <w:rsid w:val="7CE4330E"/>
    <w:rsid w:val="7D9B6A3B"/>
    <w:rsid w:val="7D9F0FBC"/>
    <w:rsid w:val="7DBD7E2C"/>
    <w:rsid w:val="7E33329E"/>
    <w:rsid w:val="7EE27891"/>
    <w:rsid w:val="7F9164CE"/>
    <w:rsid w:val="7FA501CC"/>
    <w:rsid w:val="7FBF5BEC"/>
    <w:rsid w:val="B5C32C75"/>
    <w:rsid w:val="D57DE736"/>
    <w:rsid w:val="FFCFC3E2"/>
    <w:rsid w:val="FFFE4F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46"/>
    <w:qFormat/>
    <w:uiPriority w:val="0"/>
    <w:pPr>
      <w:keepNext/>
      <w:keepLines/>
      <w:spacing w:before="340" w:after="330" w:line="578" w:lineRule="auto"/>
    </w:pPr>
    <w:rPr>
      <w:rFonts w:ascii="Calibri" w:hAnsi="Calibri"/>
      <w:kern w:val="44"/>
      <w:sz w:val="44"/>
      <w:szCs w:val="44"/>
    </w:rPr>
  </w:style>
  <w:style w:type="paragraph" w:styleId="4">
    <w:name w:val="heading 2"/>
    <w:basedOn w:val="1"/>
    <w:next w:val="1"/>
    <w:qFormat/>
    <w:uiPriority w:val="0"/>
    <w:pPr>
      <w:keepLines/>
      <w:spacing w:before="260" w:after="260" w:line="416" w:lineRule="auto"/>
      <w:outlineLvl w:val="1"/>
    </w:pPr>
    <w:rPr>
      <w:rFonts w:ascii="Arial" w:hAnsi="Arial" w:eastAsia="黑体"/>
      <w:bCs/>
      <w:szCs w:val="32"/>
    </w:rPr>
  </w:style>
  <w:style w:type="paragraph" w:styleId="5">
    <w:name w:val="heading 3"/>
    <w:basedOn w:val="1"/>
    <w:next w:val="6"/>
    <w:unhideWhenUsed/>
    <w:qFormat/>
    <w:uiPriority w:val="0"/>
    <w:pPr>
      <w:keepNext/>
      <w:keepLines/>
      <w:numPr>
        <w:ilvl w:val="2"/>
        <w:numId w:val="1"/>
      </w:numPr>
      <w:spacing w:before="100" w:after="100" w:line="560" w:lineRule="exact"/>
      <w:outlineLvl w:val="2"/>
    </w:pPr>
    <w:rPr>
      <w:rFonts w:ascii="Times New Roman" w:hAnsi="Times New Roman" w:eastAsia="楷体" w:cs="Times New Roman"/>
      <w:b/>
      <w:bCs/>
      <w:kern w:val="0"/>
      <w:sz w:val="32"/>
      <w:szCs w:val="32"/>
      <w:lang w:val="zh-CN"/>
    </w:rPr>
  </w:style>
  <w:style w:type="paragraph" w:styleId="8">
    <w:name w:val="heading 4"/>
    <w:basedOn w:val="1"/>
    <w:next w:val="1"/>
    <w:qFormat/>
    <w:uiPriority w:val="0"/>
    <w:pPr>
      <w:keepNext/>
      <w:keepLines/>
      <w:numPr>
        <w:ilvl w:val="3"/>
        <w:numId w:val="2"/>
      </w:numPr>
      <w:spacing w:before="280" w:beforeLines="0" w:beforeAutospacing="0" w:after="290" w:afterLines="0" w:afterAutospacing="0" w:line="372" w:lineRule="auto"/>
      <w:ind w:left="864" w:hanging="864"/>
      <w:outlineLvl w:val="3"/>
    </w:pPr>
    <w:rPr>
      <w:rFonts w:ascii="Arial" w:hAnsi="Arial" w:eastAsia="黑体" w:cs="Times New Roman"/>
      <w:b/>
      <w:sz w:val="28"/>
    </w:rPr>
  </w:style>
  <w:style w:type="paragraph" w:styleId="9">
    <w:name w:val="heading 5"/>
    <w:basedOn w:val="1"/>
    <w:next w:val="1"/>
    <w:qFormat/>
    <w:uiPriority w:val="0"/>
    <w:pPr>
      <w:keepNext/>
      <w:keepLines/>
      <w:tabs>
        <w:tab w:val="left" w:pos="1440"/>
      </w:tabs>
      <w:spacing w:before="280" w:after="290" w:line="372" w:lineRule="auto"/>
      <w:ind w:left="1440" w:hanging="900"/>
      <w:outlineLvl w:val="4"/>
    </w:pPr>
    <w:rPr>
      <w:b/>
      <w:sz w:val="28"/>
    </w:rPr>
  </w:style>
  <w:style w:type="character" w:default="1" w:styleId="31">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6">
    <w:name w:val="Normal Indent"/>
    <w:basedOn w:val="1"/>
    <w:next w:val="7"/>
    <w:qFormat/>
    <w:uiPriority w:val="0"/>
    <w:pPr>
      <w:ind w:firstLine="420" w:firstLineChars="200"/>
    </w:pPr>
  </w:style>
  <w:style w:type="paragraph" w:styleId="7">
    <w:name w:val="toc 4"/>
    <w:basedOn w:val="1"/>
    <w:next w:val="1"/>
    <w:qFormat/>
    <w:uiPriority w:val="0"/>
    <w:pPr>
      <w:ind w:left="1260" w:leftChars="600"/>
    </w:pPr>
  </w:style>
  <w:style w:type="paragraph" w:styleId="10">
    <w:name w:val="caption"/>
    <w:basedOn w:val="1"/>
    <w:next w:val="1"/>
    <w:qFormat/>
    <w:uiPriority w:val="0"/>
    <w:rPr>
      <w:rFonts w:ascii="Arial" w:hAnsi="Arial" w:eastAsia="黑体" w:cs="Arial"/>
      <w:sz w:val="20"/>
      <w:szCs w:val="20"/>
    </w:rPr>
  </w:style>
  <w:style w:type="paragraph" w:styleId="11">
    <w:name w:val="toa heading"/>
    <w:basedOn w:val="1"/>
    <w:next w:val="1"/>
    <w:qFormat/>
    <w:uiPriority w:val="0"/>
    <w:pPr>
      <w:spacing w:before="120"/>
    </w:pPr>
    <w:rPr>
      <w:rFonts w:ascii="Cambria" w:hAnsi="Cambria"/>
      <w:sz w:val="24"/>
    </w:rPr>
  </w:style>
  <w:style w:type="paragraph" w:styleId="12">
    <w:name w:val="annotation text"/>
    <w:basedOn w:val="1"/>
    <w:link w:val="56"/>
    <w:qFormat/>
    <w:uiPriority w:val="0"/>
    <w:pPr>
      <w:jc w:val="left"/>
    </w:pPr>
  </w:style>
  <w:style w:type="paragraph" w:styleId="13">
    <w:name w:val="Body Text Indent"/>
    <w:basedOn w:val="1"/>
    <w:next w:val="14"/>
    <w:qFormat/>
    <w:uiPriority w:val="0"/>
    <w:pPr>
      <w:ind w:firstLine="630"/>
    </w:pPr>
    <w:rPr>
      <w:sz w:val="32"/>
      <w:szCs w:val="20"/>
    </w:rPr>
  </w:style>
  <w:style w:type="paragraph" w:styleId="14">
    <w:name w:val="Normal (Web)"/>
    <w:basedOn w:val="1"/>
    <w:next w:val="1"/>
    <w:qFormat/>
    <w:uiPriority w:val="0"/>
    <w:pPr>
      <w:widowControl/>
      <w:spacing w:before="100" w:beforeAutospacing="1" w:after="100" w:afterAutospacing="1"/>
      <w:jc w:val="left"/>
    </w:pPr>
    <w:rPr>
      <w:rFonts w:ascii="宋体" w:hAnsi="宋体"/>
      <w:kern w:val="0"/>
      <w:sz w:val="18"/>
      <w:szCs w:val="18"/>
    </w:rPr>
  </w:style>
  <w:style w:type="paragraph" w:styleId="15">
    <w:name w:val="Plain Text"/>
    <w:basedOn w:val="1"/>
    <w:next w:val="1"/>
    <w:qFormat/>
    <w:uiPriority w:val="0"/>
    <w:rPr>
      <w:rFonts w:ascii="宋体" w:hAnsi="Courier New"/>
      <w:szCs w:val="20"/>
    </w:rPr>
  </w:style>
  <w:style w:type="paragraph" w:styleId="16">
    <w:name w:val="Body Text Indent 2"/>
    <w:basedOn w:val="1"/>
    <w:qFormat/>
    <w:uiPriority w:val="0"/>
    <w:pPr>
      <w:spacing w:after="120" w:line="480" w:lineRule="auto"/>
      <w:ind w:left="420" w:leftChars="200"/>
    </w:pPr>
  </w:style>
  <w:style w:type="paragraph" w:styleId="17">
    <w:name w:val="Balloon Text"/>
    <w:basedOn w:val="1"/>
    <w:link w:val="55"/>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rPr>
  </w:style>
  <w:style w:type="paragraph" w:styleId="19">
    <w:name w:val="envelope return"/>
    <w:basedOn w:val="1"/>
    <w:qFormat/>
    <w:uiPriority w:val="99"/>
    <w:pPr>
      <w:snapToGrid w:val="0"/>
    </w:pPr>
    <w:rPr>
      <w:rFonts w:ascii="Arial" w:hAnsi="Arial" w:cs="Arial"/>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0"/>
    <w:pPr>
      <w:spacing w:line="480" w:lineRule="auto"/>
    </w:pPr>
    <w:rPr>
      <w:rFonts w:ascii="Times New Roman" w:hAnsi="Times New Roman"/>
      <w:sz w:val="30"/>
    </w:rPr>
  </w:style>
  <w:style w:type="paragraph" w:styleId="22">
    <w:name w:val="index heading"/>
    <w:basedOn w:val="1"/>
    <w:next w:val="23"/>
    <w:qFormat/>
    <w:uiPriority w:val="0"/>
    <w:pPr>
      <w:adjustRightInd w:val="0"/>
      <w:spacing w:line="312" w:lineRule="atLeast"/>
      <w:textAlignment w:val="baseline"/>
    </w:pPr>
    <w:rPr>
      <w:rFonts w:ascii="Arial" w:hAnsi="Arial" w:eastAsia="仿宋" w:cs="Arial"/>
      <w:b/>
      <w:bCs/>
      <w:kern w:val="0"/>
      <w:sz w:val="32"/>
      <w:szCs w:val="20"/>
    </w:rPr>
  </w:style>
  <w:style w:type="paragraph" w:styleId="23">
    <w:name w:val="index 1"/>
    <w:basedOn w:val="1"/>
    <w:next w:val="1"/>
    <w:unhideWhenUsed/>
    <w:qFormat/>
    <w:uiPriority w:val="0"/>
  </w:style>
  <w:style w:type="paragraph" w:styleId="24">
    <w:name w:val="footnote text"/>
    <w:basedOn w:val="1"/>
    <w:semiHidden/>
    <w:qFormat/>
    <w:uiPriority w:val="0"/>
    <w:pPr>
      <w:snapToGrid w:val="0"/>
      <w:jc w:val="left"/>
    </w:pPr>
    <w:rPr>
      <w:rFonts w:ascii="Times New Roman" w:hAnsi="Times New Roman" w:eastAsia="宋体" w:cs="Times New Roman"/>
      <w:sz w:val="18"/>
      <w:szCs w:val="18"/>
    </w:rPr>
  </w:style>
  <w:style w:type="paragraph" w:styleId="25">
    <w:name w:val="List 5"/>
    <w:basedOn w:val="1"/>
    <w:qFormat/>
    <w:uiPriority w:val="0"/>
    <w:pPr>
      <w:ind w:left="2100" w:hanging="420"/>
    </w:pPr>
    <w:rPr>
      <w:rFonts w:eastAsia="楷体_GB2312"/>
      <w:sz w:val="32"/>
      <w:szCs w:val="20"/>
    </w:rPr>
  </w:style>
  <w:style w:type="paragraph" w:styleId="26">
    <w:name w:val="Title"/>
    <w:basedOn w:val="1"/>
    <w:next w:val="1"/>
    <w:qFormat/>
    <w:uiPriority w:val="10"/>
    <w:pPr>
      <w:spacing w:before="240" w:after="60"/>
      <w:jc w:val="center"/>
      <w:outlineLvl w:val="0"/>
    </w:pPr>
    <w:rPr>
      <w:rFonts w:ascii="Cambria" w:hAnsi="Cambria"/>
      <w:b/>
      <w:bCs/>
      <w:sz w:val="32"/>
      <w:szCs w:val="32"/>
    </w:rPr>
  </w:style>
  <w:style w:type="paragraph" w:styleId="27">
    <w:name w:val="annotation subject"/>
    <w:basedOn w:val="12"/>
    <w:next w:val="12"/>
    <w:link w:val="57"/>
    <w:qFormat/>
    <w:uiPriority w:val="0"/>
    <w:rPr>
      <w:b/>
      <w:bCs/>
    </w:rPr>
  </w:style>
  <w:style w:type="paragraph" w:styleId="28">
    <w:name w:val="Body Text First Indent"/>
    <w:basedOn w:val="2"/>
    <w:qFormat/>
    <w:uiPriority w:val="0"/>
    <w:pPr>
      <w:ind w:firstLine="420" w:firstLineChars="100"/>
    </w:pPr>
  </w:style>
  <w:style w:type="paragraph" w:styleId="29">
    <w:name w:val="Body Text First Indent 2"/>
    <w:basedOn w:val="13"/>
    <w:next w:val="13"/>
    <w:qFormat/>
    <w:uiPriority w:val="0"/>
    <w:pPr>
      <w:ind w:firstLine="420"/>
    </w:pPr>
  </w:style>
  <w:style w:type="character" w:styleId="32">
    <w:name w:val="Strong"/>
    <w:basedOn w:val="31"/>
    <w:qFormat/>
    <w:uiPriority w:val="22"/>
    <w:rPr>
      <w:b/>
      <w:bCs/>
    </w:rPr>
  </w:style>
  <w:style w:type="character" w:styleId="33">
    <w:name w:val="Hyperlink"/>
    <w:basedOn w:val="31"/>
    <w:qFormat/>
    <w:uiPriority w:val="0"/>
    <w:rPr>
      <w:rFonts w:ascii="Times New Roman" w:hAnsi="Times New Roman" w:eastAsia="微软雅黑" w:cs="Times New Roman"/>
      <w:color w:val="0000FF"/>
      <w:u w:val="single"/>
    </w:rPr>
  </w:style>
  <w:style w:type="character" w:styleId="34">
    <w:name w:val="annotation reference"/>
    <w:basedOn w:val="31"/>
    <w:qFormat/>
    <w:uiPriority w:val="0"/>
    <w:rPr>
      <w:sz w:val="21"/>
      <w:szCs w:val="21"/>
    </w:rPr>
  </w:style>
  <w:style w:type="paragraph" w:customStyle="1" w:styleId="35">
    <w:name w:val="Default"/>
    <w:basedOn w:val="26"/>
    <w:qFormat/>
    <w:uiPriority w:val="0"/>
    <w:pPr>
      <w:widowControl w:val="0"/>
      <w:autoSpaceDE w:val="0"/>
      <w:autoSpaceDN w:val="0"/>
      <w:adjustRightInd w:val="0"/>
      <w:jc w:val="both"/>
    </w:pPr>
    <w:rPr>
      <w:rFonts w:ascii="黑体" w:hAnsi="黑体" w:eastAsia="宋体" w:cs="黑体"/>
      <w:color w:val="000000"/>
      <w:sz w:val="24"/>
      <w:szCs w:val="24"/>
      <w:lang w:val="en-US" w:eastAsia="zh-CN" w:bidi="ar-SA"/>
    </w:rPr>
  </w:style>
  <w:style w:type="paragraph" w:customStyle="1" w:styleId="36">
    <w:name w:val="正文文本1"/>
    <w:basedOn w:val="1"/>
    <w:qFormat/>
    <w:uiPriority w:val="0"/>
    <w:pPr>
      <w:shd w:val="clear" w:color="auto" w:fill="FFFFFF"/>
      <w:spacing w:line="360" w:lineRule="auto"/>
      <w:ind w:firstLine="400"/>
    </w:pPr>
    <w:rPr>
      <w:rFonts w:ascii="MingLiU" w:hAnsi="MingLiU" w:eastAsia="MingLiU" w:cs="MingLiU"/>
      <w:sz w:val="42"/>
      <w:szCs w:val="42"/>
      <w:lang w:val="zh-CN" w:bidi="zh-CN"/>
    </w:rPr>
  </w:style>
  <w:style w:type="paragraph" w:customStyle="1" w:styleId="37">
    <w:name w:val="_Style 1"/>
    <w:qFormat/>
    <w:uiPriority w:val="0"/>
    <w:pPr>
      <w:widowControl w:val="0"/>
      <w:jc w:val="both"/>
    </w:pPr>
    <w:rPr>
      <w:rFonts w:ascii="Calibri" w:hAnsi="Calibri" w:eastAsia="Times New Roman" w:cs="Times New Roman"/>
      <w:kern w:val="2"/>
      <w:sz w:val="21"/>
      <w:szCs w:val="22"/>
      <w:lang w:val="en-US" w:eastAsia="zh-CN" w:bidi="ar-SA"/>
    </w:rPr>
  </w:style>
  <w:style w:type="paragraph" w:styleId="38">
    <w:name w:val="Quote"/>
    <w:basedOn w:val="1"/>
    <w:next w:val="1"/>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paragraph" w:customStyle="1" w:styleId="39">
    <w:name w:val="3）三级标题 与下段同页"/>
    <w:basedOn w:val="1"/>
    <w:qFormat/>
    <w:uiPriority w:val="0"/>
    <w:pPr>
      <w:keepNext/>
      <w:spacing w:beforeLines="50" w:afterLines="50"/>
      <w:jc w:val="center"/>
      <w:outlineLvl w:val="2"/>
    </w:pPr>
    <w:rPr>
      <w:rFonts w:ascii="仿宋_GB2312" w:eastAsia="仿宋_GB2312"/>
      <w:b/>
      <w:sz w:val="32"/>
    </w:rPr>
  </w:style>
  <w:style w:type="character" w:customStyle="1" w:styleId="40">
    <w:name w:val="NormalCharacter"/>
    <w:link w:val="41"/>
    <w:qFormat/>
    <w:uiPriority w:val="0"/>
  </w:style>
  <w:style w:type="paragraph" w:customStyle="1" w:styleId="41">
    <w:name w:val="UserStyle_5"/>
    <w:basedOn w:val="1"/>
    <w:link w:val="40"/>
    <w:qFormat/>
    <w:uiPriority w:val="0"/>
    <w:pPr>
      <w:widowControl/>
      <w:spacing w:after="160" w:line="240" w:lineRule="exact"/>
      <w:jc w:val="left"/>
      <w:textAlignment w:val="baseline"/>
    </w:pPr>
  </w:style>
  <w:style w:type="character" w:customStyle="1" w:styleId="42">
    <w:name w:val="UserStyle_3"/>
    <w:qFormat/>
    <w:uiPriority w:val="0"/>
    <w:rPr>
      <w:rFonts w:ascii="宋体" w:hAnsi="宋体" w:eastAsia="宋体"/>
      <w:b/>
      <w:sz w:val="32"/>
      <w:szCs w:val="32"/>
    </w:rPr>
  </w:style>
  <w:style w:type="paragraph" w:customStyle="1" w:styleId="43">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4">
    <w:name w:val="4正文"/>
    <w:basedOn w:val="1"/>
    <w:qFormat/>
    <w:uiPriority w:val="0"/>
    <w:pPr>
      <w:snapToGrid w:val="0"/>
      <w:spacing w:line="360" w:lineRule="auto"/>
      <w:ind w:firstLine="480" w:firstLineChars="200"/>
    </w:pPr>
    <w:rPr>
      <w:rFonts w:eastAsia="仿宋"/>
      <w:sz w:val="24"/>
    </w:rPr>
  </w:style>
  <w:style w:type="paragraph" w:customStyle="1" w:styleId="45">
    <w:name w:val="首行缩进:  0.85 厘米"/>
    <w:basedOn w:val="1"/>
    <w:qFormat/>
    <w:uiPriority w:val="0"/>
    <w:pPr>
      <w:widowControl/>
      <w:spacing w:after="100" w:line="360" w:lineRule="auto"/>
      <w:ind w:firstLine="482"/>
      <w:jc w:val="left"/>
    </w:pPr>
    <w:rPr>
      <w:kern w:val="0"/>
      <w:sz w:val="24"/>
      <w:lang w:eastAsia="en-US"/>
    </w:rPr>
  </w:style>
  <w:style w:type="character" w:customStyle="1" w:styleId="46">
    <w:name w:val="标题 1 Char"/>
    <w:link w:val="3"/>
    <w:qFormat/>
    <w:uiPriority w:val="0"/>
    <w:rPr>
      <w:rFonts w:ascii="Calibri" w:hAnsi="Calibri" w:eastAsia="宋体" w:cs="Times New Roman"/>
      <w:kern w:val="44"/>
      <w:sz w:val="44"/>
      <w:szCs w:val="44"/>
    </w:rPr>
  </w:style>
  <w:style w:type="paragraph" w:customStyle="1" w:styleId="47">
    <w:name w:val="Table Paragraph"/>
    <w:basedOn w:val="1"/>
    <w:unhideWhenUsed/>
    <w:qFormat/>
    <w:uiPriority w:val="1"/>
    <w:rPr>
      <w:sz w:val="24"/>
    </w:rPr>
  </w:style>
  <w:style w:type="paragraph" w:customStyle="1" w:styleId="48">
    <w:name w:val="列出段落1"/>
    <w:basedOn w:val="1"/>
    <w:qFormat/>
    <w:uiPriority w:val="0"/>
    <w:pPr>
      <w:spacing w:line="360" w:lineRule="auto"/>
      <w:ind w:firstLine="420" w:firstLineChars="200"/>
    </w:pPr>
    <w:rPr>
      <w:rFonts w:ascii="等线" w:hAnsi="等线"/>
      <w:szCs w:val="22"/>
    </w:rPr>
  </w:style>
  <w:style w:type="paragraph" w:customStyle="1" w:styleId="49">
    <w:name w:val="样式 正文缩进 + 首行缩进:  2 字符"/>
    <w:basedOn w:val="6"/>
    <w:qFormat/>
    <w:uiPriority w:val="0"/>
    <w:pPr>
      <w:spacing w:line="360" w:lineRule="auto"/>
      <w:ind w:firstLine="200"/>
    </w:pPr>
    <w:rPr>
      <w:rFonts w:cs="宋体"/>
      <w:sz w:val="24"/>
      <w:szCs w:val="20"/>
    </w:rPr>
  </w:style>
  <w:style w:type="paragraph" w:customStyle="1" w:styleId="50">
    <w:name w:val="WPS Plain"/>
    <w:basedOn w:val="1"/>
    <w:qFormat/>
    <w:uiPriority w:val="0"/>
    <w:pPr>
      <w:widowControl/>
      <w:jc w:val="left"/>
    </w:pPr>
    <w:rPr>
      <w:rFonts w:ascii="Times New Roman"/>
      <w:sz w:val="24"/>
    </w:rPr>
  </w:style>
  <w:style w:type="paragraph" w:customStyle="1" w:styleId="51">
    <w:name w:val="普通(网站)1"/>
    <w:basedOn w:val="1"/>
    <w:qFormat/>
    <w:uiPriority w:val="0"/>
    <w:pPr>
      <w:jc w:val="left"/>
    </w:pPr>
    <w:rPr>
      <w:kern w:val="0"/>
      <w:sz w:val="24"/>
    </w:rPr>
  </w:style>
  <w:style w:type="paragraph" w:customStyle="1" w:styleId="52">
    <w:name w:val="Body text|1"/>
    <w:basedOn w:val="1"/>
    <w:qFormat/>
    <w:uiPriority w:val="0"/>
    <w:pPr>
      <w:spacing w:line="290" w:lineRule="auto"/>
      <w:ind w:firstLine="400"/>
    </w:pPr>
    <w:rPr>
      <w:rFonts w:ascii="宋体" w:hAnsi="宋体" w:cs="宋体"/>
      <w:sz w:val="22"/>
      <w:szCs w:val="22"/>
      <w:lang w:val="zh-CN" w:bidi="zh-CN"/>
    </w:rPr>
  </w:style>
  <w:style w:type="paragraph" w:customStyle="1" w:styleId="53">
    <w:name w:val="纯文本1"/>
    <w:basedOn w:val="1"/>
    <w:qFormat/>
    <w:uiPriority w:val="0"/>
    <w:rPr>
      <w:rFonts w:ascii="宋体" w:hAnsi="Courier New"/>
      <w:szCs w:val="22"/>
    </w:rPr>
  </w:style>
  <w:style w:type="paragraph" w:styleId="54">
    <w:name w:val="List Paragraph"/>
    <w:basedOn w:val="1"/>
    <w:qFormat/>
    <w:uiPriority w:val="99"/>
    <w:pPr>
      <w:ind w:firstLine="420" w:firstLineChars="200"/>
    </w:pPr>
  </w:style>
  <w:style w:type="character" w:customStyle="1" w:styleId="55">
    <w:name w:val="批注框文本 Char"/>
    <w:basedOn w:val="31"/>
    <w:link w:val="17"/>
    <w:qFormat/>
    <w:uiPriority w:val="0"/>
    <w:rPr>
      <w:rFonts w:ascii="Calibri" w:hAnsi="Calibri"/>
      <w:kern w:val="2"/>
      <w:sz w:val="18"/>
      <w:szCs w:val="18"/>
    </w:rPr>
  </w:style>
  <w:style w:type="character" w:customStyle="1" w:styleId="56">
    <w:name w:val="批注文字 Char"/>
    <w:basedOn w:val="31"/>
    <w:link w:val="12"/>
    <w:qFormat/>
    <w:uiPriority w:val="0"/>
    <w:rPr>
      <w:rFonts w:ascii="Calibri" w:hAnsi="Calibri"/>
      <w:kern w:val="2"/>
      <w:sz w:val="21"/>
      <w:szCs w:val="24"/>
    </w:rPr>
  </w:style>
  <w:style w:type="character" w:customStyle="1" w:styleId="57">
    <w:name w:val="批注主题 Char"/>
    <w:basedOn w:val="56"/>
    <w:link w:val="27"/>
    <w:qFormat/>
    <w:uiPriority w:val="0"/>
    <w:rPr>
      <w:rFonts w:ascii="Calibri" w:hAnsi="Calibri"/>
      <w:b/>
      <w:bCs/>
      <w:kern w:val="2"/>
      <w:sz w:val="21"/>
      <w:szCs w:val="24"/>
    </w:rPr>
  </w:style>
  <w:style w:type="paragraph" w:customStyle="1" w:styleId="58">
    <w:name w:val="普通(网站)2"/>
    <w:basedOn w:val="1"/>
    <w:qFormat/>
    <w:uiPriority w:val="0"/>
    <w:pPr>
      <w:jc w:val="left"/>
    </w:pPr>
    <w:rPr>
      <w:rFonts w:ascii="Times New Roman" w:hAnsi="Times New Roman"/>
      <w:kern w:val="0"/>
      <w:sz w:val="24"/>
    </w:rPr>
  </w:style>
  <w:style w:type="paragraph" w:customStyle="1" w:styleId="59">
    <w:name w:val="Normal (Web)"/>
    <w:basedOn w:val="1"/>
    <w:qFormat/>
    <w:uiPriority w:val="0"/>
    <w:pPr>
      <w:spacing w:before="0" w:beforeLines="0" w:beforeAutospacing="0" w:after="0" w:afterLines="0" w:afterAutospacing="0"/>
      <w:ind w:left="0" w:right="0"/>
      <w:jc w:val="left"/>
    </w:pPr>
    <w:rPr>
      <w:kern w:val="0"/>
      <w:sz w:val="24"/>
      <w:lang w:val="en-US" w:eastAsia="zh-CN"/>
    </w:rPr>
  </w:style>
  <w:style w:type="paragraph" w:customStyle="1" w:styleId="60">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1">
    <w:name w:val="题注5"/>
    <w:basedOn w:val="1"/>
    <w:next w:val="10"/>
    <w:qFormat/>
    <w:uiPriority w:val="0"/>
    <w:pPr>
      <w:numPr>
        <w:ilvl w:val="1"/>
        <w:numId w:val="3"/>
      </w:numPr>
      <w:tabs>
        <w:tab w:val="left" w:pos="0"/>
        <w:tab w:val="left" w:pos="720"/>
      </w:tabs>
      <w:spacing w:line="360" w:lineRule="auto"/>
      <w:ind w:left="720" w:hanging="720"/>
    </w:pPr>
    <w:rPr>
      <w:b/>
      <w:color w:val="000000"/>
      <w:sz w:val="28"/>
      <w:szCs w:val="28"/>
    </w:rPr>
  </w:style>
  <w:style w:type="paragraph" w:customStyle="1" w:styleId="62">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63">
    <w:name w:val="正文_1"/>
    <w:qFormat/>
    <w:uiPriority w:val="0"/>
    <w:pPr>
      <w:widowControl w:val="0"/>
      <w:jc w:val="both"/>
    </w:pPr>
    <w:rPr>
      <w:rFonts w:ascii="Calibri" w:hAnsi="Calibri" w:eastAsia="宋体" w:cs="Times New Roman"/>
      <w:kern w:val="2"/>
      <w:sz w:val="21"/>
      <w:szCs w:val="24"/>
      <w:lang w:val="en-US" w:eastAsia="zh-CN" w:bidi="ar-SA"/>
    </w:rPr>
  </w:style>
  <w:style w:type="paragraph" w:customStyle="1" w:styleId="64">
    <w:name w:val="列表段落1"/>
    <w:basedOn w:val="1"/>
    <w:qFormat/>
    <w:uiPriority w:val="0"/>
    <w:pPr>
      <w:ind w:firstLine="420" w:firstLineChars="200"/>
    </w:pPr>
    <w:rPr>
      <w:rFonts w:ascii="Calibri" w:hAnsi="Calibri" w:cs="黑体"/>
      <w:szCs w:val="22"/>
    </w:rPr>
  </w:style>
  <w:style w:type="character" w:customStyle="1" w:styleId="65">
    <w:name w:val="font41"/>
    <w:basedOn w:val="31"/>
    <w:qFormat/>
    <w:uiPriority w:val="0"/>
    <w:rPr>
      <w:rFonts w:ascii="Arial" w:hAnsi="Arial" w:cs="Arial"/>
      <w:color w:val="000000"/>
      <w:sz w:val="20"/>
      <w:szCs w:val="20"/>
      <w:u w:val="none"/>
    </w:rPr>
  </w:style>
  <w:style w:type="paragraph" w:customStyle="1" w:styleId="66">
    <w:name w:val="Normal Indent1"/>
    <w:basedOn w:val="67"/>
    <w:next w:val="15"/>
    <w:qFormat/>
    <w:uiPriority w:val="0"/>
    <w:pPr>
      <w:ind w:firstLine="420" w:firstLineChars="200"/>
    </w:pPr>
  </w:style>
  <w:style w:type="paragraph" w:customStyle="1" w:styleId="67">
    <w:name w:val="正文 New New New"/>
    <w:basedOn w:val="2"/>
    <w:next w:val="66"/>
    <w:qFormat/>
    <w:uiPriority w:val="0"/>
    <w:rPr>
      <w:rFonts w:ascii="Times New Roman" w:hAnsi="Times New Roman"/>
      <w:szCs w:val="24"/>
    </w:rPr>
  </w:style>
  <w:style w:type="paragraph" w:customStyle="1" w:styleId="68">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rFonts w:ascii="Times New Roman" w:hAnsi="Times New Roman" w:eastAsia="宋体" w:cs="Times New Roman"/>
      <w:sz w:val="24"/>
    </w:rPr>
  </w:style>
  <w:style w:type="table" w:customStyle="1" w:styleId="69">
    <w:name w:val="Table Normal"/>
    <w:semiHidden/>
    <w:unhideWhenUsed/>
    <w:qFormat/>
    <w:uiPriority w:val="0"/>
    <w:tblPr>
      <w:tblCellMar>
        <w:top w:w="0" w:type="dxa"/>
        <w:left w:w="0" w:type="dxa"/>
        <w:bottom w:w="0" w:type="dxa"/>
        <w:right w:w="0" w:type="dxa"/>
      </w:tblCellMar>
    </w:tblPr>
  </w:style>
  <w:style w:type="paragraph" w:customStyle="1" w:styleId="70">
    <w:name w:val="Table Text"/>
    <w:basedOn w:val="1"/>
    <w:semiHidden/>
    <w:qFormat/>
    <w:uiPriority w:val="0"/>
    <w:rPr>
      <w:rFonts w:ascii="宋体" w:hAnsi="宋体" w:eastAsia="宋体" w:cs="宋体"/>
      <w:sz w:val="21"/>
      <w:szCs w:val="21"/>
      <w:lang w:val="en-US" w:eastAsia="en-US" w:bidi="ar-SA"/>
    </w:rPr>
  </w:style>
  <w:style w:type="character" w:customStyle="1" w:styleId="71">
    <w:name w:val="font111"/>
    <w:basedOn w:val="31"/>
    <w:qFormat/>
    <w:uiPriority w:val="0"/>
    <w:rPr>
      <w:rFonts w:ascii="方正仿宋_GBK" w:hAnsi="方正仿宋_GBK" w:eastAsia="方正仿宋_GBK" w:cs="方正仿宋_GBK"/>
      <w:b/>
      <w:bCs/>
      <w:color w:val="000000"/>
      <w:sz w:val="20"/>
      <w:szCs w:val="20"/>
      <w:u w:val="none"/>
    </w:rPr>
  </w:style>
  <w:style w:type="character" w:customStyle="1" w:styleId="72">
    <w:name w:val="font91"/>
    <w:basedOn w:val="31"/>
    <w:qFormat/>
    <w:uiPriority w:val="0"/>
    <w:rPr>
      <w:rFonts w:hint="default" w:ascii="Times New Roman" w:hAnsi="Times New Roman" w:cs="Times New Roman"/>
      <w:color w:val="000000"/>
      <w:sz w:val="20"/>
      <w:szCs w:val="20"/>
      <w:u w:val="none"/>
    </w:rPr>
  </w:style>
  <w:style w:type="character" w:customStyle="1" w:styleId="73">
    <w:name w:val="font71"/>
    <w:basedOn w:val="31"/>
    <w:qFormat/>
    <w:uiPriority w:val="0"/>
    <w:rPr>
      <w:rFonts w:ascii="方正仿宋_GBK" w:hAnsi="方正仿宋_GBK" w:eastAsia="方正仿宋_GBK" w:cs="方正仿宋_GBK"/>
      <w:color w:val="000000"/>
      <w:sz w:val="24"/>
      <w:szCs w:val="24"/>
      <w:u w:val="none"/>
    </w:rPr>
  </w:style>
  <w:style w:type="character" w:customStyle="1" w:styleId="74">
    <w:name w:val="font61"/>
    <w:basedOn w:val="31"/>
    <w:qFormat/>
    <w:uiPriority w:val="0"/>
    <w:rPr>
      <w:rFonts w:hint="eastAsia" w:ascii="方正仿宋_GBK" w:hAnsi="方正仿宋_GBK" w:eastAsia="方正仿宋_GBK" w:cs="方正仿宋_GBK"/>
      <w:color w:val="000000"/>
      <w:sz w:val="24"/>
      <w:szCs w:val="24"/>
      <w:u w:val="none"/>
    </w:rPr>
  </w:style>
  <w:style w:type="character" w:customStyle="1" w:styleId="75">
    <w:name w:val="font31"/>
    <w:basedOn w:val="31"/>
    <w:qFormat/>
    <w:uiPriority w:val="0"/>
    <w:rPr>
      <w:rFonts w:hint="default" w:ascii="Times New Roman" w:hAnsi="Times New Roman" w:cs="Times New Roman"/>
      <w:color w:val="000000"/>
      <w:sz w:val="24"/>
      <w:szCs w:val="24"/>
      <w:u w:val="none"/>
    </w:rPr>
  </w:style>
  <w:style w:type="character" w:customStyle="1" w:styleId="76">
    <w:name w:val="font81"/>
    <w:basedOn w:val="31"/>
    <w:qFormat/>
    <w:uiPriority w:val="0"/>
    <w:rPr>
      <w:rFonts w:hint="eastAsia" w:ascii="方正仿宋_GBK" w:hAnsi="方正仿宋_GBK" w:eastAsia="方正仿宋_GBK" w:cs="方正仿宋_GBK"/>
      <w:color w:val="000000"/>
      <w:sz w:val="24"/>
      <w:szCs w:val="24"/>
      <w:u w:val="none"/>
    </w:rPr>
  </w:style>
  <w:style w:type="paragraph" w:styleId="77">
    <w:name w:val="No Spacing"/>
    <w:qFormat/>
    <w:uiPriority w:val="0"/>
    <w:pPr>
      <w:widowControl w:val="0"/>
      <w:spacing w:line="360" w:lineRule="auto"/>
    </w:pPr>
    <w:rPr>
      <w:rFonts w:ascii="Calibri" w:hAnsi="Calibri" w:eastAsia="宋体" w:cs="Times New Roman"/>
      <w:kern w:val="2"/>
      <w:sz w:val="24"/>
      <w:szCs w:val="22"/>
      <w:lang w:val="en-US" w:eastAsia="zh-CN" w:bidi="ar-SA"/>
    </w:rPr>
  </w:style>
  <w:style w:type="paragraph" w:customStyle="1" w:styleId="78">
    <w:name w:val="msonospacing"/>
    <w:basedOn w:val="1"/>
    <w:qFormat/>
    <w:uiPriority w:val="0"/>
    <w:pPr>
      <w:keepNext w:val="0"/>
      <w:keepLines w:val="0"/>
      <w:widowControl w:val="0"/>
      <w:suppressLineNumbers w:val="0"/>
      <w:spacing w:before="0" w:beforeAutospacing="0" w:after="0" w:afterAutospacing="0" w:line="360" w:lineRule="auto"/>
      <w:ind w:left="0" w:firstLine="0" w:firstLineChars="0"/>
      <w:jc w:val="left"/>
    </w:pPr>
    <w:rPr>
      <w:rFonts w:ascii="Calibri" w:hAnsi="Calibri" w:eastAsia="宋体" w:cs="Times New Roman"/>
      <w:kern w:val="2"/>
      <w:sz w:val="24"/>
      <w:szCs w:val="22"/>
      <w:lang w:val="en-US" w:eastAsia="zh-CN" w:bidi="ar"/>
    </w:rPr>
  </w:style>
  <w:style w:type="character" w:customStyle="1" w:styleId="79">
    <w:name w:val="font21"/>
    <w:basedOn w:val="31"/>
    <w:qFormat/>
    <w:uiPriority w:val="0"/>
    <w:rPr>
      <w:rFonts w:hint="eastAsia" w:ascii="宋体" w:hAnsi="宋体" w:eastAsia="宋体" w:cs="宋体"/>
      <w:color w:val="000000"/>
      <w:sz w:val="20"/>
      <w:szCs w:val="20"/>
      <w:u w:val="none"/>
    </w:rPr>
  </w:style>
  <w:style w:type="character" w:customStyle="1" w:styleId="80">
    <w:name w:val="font51"/>
    <w:basedOn w:val="31"/>
    <w:qFormat/>
    <w:uiPriority w:val="0"/>
    <w:rPr>
      <w:rFonts w:hint="eastAsia" w:ascii="宋体" w:hAnsi="宋体" w:eastAsia="宋体" w:cs="宋体"/>
      <w:color w:val="000000"/>
      <w:sz w:val="20"/>
      <w:szCs w:val="20"/>
      <w:u w:val="none"/>
    </w:rPr>
  </w:style>
  <w:style w:type="character" w:customStyle="1" w:styleId="81">
    <w:name w:val="font101"/>
    <w:basedOn w:val="31"/>
    <w:qFormat/>
    <w:uiPriority w:val="0"/>
    <w:rPr>
      <w:rFonts w:hint="eastAsia" w:ascii="宋体" w:hAnsi="宋体" w:eastAsia="宋体" w:cs="宋体"/>
      <w:color w:val="000000"/>
      <w:sz w:val="20"/>
      <w:szCs w:val="20"/>
      <w:u w:val="none"/>
    </w:rPr>
  </w:style>
  <w:style w:type="character" w:customStyle="1" w:styleId="82">
    <w:name w:val="font11"/>
    <w:basedOn w:val="31"/>
    <w:qFormat/>
    <w:uiPriority w:val="0"/>
    <w:rPr>
      <w:rFonts w:hint="default" w:ascii="Times New Roman" w:hAnsi="Times New Roman" w:cs="Times New Roman"/>
      <w:b/>
      <w:bCs/>
      <w:color w:val="000000"/>
      <w:sz w:val="20"/>
      <w:szCs w:val="20"/>
      <w:u w:val="none"/>
    </w:rPr>
  </w:style>
  <w:style w:type="character" w:customStyle="1" w:styleId="83">
    <w:name w:val="font112"/>
    <w:basedOn w:val="31"/>
    <w:qFormat/>
    <w:uiPriority w:val="0"/>
    <w:rPr>
      <w:rFonts w:ascii="方正书宋_GBK" w:hAnsi="方正书宋_GBK" w:eastAsia="方正书宋_GBK" w:cs="方正书宋_GBK"/>
      <w:color w:val="000000"/>
      <w:sz w:val="20"/>
      <w:szCs w:val="20"/>
      <w:u w:val="none"/>
    </w:rPr>
  </w:style>
  <w:style w:type="character" w:customStyle="1" w:styleId="84">
    <w:name w:val="font121"/>
    <w:basedOn w:val="31"/>
    <w:qFormat/>
    <w:uiPriority w:val="0"/>
    <w:rPr>
      <w:rFonts w:hint="eastAsia" w:ascii="宋体" w:hAnsi="宋体" w:eastAsia="宋体" w:cs="宋体"/>
      <w:color w:val="000000"/>
      <w:sz w:val="20"/>
      <w:szCs w:val="20"/>
      <w:u w:val="none"/>
    </w:rPr>
  </w:style>
  <w:style w:type="character" w:customStyle="1" w:styleId="85">
    <w:name w:val="font122"/>
    <w:basedOn w:val="31"/>
    <w:qFormat/>
    <w:uiPriority w:val="0"/>
    <w:rPr>
      <w:rFonts w:hint="eastAsia" w:ascii="宋体" w:hAnsi="宋体" w:eastAsia="宋体" w:cs="宋体"/>
      <w:color w:val="000000"/>
      <w:sz w:val="20"/>
      <w:szCs w:val="20"/>
      <w:u w:val="none"/>
    </w:rPr>
  </w:style>
  <w:style w:type="character" w:customStyle="1" w:styleId="86">
    <w:name w:val="font131"/>
    <w:basedOn w:val="31"/>
    <w:qFormat/>
    <w:uiPriority w:val="0"/>
    <w:rPr>
      <w:rFonts w:hint="eastAsia" w:ascii="宋体" w:hAnsi="宋体" w:eastAsia="宋体" w:cs="宋体"/>
      <w:color w:val="000000"/>
      <w:sz w:val="20"/>
      <w:szCs w:val="20"/>
      <w:u w:val="none"/>
    </w:rPr>
  </w:style>
  <w:style w:type="character" w:customStyle="1" w:styleId="87">
    <w:name w:val="font141"/>
    <w:basedOn w:val="31"/>
    <w:qFormat/>
    <w:uiPriority w:val="0"/>
    <w:rPr>
      <w:rFonts w:hint="default" w:ascii="Times New Roman" w:hAnsi="Times New Roman" w:cs="Times New Roman"/>
      <w:color w:val="000000"/>
      <w:sz w:val="20"/>
      <w:szCs w:val="20"/>
      <w:u w:val="none"/>
      <w:vertAlign w:val="subscript"/>
    </w:rPr>
  </w:style>
  <w:style w:type="character" w:customStyle="1" w:styleId="88">
    <w:name w:val="font151"/>
    <w:basedOn w:val="31"/>
    <w:qFormat/>
    <w:uiPriority w:val="0"/>
    <w:rPr>
      <w:rFonts w:hint="eastAsia" w:ascii="宋体" w:hAnsi="宋体" w:eastAsia="宋体" w:cs="宋体"/>
      <w:color w:val="000000"/>
      <w:sz w:val="18"/>
      <w:szCs w:val="18"/>
      <w:u w:val="none"/>
    </w:rPr>
  </w:style>
  <w:style w:type="character" w:customStyle="1" w:styleId="89">
    <w:name w:val="font161"/>
    <w:basedOn w:val="31"/>
    <w:qFormat/>
    <w:uiPriority w:val="0"/>
    <w:rPr>
      <w:rFonts w:ascii="方正书宋_GBK" w:hAnsi="方正书宋_GBK" w:eastAsia="方正书宋_GBK" w:cs="方正书宋_GBK"/>
      <w:color w:val="000000"/>
      <w:sz w:val="18"/>
      <w:szCs w:val="18"/>
      <w:u w:val="none"/>
    </w:rPr>
  </w:style>
  <w:style w:type="character" w:customStyle="1" w:styleId="90">
    <w:name w:val="font171"/>
    <w:basedOn w:val="31"/>
    <w:qFormat/>
    <w:uiPriority w:val="0"/>
    <w:rPr>
      <w:rFonts w:hint="default" w:ascii="Times New Roman" w:hAnsi="Times New Roman" w:cs="Times New Roman"/>
      <w:color w:val="000000"/>
      <w:sz w:val="20"/>
      <w:szCs w:val="20"/>
      <w:u w:val="none"/>
      <w:vertAlign w:val="superscript"/>
    </w:rPr>
  </w:style>
  <w:style w:type="character" w:customStyle="1" w:styleId="91">
    <w:name w:val="font181"/>
    <w:basedOn w:val="31"/>
    <w:qFormat/>
    <w:uiPriority w:val="0"/>
    <w:rPr>
      <w:rFonts w:hint="default" w:ascii="方正书宋_GBK" w:hAnsi="方正书宋_GBK" w:eastAsia="方正书宋_GBK" w:cs="方正书宋_GBK"/>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285</Pages>
  <Words>9939</Words>
  <Characters>11332</Characters>
  <Lines>214</Lines>
  <Paragraphs>60</Paragraphs>
  <TotalTime>2</TotalTime>
  <ScaleCrop>false</ScaleCrop>
  <LinksUpToDate>false</LinksUpToDate>
  <CharactersWithSpaces>11653</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2023-02-23T01:34:00Z</dcterms:created>
  <dc:creator>lenovo</dc:creator>
  <cp:lastModifiedBy>·</cp:lastModifiedBy>
  <cp:lastPrinted>2026-04-23T03:42:00Z</cp:lastPrinted>
  <dcterms:modified xsi:type="dcterms:W3CDTF">2026-04-30T09:13:01Z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5E1EE0A36CC6413AAD83E7B942AF2EEA_13</vt:lpwstr>
  </property>
  <property fmtid="{D5CDD505-2E9C-101B-9397-08002B2CF9AE}" pid="4" name="KSOTemplateDocerSaveRecord">
    <vt:lpwstr>eyJoZGlkIjoiZjdjZmRkYzJiNjBhNGJkMmQ1OTdkY2JkNWE0YmQ2MTgiLCJ1c2VySWQiOiIzNTA3ODg4MDUifQ==</vt:lpwstr>
  </property>
</Properties>
</file>